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customXml/itemProps1.xml" ContentType="application/vnd.openxmlformats-officedocument.customXmlProperties+xml"/>
  <Override PartName="/word/drawings/drawing8.xml" ContentType="application/vnd.openxmlformats-officedocument.drawingml.chartshapes+xml"/>
  <Override PartName="/word/charts/chart59.xml" ContentType="application/vnd.openxmlformats-officedocument.drawingml.chart+xml"/>
  <Override PartName="/word/drawings/drawing6.xml" ContentType="application/vnd.openxmlformats-officedocument.drawingml.chartshap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charts/chart9.xml" ContentType="application/vnd.openxmlformats-officedocument.drawingml.chart+xml"/>
  <Override PartName="/word/charts/chart19.xml" ContentType="application/vnd.openxmlformats-officedocument.drawingml.chart+xml"/>
  <Override PartName="/word/charts/chart28.xml" ContentType="application/vnd.openxmlformats-officedocument.drawingml.chart+xml"/>
  <Override PartName="/word/charts/chart39.xml" ContentType="application/vnd.openxmlformats-officedocument.drawingml.chart+xml"/>
  <Override PartName="/word/drawings/drawing4.xml" ContentType="application/vnd.openxmlformats-officedocument.drawingml.chartshapes+xml"/>
  <Override PartName="/word/charts/chart48.xml" ContentType="application/vnd.openxmlformats-officedocument.drawingml.chart+xml"/>
  <Override PartName="/word/charts/chart57.xml" ContentType="application/vnd.openxmlformats-officedocument.drawingml.chart+xml"/>
  <Override PartName="/word/charts/chart7.xml" ContentType="application/vnd.openxmlformats-officedocument.drawingml.chart+xml"/>
  <Override PartName="/word/charts/chart17.xml" ContentType="application/vnd.openxmlformats-officedocument.drawingml.chart+xml"/>
  <Override PartName="/word/drawings/drawing2.xml" ContentType="application/vnd.openxmlformats-officedocument.drawingml.chartshapes+xml"/>
  <Override PartName="/word/charts/chart26.xml" ContentType="application/vnd.openxmlformats-officedocument.drawingml.chart+xml"/>
  <Override PartName="/word/charts/chart37.xml" ContentType="application/vnd.openxmlformats-officedocument.drawingml.chart+xml"/>
  <Override PartName="/word/charts/chart46.xml" ContentType="application/vnd.openxmlformats-officedocument.drawingml.chart+xml"/>
  <Override PartName="/word/charts/chart55.xml" ContentType="application/vnd.openxmlformats-officedocument.drawingml.chart+xml"/>
  <Override PartName="/word/charts/chart64.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24.xml" ContentType="application/vnd.openxmlformats-officedocument.drawingml.chart+xml"/>
  <Override PartName="/word/charts/chart35.xml" ContentType="application/vnd.openxmlformats-officedocument.drawingml.chart+xml"/>
  <Override PartName="/word/charts/chart44.xml" ContentType="application/vnd.openxmlformats-officedocument.drawingml.chart+xml"/>
  <Override PartName="/word/charts/chart53.xml" ContentType="application/vnd.openxmlformats-officedocument.drawingml.chart+xml"/>
  <Override PartName="/word/charts/chart62.xml" ContentType="application/vnd.openxmlformats-officedocument.drawingml.chart+xml"/>
  <Override PartName="/word/footer1.xml" ContentType="application/vnd.openxmlformats-officedocument.wordprocessingml.footer+xml"/>
  <Override PartName="/word/charts/chart3.xml" ContentType="application/vnd.openxmlformats-officedocument.drawingml.chart+xml"/>
  <Override PartName="/word/charts/chart13.xml" ContentType="application/vnd.openxmlformats-officedocument.drawingml.chart+xml"/>
  <Override PartName="/word/charts/chart22.xml" ContentType="application/vnd.openxmlformats-officedocument.drawingml.chart+xml"/>
  <Override PartName="/word/charts/chart31.xml" ContentType="application/vnd.openxmlformats-officedocument.drawingml.chart+xml"/>
  <Override PartName="/word/charts/chart33.xml" ContentType="application/vnd.openxmlformats-officedocument.drawingml.chart+xml"/>
  <Override PartName="/word/charts/chart42.xml" ContentType="application/vnd.openxmlformats-officedocument.drawingml.chart+xml"/>
  <Override PartName="/word/charts/chart51.xml" ContentType="application/vnd.openxmlformats-officedocument.drawingml.chart+xml"/>
  <Override PartName="/word/charts/chart60.xml" ContentType="application/vnd.openxmlformats-officedocument.drawingml.chart+xml"/>
  <Override PartName="/word/header2.xml" ContentType="application/vnd.openxmlformats-officedocument.wordprocessingml.header+xml"/>
  <Override PartName="/word/charts/chart1.xml" ContentType="application/vnd.openxmlformats-officedocument.drawingml.chart+xml"/>
  <Override PartName="/word/charts/chart11.xml" ContentType="application/vnd.openxmlformats-officedocument.drawingml.chart+xml"/>
  <Override PartName="/word/charts/chart20.xml" ContentType="application/vnd.openxmlformats-officedocument.drawingml.chart+xml"/>
  <Override PartName="/word/charts/chart40.xml" ContentType="application/vnd.openxmlformats-officedocument.drawingml.chart+xml"/>
  <Default Extension="png" ContentType="image/png"/>
  <Default Extension="emf" ContentType="image/x-emf"/>
  <Override PartName="/word/charts/chart49.xml" ContentType="application/vnd.openxmlformats-officedocument.drawingml.chart+xml"/>
  <Override PartName="/word/drawings/drawing7.xml" ContentType="application/vnd.openxmlformats-officedocument.drawingml.chartshapes+xml"/>
  <Override PartName="/word/numbering.xml" ContentType="application/vnd.openxmlformats-officedocument.wordprocessingml.numbering+xml"/>
  <Override PartName="/word/endnotes.xml" ContentType="application/vnd.openxmlformats-officedocument.wordprocessingml.endnotes+xml"/>
  <Override PartName="/word/charts/chart8.xml" ContentType="application/vnd.openxmlformats-officedocument.drawingml.chart+xml"/>
  <Override PartName="/word/drawings/drawing3.xml" ContentType="application/vnd.openxmlformats-officedocument.drawingml.chartshapes+xml"/>
  <Override PartName="/word/charts/chart29.xml" ContentType="application/vnd.openxmlformats-officedocument.drawingml.chart+xml"/>
  <Override PartName="/word/charts/chart38.xml" ContentType="application/vnd.openxmlformats-officedocument.drawingml.chart+xml"/>
  <Override PartName="/word/drawings/drawing5.xml" ContentType="application/vnd.openxmlformats-officedocument.drawingml.chartshapes+xml"/>
  <Override PartName="/word/charts/chart47.xml" ContentType="application/vnd.openxmlformats-officedocument.drawingml.chart+xml"/>
  <Override PartName="/word/charts/chart58.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18.xml" ContentType="application/vnd.openxmlformats-officedocument.drawingml.chart+xml"/>
  <Override PartName="/word/drawings/drawing1.xml" ContentType="application/vnd.openxmlformats-officedocument.drawingml.chartshapes+xml"/>
  <Override PartName="/word/charts/chart27.xml" ContentType="application/vnd.openxmlformats-officedocument.drawingml.chart+xml"/>
  <Override PartName="/word/charts/chart36.xml" ContentType="application/vnd.openxmlformats-officedocument.drawingml.chart+xml"/>
  <Override PartName="/word/charts/chart45.xml" ContentType="application/vnd.openxmlformats-officedocument.drawingml.chart+xml"/>
  <Override PartName="/word/charts/chart54.xml" ContentType="application/vnd.openxmlformats-officedocument.drawingml.chart+xml"/>
  <Override PartName="/word/charts/chart56.xml" ContentType="application/vnd.openxmlformats-officedocument.drawingml.chart+xml"/>
  <Override PartName="/word/charts/chart65.xml" ContentType="application/vnd.openxmlformats-officedocument.drawingml.chart+xml"/>
  <Override PartName="/word/footer2.xml" ContentType="application/vnd.openxmlformats-officedocument.wordprocessingml.footer+xml"/>
  <Override PartName="/word/charts/chart4.xml" ContentType="application/vnd.openxmlformats-officedocument.drawingml.chart+xml"/>
  <Override PartName="/word/charts/chart16.xml" ContentType="application/vnd.openxmlformats-officedocument.drawingml.chart+xml"/>
  <Override PartName="/word/charts/chart25.xml" ContentType="application/vnd.openxmlformats-officedocument.drawingml.chart+xml"/>
  <Override PartName="/word/charts/chart34.xml" ContentType="application/vnd.openxmlformats-officedocument.drawingml.chart+xml"/>
  <Override PartName="/word/charts/chart43.xml" ContentType="application/vnd.openxmlformats-officedocument.drawingml.chart+xml"/>
  <Override PartName="/word/charts/chart52.xml" ContentType="application/vnd.openxmlformats-officedocument.drawingml.chart+xml"/>
  <Override PartName="/word/charts/chart63.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14.xml" ContentType="application/vnd.openxmlformats-officedocument.drawingml.chart+xml"/>
  <Override PartName="/word/charts/chart23.xml" ContentType="application/vnd.openxmlformats-officedocument.drawingml.chart+xml"/>
  <Override PartName="/word/charts/chart32.xml" ContentType="application/vnd.openxmlformats-officedocument.drawingml.chart+xml"/>
  <Override PartName="/word/charts/chart41.xml" ContentType="application/vnd.openxmlformats-officedocument.drawingml.chart+xml"/>
  <Override PartName="/word/charts/chart50.xml" ContentType="application/vnd.openxmlformats-officedocument.drawingml.chart+xml"/>
  <Override PartName="/word/charts/chart61.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2.xml" ContentType="application/vnd.openxmlformats-officedocument.drawingml.chart+xml"/>
  <Override PartName="/word/charts/chart21.xml" ContentType="application/vnd.openxmlformats-officedocument.drawingml.chart+xml"/>
  <Override PartName="/word/charts/chart30.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5E40" w:rsidRPr="00360DE3" w:rsidRDefault="00783C17" w:rsidP="00E67696">
      <w:pPr>
        <w:rPr>
          <w:lang w:eastAsia="ar-SA"/>
        </w:rPr>
        <w:sectPr w:rsidR="00A75E40" w:rsidRPr="00360DE3" w:rsidSect="0085114D">
          <w:pgSz w:w="11906" w:h="16838" w:code="9"/>
          <w:pgMar w:top="1134" w:right="1134" w:bottom="1418" w:left="1134" w:header="709" w:footer="709" w:gutter="0"/>
          <w:pgNumType w:start="1"/>
          <w:cols w:space="708"/>
          <w:docGrid w:linePitch="360"/>
        </w:sectPr>
      </w:pPr>
      <w:bookmarkStart w:id="0" w:name="_GoBack"/>
      <w:r>
        <w:rPr>
          <w:noProof/>
        </w:rPr>
        <w:pict>
          <v:group id="Group 24" o:spid="_x0000_s1026" style="position:absolute;left:0;text-align:left;margin-left:45pt;margin-top:36.75pt;width:177.15pt;height:43.65pt;z-index:251657728;mso-position-horizontal-relative:page;mso-position-vertical-relative:page" coordorigin="567,851" coordsize="2714,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">
            <o:lock v:ext="edit" aspectratio="t"/>
            <v:rect id="Rectangle 9" o:spid="_x0000_s1027" style="position:absolute;left:1215;top:901;width:676;height:15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" fillcolor="#0071bc" stroked="f">
              <o:lock v:ext="edit" aspectratio="t"/>
            </v:rect>
            <v:rect id="Rectangle 10" o:spid="_x0000_s1028" style="position:absolute;left:567;top:1131;width:1324;height:15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" fillcolor="#0071bc" stroked="f">
              <o:lock v:ext="edit" aspectratio="t"/>
            </v:rect>
            <v:rect id="Rectangle 11" o:spid="_x0000_s1029" style="position:absolute;left:1288;top:1361;width:603;height:15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" fillcolor="#0071bc" stroked="f">
              <o:lock v:ext="edit" aspectratio="t"/>
            </v:rect>
            <v:shape id="Freeform 12" o:spid="_x0000_s1030" style="position:absolute;left:1969;top:1311;width:600;height:207;visibility:visible;mso-wrap-style:square;v-text-anchor:top" coordsize="1200,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" path="m1011,341r,-174l1030,167r10,2l1049,170r10,1l1067,174r7,3l1082,182r6,5l1094,194r5,6l1104,206r4,7l1112,221r2,7l1116,237r1,8l1117,253r,9l1116,271r-2,7l1112,287r-4,7l1104,301r-5,7l1094,314r-6,7l1082,326r-8,5l1067,334r-8,3l1049,338r-9,1l1030,341r-19,xm931,408r118,l1064,407r15,-3l1093,400r14,-5l1121,389r12,-9l1144,372r11,-10l1165,351r9,-12l1182,326r6,-13l1194,298r4,-14l1200,270r,-17l1200,238r-2,-15l1194,208r-6,-13l1182,181r-8,-12l1165,157r-10,-11l1144,136r-11,-10l1121,119r-14,-6l1093,108r-14,-5l1064,101r-15,-1l931,100r,308xm775,293r-67,l742,195r33,98xm797,354r20,54l901,408,785,100r-87,l581,408r84,l686,354r111,xm347,37r83,46l513,37,491,3,430,34,369,3,347,37xm407,238r,-77l422,161r10,1l442,164r7,2l455,170r6,6l466,182r3,9l470,200r-1,8l466,216r-5,7l455,230r-6,3l442,236r-10,1l422,238r-15,xm485,282r13,-4l508,275r8,-5l525,263r6,-6l536,250r5,-8l545,233r4,-8l551,215r1,-10l552,195r,-9l551,176r-2,-9l546,159r-4,-9l537,141r-5,-7l526,128r-7,-8l511,115r-7,-5l495,106r-10,-2l475,101r-12,-1l450,100r-123,l327,408r80,l407,289r76,119l582,408,485,282xm210,35l171,,105,56r28,29l210,35xm80,100l,100,,278r,15l2,308r1,13l5,333r4,10l13,353r4,9l23,369r9,10l43,389r11,8l68,403r15,6l99,413r16,2l133,415r16,l165,413r14,-4l192,404r14,-5l217,392r11,-9l238,372r8,-9l253,353r5,-10l262,333r3,-12l267,308r1,-15l268,278r,-178l189,100r,167l189,287r-2,14l185,311r-4,10l177,326r-5,5l167,334r-6,4l155,341r-6,2l141,344r-7,2l126,344r-6,-1l114,342r-6,-3l103,336r-5,-4l93,327r-4,-5l84,312,81,302,80,288r,-21l80,100xe" fillcolor="#bd1b21" stroked="f">
              <v:path arrowok="t" o:connecttype="custom" o:connectlocs="260,42;269,44;275,50;279,57;280,65;277,73;272,80;265,84;253,85;270,101;284,95;294,84;300,71;300,55;294,42;284,31;270,25;233,102;194,73;197,25;172,88;129,9;87,9;108,40;116,44;118,52;113,58;102,59;129,67;136,60;138,51;138,41;133,33;126,27;116,25;102,102;122,70;34,21;0,69;2,83;6,92;17,100;34,103;48,101;60,93;66,83;67,69;48,71;45,81;39,85;32,86;26,84;21,78;20,25" o:connectangles="0,0,0,0,0,0,0,0,0,0,0,0,0,0,0,0,0,0,0,0,0,0,0,0,0,0,0,0,0,0,0,0,0,0,0,0,0,0,0,0,0,0,0,0,0,0,0,0,0,0,0,0,0,0"/>
              <o:lock v:ext="edit" aspectratio="t" verticies="t"/>
            </v:shape>
            <v:shape id="Freeform 13" o:spid="_x0000_s1031" style="position:absolute;left:1962;top:1081;width:1319;height:208;visibility:visible;mso-wrap-style:square;v-text-anchor:top" coordsize="26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" path="m2561,35l2524,r-66,56l2485,84r76,-49xm2442,260r,147l2521,407r,-147l2637,99r-97,l2484,183,2427,99r-96,l2442,260xm2143,226r,-127l2063,99r,308l2143,407r,-133l2247,407r104,l2217,245,2340,99r-100,l2143,226xm2008,108r-21,-6l1969,97r-17,-4l1936,93r-18,l1902,96r-16,5l1871,106r-14,6l1844,121r-13,8l1820,140r-11,12l1800,164r-9,14l1785,192r-5,15l1775,223r-2,16l1773,256r,15l1775,286r3,14l1783,314r6,13l1795,340r9,11l1813,362r12,11l1839,385r15,8l1869,401r16,6l1902,412r16,3l1936,416r15,-1l1966,413r17,-5l2008,401r,-95l1999,314r-7,6l1983,326r-7,4l1967,334r-10,2l1948,337r-10,l1931,337r-8,-1l1916,335r-8,-3l1902,330r-6,-4l1889,322r-5,-5l1876,311r-5,-6l1866,299r-4,-8l1860,283r-3,-9l1856,265r,-10l1856,246r1,-8l1860,229r2,-8l1865,214r5,-7l1874,200r5,-6l1885,189r6,-5l1898,180r7,-3l1913,174r8,-2l1930,170r8,l1948,170r10,3l1967,175r10,4l1984,184r9,5l2001,197r7,7l2008,108xm1727,99r-80,l1647,407r80,l1727,99xm1538,167r66,l1604,99r-210,l1394,167r65,l1459,407r79,l1538,167xm1360,117r-11,-6l1337,106r-13,-4l1313,98r-13,-2l1288,93r-12,-1l1263,92r-11,l1241,94r-10,2l1221,99r-10,4l1203,108r-8,6l1187,121r-6,7l1175,136r-5,8l1166,153r-4,10l1161,174r-3,10l1158,195r,10l1160,215r2,9l1165,231r3,8l1172,245r5,6l1183,256r9,7l1203,269r16,6l1242,281r12,5l1264,290r9,4l1279,297r5,4l1287,306r2,5l1289,317r,7l1287,330r-4,5l1279,339r-6,3l1267,345r-8,1l1251,347r-9,l1233,345r-9,-1l1216,340r-9,-5l1198,330r-8,-6l1180,316r-34,65l1158,388r13,8l1185,401r13,5l1212,410r14,3l1239,415r14,l1266,415r12,-2l1290,411r12,-4l1313,403r10,-5l1333,392r9,-6l1349,378r6,-7l1360,362r5,-10l1369,342r2,-11l1373,319r,-13l1371,290r-2,-15l1366,269r-3,-6l1359,258r-4,-7l1350,246r-5,-5l1339,238r-7,-4l1315,226r-17,-6l1276,213r-13,-4l1256,205r-7,-5l1247,198r-3,-4l1242,189r,-4l1243,179r1,-5l1248,170r4,-3l1257,163r6,-3l1269,159r8,-1l1283,159r6,l1297,162r6,1l1315,170r14,9l1360,117xm1091,99r-80,l1011,407r80,l1091,99xm904,167r66,l970,99r-212,l758,167r67,l825,407r79,l904,167xm644,292r-66,l611,194r33,98xm666,354r20,53l771,407,655,99r-87,l450,407r84,l555,354r111,xm395,167r66,l461,99r-212,l249,167r66,l315,407r80,l395,167xm214,117r-11,-6l190,106r-12,-4l167,98,154,96,142,93,129,92r-12,l106,92,94,94,84,96r-9,3l65,103r-9,5l48,114r-7,7l35,128r-7,8l23,144r-3,9l16,163r-1,11l12,184r,11l12,205r1,10l16,224r2,7l22,239r4,6l31,251r6,5l46,263r11,6l73,275r23,6l108,286r10,4l127,294r6,3l138,301r3,5l143,311r,6l143,324r-2,6l137,335r-4,4l127,342r-6,3l113,346r-9,1l96,347r-9,-2l78,344r-8,-4l61,335r-9,-5l43,324,33,316,,381r12,7l25,396r13,5l52,406r14,4l79,413r14,2l107,415r12,l132,413r12,-2l155,407r12,-4l177,398r10,-6l195,386r8,-8l209,371r5,-9l219,352r4,-10l225,331r2,-12l227,306r-2,-16l223,275r-3,-6l217,263r-4,-5l209,251r-5,-5l199,241r-6,-3l185,234r-16,-8l151,220r-22,-7l117,209r-8,-4l103,200r-4,-2l98,194r-2,-5l96,185r1,-6l98,174r4,-4l106,167r5,-4l117,160r6,-1l129,158r8,1l143,159r8,3l157,163r12,7l183,179r31,-62xe" fillcolor="#bd1b21" stroked="f">
              <v:path arrowok="t" o:connecttype="custom" o:connectlocs="611,102;583,25;536,69;502,27;472,26;450,41;444,68;454,91;480,104;500,79;485,85;473,81;465,69;467,54;477,45;492,44;432,25;401,25;340,30;319,23;301,27;291,41;292,58;305,69;322,77;319,86;304,85;293,99;317,104;336,97;344,80;339,63;319,54;311,47;318,40;333,45;226,42;226,102;172,102;167,89;79,102;42,25;21,24;7,34;3,52;10,64;32,74;36,83;24,87;9,79;20,104;42,101;55,88;55,68;47,59;25,50;27,42;38,41" o:connectangles="0,0,0,0,0,0,0,0,0,0,0,0,0,0,0,0,0,0,0,0,0,0,0,0,0,0,0,0,0,0,0,0,0,0,0,0,0,0,0,0,0,0,0,0,0,0,0,0,0,0,0,0,0,0,0,0,0,0"/>
              <o:lock v:ext="edit" aspectratio="t" verticies="t"/>
            </v:shape>
            <v:shape id="Freeform 14" o:spid="_x0000_s1032" style="position:absolute;left:1962;top:851;width:679;height:208;visibility:visible;mso-wrap-style:square;v-text-anchor:top" coordsize="1358,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" path="m1282,36l1243,r-65,56l1205,85r77,-49xm1162,260r,147l1242,407r,-147l1358,100r-97,l1205,183r-59,-83l1051,100r111,160xm863,227r,-127l783,100r,307l863,407r,-133l967,407r104,l938,245,1059,100r-99,l863,227xm721,117r-12,-5l697,107r-12,-5l673,98,660,96,648,93,635,92r-11,l611,92r-9,3l590,97r-10,3l572,103r-9,5l555,115r-7,6l542,128r-7,8l531,145r-4,8l523,163r-2,11l519,184r,12l519,206r2,10l522,224r2,8l528,239r5,6l538,252r5,5l552,263r12,6l580,275r22,7l614,287r11,3l634,294r6,4l644,301r4,5l649,311r1,7l649,324r-1,6l644,335r-5,4l634,343r-8,2l619,348r-8,l603,348r-9,-3l585,344r-8,-4l568,335r-9,-5l549,324r-9,-8l507,381r12,8l532,396r12,5l558,406r14,4l585,414r14,1l613,415r13,l639,414r12,-3l663,407r11,-3l684,399r10,-7l702,386r7,-7l716,371r5,-8l725,353r4,-10l731,331r1,-12l734,306r-2,-16l729,275r-3,-6l724,263r-4,-5l716,252r-5,-5l705,243r-6,-5l692,234r-16,-7l658,221r-22,-7l624,209r-9,-3l610,201r-3,-3l604,194r-1,-5l603,186r,-5l605,174r3,-3l611,167r7,-4l623,161r6,-2l636,158r7,1l650,159r6,3l663,163r13,8l689,179r32,-62xm463,167r,-67l289,100r,307l463,407r,-67l369,340r,-53l458,287r,-68l369,219r,-52l463,167xm66,36r82,46l231,36,210,2,148,34,87,2,66,36xm235,108r-20,-6l197,97,180,95,163,93r-17,2l129,96r-15,5l99,106r-15,6l71,121r-13,9l47,141,37,152,27,164r-7,14l12,192,7,207,3,223,1,239,,257r,15l2,287r4,13l10,314r6,14l22,340r9,11l41,363r12,11l66,385r15,9l97,401r16,6l129,412r18,3l163,416r16,-1l193,414r19,-5l235,401r,-95l228,314r-9,6l212,326r-9,4l194,334r-9,2l175,338r-10,1l158,338r-7,-2l143,335r-6,-2l129,330r-6,-4l117,323r-6,-5l104,311r-6,-6l93,299r-4,-7l87,283r-3,-9l83,265r,-10l83,247r1,-9l87,229r2,-7l93,214r4,-7l102,201r5,-7l112,189r6,-5l126,181r7,-4l141,174r7,-2l157,171r8,l175,171r10,2l195,176r9,3l213,184r7,5l228,197r7,7l235,108xe" fillcolor="#bd1b21" stroked="f">
              <v:path arrowok="t" o:connecttype="custom" o:connectlocs="321,9;340,25;291,65;216,102;265,25;175,27;159,23;145,25;136,32;131,44;131,56;136,65;154,72;162,77;161,84;153,87;142,84;130,98;147,104;163,103;176,97;183,86;183,69;178,62;165,56;152,50;152,44;158,40;166,41;116,25;93,85;93,42;53,1;54,26;33,24;15,33;3,48;0,68;6,85;21,99;41,104;59,77;49,84;38,84;30,81;23,73;21,62;25,52;32,46;42,43;54,46" o:connectangles="0,0,0,0,0,0,0,0,0,0,0,0,0,0,0,0,0,0,0,0,0,0,0,0,0,0,0,0,0,0,0,0,0,0,0,0,0,0,0,0,0,0,0,0,0,0,0,0,0,0,0"/>
              <o:lock v:ext="edit" aspectratio="t" verticies="t"/>
            </v:shape>
            <w10:wrap type="square" anchorx="page" anchory="page"/>
            <w10:anchorlock/>
          </v:group>
        </w:pict>
      </w:r>
      <w:r>
        <w:rPr>
          <w:noProof/>
        </w:rPr>
        <w:pict>
          <v:shapetype id="_x0000_t202" coordsize="21600,21600" o:spt="202" path="m,l,21600r21600,l21600,xe">
            <v:stroke joinstyle="miter"/>
            <v:path gradientshapeok="t" o:connecttype="rect"/>
          </v:shapetype>
          <v:shape id="Textové pole 2" o:spid="_x0000_s1040" type="#_x0000_t202" style="position:absolute;left:0;text-align:left;margin-left:134.3pt;margin-top:643.55pt;width:403.95pt;height:72.85pt;z-index:251656704;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" filled="f" stroked="f">
            <v:textbox inset="0,0,0,0">
              <w:txbxContent>
                <w:p w:rsidR="00C805DC" w:rsidRDefault="00C805DC" w:rsidP="004924DC">
                  <w:r>
                    <w:t>Zpracoval: o</w:t>
                  </w:r>
                  <w:r w:rsidRPr="006C5577">
                    <w:t>dbor</w:t>
                  </w:r>
                  <w:r>
                    <w:t xml:space="preserve"> Kancelář předsedy, oddělení svodných analýz</w:t>
                  </w:r>
                  <w:r w:rsidRPr="006C5577">
                    <w:t xml:space="preserve"> </w:t>
                  </w:r>
                </w:p>
                <w:p w:rsidR="00C805DC" w:rsidRPr="006C5577" w:rsidRDefault="00C805DC" w:rsidP="004924DC">
                  <w:r w:rsidRPr="006C5577">
                    <w:t xml:space="preserve">Ředitel odboru: </w:t>
                  </w:r>
                  <w:proofErr w:type="spellStart"/>
                  <w:r>
                    <w:t>Egor</w:t>
                  </w:r>
                  <w:proofErr w:type="spellEnd"/>
                  <w:r>
                    <w:t xml:space="preserve"> </w:t>
                  </w:r>
                  <w:proofErr w:type="spellStart"/>
                  <w:r>
                    <w:t>Sidorov</w:t>
                  </w:r>
                  <w:proofErr w:type="spellEnd"/>
                  <w:r>
                    <w:t>, </w:t>
                  </w:r>
                  <w:proofErr w:type="spellStart"/>
                  <w:r>
                    <w:t>Ph.D</w:t>
                  </w:r>
                  <w:proofErr w:type="spellEnd"/>
                  <w:r>
                    <w:t>.</w:t>
                  </w:r>
                </w:p>
                <w:p w:rsidR="00C805DC" w:rsidRPr="006C5577" w:rsidRDefault="00C805DC" w:rsidP="004924DC">
                  <w:r w:rsidRPr="006C5577">
                    <w:t xml:space="preserve">Kontaktní osoba: </w:t>
                  </w:r>
                  <w:r>
                    <w:t xml:space="preserve">Karolína </w:t>
                  </w:r>
                  <w:proofErr w:type="spellStart"/>
                  <w:r>
                    <w:t>Súkupová</w:t>
                  </w:r>
                  <w:proofErr w:type="spellEnd"/>
                  <w:r w:rsidRPr="006C5577">
                    <w:t>,</w:t>
                  </w:r>
                  <w:r>
                    <w:t xml:space="preserve"> e-mail: karolina.sukupova@czso.cz</w:t>
                  </w:r>
                </w:p>
              </w:txbxContent>
            </v:textbox>
            <w10:wrap anchorx="page" anchory="page"/>
            <w10:anchorlock/>
          </v:shape>
        </w:pict>
      </w:r>
      <w:r>
        <w:rPr>
          <w:noProof/>
        </w:rPr>
        <w:pict>
          <v:shape id="_x0000_s1039" type="#_x0000_t202" style="position:absolute;left:0;text-align:left;margin-left:134.65pt;margin-top:368.55pt;width:403.9pt;height:132.8pt;z-index:251655680;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" filled="f" stroked="f">
            <v:textbox style="mso-fit-shape-to-text:t" inset="0,0,0,0">
              <w:txbxContent>
                <w:p w:rsidR="00C805DC" w:rsidRPr="004924DC" w:rsidRDefault="00C805DC" w:rsidP="004924DC">
                  <w:pPr>
                    <w:pStyle w:val="TLIdentifikace-sted"/>
                  </w:pPr>
                  <w:r>
                    <w:t>Souhrnná data o České republice</w:t>
                  </w:r>
                </w:p>
                <w:p w:rsidR="00C805DC" w:rsidRPr="004924DC" w:rsidRDefault="00C805DC" w:rsidP="004924DC">
                  <w:pPr>
                    <w:pStyle w:val="TLIdentifikace-sted"/>
                  </w:pPr>
                  <w:r>
                    <w:t>Praha, 31. 10. 2018</w:t>
                  </w:r>
                </w:p>
                <w:p w:rsidR="00C805DC" w:rsidRPr="004924DC" w:rsidRDefault="00C805DC" w:rsidP="004924DC">
                  <w:pPr>
                    <w:pStyle w:val="TLIdentifikace-sted"/>
                  </w:pPr>
                  <w:r w:rsidRPr="004924DC">
                    <w:t xml:space="preserve">Kód publikace: </w:t>
                  </w:r>
                  <w:r w:rsidRPr="003C4BE8">
                    <w:rPr>
                      <w:rStyle w:val="content"/>
                      <w:rFonts w:eastAsia="MS Gothic" w:cs="Arial"/>
                    </w:rPr>
                    <w:t>320305-18</w:t>
                  </w:r>
                </w:p>
                <w:p w:rsidR="00C805DC" w:rsidRPr="004924DC" w:rsidRDefault="00C805DC" w:rsidP="004924DC">
                  <w:pPr>
                    <w:pStyle w:val="TLIdentifikace-sted"/>
                  </w:pPr>
                  <w:r>
                    <w:t xml:space="preserve">Č. </w:t>
                  </w:r>
                  <w:proofErr w:type="spellStart"/>
                  <w:r>
                    <w:t>j</w:t>
                  </w:r>
                  <w:proofErr w:type="spellEnd"/>
                  <w:r>
                    <w:t xml:space="preserve">.: </w:t>
                  </w:r>
                  <w:r w:rsidRPr="00833BF2">
                    <w:rPr>
                      <w:rFonts w:cs="Arial"/>
                      <w:bCs/>
                    </w:rPr>
                    <w:t>CSU-03093/2018-01</w:t>
                  </w:r>
                </w:p>
                <w:p w:rsidR="00C805DC" w:rsidRPr="004924DC" w:rsidRDefault="00C805DC" w:rsidP="004924DC">
                  <w:pPr>
                    <w:pStyle w:val="TLIdentifikace-sted"/>
                  </w:pPr>
                  <w:r w:rsidRPr="004924DC">
                    <w:t xml:space="preserve">Pořadové číslo v roce: </w:t>
                  </w:r>
                  <w:r>
                    <w:t>1</w:t>
                  </w:r>
                </w:p>
              </w:txbxContent>
            </v:textbox>
            <w10:wrap anchorx="page" anchory="page"/>
            <w10:anchorlock/>
          </v:shape>
        </w:pict>
      </w:r>
      <w:r>
        <w:rPr>
          <w:noProof/>
        </w:rPr>
        <w:pict>
          <v:shape id="_x0000_s1038" type="#_x0000_t202" style="position:absolute;left:0;text-align:left;margin-left:134.65pt;margin-top:116.25pt;width:403.9pt;height:96.6pt;z-index:251654656;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" filled="f" stroked="f">
            <v:textbox style="mso-fit-shape-to-text:t" inset="0,0,0,0">
              <w:txbxContent>
                <w:p w:rsidR="00C805DC" w:rsidRPr="000E6FBD" w:rsidRDefault="00C805DC" w:rsidP="000E6FBD">
                  <w:pPr>
                    <w:pStyle w:val="Nzev"/>
                  </w:pPr>
                  <w:r>
                    <w:t>Analýza ekonomického vývoje v roce 2017</w:t>
                  </w:r>
                </w:p>
                <w:p w:rsidR="00C805DC" w:rsidRPr="0012192F" w:rsidRDefault="00C805DC" w:rsidP="0012192F">
                  <w:pPr>
                    <w:pStyle w:val="Podtitul"/>
                  </w:pPr>
                </w:p>
              </w:txbxContent>
            </v:textbox>
            <w10:wrap anchorx="page" anchory="page"/>
            <w10:anchorlock/>
          </v:shape>
        </w:pict>
      </w:r>
      <w:r>
        <w:rPr>
          <w:noProof/>
        </w:rPr>
        <w:pict>
          <v:shape id="_x0000_s1037" type="#_x0000_t202" style="position:absolute;left:0;text-align:left;margin-left:134.65pt;margin-top:759.8pt;width:403.95pt;height:14.15pt;z-index:251658752;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" filled="f" stroked="f">
            <v:textbox inset="0,0,0,0">
              <w:txbxContent>
                <w:p w:rsidR="00C805DC" w:rsidRPr="004924DC" w:rsidRDefault="00C805DC" w:rsidP="004924DC">
                  <w:r w:rsidRPr="004924DC">
                    <w:t xml:space="preserve">© Český statistický úřad, </w:t>
                  </w:r>
                  <w:r>
                    <w:t>Praha</w:t>
                  </w:r>
                  <w:r w:rsidRPr="004924DC">
                    <w:t xml:space="preserve">, </w:t>
                  </w:r>
                  <w:r>
                    <w:t>2018</w:t>
                  </w:r>
                </w:p>
                <w:p w:rsidR="00C805DC" w:rsidRPr="005251DD" w:rsidRDefault="00C805DC" w:rsidP="00665BA4"/>
                <w:p w:rsidR="00C805DC" w:rsidRPr="005251DD" w:rsidRDefault="00C805DC" w:rsidP="00FC684B"/>
                <w:p w:rsidR="00C805DC" w:rsidRDefault="00C805DC"/>
                <w:p w:rsidR="00C805DC" w:rsidRPr="00097407" w:rsidRDefault="00C805DC" w:rsidP="00665BA4">
                  <w:r w:rsidRPr="00097407">
                    <w:t xml:space="preserve">© </w:t>
                  </w:r>
                  <w:r w:rsidRPr="005251DD">
                    <w:t>Český statistický úřad</w:t>
                  </w:r>
                  <w:r>
                    <w:t xml:space="preserve"> / </w:t>
                  </w:r>
                  <w:proofErr w:type="spellStart"/>
                  <w:r w:rsidRPr="009A1902">
                    <w:rPr>
                      <w:i/>
                    </w:rPr>
                    <w:t>Czech</w:t>
                  </w:r>
                  <w:proofErr w:type="spellEnd"/>
                  <w:r w:rsidRPr="009A1902">
                    <w:rPr>
                      <w:i/>
                    </w:rPr>
                    <w:t xml:space="preserve"> </w:t>
                  </w:r>
                  <w:proofErr w:type="spellStart"/>
                  <w:r w:rsidRPr="009A1902">
                    <w:rPr>
                      <w:rFonts w:cs="Arial"/>
                      <w:i/>
                      <w:szCs w:val="20"/>
                    </w:rPr>
                    <w:t>Statistical</w:t>
                  </w:r>
                  <w:proofErr w:type="spellEnd"/>
                  <w:r w:rsidRPr="009A1902">
                    <w:rPr>
                      <w:rFonts w:cs="Arial"/>
                      <w:i/>
                      <w:szCs w:val="20"/>
                    </w:rPr>
                    <w:t xml:space="preserve"> Office</w:t>
                  </w:r>
                  <w:r w:rsidRPr="00097407">
                    <w:t>, místo, rok vydání</w:t>
                  </w:r>
                </w:p>
                <w:p w:rsidR="00C805DC" w:rsidRPr="005251DD" w:rsidRDefault="00C805DC" w:rsidP="00665BA4"/>
                <w:p w:rsidR="00C805DC" w:rsidRPr="005251DD" w:rsidRDefault="00C805DC" w:rsidP="00FC684B"/>
              </w:txbxContent>
            </v:textbox>
            <w10:wrap anchorx="page" anchory="page"/>
            <w10:anchorlock/>
          </v:shape>
        </w:pict>
      </w:r>
      <w:r>
        <w:rPr>
          <w:noProof/>
        </w:rPr>
        <w:pict>
          <v:line id="Přímá spojnice 33" o:spid="_x0000_s1036" style="position:absolute;left:0;text-align:left;z-index:251653632;visibility:visible;mso-wrap-distance-top:-8e-5mm;mso-wrap-distance-bottom:-8e-5mm;mso-position-horizontal-relative:page;mso-position-vertical-relative:page;mso-width-relative:margin;mso-height-relative:margin" from="134.65pt,737.1pt" to="538.6pt,73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" o:allowincell="f" strokecolor="windowText" strokeweight="1pt">
            <o:lock v:ext="edit" shapetype="f"/>
            <w10:wrap anchorx="page" anchory="page"/>
            <w10:anchorlock/>
          </v:line>
        </w:pict>
      </w:r>
      <w:r w:rsidR="00F63FB7" w:rsidRPr="00360DE3">
        <w:br w:type="page"/>
      </w:r>
      <w:bookmarkEnd w:id="0"/>
      <w:r w:rsidR="00D57677" w:rsidRPr="00360DE3">
        <w:lastRenderedPageBreak/>
        <w:br w:type="page"/>
      </w:r>
      <w:r>
        <w:rPr>
          <w:noProof/>
        </w:rPr>
        <w:pict>
          <v:shape id="_x0000_s1035" type="#_x0000_t202" style="position:absolute;left:0;text-align:left;margin-left:57pt;margin-top:113.4pt;width:481.85pt;height:604.2pt;z-index:251659776;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" filled="f" stroked="f">
            <v:textbox style="mso-fit-shape-to-text:t" inset="0,0,0,0">
              <w:txbxContent>
                <w:p w:rsidR="00C805DC" w:rsidRPr="006F5416" w:rsidRDefault="00C805DC" w:rsidP="006F5416">
                  <w:pPr>
                    <w:pStyle w:val="TLKontaktyerven"/>
                  </w:pPr>
                  <w:r w:rsidRPr="006F5416">
                    <w:t>KONTAKTY V ÚSTŘEDÍ</w:t>
                  </w:r>
                </w:p>
                <w:p w:rsidR="00C805DC" w:rsidRPr="007D40DF" w:rsidRDefault="00C805DC" w:rsidP="00825C4D">
                  <w:pPr>
                    <w:pStyle w:val="TLKontakty"/>
                    <w:spacing w:after="80" w:line="240" w:lineRule="auto"/>
                    <w:contextualSpacing w:val="0"/>
                    <w:rPr>
                      <w:b w:val="0"/>
                      <w:color w:val="auto"/>
                    </w:rPr>
                  </w:pPr>
                  <w:r w:rsidRPr="00D66223">
                    <w:t>Český statistický úřad</w:t>
                  </w:r>
                  <w:r w:rsidRPr="007D40DF">
                    <w:rPr>
                      <w:b w:val="0"/>
                      <w:color w:val="auto"/>
                    </w:rPr>
                    <w:t xml:space="preserve"> | Na</w:t>
                  </w:r>
                  <w:r>
                    <w:rPr>
                      <w:b w:val="0"/>
                      <w:color w:val="auto"/>
                    </w:rPr>
                    <w:t xml:space="preserve"> padesátém 81, 100 82 Praha</w:t>
                  </w:r>
                  <w:r w:rsidRPr="007D40DF">
                    <w:rPr>
                      <w:b w:val="0"/>
                      <w:color w:val="auto"/>
                    </w:rPr>
                    <w:t> </w:t>
                  </w:r>
                  <w:r>
                    <w:rPr>
                      <w:b w:val="0"/>
                      <w:color w:val="auto"/>
                    </w:rPr>
                    <w:t xml:space="preserve">10, </w:t>
                  </w:r>
                  <w:r w:rsidRPr="007D40DF">
                    <w:rPr>
                      <w:b w:val="0"/>
                      <w:color w:val="auto"/>
                    </w:rPr>
                    <w:t xml:space="preserve">tel.: 274 051 111 | </w:t>
                  </w:r>
                  <w:r w:rsidRPr="007D40DF">
                    <w:rPr>
                      <w:color w:val="auto"/>
                    </w:rPr>
                    <w:t>www.czso.cz</w:t>
                  </w:r>
                </w:p>
                <w:p w:rsidR="00C805DC" w:rsidRPr="00D235B7" w:rsidRDefault="00C805DC" w:rsidP="00825C4D">
                  <w:pPr>
                    <w:pStyle w:val="TLKontakty"/>
                    <w:spacing w:after="80" w:line="240" w:lineRule="auto"/>
                    <w:contextualSpacing w:val="0"/>
                    <w:rPr>
                      <w:b w:val="0"/>
                      <w:color w:val="auto"/>
                    </w:rPr>
                  </w:pPr>
                  <w:r w:rsidRPr="00D235B7">
                    <w:rPr>
                      <w:color w:val="auto"/>
                    </w:rPr>
                    <w:t>Oddělení informačních služeb</w:t>
                  </w:r>
                  <w:r w:rsidRPr="00D235B7">
                    <w:rPr>
                      <w:b w:val="0"/>
                      <w:color w:val="auto"/>
                    </w:rPr>
                    <w:t xml:space="preserve"> | tel.: 274 052 304, 274 052 451 | e-mail: infoservis@czso.cz</w:t>
                  </w:r>
                </w:p>
                <w:p w:rsidR="00C805DC" w:rsidRPr="00D235B7" w:rsidRDefault="00C805DC" w:rsidP="00825C4D">
                  <w:pPr>
                    <w:pStyle w:val="TLKontakty"/>
                    <w:spacing w:after="80" w:line="240" w:lineRule="auto"/>
                    <w:contextualSpacing w:val="0"/>
                    <w:rPr>
                      <w:b w:val="0"/>
                      <w:color w:val="auto"/>
                    </w:rPr>
                  </w:pPr>
                  <w:r w:rsidRPr="00D235B7">
                    <w:rPr>
                      <w:color w:val="auto"/>
                    </w:rPr>
                    <w:t>Prodejna publikací ČSÚ</w:t>
                  </w:r>
                  <w:r w:rsidRPr="00D235B7">
                    <w:rPr>
                      <w:b w:val="0"/>
                      <w:color w:val="auto"/>
                    </w:rPr>
                    <w:t xml:space="preserve"> | tel.: 274 052 361 | e-mail: prodejna@czso.cz</w:t>
                  </w:r>
                </w:p>
                <w:p w:rsidR="00C805DC" w:rsidRPr="00D235B7" w:rsidRDefault="00C805DC" w:rsidP="00825C4D">
                  <w:pPr>
                    <w:pStyle w:val="TLKontakty"/>
                    <w:spacing w:after="80" w:line="240" w:lineRule="auto"/>
                    <w:contextualSpacing w:val="0"/>
                    <w:rPr>
                      <w:b w:val="0"/>
                      <w:color w:val="auto"/>
                    </w:rPr>
                  </w:pPr>
                  <w:r w:rsidRPr="00D235B7">
                    <w:rPr>
                      <w:color w:val="auto"/>
                    </w:rPr>
                    <w:t>Evropská data (ESDS), mezinárodní srovnání</w:t>
                  </w:r>
                  <w:r w:rsidRPr="00D235B7">
                    <w:rPr>
                      <w:b w:val="0"/>
                      <w:color w:val="auto"/>
                    </w:rPr>
                    <w:t xml:space="preserve"> | tel.: 274 052 347, 274 052 757 | e-mail: esds@czso.cz</w:t>
                  </w:r>
                </w:p>
                <w:p w:rsidR="00C805DC" w:rsidRPr="00D235B7" w:rsidRDefault="00C805DC" w:rsidP="00825C4D">
                  <w:pPr>
                    <w:pStyle w:val="TLKontakty"/>
                    <w:spacing w:after="80" w:line="240" w:lineRule="auto"/>
                    <w:contextualSpacing w:val="0"/>
                    <w:rPr>
                      <w:b w:val="0"/>
                      <w:color w:val="auto"/>
                    </w:rPr>
                  </w:pPr>
                  <w:r w:rsidRPr="00D235B7">
                    <w:rPr>
                      <w:color w:val="auto"/>
                    </w:rPr>
                    <w:t>Ústřední statistická knihovna</w:t>
                  </w:r>
                  <w:r w:rsidRPr="00D235B7">
                    <w:rPr>
                      <w:b w:val="0"/>
                      <w:color w:val="auto"/>
                    </w:rPr>
                    <w:t xml:space="preserve"> | tel.: 274 052 361 | e-mail: knihovna@czso.cz</w:t>
                  </w:r>
                </w:p>
                <w:p w:rsidR="00C805DC" w:rsidRPr="004A61C5" w:rsidRDefault="00C805DC" w:rsidP="00825C4D">
                  <w:pPr>
                    <w:pStyle w:val="TLKontakty"/>
                    <w:spacing w:after="80" w:line="240" w:lineRule="auto"/>
                    <w:contextualSpacing w:val="0"/>
                    <w:rPr>
                      <w:color w:val="auto"/>
                    </w:rPr>
                  </w:pPr>
                </w:p>
                <w:p w:rsidR="00C805DC" w:rsidRPr="00D66223" w:rsidRDefault="00C805DC" w:rsidP="00D66223">
                  <w:pPr>
                    <w:pStyle w:val="TLKontaktyerven"/>
                  </w:pPr>
                  <w:r w:rsidRPr="00D66223">
                    <w:t>INFORMAČNÍ SLUŽBY V REGIONECH</w:t>
                  </w:r>
                </w:p>
                <w:p w:rsidR="00C805DC" w:rsidRPr="00992CF3" w:rsidRDefault="00C805DC" w:rsidP="00825C4D">
                  <w:pPr>
                    <w:pStyle w:val="TLKontakty"/>
                    <w:spacing w:after="80" w:line="240" w:lineRule="auto"/>
                    <w:rPr>
                      <w:b w:val="0"/>
                      <w:color w:val="auto"/>
                    </w:rPr>
                  </w:pPr>
                  <w:r w:rsidRPr="00D66223">
                    <w:t>Hl. m. Praha</w:t>
                  </w:r>
                  <w:r w:rsidRPr="00992CF3">
                    <w:rPr>
                      <w:b w:val="0"/>
                      <w:color w:val="auto"/>
                    </w:rPr>
                    <w:t xml:space="preserve"> | Na</w:t>
                  </w:r>
                  <w:r>
                    <w:rPr>
                      <w:b w:val="0"/>
                      <w:color w:val="auto"/>
                    </w:rPr>
                    <w:t xml:space="preserve"> padesátém 81, 100 82 Praha 10, </w:t>
                  </w:r>
                  <w:r w:rsidRPr="00992CF3">
                    <w:rPr>
                      <w:b w:val="0"/>
                      <w:color w:val="auto"/>
                    </w:rPr>
                    <w:t>tel.</w:t>
                  </w:r>
                  <w:r w:rsidRPr="007D40DF">
                    <w:rPr>
                      <w:b w:val="0"/>
                      <w:color w:val="auto"/>
                    </w:rPr>
                    <w:t>:</w:t>
                  </w:r>
                  <w:r>
                    <w:rPr>
                      <w:b w:val="0"/>
                      <w:color w:val="auto"/>
                    </w:rPr>
                    <w:t xml:space="preserve"> 274 052 673, </w:t>
                  </w:r>
                  <w:r w:rsidRPr="00992CF3">
                    <w:rPr>
                      <w:b w:val="0"/>
                      <w:color w:val="auto"/>
                    </w:rPr>
                    <w:t>274 054 223</w:t>
                  </w:r>
                </w:p>
                <w:p w:rsidR="00C805DC" w:rsidRPr="00992CF3" w:rsidRDefault="00C805DC" w:rsidP="00825C4D">
                  <w:pPr>
                    <w:pStyle w:val="TLKontakty"/>
                    <w:spacing w:after="80" w:line="240" w:lineRule="auto"/>
                    <w:rPr>
                      <w:b w:val="0"/>
                      <w:color w:val="auto"/>
                    </w:rPr>
                  </w:pPr>
                  <w:r w:rsidRPr="00992CF3">
                    <w:rPr>
                      <w:b w:val="0"/>
                      <w:color w:val="auto"/>
                    </w:rPr>
                    <w:t xml:space="preserve">e-mail: infoservispraha@czso.cz | </w:t>
                  </w:r>
                  <w:r w:rsidRPr="00992CF3">
                    <w:rPr>
                      <w:color w:val="auto"/>
                    </w:rPr>
                    <w:t>www.praha.czso.cz</w:t>
                  </w:r>
                </w:p>
                <w:p w:rsidR="00C805DC" w:rsidRPr="004A61C5" w:rsidRDefault="00C805DC" w:rsidP="00825C4D">
                  <w:pPr>
                    <w:pStyle w:val="TLKontakty"/>
                    <w:spacing w:after="80" w:line="240" w:lineRule="auto"/>
                    <w:rPr>
                      <w:color w:val="auto"/>
                    </w:rPr>
                  </w:pPr>
                </w:p>
                <w:p w:rsidR="00C805DC" w:rsidRPr="00992CF3" w:rsidRDefault="00C805DC" w:rsidP="00825C4D">
                  <w:pPr>
                    <w:pStyle w:val="TLKontakty"/>
                    <w:spacing w:after="80" w:line="240" w:lineRule="auto"/>
                    <w:rPr>
                      <w:b w:val="0"/>
                      <w:color w:val="auto"/>
                    </w:rPr>
                  </w:pPr>
                  <w:r w:rsidRPr="00D66223">
                    <w:t>Středočeský kraj</w:t>
                  </w:r>
                  <w:r w:rsidRPr="00992CF3">
                    <w:rPr>
                      <w:b w:val="0"/>
                      <w:color w:val="auto"/>
                    </w:rPr>
                    <w:t xml:space="preserve"> | Na padesátém 81, 100 82 Praha 10, tel.</w:t>
                  </w:r>
                  <w:r>
                    <w:rPr>
                      <w:b w:val="0"/>
                      <w:color w:val="auto"/>
                    </w:rPr>
                    <w:t xml:space="preserve">: </w:t>
                  </w:r>
                  <w:r w:rsidRPr="00992CF3">
                    <w:rPr>
                      <w:b w:val="0"/>
                      <w:color w:val="auto"/>
                    </w:rPr>
                    <w:t>274 054 175</w:t>
                  </w:r>
                </w:p>
                <w:p w:rsidR="00C805DC" w:rsidRPr="00992CF3" w:rsidRDefault="00C805DC" w:rsidP="00825C4D">
                  <w:pPr>
                    <w:pStyle w:val="TLKontakty"/>
                    <w:spacing w:after="80" w:line="240" w:lineRule="auto"/>
                    <w:rPr>
                      <w:color w:val="auto"/>
                    </w:rPr>
                  </w:pPr>
                  <w:r w:rsidRPr="00992CF3">
                    <w:rPr>
                      <w:b w:val="0"/>
                      <w:color w:val="auto"/>
                    </w:rPr>
                    <w:t xml:space="preserve">e-mail: infoservisstc@czso.cz | </w:t>
                  </w:r>
                  <w:r w:rsidRPr="00992CF3">
                    <w:rPr>
                      <w:color w:val="auto"/>
                    </w:rPr>
                    <w:t>www.stredocesky.czso.cz</w:t>
                  </w:r>
                </w:p>
                <w:p w:rsidR="00C805DC" w:rsidRPr="004A61C5" w:rsidRDefault="00C805DC" w:rsidP="00825C4D">
                  <w:pPr>
                    <w:pStyle w:val="TLKontakty"/>
                    <w:spacing w:after="80" w:line="240" w:lineRule="auto"/>
                    <w:rPr>
                      <w:color w:val="auto"/>
                    </w:rPr>
                  </w:pPr>
                </w:p>
                <w:p w:rsidR="00C805DC" w:rsidRPr="00992CF3" w:rsidRDefault="00C805DC" w:rsidP="00825C4D">
                  <w:pPr>
                    <w:pStyle w:val="TLKontakty"/>
                    <w:spacing w:after="80" w:line="240" w:lineRule="auto"/>
                    <w:rPr>
                      <w:b w:val="0"/>
                      <w:color w:val="auto"/>
                    </w:rPr>
                  </w:pPr>
                  <w:r w:rsidRPr="00D66223">
                    <w:t>České Budějovice</w:t>
                  </w:r>
                  <w:r w:rsidRPr="00992CF3">
                    <w:rPr>
                      <w:b w:val="0"/>
                      <w:color w:val="auto"/>
                    </w:rPr>
                    <w:t xml:space="preserve"> | Žižkova 1, 370 77 České Budějovice</w:t>
                  </w:r>
                  <w:r>
                    <w:rPr>
                      <w:b w:val="0"/>
                      <w:color w:val="auto"/>
                    </w:rPr>
                    <w:t xml:space="preserve">, </w:t>
                  </w:r>
                  <w:r w:rsidRPr="00992CF3">
                    <w:rPr>
                      <w:b w:val="0"/>
                      <w:color w:val="auto"/>
                    </w:rPr>
                    <w:t>tel.</w:t>
                  </w:r>
                  <w:r>
                    <w:rPr>
                      <w:b w:val="0"/>
                      <w:color w:val="auto"/>
                    </w:rPr>
                    <w:t xml:space="preserve">: </w:t>
                  </w:r>
                  <w:r w:rsidRPr="00992CF3">
                    <w:rPr>
                      <w:b w:val="0"/>
                      <w:color w:val="auto"/>
                    </w:rPr>
                    <w:t>386 718 440</w:t>
                  </w:r>
                </w:p>
                <w:p w:rsidR="00C805DC" w:rsidRPr="00992CF3" w:rsidRDefault="00C805DC" w:rsidP="00825C4D">
                  <w:pPr>
                    <w:pStyle w:val="TLKontakty"/>
                    <w:spacing w:after="80" w:line="240" w:lineRule="auto"/>
                    <w:rPr>
                      <w:b w:val="0"/>
                      <w:color w:val="auto"/>
                    </w:rPr>
                  </w:pPr>
                  <w:r w:rsidRPr="00992CF3">
                    <w:rPr>
                      <w:b w:val="0"/>
                      <w:color w:val="auto"/>
                    </w:rPr>
                    <w:t xml:space="preserve">e-mail: infoserviscb@czso.cz | </w:t>
                  </w:r>
                  <w:r w:rsidRPr="00992CF3">
                    <w:rPr>
                      <w:color w:val="auto"/>
                    </w:rPr>
                    <w:t>www.cbudejovice.czso.cz</w:t>
                  </w:r>
                </w:p>
                <w:p w:rsidR="00C805DC" w:rsidRPr="004A61C5" w:rsidRDefault="00C805DC" w:rsidP="00825C4D">
                  <w:pPr>
                    <w:pStyle w:val="TLKontakty"/>
                    <w:spacing w:after="80" w:line="240" w:lineRule="auto"/>
                    <w:rPr>
                      <w:color w:val="auto"/>
                    </w:rPr>
                  </w:pPr>
                </w:p>
                <w:p w:rsidR="00C805DC" w:rsidRPr="00BC731E" w:rsidRDefault="00C805DC" w:rsidP="00825C4D">
                  <w:pPr>
                    <w:pStyle w:val="TLKontakty"/>
                    <w:spacing w:after="80" w:line="240" w:lineRule="auto"/>
                    <w:rPr>
                      <w:b w:val="0"/>
                      <w:color w:val="auto"/>
                    </w:rPr>
                  </w:pPr>
                  <w:r w:rsidRPr="00D66223">
                    <w:t>Plzeň</w:t>
                  </w:r>
                  <w:r w:rsidRPr="004A61C5">
                    <w:rPr>
                      <w:b w:val="0"/>
                      <w:color w:val="auto"/>
                    </w:rPr>
                    <w:t xml:space="preserve"> | Slovanská alej 36, 326 64 Plzeň</w:t>
                  </w:r>
                  <w:r>
                    <w:rPr>
                      <w:b w:val="0"/>
                      <w:color w:val="auto"/>
                    </w:rPr>
                    <w:t xml:space="preserve">, </w:t>
                  </w:r>
                  <w:r w:rsidRPr="004A61C5">
                    <w:rPr>
                      <w:b w:val="0"/>
                      <w:color w:val="auto"/>
                    </w:rPr>
                    <w:t>tel.</w:t>
                  </w:r>
                  <w:r>
                    <w:rPr>
                      <w:b w:val="0"/>
                      <w:color w:val="auto"/>
                    </w:rPr>
                    <w:t xml:space="preserve">: </w:t>
                  </w:r>
                  <w:r w:rsidRPr="004A61C5">
                    <w:rPr>
                      <w:b w:val="0"/>
                      <w:color w:val="auto"/>
                    </w:rPr>
                    <w:t>377 612 108</w:t>
                  </w:r>
                  <w:r w:rsidRPr="00BC731E">
                    <w:rPr>
                      <w:b w:val="0"/>
                      <w:color w:val="auto"/>
                    </w:rPr>
                    <w:t>, 377 612 145</w:t>
                  </w:r>
                </w:p>
                <w:p w:rsidR="00C805DC" w:rsidRPr="004A61C5" w:rsidRDefault="00C805DC" w:rsidP="00825C4D">
                  <w:pPr>
                    <w:pStyle w:val="TLKontakty"/>
                    <w:spacing w:after="80" w:line="240" w:lineRule="auto"/>
                    <w:rPr>
                      <w:b w:val="0"/>
                      <w:color w:val="auto"/>
                    </w:rPr>
                  </w:pPr>
                  <w:r w:rsidRPr="004A61C5">
                    <w:rPr>
                      <w:b w:val="0"/>
                      <w:color w:val="auto"/>
                    </w:rPr>
                    <w:t xml:space="preserve">e-mail: infoservisplzen@czso.cz | </w:t>
                  </w:r>
                  <w:r w:rsidRPr="004A61C5">
                    <w:rPr>
                      <w:color w:val="auto"/>
                    </w:rPr>
                    <w:t>www.plzen.czso.cz</w:t>
                  </w:r>
                </w:p>
                <w:p w:rsidR="00C805DC" w:rsidRPr="004A61C5" w:rsidRDefault="00C805DC" w:rsidP="00825C4D">
                  <w:pPr>
                    <w:pStyle w:val="TLKontakty"/>
                    <w:spacing w:after="80" w:line="240" w:lineRule="auto"/>
                    <w:rPr>
                      <w:color w:val="auto"/>
                    </w:rPr>
                  </w:pPr>
                </w:p>
                <w:p w:rsidR="00C805DC" w:rsidRPr="004A61C5" w:rsidRDefault="00C805DC" w:rsidP="00825C4D">
                  <w:pPr>
                    <w:pStyle w:val="TLKontakty"/>
                    <w:spacing w:after="80" w:line="240" w:lineRule="auto"/>
                    <w:rPr>
                      <w:b w:val="0"/>
                      <w:color w:val="auto"/>
                    </w:rPr>
                  </w:pPr>
                  <w:r w:rsidRPr="00D66223">
                    <w:t>Karlovy Vary</w:t>
                  </w:r>
                  <w:r w:rsidRPr="004A61C5">
                    <w:rPr>
                      <w:b w:val="0"/>
                      <w:color w:val="auto"/>
                    </w:rPr>
                    <w:t xml:space="preserve"> | </w:t>
                  </w:r>
                  <w:r w:rsidRPr="00095135">
                    <w:rPr>
                      <w:b w:val="0"/>
                      <w:color w:val="auto"/>
                    </w:rPr>
                    <w:t>Závodní 360/94, 360 06 Karlovy Vary</w:t>
                  </w:r>
                  <w:r w:rsidRPr="004A61C5">
                    <w:rPr>
                      <w:b w:val="0"/>
                      <w:color w:val="auto"/>
                    </w:rPr>
                    <w:t>, tel.</w:t>
                  </w:r>
                  <w:r>
                    <w:rPr>
                      <w:b w:val="0"/>
                      <w:color w:val="auto"/>
                    </w:rPr>
                    <w:t xml:space="preserve">: </w:t>
                  </w:r>
                  <w:r w:rsidRPr="004A61C5">
                    <w:rPr>
                      <w:b w:val="0"/>
                      <w:color w:val="auto"/>
                    </w:rPr>
                    <w:t>353 114 529, 353 114 525</w:t>
                  </w:r>
                </w:p>
                <w:p w:rsidR="00C805DC" w:rsidRPr="004A61C5" w:rsidRDefault="00C805DC" w:rsidP="00825C4D">
                  <w:pPr>
                    <w:pStyle w:val="TLKontakty"/>
                    <w:spacing w:after="80" w:line="240" w:lineRule="auto"/>
                    <w:rPr>
                      <w:b w:val="0"/>
                      <w:color w:val="auto"/>
                    </w:rPr>
                  </w:pPr>
                  <w:r w:rsidRPr="004A61C5">
                    <w:rPr>
                      <w:b w:val="0"/>
                      <w:color w:val="auto"/>
                    </w:rPr>
                    <w:t xml:space="preserve">e-mail: infoserviskv@czso.cz | </w:t>
                  </w:r>
                  <w:r w:rsidRPr="004A61C5">
                    <w:rPr>
                      <w:color w:val="auto"/>
                    </w:rPr>
                    <w:t>www.kvary.czso.cz</w:t>
                  </w:r>
                </w:p>
                <w:p w:rsidR="00C805DC" w:rsidRPr="004A61C5" w:rsidRDefault="00C805DC" w:rsidP="00825C4D">
                  <w:pPr>
                    <w:pStyle w:val="TLKontakty"/>
                    <w:spacing w:after="80" w:line="240" w:lineRule="auto"/>
                    <w:rPr>
                      <w:color w:val="auto"/>
                    </w:rPr>
                  </w:pPr>
                </w:p>
                <w:p w:rsidR="00C805DC" w:rsidRPr="004A61C5" w:rsidRDefault="00C805DC" w:rsidP="00825C4D">
                  <w:pPr>
                    <w:pStyle w:val="TLKontakty"/>
                    <w:spacing w:after="80" w:line="240" w:lineRule="auto"/>
                    <w:rPr>
                      <w:b w:val="0"/>
                      <w:color w:val="auto"/>
                    </w:rPr>
                  </w:pPr>
                  <w:r w:rsidRPr="00D66223">
                    <w:t>Ústí nad Labem</w:t>
                  </w:r>
                  <w:r w:rsidRPr="004A61C5">
                    <w:rPr>
                      <w:b w:val="0"/>
                      <w:color w:val="auto"/>
                    </w:rPr>
                    <w:t xml:space="preserve"> | </w:t>
                  </w:r>
                  <w:proofErr w:type="spellStart"/>
                  <w:r w:rsidRPr="004A61C5">
                    <w:rPr>
                      <w:b w:val="0"/>
                      <w:color w:val="auto"/>
                    </w:rPr>
                    <w:t>Špálova</w:t>
                  </w:r>
                  <w:proofErr w:type="spellEnd"/>
                  <w:r w:rsidRPr="004A61C5">
                    <w:rPr>
                      <w:b w:val="0"/>
                      <w:color w:val="auto"/>
                    </w:rPr>
                    <w:t xml:space="preserve"> 2684, 400 11 Ústí nad Labem</w:t>
                  </w:r>
                  <w:r>
                    <w:rPr>
                      <w:b w:val="0"/>
                      <w:color w:val="auto"/>
                    </w:rPr>
                    <w:t xml:space="preserve">, </w:t>
                  </w:r>
                  <w:r w:rsidRPr="004A61C5">
                    <w:rPr>
                      <w:b w:val="0"/>
                      <w:color w:val="auto"/>
                    </w:rPr>
                    <w:t>tel.</w:t>
                  </w:r>
                  <w:r>
                    <w:rPr>
                      <w:b w:val="0"/>
                      <w:color w:val="auto"/>
                    </w:rPr>
                    <w:t xml:space="preserve">: </w:t>
                  </w:r>
                  <w:r w:rsidRPr="004A61C5">
                    <w:rPr>
                      <w:b w:val="0"/>
                      <w:color w:val="auto"/>
                    </w:rPr>
                    <w:t>472 706 176,</w:t>
                  </w:r>
                  <w:r>
                    <w:rPr>
                      <w:b w:val="0"/>
                      <w:color w:val="auto"/>
                    </w:rPr>
                    <w:t xml:space="preserve"> </w:t>
                  </w:r>
                  <w:r w:rsidRPr="004A61C5">
                    <w:rPr>
                      <w:b w:val="0"/>
                      <w:color w:val="auto"/>
                    </w:rPr>
                    <w:t>472 706 121</w:t>
                  </w:r>
                </w:p>
                <w:p w:rsidR="00C805DC" w:rsidRPr="004A61C5" w:rsidRDefault="00C805DC" w:rsidP="00825C4D">
                  <w:pPr>
                    <w:pStyle w:val="TLKontakty"/>
                    <w:spacing w:after="80" w:line="240" w:lineRule="auto"/>
                    <w:rPr>
                      <w:b w:val="0"/>
                      <w:color w:val="auto"/>
                    </w:rPr>
                  </w:pPr>
                  <w:r w:rsidRPr="004A61C5">
                    <w:rPr>
                      <w:b w:val="0"/>
                      <w:color w:val="auto"/>
                    </w:rPr>
                    <w:t xml:space="preserve">e-mail: infoservisul@czso.cz | </w:t>
                  </w:r>
                  <w:r w:rsidRPr="004A61C5">
                    <w:rPr>
                      <w:color w:val="auto"/>
                    </w:rPr>
                    <w:t>www.ustinadlabem.czso.cz</w:t>
                  </w:r>
                </w:p>
                <w:p w:rsidR="00C805DC" w:rsidRPr="004A61C5" w:rsidRDefault="00C805DC" w:rsidP="00825C4D">
                  <w:pPr>
                    <w:pStyle w:val="TLKontakty"/>
                    <w:spacing w:after="80" w:line="240" w:lineRule="auto"/>
                    <w:rPr>
                      <w:color w:val="auto"/>
                    </w:rPr>
                  </w:pPr>
                </w:p>
                <w:p w:rsidR="00C805DC" w:rsidRPr="004A61C5" w:rsidRDefault="00C805DC" w:rsidP="00825C4D">
                  <w:pPr>
                    <w:pStyle w:val="TLKontakty"/>
                    <w:spacing w:after="80" w:line="240" w:lineRule="auto"/>
                    <w:rPr>
                      <w:b w:val="0"/>
                      <w:color w:val="auto"/>
                    </w:rPr>
                  </w:pPr>
                  <w:r w:rsidRPr="00D66223">
                    <w:t>Liberec</w:t>
                  </w:r>
                  <w:r w:rsidRPr="004A61C5">
                    <w:rPr>
                      <w:b w:val="0"/>
                      <w:color w:val="auto"/>
                    </w:rPr>
                    <w:t xml:space="preserve"> | Nám. Dr. Edvarda Beneše 585/26, 460 01 Liberec 1, tel.</w:t>
                  </w:r>
                  <w:r>
                    <w:rPr>
                      <w:b w:val="0"/>
                      <w:color w:val="auto"/>
                    </w:rPr>
                    <w:t xml:space="preserve">: </w:t>
                  </w:r>
                  <w:r w:rsidRPr="004A61C5">
                    <w:rPr>
                      <w:b w:val="0"/>
                      <w:color w:val="auto"/>
                    </w:rPr>
                    <w:t>485 238 811</w:t>
                  </w:r>
                </w:p>
                <w:p w:rsidR="00C805DC" w:rsidRPr="004A61C5" w:rsidRDefault="00C805DC" w:rsidP="00825C4D">
                  <w:pPr>
                    <w:pStyle w:val="TLKontakty"/>
                    <w:spacing w:after="80" w:line="240" w:lineRule="auto"/>
                    <w:rPr>
                      <w:b w:val="0"/>
                      <w:color w:val="auto"/>
                    </w:rPr>
                  </w:pPr>
                  <w:r w:rsidRPr="004A61C5">
                    <w:rPr>
                      <w:b w:val="0"/>
                      <w:color w:val="auto"/>
                    </w:rPr>
                    <w:t xml:space="preserve">e-mail: infoservislbc@czso.cz | </w:t>
                  </w:r>
                  <w:r w:rsidRPr="004A61C5">
                    <w:rPr>
                      <w:color w:val="auto"/>
                    </w:rPr>
                    <w:t>www.liberec.czso.cz</w:t>
                  </w:r>
                </w:p>
                <w:p w:rsidR="00C805DC" w:rsidRPr="004A61C5" w:rsidRDefault="00C805DC" w:rsidP="00825C4D">
                  <w:pPr>
                    <w:pStyle w:val="TLKontakty"/>
                    <w:spacing w:after="80" w:line="240" w:lineRule="auto"/>
                    <w:rPr>
                      <w:b w:val="0"/>
                      <w:color w:val="auto"/>
                    </w:rPr>
                  </w:pPr>
                </w:p>
                <w:p w:rsidR="00C805DC" w:rsidRPr="004A61C5" w:rsidRDefault="00C805DC" w:rsidP="00825C4D">
                  <w:pPr>
                    <w:pStyle w:val="TLKontakty"/>
                    <w:spacing w:after="80" w:line="240" w:lineRule="auto"/>
                    <w:rPr>
                      <w:b w:val="0"/>
                      <w:color w:val="auto"/>
                    </w:rPr>
                  </w:pPr>
                  <w:r w:rsidRPr="00D66223">
                    <w:t>Hradec Králové</w:t>
                  </w:r>
                  <w:r w:rsidRPr="004A61C5">
                    <w:rPr>
                      <w:b w:val="0"/>
                      <w:color w:val="auto"/>
                    </w:rPr>
                    <w:t xml:space="preserve"> | Myslivečkova 914, 500 03 Hradec Králové 3, </w:t>
                  </w:r>
                  <w:r>
                    <w:rPr>
                      <w:b w:val="0"/>
                      <w:color w:val="auto"/>
                    </w:rPr>
                    <w:t>tel.</w:t>
                  </w:r>
                  <w:r w:rsidRPr="007D40DF">
                    <w:rPr>
                      <w:b w:val="0"/>
                      <w:color w:val="auto"/>
                    </w:rPr>
                    <w:t>:</w:t>
                  </w:r>
                  <w:r>
                    <w:rPr>
                      <w:b w:val="0"/>
                      <w:color w:val="auto"/>
                    </w:rPr>
                    <w:t xml:space="preserve"> </w:t>
                  </w:r>
                  <w:r w:rsidRPr="004A61C5">
                    <w:rPr>
                      <w:b w:val="0"/>
                      <w:color w:val="auto"/>
                    </w:rPr>
                    <w:t>495 762 322,</w:t>
                  </w:r>
                  <w:r>
                    <w:rPr>
                      <w:b w:val="0"/>
                      <w:color w:val="auto"/>
                    </w:rPr>
                    <w:t xml:space="preserve"> </w:t>
                  </w:r>
                  <w:r w:rsidRPr="004A61C5">
                    <w:rPr>
                      <w:b w:val="0"/>
                      <w:color w:val="auto"/>
                    </w:rPr>
                    <w:t>495 762 317</w:t>
                  </w:r>
                </w:p>
                <w:p w:rsidR="00C805DC" w:rsidRPr="004A61C5" w:rsidRDefault="00C805DC" w:rsidP="00825C4D">
                  <w:pPr>
                    <w:pStyle w:val="TLKontakty"/>
                    <w:spacing w:after="80" w:line="240" w:lineRule="auto"/>
                    <w:rPr>
                      <w:b w:val="0"/>
                      <w:color w:val="auto"/>
                    </w:rPr>
                  </w:pPr>
                  <w:r w:rsidRPr="004A61C5">
                    <w:rPr>
                      <w:b w:val="0"/>
                      <w:color w:val="auto"/>
                    </w:rPr>
                    <w:t xml:space="preserve">e-mail: infoservishk@czso.cz | </w:t>
                  </w:r>
                  <w:r w:rsidRPr="004A61C5">
                    <w:rPr>
                      <w:color w:val="auto"/>
                    </w:rPr>
                    <w:t>www.hradeckralove.czso.cz</w:t>
                  </w:r>
                </w:p>
                <w:p w:rsidR="00C805DC" w:rsidRPr="004A61C5" w:rsidRDefault="00C805DC" w:rsidP="00825C4D">
                  <w:pPr>
                    <w:pStyle w:val="TLKontakty"/>
                    <w:spacing w:after="80" w:line="240" w:lineRule="auto"/>
                    <w:rPr>
                      <w:color w:val="auto"/>
                    </w:rPr>
                  </w:pPr>
                </w:p>
                <w:p w:rsidR="00C805DC" w:rsidRPr="004A61C5" w:rsidRDefault="00C805DC" w:rsidP="00825C4D">
                  <w:pPr>
                    <w:pStyle w:val="TLKontakty"/>
                    <w:spacing w:after="80" w:line="240" w:lineRule="auto"/>
                    <w:rPr>
                      <w:b w:val="0"/>
                      <w:color w:val="auto"/>
                    </w:rPr>
                  </w:pPr>
                  <w:r w:rsidRPr="00D66223">
                    <w:t>Pardubice</w:t>
                  </w:r>
                  <w:r w:rsidRPr="004A61C5">
                    <w:rPr>
                      <w:b w:val="0"/>
                      <w:color w:val="auto"/>
                    </w:rPr>
                    <w:t xml:space="preserve"> | V Ráji 872, 531 53 Pardubice</w:t>
                  </w:r>
                  <w:r>
                    <w:rPr>
                      <w:b w:val="0"/>
                      <w:color w:val="auto"/>
                    </w:rPr>
                    <w:t xml:space="preserve">, </w:t>
                  </w:r>
                  <w:r w:rsidRPr="004A61C5">
                    <w:rPr>
                      <w:b w:val="0"/>
                      <w:color w:val="auto"/>
                    </w:rPr>
                    <w:t>tel.</w:t>
                  </w:r>
                  <w:r>
                    <w:rPr>
                      <w:b w:val="0"/>
                      <w:color w:val="auto"/>
                    </w:rPr>
                    <w:t>:</w:t>
                  </w:r>
                  <w:r w:rsidRPr="004A61C5">
                    <w:rPr>
                      <w:b w:val="0"/>
                      <w:color w:val="auto"/>
                    </w:rPr>
                    <w:t xml:space="preserve"> 466 743 480, 466 743 418</w:t>
                  </w:r>
                </w:p>
                <w:p w:rsidR="00C805DC" w:rsidRPr="004A61C5" w:rsidRDefault="00C805DC" w:rsidP="00825C4D">
                  <w:pPr>
                    <w:pStyle w:val="TLKontakty"/>
                    <w:spacing w:after="80" w:line="240" w:lineRule="auto"/>
                    <w:rPr>
                      <w:b w:val="0"/>
                      <w:color w:val="auto"/>
                    </w:rPr>
                  </w:pPr>
                  <w:r w:rsidRPr="004A61C5">
                    <w:rPr>
                      <w:b w:val="0"/>
                      <w:color w:val="auto"/>
                    </w:rPr>
                    <w:t xml:space="preserve">e-mail: infoservispa@czso.cz | </w:t>
                  </w:r>
                  <w:r w:rsidRPr="004A61C5">
                    <w:rPr>
                      <w:color w:val="auto"/>
                    </w:rPr>
                    <w:t>www.pardubice.czso.cz</w:t>
                  </w:r>
                </w:p>
                <w:p w:rsidR="00C805DC" w:rsidRPr="004A61C5" w:rsidRDefault="00C805DC" w:rsidP="00825C4D">
                  <w:pPr>
                    <w:pStyle w:val="TLKontakty"/>
                    <w:spacing w:after="80" w:line="240" w:lineRule="auto"/>
                    <w:rPr>
                      <w:b w:val="0"/>
                      <w:color w:val="auto"/>
                    </w:rPr>
                  </w:pPr>
                </w:p>
                <w:p w:rsidR="00C805DC" w:rsidRPr="004A61C5" w:rsidRDefault="00C805DC" w:rsidP="00825C4D">
                  <w:pPr>
                    <w:pStyle w:val="TLKontakty"/>
                    <w:spacing w:after="80" w:line="240" w:lineRule="auto"/>
                    <w:rPr>
                      <w:b w:val="0"/>
                      <w:color w:val="auto"/>
                    </w:rPr>
                  </w:pPr>
                  <w:r w:rsidRPr="00D66223">
                    <w:t>Jihlava</w:t>
                  </w:r>
                  <w:r w:rsidRPr="004A61C5">
                    <w:rPr>
                      <w:b w:val="0"/>
                      <w:color w:val="auto"/>
                    </w:rPr>
                    <w:t xml:space="preserve"> | Ke Skalce 30,</w:t>
                  </w:r>
                  <w:r>
                    <w:rPr>
                      <w:b w:val="0"/>
                      <w:color w:val="auto"/>
                    </w:rPr>
                    <w:t xml:space="preserve"> 586 01 Jihlava, tel.: </w:t>
                  </w:r>
                  <w:r w:rsidRPr="004A61C5">
                    <w:rPr>
                      <w:b w:val="0"/>
                      <w:color w:val="auto"/>
                    </w:rPr>
                    <w:t xml:space="preserve">567 109 </w:t>
                  </w:r>
                  <w:r w:rsidRPr="00BC731E">
                    <w:rPr>
                      <w:b w:val="0"/>
                      <w:color w:val="auto"/>
                    </w:rPr>
                    <w:t>062, 567 109 073</w:t>
                  </w:r>
                </w:p>
                <w:p w:rsidR="00C805DC" w:rsidRPr="004A61C5" w:rsidRDefault="00C805DC" w:rsidP="00825C4D">
                  <w:pPr>
                    <w:pStyle w:val="TLKontakty"/>
                    <w:spacing w:after="80" w:line="240" w:lineRule="auto"/>
                    <w:rPr>
                      <w:b w:val="0"/>
                      <w:color w:val="auto"/>
                    </w:rPr>
                  </w:pPr>
                  <w:r w:rsidRPr="004A61C5">
                    <w:rPr>
                      <w:b w:val="0"/>
                      <w:color w:val="auto"/>
                    </w:rPr>
                    <w:t xml:space="preserve">e-mail: infoservisvys@czso.cz | </w:t>
                  </w:r>
                  <w:r w:rsidRPr="004A61C5">
                    <w:rPr>
                      <w:color w:val="auto"/>
                    </w:rPr>
                    <w:t>www.jihlava.czso.cz</w:t>
                  </w:r>
                </w:p>
                <w:p w:rsidR="00C805DC" w:rsidRDefault="00C805DC" w:rsidP="00825C4D">
                  <w:pPr>
                    <w:pStyle w:val="TLKontakty"/>
                    <w:spacing w:after="80" w:line="240" w:lineRule="auto"/>
                  </w:pPr>
                </w:p>
                <w:p w:rsidR="00C805DC" w:rsidRPr="00BC731E" w:rsidRDefault="00C805DC" w:rsidP="00825C4D">
                  <w:pPr>
                    <w:pStyle w:val="TLKontakty"/>
                    <w:spacing w:after="80" w:line="240" w:lineRule="auto"/>
                    <w:rPr>
                      <w:b w:val="0"/>
                      <w:color w:val="auto"/>
                    </w:rPr>
                  </w:pPr>
                  <w:r w:rsidRPr="00D66223">
                    <w:t>Brno</w:t>
                  </w:r>
                  <w:r w:rsidRPr="004A61C5">
                    <w:rPr>
                      <w:b w:val="0"/>
                      <w:color w:val="auto"/>
                    </w:rPr>
                    <w:t xml:space="preserve"> | Jezuitská 2, 601 59 Brno, </w:t>
                  </w:r>
                  <w:r>
                    <w:rPr>
                      <w:b w:val="0"/>
                      <w:color w:val="auto"/>
                    </w:rPr>
                    <w:t xml:space="preserve">tel: </w:t>
                  </w:r>
                  <w:r w:rsidRPr="004A61C5">
                    <w:rPr>
                      <w:b w:val="0"/>
                      <w:color w:val="auto"/>
                    </w:rPr>
                    <w:t xml:space="preserve">542 528 </w:t>
                  </w:r>
                  <w:r w:rsidRPr="00BC731E">
                    <w:rPr>
                      <w:b w:val="0"/>
                      <w:color w:val="auto"/>
                    </w:rPr>
                    <w:t>115, 542 528 200</w:t>
                  </w:r>
                </w:p>
                <w:p w:rsidR="00C805DC" w:rsidRPr="004A61C5" w:rsidRDefault="00C805DC" w:rsidP="00825C4D">
                  <w:pPr>
                    <w:pStyle w:val="TLKontakty"/>
                    <w:spacing w:after="80" w:line="240" w:lineRule="auto"/>
                    <w:rPr>
                      <w:color w:val="auto"/>
                    </w:rPr>
                  </w:pPr>
                  <w:r w:rsidRPr="004A61C5">
                    <w:rPr>
                      <w:b w:val="0"/>
                      <w:color w:val="auto"/>
                    </w:rPr>
                    <w:t xml:space="preserve">e-mail: infoservisbrno@czso.cz | </w:t>
                  </w:r>
                  <w:r w:rsidRPr="004A61C5">
                    <w:rPr>
                      <w:color w:val="auto"/>
                    </w:rPr>
                    <w:t>www.brno.czso.cz</w:t>
                  </w:r>
                </w:p>
                <w:p w:rsidR="00C805DC" w:rsidRPr="004A61C5" w:rsidRDefault="00C805DC" w:rsidP="00825C4D">
                  <w:pPr>
                    <w:pStyle w:val="TLKontakty"/>
                    <w:spacing w:after="80" w:line="240" w:lineRule="auto"/>
                    <w:rPr>
                      <w:b w:val="0"/>
                      <w:color w:val="auto"/>
                    </w:rPr>
                  </w:pPr>
                </w:p>
                <w:p w:rsidR="00C805DC" w:rsidRPr="005E7C78" w:rsidRDefault="00C805DC" w:rsidP="00825C4D">
                  <w:pPr>
                    <w:pStyle w:val="TLKontakty"/>
                    <w:spacing w:after="80" w:line="240" w:lineRule="auto"/>
                    <w:rPr>
                      <w:b w:val="0"/>
                      <w:color w:val="auto"/>
                    </w:rPr>
                  </w:pPr>
                  <w:r w:rsidRPr="00D66223">
                    <w:t>Olomouc</w:t>
                  </w:r>
                  <w:r w:rsidRPr="005E7C78">
                    <w:rPr>
                      <w:b w:val="0"/>
                      <w:color w:val="auto"/>
                    </w:rPr>
                    <w:t xml:space="preserve"> | </w:t>
                  </w:r>
                  <w:proofErr w:type="spellStart"/>
                  <w:r w:rsidRPr="005E7C78">
                    <w:rPr>
                      <w:b w:val="0"/>
                      <w:color w:val="auto"/>
                    </w:rPr>
                    <w:t>Jeremenkova</w:t>
                  </w:r>
                  <w:proofErr w:type="spellEnd"/>
                  <w:r w:rsidRPr="005E7C78">
                    <w:rPr>
                      <w:b w:val="0"/>
                      <w:color w:val="auto"/>
                    </w:rPr>
                    <w:t xml:space="preserve"> 1142/42, 772 11 Olomouc, </w:t>
                  </w:r>
                  <w:r>
                    <w:rPr>
                      <w:b w:val="0"/>
                      <w:color w:val="auto"/>
                    </w:rPr>
                    <w:t xml:space="preserve">tel.: </w:t>
                  </w:r>
                  <w:r w:rsidRPr="005E7C78">
                    <w:rPr>
                      <w:b w:val="0"/>
                      <w:color w:val="auto"/>
                    </w:rPr>
                    <w:t xml:space="preserve">585 731 </w:t>
                  </w:r>
                  <w:r w:rsidRPr="00BC731E">
                    <w:rPr>
                      <w:b w:val="0"/>
                      <w:color w:val="auto"/>
                    </w:rPr>
                    <w:t>516, 585 731 511</w:t>
                  </w:r>
                </w:p>
                <w:p w:rsidR="00C805DC" w:rsidRPr="005E7C78" w:rsidRDefault="00C805DC" w:rsidP="00825C4D">
                  <w:pPr>
                    <w:pStyle w:val="TLKontakty"/>
                    <w:spacing w:after="80" w:line="240" w:lineRule="auto"/>
                    <w:rPr>
                      <w:b w:val="0"/>
                      <w:color w:val="auto"/>
                    </w:rPr>
                  </w:pPr>
                  <w:r w:rsidRPr="005E7C78">
                    <w:rPr>
                      <w:b w:val="0"/>
                      <w:color w:val="auto"/>
                    </w:rPr>
                    <w:t xml:space="preserve">e-mail: infoservisolom@czso.cz | </w:t>
                  </w:r>
                  <w:r w:rsidRPr="005E7C78">
                    <w:rPr>
                      <w:color w:val="auto"/>
                    </w:rPr>
                    <w:t>www.olomouc.czso.cz</w:t>
                  </w:r>
                </w:p>
                <w:p w:rsidR="00C805DC" w:rsidRPr="005E7C78" w:rsidRDefault="00C805DC" w:rsidP="00825C4D">
                  <w:pPr>
                    <w:pStyle w:val="TLKontakty"/>
                    <w:spacing w:after="80" w:line="240" w:lineRule="auto"/>
                    <w:rPr>
                      <w:b w:val="0"/>
                      <w:color w:val="auto"/>
                    </w:rPr>
                  </w:pPr>
                </w:p>
                <w:p w:rsidR="00C805DC" w:rsidRPr="005E7C78" w:rsidRDefault="00C805DC" w:rsidP="00825C4D">
                  <w:pPr>
                    <w:pStyle w:val="TLKontakty"/>
                    <w:spacing w:after="80" w:line="240" w:lineRule="auto"/>
                    <w:rPr>
                      <w:b w:val="0"/>
                      <w:color w:val="auto"/>
                    </w:rPr>
                  </w:pPr>
                  <w:r w:rsidRPr="00D66223">
                    <w:t>Zlín</w:t>
                  </w:r>
                  <w:r w:rsidRPr="005E7C78">
                    <w:rPr>
                      <w:b w:val="0"/>
                      <w:color w:val="auto"/>
                    </w:rPr>
                    <w:t xml:space="preserve"> | tř. Tomáše Bati 1565, 761 76 Zlín, </w:t>
                  </w:r>
                  <w:r w:rsidRPr="00BC731E">
                    <w:rPr>
                      <w:b w:val="0"/>
                      <w:color w:val="auto"/>
                    </w:rPr>
                    <w:t>tel.: 577 004 932, 5</w:t>
                  </w:r>
                  <w:r w:rsidRPr="005E7C78">
                    <w:rPr>
                      <w:b w:val="0"/>
                      <w:color w:val="auto"/>
                    </w:rPr>
                    <w:t>77 004 935</w:t>
                  </w:r>
                </w:p>
                <w:p w:rsidR="00C805DC" w:rsidRDefault="00C805DC" w:rsidP="00825C4D">
                  <w:pPr>
                    <w:pStyle w:val="TLKontakty"/>
                    <w:spacing w:after="80" w:line="240" w:lineRule="auto"/>
                    <w:rPr>
                      <w:color w:val="auto"/>
                    </w:rPr>
                  </w:pPr>
                  <w:r w:rsidRPr="005E7C78">
                    <w:rPr>
                      <w:b w:val="0"/>
                      <w:color w:val="auto"/>
                    </w:rPr>
                    <w:t xml:space="preserve">e-mail: infoservis-zl@czso.cz | </w:t>
                  </w:r>
                  <w:r w:rsidRPr="00227A53">
                    <w:rPr>
                      <w:color w:val="auto"/>
                    </w:rPr>
                    <w:t>www.zlin.czso.cz</w:t>
                  </w:r>
                </w:p>
                <w:p w:rsidR="00C805DC" w:rsidRPr="005E7C78" w:rsidRDefault="00C805DC" w:rsidP="00095135">
                  <w:pPr>
                    <w:pStyle w:val="TLKontakty"/>
                    <w:spacing w:after="80" w:line="240" w:lineRule="auto"/>
                    <w:rPr>
                      <w:b w:val="0"/>
                      <w:color w:val="auto"/>
                    </w:rPr>
                  </w:pPr>
                </w:p>
                <w:p w:rsidR="00C805DC" w:rsidRPr="005E7C78" w:rsidRDefault="00C805DC" w:rsidP="00095135">
                  <w:pPr>
                    <w:pStyle w:val="TLKontakty"/>
                    <w:spacing w:after="80" w:line="240" w:lineRule="auto"/>
                    <w:rPr>
                      <w:b w:val="0"/>
                      <w:color w:val="auto"/>
                    </w:rPr>
                  </w:pPr>
                  <w:r w:rsidRPr="00D66223">
                    <w:t>Ostrava</w:t>
                  </w:r>
                  <w:r w:rsidRPr="005E7C78">
                    <w:rPr>
                      <w:b w:val="0"/>
                      <w:color w:val="auto"/>
                    </w:rPr>
                    <w:t xml:space="preserve"> | </w:t>
                  </w:r>
                  <w:proofErr w:type="spellStart"/>
                  <w:r w:rsidRPr="005E7C78">
                    <w:rPr>
                      <w:b w:val="0"/>
                      <w:color w:val="auto"/>
                    </w:rPr>
                    <w:t>Repinova</w:t>
                  </w:r>
                  <w:proofErr w:type="spellEnd"/>
                  <w:r w:rsidRPr="005E7C78">
                    <w:rPr>
                      <w:b w:val="0"/>
                      <w:color w:val="auto"/>
                    </w:rPr>
                    <w:t xml:space="preserve"> 17, 702 03 Ostrava,</w:t>
                  </w:r>
                  <w:r>
                    <w:rPr>
                      <w:b w:val="0"/>
                      <w:color w:val="auto"/>
                    </w:rPr>
                    <w:t xml:space="preserve"> tel: </w:t>
                  </w:r>
                  <w:r w:rsidRPr="005E7C78">
                    <w:rPr>
                      <w:b w:val="0"/>
                      <w:color w:val="auto"/>
                    </w:rPr>
                    <w:t>595 131 230, 595 131 232</w:t>
                  </w:r>
                </w:p>
                <w:p w:rsidR="00C805DC" w:rsidRPr="00095135" w:rsidRDefault="00C805DC" w:rsidP="00825C4D">
                  <w:pPr>
                    <w:pStyle w:val="TLKontakty"/>
                    <w:spacing w:after="80" w:line="240" w:lineRule="auto"/>
                    <w:rPr>
                      <w:b w:val="0"/>
                      <w:color w:val="auto"/>
                    </w:rPr>
                  </w:pPr>
                  <w:r w:rsidRPr="005E7C78">
                    <w:rPr>
                      <w:b w:val="0"/>
                      <w:color w:val="auto"/>
                    </w:rPr>
                    <w:t xml:space="preserve">e-mail: infoservis_ov@czso.cz | </w:t>
                  </w:r>
                  <w:r w:rsidRPr="005E7C78">
                    <w:rPr>
                      <w:color w:val="auto"/>
                    </w:rPr>
                    <w:t>www.ostrava.czso.cz</w:t>
                  </w:r>
                </w:p>
              </w:txbxContent>
            </v:textbox>
            <w10:wrap anchorx="page" anchory="page"/>
            <w10:anchorlock/>
          </v:shape>
        </w:pict>
      </w:r>
      <w:r>
        <w:rPr>
          <w:noProof/>
        </w:rPr>
        <w:pict>
          <v:shape id="_x0000_s1034" type="#_x0000_t202" style="position:absolute;left:0;text-align:left;margin-left:56.7pt;margin-top:747pt;width:481.9pt;height:28.35pt;z-index:251661824;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" filled="f" stroked="f">
            <v:textbox inset="0,0,0,0">
              <w:txbxContent>
                <w:p w:rsidR="00C805DC" w:rsidRPr="00321924" w:rsidRDefault="00C805DC" w:rsidP="00A16E1D">
                  <w:pPr>
                    <w:jc w:val="left"/>
                  </w:pPr>
                  <w:r w:rsidRPr="002B38B8">
                    <w:rPr>
                      <w:rFonts w:cs="Arial"/>
                      <w:szCs w:val="20"/>
                    </w:rPr>
                    <w:t xml:space="preserve">ISBN </w:t>
                  </w:r>
                  <w:r w:rsidR="002B38B8" w:rsidRPr="002B38B8">
                    <w:rPr>
                      <w:rFonts w:cs="Arial"/>
                      <w:szCs w:val="20"/>
                    </w:rPr>
                    <w:t>978-80-250-2874-2</w:t>
                  </w:r>
                  <w:r w:rsidRPr="002B38B8">
                    <w:rPr>
                      <w:rFonts w:cs="Arial"/>
                      <w:szCs w:val="20"/>
                    </w:rPr>
                    <w:br/>
                  </w:r>
                  <w:r w:rsidRPr="00321924">
                    <w:t xml:space="preserve">© Český statistický úřad, </w:t>
                  </w:r>
                  <w:r>
                    <w:t>Praha, 2018</w:t>
                  </w:r>
                </w:p>
                <w:p w:rsidR="00C805DC" w:rsidRDefault="00C805DC"/>
                <w:p w:rsidR="00C805DC" w:rsidRPr="00841D9F" w:rsidRDefault="00C805DC" w:rsidP="000A3A2C">
                  <w:r w:rsidRPr="00841D9F">
                    <w:rPr>
                      <w:szCs w:val="26"/>
                    </w:rPr>
                    <w:t xml:space="preserve">ISBN XX-XXXX-XXX-X  </w:t>
                  </w:r>
                  <w:r w:rsidRPr="00841D9F">
                    <w:t>(pouze u nepravidelných a ročních publikací)</w:t>
                  </w:r>
                </w:p>
                <w:p w:rsidR="00C805DC" w:rsidRPr="00AF2852" w:rsidRDefault="00C805DC" w:rsidP="000A3A2C">
                  <w:r w:rsidRPr="00841D9F">
                    <w:t>© Český sta</w:t>
                  </w:r>
                  <w:r>
                    <w:t xml:space="preserve">tistický úřad / </w:t>
                  </w:r>
                  <w:proofErr w:type="spellStart"/>
                  <w:r w:rsidRPr="009A1902">
                    <w:rPr>
                      <w:i/>
                    </w:rPr>
                    <w:t>Czech</w:t>
                  </w:r>
                  <w:proofErr w:type="spellEnd"/>
                  <w:r w:rsidRPr="009A1902">
                    <w:rPr>
                      <w:i/>
                    </w:rPr>
                    <w:t xml:space="preserve"> </w:t>
                  </w:r>
                  <w:proofErr w:type="spellStart"/>
                  <w:r w:rsidRPr="009A1902">
                    <w:rPr>
                      <w:rFonts w:cs="Arial"/>
                      <w:i/>
                      <w:szCs w:val="20"/>
                    </w:rPr>
                    <w:t>Statistical</w:t>
                  </w:r>
                  <w:proofErr w:type="spellEnd"/>
                  <w:r w:rsidRPr="009A1902">
                    <w:rPr>
                      <w:rFonts w:cs="Arial"/>
                      <w:i/>
                      <w:szCs w:val="20"/>
                    </w:rPr>
                    <w:t xml:space="preserve"> Office</w:t>
                  </w:r>
                  <w:r>
                    <w:t>, místo, rok vydání</w:t>
                  </w:r>
                </w:p>
              </w:txbxContent>
            </v:textbox>
            <w10:wrap anchorx="page" anchory="page"/>
            <w10:anchorlock/>
          </v:shape>
        </w:pict>
      </w:r>
      <w:r>
        <w:rPr>
          <w:noProof/>
        </w:rPr>
        <w:pict>
          <v:shape id="_x0000_s1033" type="#_x0000_t202" style="position:absolute;left:0;text-align:left;margin-left:56.95pt;margin-top:56.95pt;width:481.85pt;height:43.75pt;z-index:251660800;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" filled="f" stroked="f">
            <v:textbox style="mso-fit-shape-to-text:t" inset="0,0,0,0">
              <w:txbxContent>
                <w:p w:rsidR="00C805DC" w:rsidRPr="009A1902" w:rsidRDefault="00C805DC" w:rsidP="000A3A2C">
                  <w:pPr>
                    <w:rPr>
                      <w:b/>
                      <w:bCs/>
                      <w:i/>
                      <w:sz w:val="24"/>
                    </w:rPr>
                  </w:pPr>
                  <w:r w:rsidRPr="00B95F50">
                    <w:rPr>
                      <w:b/>
                      <w:color w:val="0071BC"/>
                      <w:sz w:val="24"/>
                    </w:rPr>
                    <w:t xml:space="preserve">Zajímají Vás nejnovější údaje o inflaci, HDP, obyvatelstvu, průměrných mzdách </w:t>
                  </w:r>
                  <w:r>
                    <w:rPr>
                      <w:b/>
                      <w:color w:val="0071BC"/>
                      <w:sz w:val="24"/>
                    </w:rPr>
                    <w:br/>
                  </w:r>
                  <w:r w:rsidRPr="00B95F50">
                    <w:rPr>
                      <w:b/>
                      <w:color w:val="0071BC"/>
                      <w:sz w:val="24"/>
                    </w:rPr>
                    <w:t xml:space="preserve">a mnohé další? Najdete je na stránkách ČSÚ na internetu: </w:t>
                  </w:r>
                  <w:r>
                    <w:rPr>
                      <w:b/>
                      <w:bCs/>
                      <w:sz w:val="24"/>
                    </w:rPr>
                    <w:t>www.czso.cz</w:t>
                  </w:r>
                </w:p>
              </w:txbxContent>
            </v:textbox>
            <w10:wrap anchorx="page" anchory="page"/>
            <w10:anchorlock/>
          </v:shape>
        </w:pict>
      </w:r>
    </w:p>
    <w:sdt>
      <w:sdtPr>
        <w:rPr>
          <w:b w:val="0"/>
          <w:color w:val="auto"/>
          <w:sz w:val="20"/>
        </w:rPr>
        <w:id w:val="5357999"/>
        <w:docPartObj>
          <w:docPartGallery w:val="Table of Contents"/>
          <w:docPartUnique/>
        </w:docPartObj>
      </w:sdtPr>
      <w:sdtContent>
        <w:p w:rsidR="00F46502" w:rsidRPr="00360DE3" w:rsidRDefault="00F46502" w:rsidP="00F46502">
          <w:pPr>
            <w:pStyle w:val="Obsah"/>
          </w:pPr>
          <w:r w:rsidRPr="00360DE3">
            <w:t>Obsah</w:t>
          </w:r>
        </w:p>
        <w:p w:rsidR="00EA0840" w:rsidRDefault="00EA0840" w:rsidP="00EA0840">
          <w:pPr>
            <w:pStyle w:val="Obsah1"/>
          </w:pPr>
        </w:p>
        <w:p w:rsidR="00F162B3" w:rsidRDefault="00783C17" w:rsidP="00EA0840">
          <w:pPr>
            <w:pStyle w:val="Obsah1"/>
          </w:pPr>
          <w:r w:rsidRPr="00360DE3">
            <w:fldChar w:fldCharType="begin"/>
          </w:r>
          <w:r w:rsidR="00F46502" w:rsidRPr="00360DE3">
            <w:instrText xml:space="preserve"> TOC \o "1-3" \h \z \u </w:instrText>
          </w:r>
          <w:r w:rsidRPr="00360DE3">
            <w:fldChar w:fldCharType="separate"/>
          </w:r>
          <w:hyperlink w:anchor="_Toc527639457" w:history="1">
            <w:r w:rsidR="00F162B3" w:rsidRPr="00DF3114">
              <w:rPr>
                <w:rStyle w:val="Hypertextovodkaz"/>
              </w:rPr>
              <w:t>Shrnutí</w:t>
            </w:r>
            <w:r w:rsidR="00F162B3">
              <w:rPr>
                <w:webHidden/>
              </w:rPr>
              <w:tab/>
            </w:r>
            <w:r>
              <w:rPr>
                <w:webHidden/>
              </w:rPr>
              <w:fldChar w:fldCharType="begin"/>
            </w:r>
            <w:r w:rsidR="00F162B3">
              <w:rPr>
                <w:webHidden/>
              </w:rPr>
              <w:instrText xml:space="preserve"> PAGEREF _Toc527639457 \h </w:instrText>
            </w:r>
            <w:r>
              <w:rPr>
                <w:webHidden/>
              </w:rPr>
            </w:r>
            <w:r>
              <w:rPr>
                <w:webHidden/>
              </w:rPr>
              <w:fldChar w:fldCharType="separate"/>
            </w:r>
            <w:r w:rsidR="000B525B">
              <w:rPr>
                <w:webHidden/>
              </w:rPr>
              <w:t>4</w:t>
            </w:r>
            <w:r>
              <w:rPr>
                <w:webHidden/>
              </w:rPr>
              <w:fldChar w:fldCharType="end"/>
            </w:r>
          </w:hyperlink>
        </w:p>
        <w:p w:rsidR="00EA0840" w:rsidRPr="00EA0840" w:rsidRDefault="00EA0840" w:rsidP="00EA0840">
          <w:pPr>
            <w:pStyle w:val="Obsahpoloky"/>
            <w:rPr>
              <w:rFonts w:eastAsiaTheme="minorEastAsia"/>
              <w:noProof/>
            </w:rPr>
          </w:pPr>
        </w:p>
        <w:p w:rsidR="00F162B3" w:rsidRPr="00EA0840" w:rsidRDefault="00783C17" w:rsidP="00EA0840">
          <w:pPr>
            <w:pStyle w:val="Obsah1"/>
            <w:rPr>
              <w:rFonts w:asciiTheme="minorHAnsi" w:eastAsiaTheme="minorEastAsia" w:hAnsiTheme="minorHAnsi" w:cstheme="minorBidi"/>
              <w:sz w:val="22"/>
              <w:szCs w:val="22"/>
            </w:rPr>
          </w:pPr>
          <w:hyperlink w:anchor="_Toc527639458" w:history="1">
            <w:r w:rsidR="00F162B3" w:rsidRPr="00EA0840">
              <w:rPr>
                <w:rStyle w:val="Hypertextovodkaz"/>
                <w:b/>
              </w:rPr>
              <w:t>Základní makroekonomické okruhy</w:t>
            </w:r>
            <w:r w:rsidR="00F162B3" w:rsidRPr="00EA0840">
              <w:rPr>
                <w:webHidden/>
              </w:rPr>
              <w:tab/>
            </w:r>
            <w:r w:rsidRPr="00EA0840">
              <w:rPr>
                <w:webHidden/>
              </w:rPr>
              <w:fldChar w:fldCharType="begin"/>
            </w:r>
            <w:r w:rsidR="00F162B3" w:rsidRPr="00EA0840">
              <w:rPr>
                <w:webHidden/>
              </w:rPr>
              <w:instrText xml:space="preserve"> PAGEREF _Toc527639458 \h </w:instrText>
            </w:r>
            <w:r w:rsidRPr="00EA0840">
              <w:rPr>
                <w:webHidden/>
              </w:rPr>
            </w:r>
            <w:r w:rsidRPr="00EA0840">
              <w:rPr>
                <w:webHidden/>
              </w:rPr>
              <w:fldChar w:fldCharType="separate"/>
            </w:r>
            <w:r w:rsidR="000B525B">
              <w:rPr>
                <w:webHidden/>
              </w:rPr>
              <w:t>6</w:t>
            </w:r>
            <w:r w:rsidRPr="00EA0840">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59" w:history="1">
            <w:r w:rsidR="00F162B3" w:rsidRPr="00DF3114">
              <w:rPr>
                <w:rStyle w:val="Hypertextovodkaz"/>
              </w:rPr>
              <w:t>1. Hrubý domácí produkt</w:t>
            </w:r>
            <w:r w:rsidR="00F162B3">
              <w:rPr>
                <w:webHidden/>
              </w:rPr>
              <w:tab/>
            </w:r>
            <w:r>
              <w:rPr>
                <w:webHidden/>
              </w:rPr>
              <w:fldChar w:fldCharType="begin"/>
            </w:r>
            <w:r w:rsidR="00F162B3">
              <w:rPr>
                <w:webHidden/>
              </w:rPr>
              <w:instrText xml:space="preserve"> PAGEREF _Toc527639459 \h </w:instrText>
            </w:r>
            <w:r>
              <w:rPr>
                <w:webHidden/>
              </w:rPr>
            </w:r>
            <w:r>
              <w:rPr>
                <w:webHidden/>
              </w:rPr>
              <w:fldChar w:fldCharType="separate"/>
            </w:r>
            <w:r w:rsidR="000B525B">
              <w:rPr>
                <w:webHidden/>
              </w:rPr>
              <w:t>6</w:t>
            </w:r>
            <w:r>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60" w:history="1">
            <w:r w:rsidR="00F162B3" w:rsidRPr="00DF3114">
              <w:rPr>
                <w:rStyle w:val="Hypertextovodkaz"/>
              </w:rPr>
              <w:t>2. Ceny</w:t>
            </w:r>
            <w:r w:rsidR="00F162B3">
              <w:rPr>
                <w:webHidden/>
              </w:rPr>
              <w:tab/>
            </w:r>
            <w:r>
              <w:rPr>
                <w:webHidden/>
              </w:rPr>
              <w:fldChar w:fldCharType="begin"/>
            </w:r>
            <w:r w:rsidR="00F162B3">
              <w:rPr>
                <w:webHidden/>
              </w:rPr>
              <w:instrText xml:space="preserve"> PAGEREF _Toc527639460 \h </w:instrText>
            </w:r>
            <w:r>
              <w:rPr>
                <w:webHidden/>
              </w:rPr>
            </w:r>
            <w:r>
              <w:rPr>
                <w:webHidden/>
              </w:rPr>
              <w:fldChar w:fldCharType="separate"/>
            </w:r>
            <w:r w:rsidR="000B525B">
              <w:rPr>
                <w:webHidden/>
              </w:rPr>
              <w:t>9</w:t>
            </w:r>
            <w:r>
              <w:rPr>
                <w:webHidden/>
              </w:rPr>
              <w:fldChar w:fldCharType="end"/>
            </w:r>
          </w:hyperlink>
        </w:p>
        <w:p w:rsidR="00F162B3" w:rsidRDefault="00783C17">
          <w:pPr>
            <w:pStyle w:val="Obsah2"/>
            <w:rPr>
              <w:rFonts w:asciiTheme="minorHAnsi" w:eastAsiaTheme="minorEastAsia" w:hAnsiTheme="minorHAnsi" w:cstheme="minorBidi"/>
              <w:noProof/>
              <w:sz w:val="22"/>
              <w:szCs w:val="22"/>
            </w:rPr>
          </w:pPr>
          <w:hyperlink w:anchor="_Toc527639461" w:history="1">
            <w:r w:rsidR="00F162B3" w:rsidRPr="00DF3114">
              <w:rPr>
                <w:rStyle w:val="Hypertextovodkaz"/>
                <w:noProof/>
              </w:rPr>
              <w:t>2.1 Deflátor HDP</w:t>
            </w:r>
            <w:r w:rsidR="00F162B3">
              <w:rPr>
                <w:noProof/>
                <w:webHidden/>
              </w:rPr>
              <w:tab/>
            </w:r>
            <w:r>
              <w:rPr>
                <w:noProof/>
                <w:webHidden/>
              </w:rPr>
              <w:fldChar w:fldCharType="begin"/>
            </w:r>
            <w:r w:rsidR="00F162B3">
              <w:rPr>
                <w:noProof/>
                <w:webHidden/>
              </w:rPr>
              <w:instrText xml:space="preserve"> PAGEREF _Toc527639461 \h </w:instrText>
            </w:r>
            <w:r>
              <w:rPr>
                <w:noProof/>
                <w:webHidden/>
              </w:rPr>
            </w:r>
            <w:r>
              <w:rPr>
                <w:noProof/>
                <w:webHidden/>
              </w:rPr>
              <w:fldChar w:fldCharType="separate"/>
            </w:r>
            <w:r w:rsidR="000B525B">
              <w:rPr>
                <w:noProof/>
                <w:webHidden/>
              </w:rPr>
              <w:t>9</w:t>
            </w:r>
            <w:r>
              <w:rPr>
                <w:noProof/>
                <w:webHidden/>
              </w:rPr>
              <w:fldChar w:fldCharType="end"/>
            </w:r>
          </w:hyperlink>
        </w:p>
        <w:p w:rsidR="00F162B3" w:rsidRDefault="00783C17">
          <w:pPr>
            <w:pStyle w:val="Obsah2"/>
            <w:rPr>
              <w:rFonts w:asciiTheme="minorHAnsi" w:eastAsiaTheme="minorEastAsia" w:hAnsiTheme="minorHAnsi" w:cstheme="minorBidi"/>
              <w:noProof/>
              <w:sz w:val="22"/>
              <w:szCs w:val="22"/>
            </w:rPr>
          </w:pPr>
          <w:hyperlink w:anchor="_Toc527639462" w:history="1">
            <w:r w:rsidR="00F162B3" w:rsidRPr="00DF3114">
              <w:rPr>
                <w:rStyle w:val="Hypertextovodkaz"/>
                <w:noProof/>
              </w:rPr>
              <w:t>2.2 Spotřebitelské ceny</w:t>
            </w:r>
            <w:r w:rsidR="00F162B3">
              <w:rPr>
                <w:noProof/>
                <w:webHidden/>
              </w:rPr>
              <w:tab/>
            </w:r>
            <w:r>
              <w:rPr>
                <w:noProof/>
                <w:webHidden/>
              </w:rPr>
              <w:fldChar w:fldCharType="begin"/>
            </w:r>
            <w:r w:rsidR="00F162B3">
              <w:rPr>
                <w:noProof/>
                <w:webHidden/>
              </w:rPr>
              <w:instrText xml:space="preserve"> PAGEREF _Toc527639462 \h </w:instrText>
            </w:r>
            <w:r>
              <w:rPr>
                <w:noProof/>
                <w:webHidden/>
              </w:rPr>
            </w:r>
            <w:r>
              <w:rPr>
                <w:noProof/>
                <w:webHidden/>
              </w:rPr>
              <w:fldChar w:fldCharType="separate"/>
            </w:r>
            <w:r w:rsidR="000B525B">
              <w:rPr>
                <w:noProof/>
                <w:webHidden/>
              </w:rPr>
              <w:t>9</w:t>
            </w:r>
            <w:r>
              <w:rPr>
                <w:noProof/>
                <w:webHidden/>
              </w:rPr>
              <w:fldChar w:fldCharType="end"/>
            </w:r>
          </w:hyperlink>
        </w:p>
        <w:p w:rsidR="00F162B3" w:rsidRDefault="00783C17">
          <w:pPr>
            <w:pStyle w:val="Obsah2"/>
            <w:rPr>
              <w:rFonts w:asciiTheme="minorHAnsi" w:eastAsiaTheme="minorEastAsia" w:hAnsiTheme="minorHAnsi" w:cstheme="minorBidi"/>
              <w:noProof/>
              <w:sz w:val="22"/>
              <w:szCs w:val="22"/>
            </w:rPr>
          </w:pPr>
          <w:hyperlink w:anchor="_Toc527639463" w:history="1">
            <w:r w:rsidR="00F162B3" w:rsidRPr="00DF3114">
              <w:rPr>
                <w:rStyle w:val="Hypertextovodkaz"/>
                <w:noProof/>
              </w:rPr>
              <w:t>2.3 Ceny výrobců</w:t>
            </w:r>
            <w:r w:rsidR="00F162B3">
              <w:rPr>
                <w:noProof/>
                <w:webHidden/>
              </w:rPr>
              <w:tab/>
            </w:r>
            <w:r>
              <w:rPr>
                <w:noProof/>
                <w:webHidden/>
              </w:rPr>
              <w:fldChar w:fldCharType="begin"/>
            </w:r>
            <w:r w:rsidR="00F162B3">
              <w:rPr>
                <w:noProof/>
                <w:webHidden/>
              </w:rPr>
              <w:instrText xml:space="preserve"> PAGEREF _Toc527639463 \h </w:instrText>
            </w:r>
            <w:r>
              <w:rPr>
                <w:noProof/>
                <w:webHidden/>
              </w:rPr>
            </w:r>
            <w:r>
              <w:rPr>
                <w:noProof/>
                <w:webHidden/>
              </w:rPr>
              <w:fldChar w:fldCharType="separate"/>
            </w:r>
            <w:r w:rsidR="000B525B">
              <w:rPr>
                <w:noProof/>
                <w:webHidden/>
              </w:rPr>
              <w:t>12</w:t>
            </w:r>
            <w:r>
              <w:rPr>
                <w:noProof/>
                <w:webHidden/>
              </w:rPr>
              <w:fldChar w:fldCharType="end"/>
            </w:r>
          </w:hyperlink>
        </w:p>
        <w:p w:rsidR="00F162B3" w:rsidRDefault="00783C17">
          <w:pPr>
            <w:pStyle w:val="Obsah2"/>
            <w:rPr>
              <w:rFonts w:asciiTheme="minorHAnsi" w:eastAsiaTheme="minorEastAsia" w:hAnsiTheme="minorHAnsi" w:cstheme="minorBidi"/>
              <w:noProof/>
              <w:sz w:val="22"/>
              <w:szCs w:val="22"/>
            </w:rPr>
          </w:pPr>
          <w:hyperlink w:anchor="_Toc527639464" w:history="1">
            <w:r w:rsidR="00F162B3" w:rsidRPr="00DF3114">
              <w:rPr>
                <w:rStyle w:val="Hypertextovodkaz"/>
                <w:noProof/>
              </w:rPr>
              <w:t>2.4 Ceny v zahraničním obchodě se zbožím</w:t>
            </w:r>
            <w:r w:rsidR="00F162B3">
              <w:rPr>
                <w:noProof/>
                <w:webHidden/>
              </w:rPr>
              <w:tab/>
            </w:r>
            <w:r>
              <w:rPr>
                <w:noProof/>
                <w:webHidden/>
              </w:rPr>
              <w:fldChar w:fldCharType="begin"/>
            </w:r>
            <w:r w:rsidR="00F162B3">
              <w:rPr>
                <w:noProof/>
                <w:webHidden/>
              </w:rPr>
              <w:instrText xml:space="preserve"> PAGEREF _Toc527639464 \h </w:instrText>
            </w:r>
            <w:r>
              <w:rPr>
                <w:noProof/>
                <w:webHidden/>
              </w:rPr>
            </w:r>
            <w:r>
              <w:rPr>
                <w:noProof/>
                <w:webHidden/>
              </w:rPr>
              <w:fldChar w:fldCharType="separate"/>
            </w:r>
            <w:r w:rsidR="000B525B">
              <w:rPr>
                <w:noProof/>
                <w:webHidden/>
              </w:rPr>
              <w:t>14</w:t>
            </w:r>
            <w:r>
              <w:rPr>
                <w:noProof/>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65" w:history="1">
            <w:r w:rsidR="00F162B3" w:rsidRPr="00DF3114">
              <w:rPr>
                <w:rStyle w:val="Hypertextovodkaz"/>
              </w:rPr>
              <w:t>3. Vnější ekonomické vztahy</w:t>
            </w:r>
            <w:r w:rsidR="00F162B3">
              <w:rPr>
                <w:webHidden/>
              </w:rPr>
              <w:tab/>
            </w:r>
            <w:r>
              <w:rPr>
                <w:webHidden/>
              </w:rPr>
              <w:fldChar w:fldCharType="begin"/>
            </w:r>
            <w:r w:rsidR="00F162B3">
              <w:rPr>
                <w:webHidden/>
              </w:rPr>
              <w:instrText xml:space="preserve"> PAGEREF _Toc527639465 \h </w:instrText>
            </w:r>
            <w:r>
              <w:rPr>
                <w:webHidden/>
              </w:rPr>
            </w:r>
            <w:r>
              <w:rPr>
                <w:webHidden/>
              </w:rPr>
              <w:fldChar w:fldCharType="separate"/>
            </w:r>
            <w:r w:rsidR="000B525B">
              <w:rPr>
                <w:webHidden/>
              </w:rPr>
              <w:t>15</w:t>
            </w:r>
            <w:r>
              <w:rPr>
                <w:webHidden/>
              </w:rPr>
              <w:fldChar w:fldCharType="end"/>
            </w:r>
          </w:hyperlink>
        </w:p>
        <w:p w:rsidR="00F162B3" w:rsidRDefault="00783C17">
          <w:pPr>
            <w:pStyle w:val="Obsah2"/>
            <w:rPr>
              <w:rFonts w:asciiTheme="minorHAnsi" w:eastAsiaTheme="minorEastAsia" w:hAnsiTheme="minorHAnsi" w:cstheme="minorBidi"/>
              <w:noProof/>
              <w:sz w:val="22"/>
              <w:szCs w:val="22"/>
            </w:rPr>
          </w:pPr>
          <w:hyperlink w:anchor="_Toc527639466" w:history="1">
            <w:r w:rsidR="00F162B3" w:rsidRPr="00DF3114">
              <w:rPr>
                <w:rStyle w:val="Hypertextovodkaz"/>
                <w:noProof/>
              </w:rPr>
              <w:t>3.1 Finanční vztahy s nerezidenty</w:t>
            </w:r>
            <w:r w:rsidR="00F162B3">
              <w:rPr>
                <w:noProof/>
                <w:webHidden/>
              </w:rPr>
              <w:tab/>
            </w:r>
            <w:r>
              <w:rPr>
                <w:noProof/>
                <w:webHidden/>
              </w:rPr>
              <w:fldChar w:fldCharType="begin"/>
            </w:r>
            <w:r w:rsidR="00F162B3">
              <w:rPr>
                <w:noProof/>
                <w:webHidden/>
              </w:rPr>
              <w:instrText xml:space="preserve"> PAGEREF _Toc527639466 \h </w:instrText>
            </w:r>
            <w:r>
              <w:rPr>
                <w:noProof/>
                <w:webHidden/>
              </w:rPr>
            </w:r>
            <w:r>
              <w:rPr>
                <w:noProof/>
                <w:webHidden/>
              </w:rPr>
              <w:fldChar w:fldCharType="separate"/>
            </w:r>
            <w:r w:rsidR="000B525B">
              <w:rPr>
                <w:noProof/>
                <w:webHidden/>
              </w:rPr>
              <w:t>15</w:t>
            </w:r>
            <w:r>
              <w:rPr>
                <w:noProof/>
                <w:webHidden/>
              </w:rPr>
              <w:fldChar w:fldCharType="end"/>
            </w:r>
          </w:hyperlink>
        </w:p>
        <w:p w:rsidR="00F162B3" w:rsidRDefault="00783C17">
          <w:pPr>
            <w:pStyle w:val="Obsah2"/>
            <w:rPr>
              <w:rFonts w:asciiTheme="minorHAnsi" w:eastAsiaTheme="minorEastAsia" w:hAnsiTheme="minorHAnsi" w:cstheme="minorBidi"/>
              <w:noProof/>
              <w:sz w:val="22"/>
              <w:szCs w:val="22"/>
            </w:rPr>
          </w:pPr>
          <w:hyperlink w:anchor="_Toc527639467" w:history="1">
            <w:r w:rsidR="00F162B3" w:rsidRPr="00DF3114">
              <w:rPr>
                <w:rStyle w:val="Hypertextovodkaz"/>
                <w:noProof/>
              </w:rPr>
              <w:t>3.2 Zahraniční obchod a jeho struktura</w:t>
            </w:r>
            <w:r w:rsidR="00F162B3">
              <w:rPr>
                <w:noProof/>
                <w:webHidden/>
              </w:rPr>
              <w:tab/>
            </w:r>
            <w:r>
              <w:rPr>
                <w:noProof/>
                <w:webHidden/>
              </w:rPr>
              <w:fldChar w:fldCharType="begin"/>
            </w:r>
            <w:r w:rsidR="00F162B3">
              <w:rPr>
                <w:noProof/>
                <w:webHidden/>
              </w:rPr>
              <w:instrText xml:space="preserve"> PAGEREF _Toc527639467 \h </w:instrText>
            </w:r>
            <w:r>
              <w:rPr>
                <w:noProof/>
                <w:webHidden/>
              </w:rPr>
            </w:r>
            <w:r>
              <w:rPr>
                <w:noProof/>
                <w:webHidden/>
              </w:rPr>
              <w:fldChar w:fldCharType="separate"/>
            </w:r>
            <w:r w:rsidR="000B525B">
              <w:rPr>
                <w:noProof/>
                <w:webHidden/>
              </w:rPr>
              <w:t>15</w:t>
            </w:r>
            <w:r>
              <w:rPr>
                <w:noProof/>
                <w:webHidden/>
              </w:rPr>
              <w:fldChar w:fldCharType="end"/>
            </w:r>
          </w:hyperlink>
        </w:p>
        <w:p w:rsidR="00F162B3" w:rsidRDefault="00783C17">
          <w:pPr>
            <w:pStyle w:val="Obsah2"/>
            <w:rPr>
              <w:rFonts w:asciiTheme="minorHAnsi" w:eastAsiaTheme="minorEastAsia" w:hAnsiTheme="minorHAnsi" w:cstheme="minorBidi"/>
              <w:noProof/>
              <w:sz w:val="22"/>
              <w:szCs w:val="22"/>
            </w:rPr>
          </w:pPr>
          <w:hyperlink w:anchor="_Toc527639468" w:history="1">
            <w:r w:rsidR="00F162B3" w:rsidRPr="00DF3114">
              <w:rPr>
                <w:rStyle w:val="Hypertextovodkaz"/>
                <w:noProof/>
              </w:rPr>
              <w:t>3.3 Investiční pozice a zahraniční dluh</w:t>
            </w:r>
            <w:r w:rsidR="00F162B3">
              <w:rPr>
                <w:noProof/>
                <w:webHidden/>
              </w:rPr>
              <w:tab/>
            </w:r>
            <w:r>
              <w:rPr>
                <w:noProof/>
                <w:webHidden/>
              </w:rPr>
              <w:fldChar w:fldCharType="begin"/>
            </w:r>
            <w:r w:rsidR="00F162B3">
              <w:rPr>
                <w:noProof/>
                <w:webHidden/>
              </w:rPr>
              <w:instrText xml:space="preserve"> PAGEREF _Toc527639468 \h </w:instrText>
            </w:r>
            <w:r>
              <w:rPr>
                <w:noProof/>
                <w:webHidden/>
              </w:rPr>
            </w:r>
            <w:r>
              <w:rPr>
                <w:noProof/>
                <w:webHidden/>
              </w:rPr>
              <w:fldChar w:fldCharType="separate"/>
            </w:r>
            <w:r w:rsidR="000B525B">
              <w:rPr>
                <w:noProof/>
                <w:webHidden/>
              </w:rPr>
              <w:t>16</w:t>
            </w:r>
            <w:r>
              <w:rPr>
                <w:noProof/>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69" w:history="1">
            <w:r w:rsidR="00F162B3" w:rsidRPr="00DF3114">
              <w:rPr>
                <w:rStyle w:val="Hypertextovodkaz"/>
              </w:rPr>
              <w:t>4. Investice</w:t>
            </w:r>
            <w:r w:rsidR="00F162B3">
              <w:rPr>
                <w:webHidden/>
              </w:rPr>
              <w:tab/>
            </w:r>
            <w:r>
              <w:rPr>
                <w:webHidden/>
              </w:rPr>
              <w:fldChar w:fldCharType="begin"/>
            </w:r>
            <w:r w:rsidR="00F162B3">
              <w:rPr>
                <w:webHidden/>
              </w:rPr>
              <w:instrText xml:space="preserve"> PAGEREF _Toc527639469 \h </w:instrText>
            </w:r>
            <w:r>
              <w:rPr>
                <w:webHidden/>
              </w:rPr>
            </w:r>
            <w:r>
              <w:rPr>
                <w:webHidden/>
              </w:rPr>
              <w:fldChar w:fldCharType="separate"/>
            </w:r>
            <w:r w:rsidR="000B525B">
              <w:rPr>
                <w:webHidden/>
              </w:rPr>
              <w:t>18</w:t>
            </w:r>
            <w:r>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70" w:history="1">
            <w:r w:rsidR="00F162B3" w:rsidRPr="00DF3114">
              <w:rPr>
                <w:rStyle w:val="Hypertextovodkaz"/>
              </w:rPr>
              <w:t>5. Trh práce</w:t>
            </w:r>
            <w:r w:rsidR="00F162B3">
              <w:rPr>
                <w:webHidden/>
              </w:rPr>
              <w:tab/>
            </w:r>
            <w:r>
              <w:rPr>
                <w:webHidden/>
              </w:rPr>
              <w:fldChar w:fldCharType="begin"/>
            </w:r>
            <w:r w:rsidR="00F162B3">
              <w:rPr>
                <w:webHidden/>
              </w:rPr>
              <w:instrText xml:space="preserve"> PAGEREF _Toc527639470 \h </w:instrText>
            </w:r>
            <w:r>
              <w:rPr>
                <w:webHidden/>
              </w:rPr>
            </w:r>
            <w:r>
              <w:rPr>
                <w:webHidden/>
              </w:rPr>
              <w:fldChar w:fldCharType="separate"/>
            </w:r>
            <w:r w:rsidR="000B525B">
              <w:rPr>
                <w:webHidden/>
              </w:rPr>
              <w:t>21</w:t>
            </w:r>
            <w:r>
              <w:rPr>
                <w:webHidden/>
              </w:rPr>
              <w:fldChar w:fldCharType="end"/>
            </w:r>
          </w:hyperlink>
        </w:p>
        <w:p w:rsidR="00F162B3" w:rsidRDefault="00783C17">
          <w:pPr>
            <w:pStyle w:val="Obsah2"/>
            <w:rPr>
              <w:rFonts w:asciiTheme="minorHAnsi" w:eastAsiaTheme="minorEastAsia" w:hAnsiTheme="minorHAnsi" w:cstheme="minorBidi"/>
              <w:noProof/>
              <w:sz w:val="22"/>
              <w:szCs w:val="22"/>
            </w:rPr>
          </w:pPr>
          <w:hyperlink w:anchor="_Toc527639471" w:history="1">
            <w:r w:rsidR="00F162B3" w:rsidRPr="00DF3114">
              <w:rPr>
                <w:rStyle w:val="Hypertextovodkaz"/>
                <w:noProof/>
              </w:rPr>
              <w:t>5.1 Zaměstnanost</w:t>
            </w:r>
            <w:r w:rsidR="00F162B3">
              <w:rPr>
                <w:noProof/>
                <w:webHidden/>
              </w:rPr>
              <w:tab/>
            </w:r>
            <w:r>
              <w:rPr>
                <w:noProof/>
                <w:webHidden/>
              </w:rPr>
              <w:fldChar w:fldCharType="begin"/>
            </w:r>
            <w:r w:rsidR="00F162B3">
              <w:rPr>
                <w:noProof/>
                <w:webHidden/>
              </w:rPr>
              <w:instrText xml:space="preserve"> PAGEREF _Toc527639471 \h </w:instrText>
            </w:r>
            <w:r>
              <w:rPr>
                <w:noProof/>
                <w:webHidden/>
              </w:rPr>
            </w:r>
            <w:r>
              <w:rPr>
                <w:noProof/>
                <w:webHidden/>
              </w:rPr>
              <w:fldChar w:fldCharType="separate"/>
            </w:r>
            <w:r w:rsidR="000B525B">
              <w:rPr>
                <w:noProof/>
                <w:webHidden/>
              </w:rPr>
              <w:t>21</w:t>
            </w:r>
            <w:r>
              <w:rPr>
                <w:noProof/>
                <w:webHidden/>
              </w:rPr>
              <w:fldChar w:fldCharType="end"/>
            </w:r>
          </w:hyperlink>
        </w:p>
        <w:p w:rsidR="00F162B3" w:rsidRDefault="00783C17">
          <w:pPr>
            <w:pStyle w:val="Obsah2"/>
            <w:rPr>
              <w:rFonts w:asciiTheme="minorHAnsi" w:eastAsiaTheme="minorEastAsia" w:hAnsiTheme="minorHAnsi" w:cstheme="minorBidi"/>
              <w:noProof/>
              <w:sz w:val="22"/>
              <w:szCs w:val="22"/>
            </w:rPr>
          </w:pPr>
          <w:hyperlink w:anchor="_Toc527639472" w:history="1">
            <w:r w:rsidR="00F162B3" w:rsidRPr="00DF3114">
              <w:rPr>
                <w:rStyle w:val="Hypertextovodkaz"/>
                <w:noProof/>
              </w:rPr>
              <w:t>5.2 Nezaměstnanost</w:t>
            </w:r>
            <w:r w:rsidR="00F162B3">
              <w:rPr>
                <w:noProof/>
                <w:webHidden/>
              </w:rPr>
              <w:tab/>
            </w:r>
            <w:r>
              <w:rPr>
                <w:noProof/>
                <w:webHidden/>
              </w:rPr>
              <w:fldChar w:fldCharType="begin"/>
            </w:r>
            <w:r w:rsidR="00F162B3">
              <w:rPr>
                <w:noProof/>
                <w:webHidden/>
              </w:rPr>
              <w:instrText xml:space="preserve"> PAGEREF _Toc527639472 \h </w:instrText>
            </w:r>
            <w:r>
              <w:rPr>
                <w:noProof/>
                <w:webHidden/>
              </w:rPr>
            </w:r>
            <w:r>
              <w:rPr>
                <w:noProof/>
                <w:webHidden/>
              </w:rPr>
              <w:fldChar w:fldCharType="separate"/>
            </w:r>
            <w:r w:rsidR="000B525B">
              <w:rPr>
                <w:noProof/>
                <w:webHidden/>
              </w:rPr>
              <w:t>24</w:t>
            </w:r>
            <w:r>
              <w:rPr>
                <w:noProof/>
                <w:webHidden/>
              </w:rPr>
              <w:fldChar w:fldCharType="end"/>
            </w:r>
          </w:hyperlink>
        </w:p>
        <w:p w:rsidR="00F162B3" w:rsidRDefault="00783C17">
          <w:pPr>
            <w:pStyle w:val="Obsah2"/>
            <w:rPr>
              <w:rFonts w:asciiTheme="minorHAnsi" w:eastAsiaTheme="minorEastAsia" w:hAnsiTheme="minorHAnsi" w:cstheme="minorBidi"/>
              <w:noProof/>
              <w:sz w:val="22"/>
              <w:szCs w:val="22"/>
            </w:rPr>
          </w:pPr>
          <w:hyperlink w:anchor="_Toc527639473" w:history="1">
            <w:r w:rsidR="00F162B3" w:rsidRPr="00DF3114">
              <w:rPr>
                <w:rStyle w:val="Hypertextovodkaz"/>
                <w:noProof/>
              </w:rPr>
              <w:t>5.3 Mzdy a jejich diferenciace</w:t>
            </w:r>
            <w:r w:rsidR="00F162B3">
              <w:rPr>
                <w:noProof/>
                <w:webHidden/>
              </w:rPr>
              <w:tab/>
            </w:r>
            <w:r>
              <w:rPr>
                <w:noProof/>
                <w:webHidden/>
              </w:rPr>
              <w:fldChar w:fldCharType="begin"/>
            </w:r>
            <w:r w:rsidR="00F162B3">
              <w:rPr>
                <w:noProof/>
                <w:webHidden/>
              </w:rPr>
              <w:instrText xml:space="preserve"> PAGEREF _Toc527639473 \h </w:instrText>
            </w:r>
            <w:r>
              <w:rPr>
                <w:noProof/>
                <w:webHidden/>
              </w:rPr>
            </w:r>
            <w:r>
              <w:rPr>
                <w:noProof/>
                <w:webHidden/>
              </w:rPr>
              <w:fldChar w:fldCharType="separate"/>
            </w:r>
            <w:r w:rsidR="000B525B">
              <w:rPr>
                <w:noProof/>
                <w:webHidden/>
              </w:rPr>
              <w:t>28</w:t>
            </w:r>
            <w:r>
              <w:rPr>
                <w:noProof/>
                <w:webHidden/>
              </w:rPr>
              <w:fldChar w:fldCharType="end"/>
            </w:r>
          </w:hyperlink>
        </w:p>
        <w:p w:rsidR="00EA0840" w:rsidRDefault="00EA0840" w:rsidP="00EA0840">
          <w:pPr>
            <w:pStyle w:val="Obsah1"/>
          </w:pPr>
        </w:p>
        <w:p w:rsidR="00F162B3" w:rsidRPr="00EA0840" w:rsidRDefault="00783C17" w:rsidP="00EA0840">
          <w:pPr>
            <w:pStyle w:val="Obsah1"/>
            <w:rPr>
              <w:rFonts w:asciiTheme="minorHAnsi" w:eastAsiaTheme="minorEastAsia" w:hAnsiTheme="minorHAnsi" w:cstheme="minorBidi"/>
              <w:sz w:val="22"/>
              <w:szCs w:val="22"/>
            </w:rPr>
          </w:pPr>
          <w:hyperlink w:anchor="_Toc527639474" w:history="1">
            <w:r w:rsidR="00F162B3" w:rsidRPr="00EA0840">
              <w:rPr>
                <w:rStyle w:val="Hypertextovodkaz"/>
                <w:b/>
              </w:rPr>
              <w:t>Hlavní institucionální sektory ekonomiky</w:t>
            </w:r>
            <w:r w:rsidR="00F162B3" w:rsidRPr="00EA0840">
              <w:rPr>
                <w:webHidden/>
              </w:rPr>
              <w:tab/>
            </w:r>
            <w:r w:rsidRPr="00EA0840">
              <w:rPr>
                <w:webHidden/>
              </w:rPr>
              <w:fldChar w:fldCharType="begin"/>
            </w:r>
            <w:r w:rsidR="00F162B3" w:rsidRPr="00EA0840">
              <w:rPr>
                <w:webHidden/>
              </w:rPr>
              <w:instrText xml:space="preserve"> PAGEREF _Toc527639474 \h </w:instrText>
            </w:r>
            <w:r w:rsidRPr="00EA0840">
              <w:rPr>
                <w:webHidden/>
              </w:rPr>
            </w:r>
            <w:r w:rsidRPr="00EA0840">
              <w:rPr>
                <w:webHidden/>
              </w:rPr>
              <w:fldChar w:fldCharType="separate"/>
            </w:r>
            <w:r w:rsidR="000B525B">
              <w:rPr>
                <w:webHidden/>
              </w:rPr>
              <w:t>34</w:t>
            </w:r>
            <w:r w:rsidRPr="00EA0840">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75" w:history="1">
            <w:r w:rsidR="00F162B3" w:rsidRPr="00DF3114">
              <w:rPr>
                <w:rStyle w:val="Hypertextovodkaz"/>
              </w:rPr>
              <w:t>6. Nefinanční podniky</w:t>
            </w:r>
            <w:r w:rsidR="00F162B3">
              <w:rPr>
                <w:webHidden/>
              </w:rPr>
              <w:tab/>
            </w:r>
            <w:r>
              <w:rPr>
                <w:webHidden/>
              </w:rPr>
              <w:fldChar w:fldCharType="begin"/>
            </w:r>
            <w:r w:rsidR="00F162B3">
              <w:rPr>
                <w:webHidden/>
              </w:rPr>
              <w:instrText xml:space="preserve"> PAGEREF _Toc527639475 \h </w:instrText>
            </w:r>
            <w:r>
              <w:rPr>
                <w:webHidden/>
              </w:rPr>
            </w:r>
            <w:r>
              <w:rPr>
                <w:webHidden/>
              </w:rPr>
              <w:fldChar w:fldCharType="separate"/>
            </w:r>
            <w:r w:rsidR="000B525B">
              <w:rPr>
                <w:webHidden/>
              </w:rPr>
              <w:t>34</w:t>
            </w:r>
            <w:r>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76" w:history="1">
            <w:r w:rsidR="00F162B3" w:rsidRPr="00DF3114">
              <w:rPr>
                <w:rStyle w:val="Hypertextovodkaz"/>
              </w:rPr>
              <w:t>7. Finanční instituce</w:t>
            </w:r>
            <w:r w:rsidR="00F162B3">
              <w:rPr>
                <w:webHidden/>
              </w:rPr>
              <w:tab/>
            </w:r>
            <w:r>
              <w:rPr>
                <w:webHidden/>
              </w:rPr>
              <w:fldChar w:fldCharType="begin"/>
            </w:r>
            <w:r w:rsidR="00F162B3">
              <w:rPr>
                <w:webHidden/>
              </w:rPr>
              <w:instrText xml:space="preserve"> PAGEREF _Toc527639476 \h </w:instrText>
            </w:r>
            <w:r>
              <w:rPr>
                <w:webHidden/>
              </w:rPr>
            </w:r>
            <w:r>
              <w:rPr>
                <w:webHidden/>
              </w:rPr>
              <w:fldChar w:fldCharType="separate"/>
            </w:r>
            <w:r w:rsidR="000B525B">
              <w:rPr>
                <w:webHidden/>
              </w:rPr>
              <w:t>40</w:t>
            </w:r>
            <w:r>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77" w:history="1">
            <w:r w:rsidR="00F162B3" w:rsidRPr="00DF3114">
              <w:rPr>
                <w:rStyle w:val="Hypertextovodkaz"/>
              </w:rPr>
              <w:t>8. Domácnosti</w:t>
            </w:r>
            <w:r w:rsidR="00F162B3">
              <w:rPr>
                <w:webHidden/>
              </w:rPr>
              <w:tab/>
            </w:r>
            <w:r>
              <w:rPr>
                <w:webHidden/>
              </w:rPr>
              <w:fldChar w:fldCharType="begin"/>
            </w:r>
            <w:r w:rsidR="00F162B3">
              <w:rPr>
                <w:webHidden/>
              </w:rPr>
              <w:instrText xml:space="preserve"> PAGEREF _Toc527639477 \h </w:instrText>
            </w:r>
            <w:r>
              <w:rPr>
                <w:webHidden/>
              </w:rPr>
            </w:r>
            <w:r>
              <w:rPr>
                <w:webHidden/>
              </w:rPr>
              <w:fldChar w:fldCharType="separate"/>
            </w:r>
            <w:r w:rsidR="000B525B">
              <w:rPr>
                <w:webHidden/>
              </w:rPr>
              <w:t>42</w:t>
            </w:r>
            <w:r>
              <w:rPr>
                <w:webHidden/>
              </w:rPr>
              <w:fldChar w:fldCharType="end"/>
            </w:r>
          </w:hyperlink>
        </w:p>
        <w:p w:rsidR="00F162B3" w:rsidRDefault="00783C17">
          <w:pPr>
            <w:pStyle w:val="Obsah2"/>
            <w:rPr>
              <w:rFonts w:asciiTheme="minorHAnsi" w:eastAsiaTheme="minorEastAsia" w:hAnsiTheme="minorHAnsi" w:cstheme="minorBidi"/>
              <w:noProof/>
              <w:sz w:val="22"/>
              <w:szCs w:val="22"/>
            </w:rPr>
          </w:pPr>
          <w:hyperlink w:anchor="_Toc527639478" w:history="1">
            <w:r w:rsidR="00F162B3" w:rsidRPr="00DF3114">
              <w:rPr>
                <w:rStyle w:val="Hypertextovodkaz"/>
                <w:noProof/>
              </w:rPr>
              <w:t>8.1 Příjmy domácností</w:t>
            </w:r>
            <w:r w:rsidR="00F162B3">
              <w:rPr>
                <w:noProof/>
                <w:webHidden/>
              </w:rPr>
              <w:tab/>
            </w:r>
            <w:r>
              <w:rPr>
                <w:noProof/>
                <w:webHidden/>
              </w:rPr>
              <w:fldChar w:fldCharType="begin"/>
            </w:r>
            <w:r w:rsidR="00F162B3">
              <w:rPr>
                <w:noProof/>
                <w:webHidden/>
              </w:rPr>
              <w:instrText xml:space="preserve"> PAGEREF _Toc527639478 \h </w:instrText>
            </w:r>
            <w:r>
              <w:rPr>
                <w:noProof/>
                <w:webHidden/>
              </w:rPr>
            </w:r>
            <w:r>
              <w:rPr>
                <w:noProof/>
                <w:webHidden/>
              </w:rPr>
              <w:fldChar w:fldCharType="separate"/>
            </w:r>
            <w:r w:rsidR="000B525B">
              <w:rPr>
                <w:noProof/>
                <w:webHidden/>
              </w:rPr>
              <w:t>42</w:t>
            </w:r>
            <w:r>
              <w:rPr>
                <w:noProof/>
                <w:webHidden/>
              </w:rPr>
              <w:fldChar w:fldCharType="end"/>
            </w:r>
          </w:hyperlink>
        </w:p>
        <w:p w:rsidR="00F162B3" w:rsidRDefault="00783C17">
          <w:pPr>
            <w:pStyle w:val="Obsah2"/>
            <w:rPr>
              <w:rFonts w:asciiTheme="minorHAnsi" w:eastAsiaTheme="minorEastAsia" w:hAnsiTheme="minorHAnsi" w:cstheme="minorBidi"/>
              <w:noProof/>
              <w:sz w:val="22"/>
              <w:szCs w:val="22"/>
            </w:rPr>
          </w:pPr>
          <w:hyperlink w:anchor="_Toc527639479" w:history="1">
            <w:r w:rsidR="00F162B3" w:rsidRPr="00DF3114">
              <w:rPr>
                <w:rStyle w:val="Hypertextovodkaz"/>
                <w:noProof/>
              </w:rPr>
              <w:t>8.2 Výdaje domácností</w:t>
            </w:r>
            <w:r w:rsidR="00F162B3">
              <w:rPr>
                <w:noProof/>
                <w:webHidden/>
              </w:rPr>
              <w:tab/>
            </w:r>
            <w:r>
              <w:rPr>
                <w:noProof/>
                <w:webHidden/>
              </w:rPr>
              <w:fldChar w:fldCharType="begin"/>
            </w:r>
            <w:r w:rsidR="00F162B3">
              <w:rPr>
                <w:noProof/>
                <w:webHidden/>
              </w:rPr>
              <w:instrText xml:space="preserve"> PAGEREF _Toc527639479 \h </w:instrText>
            </w:r>
            <w:r>
              <w:rPr>
                <w:noProof/>
                <w:webHidden/>
              </w:rPr>
            </w:r>
            <w:r>
              <w:rPr>
                <w:noProof/>
                <w:webHidden/>
              </w:rPr>
              <w:fldChar w:fldCharType="separate"/>
            </w:r>
            <w:r w:rsidR="000B525B">
              <w:rPr>
                <w:noProof/>
                <w:webHidden/>
              </w:rPr>
              <w:t>44</w:t>
            </w:r>
            <w:r>
              <w:rPr>
                <w:noProof/>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80" w:history="1">
            <w:r w:rsidR="00F162B3" w:rsidRPr="00DF3114">
              <w:rPr>
                <w:rStyle w:val="Hypertextovodkaz"/>
              </w:rPr>
              <w:t>9. Hospodaření vládních institucí</w:t>
            </w:r>
            <w:r w:rsidR="00F162B3">
              <w:rPr>
                <w:webHidden/>
              </w:rPr>
              <w:tab/>
            </w:r>
            <w:r>
              <w:rPr>
                <w:webHidden/>
              </w:rPr>
              <w:fldChar w:fldCharType="begin"/>
            </w:r>
            <w:r w:rsidR="00F162B3">
              <w:rPr>
                <w:webHidden/>
              </w:rPr>
              <w:instrText xml:space="preserve"> PAGEREF _Toc527639480 \h </w:instrText>
            </w:r>
            <w:r>
              <w:rPr>
                <w:webHidden/>
              </w:rPr>
            </w:r>
            <w:r>
              <w:rPr>
                <w:webHidden/>
              </w:rPr>
              <w:fldChar w:fldCharType="separate"/>
            </w:r>
            <w:r w:rsidR="000B525B">
              <w:rPr>
                <w:webHidden/>
              </w:rPr>
              <w:t>46</w:t>
            </w:r>
            <w:r>
              <w:rPr>
                <w:webHidden/>
              </w:rPr>
              <w:fldChar w:fldCharType="end"/>
            </w:r>
          </w:hyperlink>
        </w:p>
        <w:p w:rsidR="00EA0840" w:rsidRDefault="00EA0840" w:rsidP="00EA0840">
          <w:pPr>
            <w:pStyle w:val="Obsah1"/>
          </w:pPr>
        </w:p>
        <w:p w:rsidR="00F162B3" w:rsidRPr="00EA0840" w:rsidRDefault="00783C17" w:rsidP="00EA0840">
          <w:pPr>
            <w:pStyle w:val="Obsah1"/>
            <w:rPr>
              <w:rFonts w:asciiTheme="minorHAnsi" w:eastAsiaTheme="minorEastAsia" w:hAnsiTheme="minorHAnsi" w:cstheme="minorBidi"/>
              <w:sz w:val="22"/>
              <w:szCs w:val="22"/>
            </w:rPr>
          </w:pPr>
          <w:hyperlink w:anchor="_Toc527639481" w:history="1">
            <w:r w:rsidR="00F162B3" w:rsidRPr="00EA0840">
              <w:rPr>
                <w:rStyle w:val="Hypertextovodkaz"/>
                <w:b/>
              </w:rPr>
              <w:t>Vybraná odvětví ekonomiky</w:t>
            </w:r>
            <w:r w:rsidR="00F162B3" w:rsidRPr="00EA0840">
              <w:rPr>
                <w:webHidden/>
              </w:rPr>
              <w:tab/>
            </w:r>
            <w:r w:rsidRPr="00EA0840">
              <w:rPr>
                <w:webHidden/>
              </w:rPr>
              <w:fldChar w:fldCharType="begin"/>
            </w:r>
            <w:r w:rsidR="00F162B3" w:rsidRPr="00EA0840">
              <w:rPr>
                <w:webHidden/>
              </w:rPr>
              <w:instrText xml:space="preserve"> PAGEREF _Toc527639481 \h </w:instrText>
            </w:r>
            <w:r w:rsidRPr="00EA0840">
              <w:rPr>
                <w:webHidden/>
              </w:rPr>
            </w:r>
            <w:r w:rsidRPr="00EA0840">
              <w:rPr>
                <w:webHidden/>
              </w:rPr>
              <w:fldChar w:fldCharType="separate"/>
            </w:r>
            <w:r w:rsidR="000B525B">
              <w:rPr>
                <w:webHidden/>
              </w:rPr>
              <w:t>50</w:t>
            </w:r>
            <w:r w:rsidRPr="00EA0840">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82" w:history="1">
            <w:r w:rsidR="00F162B3" w:rsidRPr="00DF3114">
              <w:rPr>
                <w:rStyle w:val="Hypertextovodkaz"/>
              </w:rPr>
              <w:t>10. Zemědělství, lesnictví a rybářství</w:t>
            </w:r>
            <w:r w:rsidR="00F162B3">
              <w:rPr>
                <w:webHidden/>
              </w:rPr>
              <w:tab/>
            </w:r>
            <w:r>
              <w:rPr>
                <w:webHidden/>
              </w:rPr>
              <w:fldChar w:fldCharType="begin"/>
            </w:r>
            <w:r w:rsidR="00F162B3">
              <w:rPr>
                <w:webHidden/>
              </w:rPr>
              <w:instrText xml:space="preserve"> PAGEREF _Toc527639482 \h </w:instrText>
            </w:r>
            <w:r>
              <w:rPr>
                <w:webHidden/>
              </w:rPr>
            </w:r>
            <w:r>
              <w:rPr>
                <w:webHidden/>
              </w:rPr>
              <w:fldChar w:fldCharType="separate"/>
            </w:r>
            <w:r w:rsidR="000B525B">
              <w:rPr>
                <w:webHidden/>
              </w:rPr>
              <w:t>50</w:t>
            </w:r>
            <w:r>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83" w:history="1">
            <w:r w:rsidR="00F162B3" w:rsidRPr="00DF3114">
              <w:rPr>
                <w:rStyle w:val="Hypertextovodkaz"/>
              </w:rPr>
              <w:t>11. Zpracovatelský průmysl, těžba a dobývání, energetika</w:t>
            </w:r>
            <w:r w:rsidR="00F162B3">
              <w:rPr>
                <w:webHidden/>
              </w:rPr>
              <w:tab/>
            </w:r>
            <w:r>
              <w:rPr>
                <w:webHidden/>
              </w:rPr>
              <w:fldChar w:fldCharType="begin"/>
            </w:r>
            <w:r w:rsidR="00F162B3">
              <w:rPr>
                <w:webHidden/>
              </w:rPr>
              <w:instrText xml:space="preserve"> PAGEREF _Toc527639483 \h </w:instrText>
            </w:r>
            <w:r>
              <w:rPr>
                <w:webHidden/>
              </w:rPr>
            </w:r>
            <w:r>
              <w:rPr>
                <w:webHidden/>
              </w:rPr>
              <w:fldChar w:fldCharType="separate"/>
            </w:r>
            <w:r w:rsidR="000B525B">
              <w:rPr>
                <w:webHidden/>
              </w:rPr>
              <w:t>56</w:t>
            </w:r>
            <w:r>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84" w:history="1">
            <w:r w:rsidR="00F162B3" w:rsidRPr="00DF3114">
              <w:rPr>
                <w:rStyle w:val="Hypertextovodkaz"/>
              </w:rPr>
              <w:t>12. Stavebnictví</w:t>
            </w:r>
            <w:r w:rsidR="00F162B3">
              <w:rPr>
                <w:webHidden/>
              </w:rPr>
              <w:tab/>
            </w:r>
            <w:r>
              <w:rPr>
                <w:webHidden/>
              </w:rPr>
              <w:fldChar w:fldCharType="begin"/>
            </w:r>
            <w:r w:rsidR="00F162B3">
              <w:rPr>
                <w:webHidden/>
              </w:rPr>
              <w:instrText xml:space="preserve"> PAGEREF _Toc527639484 \h </w:instrText>
            </w:r>
            <w:r>
              <w:rPr>
                <w:webHidden/>
              </w:rPr>
            </w:r>
            <w:r>
              <w:rPr>
                <w:webHidden/>
              </w:rPr>
              <w:fldChar w:fldCharType="separate"/>
            </w:r>
            <w:r w:rsidR="000B525B">
              <w:rPr>
                <w:webHidden/>
              </w:rPr>
              <w:t>62</w:t>
            </w:r>
            <w:r>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85" w:history="1">
            <w:r w:rsidR="00F162B3" w:rsidRPr="00DF3114">
              <w:rPr>
                <w:rStyle w:val="Hypertextovodkaz"/>
              </w:rPr>
              <w:t>13. Obchod, doprava</w:t>
            </w:r>
            <w:r w:rsidR="00F162B3">
              <w:rPr>
                <w:webHidden/>
              </w:rPr>
              <w:tab/>
            </w:r>
            <w:r>
              <w:rPr>
                <w:webHidden/>
              </w:rPr>
              <w:fldChar w:fldCharType="begin"/>
            </w:r>
            <w:r w:rsidR="00F162B3">
              <w:rPr>
                <w:webHidden/>
              </w:rPr>
              <w:instrText xml:space="preserve"> PAGEREF _Toc527639485 \h </w:instrText>
            </w:r>
            <w:r>
              <w:rPr>
                <w:webHidden/>
              </w:rPr>
            </w:r>
            <w:r>
              <w:rPr>
                <w:webHidden/>
              </w:rPr>
              <w:fldChar w:fldCharType="separate"/>
            </w:r>
            <w:r w:rsidR="000B525B">
              <w:rPr>
                <w:webHidden/>
              </w:rPr>
              <w:t>67</w:t>
            </w:r>
            <w:r>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86" w:history="1">
            <w:r w:rsidR="00F162B3" w:rsidRPr="00DF3114">
              <w:rPr>
                <w:rStyle w:val="Hypertextovodkaz"/>
              </w:rPr>
              <w:t>14. Ubytování a pohostinství</w:t>
            </w:r>
            <w:r w:rsidR="00F162B3">
              <w:rPr>
                <w:webHidden/>
              </w:rPr>
              <w:tab/>
            </w:r>
            <w:r>
              <w:rPr>
                <w:webHidden/>
              </w:rPr>
              <w:fldChar w:fldCharType="begin"/>
            </w:r>
            <w:r w:rsidR="00F162B3">
              <w:rPr>
                <w:webHidden/>
              </w:rPr>
              <w:instrText xml:space="preserve"> PAGEREF _Toc527639486 \h </w:instrText>
            </w:r>
            <w:r>
              <w:rPr>
                <w:webHidden/>
              </w:rPr>
            </w:r>
            <w:r>
              <w:rPr>
                <w:webHidden/>
              </w:rPr>
              <w:fldChar w:fldCharType="separate"/>
            </w:r>
            <w:r w:rsidR="000B525B">
              <w:rPr>
                <w:webHidden/>
              </w:rPr>
              <w:t>71</w:t>
            </w:r>
            <w:r>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87" w:history="1">
            <w:r w:rsidR="00F162B3" w:rsidRPr="00DF3114">
              <w:rPr>
                <w:rStyle w:val="Hypertextovodkaz"/>
              </w:rPr>
              <w:t>15. Informační a komunikační činnosti</w:t>
            </w:r>
            <w:r w:rsidR="00F162B3">
              <w:rPr>
                <w:webHidden/>
              </w:rPr>
              <w:tab/>
            </w:r>
            <w:r>
              <w:rPr>
                <w:webHidden/>
              </w:rPr>
              <w:fldChar w:fldCharType="begin"/>
            </w:r>
            <w:r w:rsidR="00F162B3">
              <w:rPr>
                <w:webHidden/>
              </w:rPr>
              <w:instrText xml:space="preserve"> PAGEREF _Toc527639487 \h </w:instrText>
            </w:r>
            <w:r>
              <w:rPr>
                <w:webHidden/>
              </w:rPr>
            </w:r>
            <w:r>
              <w:rPr>
                <w:webHidden/>
              </w:rPr>
              <w:fldChar w:fldCharType="separate"/>
            </w:r>
            <w:r w:rsidR="000B525B">
              <w:rPr>
                <w:webHidden/>
              </w:rPr>
              <w:t>75</w:t>
            </w:r>
            <w:r>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88" w:history="1">
            <w:r w:rsidR="00F162B3" w:rsidRPr="00DF3114">
              <w:rPr>
                <w:rStyle w:val="Hypertextovodkaz"/>
              </w:rPr>
              <w:t>16. Pro</w:t>
            </w:r>
            <w:r w:rsidR="009C3ED8">
              <w:rPr>
                <w:rStyle w:val="Hypertextovodkaz"/>
              </w:rPr>
              <w:t>fesní, vědecké, technické a administrativní</w:t>
            </w:r>
            <w:r w:rsidR="00F162B3" w:rsidRPr="00DF3114">
              <w:rPr>
                <w:rStyle w:val="Hypertextovodkaz"/>
              </w:rPr>
              <w:t xml:space="preserve"> činnosti</w:t>
            </w:r>
            <w:r w:rsidR="00F162B3">
              <w:rPr>
                <w:webHidden/>
              </w:rPr>
              <w:tab/>
            </w:r>
            <w:r>
              <w:rPr>
                <w:webHidden/>
              </w:rPr>
              <w:fldChar w:fldCharType="begin"/>
            </w:r>
            <w:r w:rsidR="00F162B3">
              <w:rPr>
                <w:webHidden/>
              </w:rPr>
              <w:instrText xml:space="preserve"> PAGEREF _Toc527639488 \h </w:instrText>
            </w:r>
            <w:r>
              <w:rPr>
                <w:webHidden/>
              </w:rPr>
            </w:r>
            <w:r>
              <w:rPr>
                <w:webHidden/>
              </w:rPr>
              <w:fldChar w:fldCharType="separate"/>
            </w:r>
            <w:r w:rsidR="000B525B">
              <w:rPr>
                <w:webHidden/>
              </w:rPr>
              <w:t>78</w:t>
            </w:r>
            <w:r>
              <w:rPr>
                <w:webHidden/>
              </w:rPr>
              <w:fldChar w:fldCharType="end"/>
            </w:r>
          </w:hyperlink>
        </w:p>
        <w:p w:rsidR="00F162B3" w:rsidRDefault="00783C17" w:rsidP="00EA0840">
          <w:pPr>
            <w:pStyle w:val="Obsah1"/>
            <w:rPr>
              <w:rFonts w:asciiTheme="minorHAnsi" w:eastAsiaTheme="minorEastAsia" w:hAnsiTheme="minorHAnsi" w:cstheme="minorBidi"/>
              <w:sz w:val="22"/>
              <w:szCs w:val="22"/>
            </w:rPr>
          </w:pPr>
          <w:hyperlink w:anchor="_Toc527639489" w:history="1">
            <w:r w:rsidR="00F162B3" w:rsidRPr="00DF3114">
              <w:rPr>
                <w:rStyle w:val="Hypertextovodkaz"/>
              </w:rPr>
              <w:t>17. Veřejné služby</w:t>
            </w:r>
            <w:r w:rsidR="00F162B3">
              <w:rPr>
                <w:webHidden/>
              </w:rPr>
              <w:tab/>
            </w:r>
            <w:r>
              <w:rPr>
                <w:webHidden/>
              </w:rPr>
              <w:fldChar w:fldCharType="begin"/>
            </w:r>
            <w:r w:rsidR="00F162B3">
              <w:rPr>
                <w:webHidden/>
              </w:rPr>
              <w:instrText xml:space="preserve"> PAGEREF _Toc527639489 \h </w:instrText>
            </w:r>
            <w:r>
              <w:rPr>
                <w:webHidden/>
              </w:rPr>
            </w:r>
            <w:r>
              <w:rPr>
                <w:webHidden/>
              </w:rPr>
              <w:fldChar w:fldCharType="separate"/>
            </w:r>
            <w:r w:rsidR="000B525B">
              <w:rPr>
                <w:webHidden/>
              </w:rPr>
              <w:t>82</w:t>
            </w:r>
            <w:r>
              <w:rPr>
                <w:webHidden/>
              </w:rPr>
              <w:fldChar w:fldCharType="end"/>
            </w:r>
          </w:hyperlink>
        </w:p>
        <w:p w:rsidR="00F46502" w:rsidRPr="00360DE3" w:rsidRDefault="00783C17" w:rsidP="00F46502">
          <w:r w:rsidRPr="00360DE3">
            <w:fldChar w:fldCharType="end"/>
          </w:r>
        </w:p>
      </w:sdtContent>
    </w:sdt>
    <w:p w:rsidR="00F46502" w:rsidRPr="00360DE3" w:rsidRDefault="00F46502" w:rsidP="00F46502">
      <w:pPr>
        <w:pStyle w:val="Textpoznpodarou"/>
        <w:jc w:val="both"/>
        <w:rPr>
          <w:rFonts w:cs="Arial"/>
          <w:color w:val="000000"/>
        </w:rPr>
      </w:pPr>
    </w:p>
    <w:p w:rsidR="00F46502" w:rsidRPr="00360DE3" w:rsidRDefault="00F46502" w:rsidP="00F46502">
      <w:pPr>
        <w:pStyle w:val="Textpoznpodarou"/>
        <w:jc w:val="both"/>
        <w:rPr>
          <w:rFonts w:cs="Arial"/>
          <w:color w:val="000000"/>
        </w:rPr>
      </w:pPr>
    </w:p>
    <w:p w:rsidR="00F46502" w:rsidRPr="00360DE3" w:rsidRDefault="00F46502" w:rsidP="00F46502">
      <w:pPr>
        <w:pStyle w:val="Textpoznpodarou"/>
        <w:jc w:val="both"/>
        <w:rPr>
          <w:rFonts w:cs="Arial"/>
          <w:color w:val="000000"/>
        </w:rPr>
      </w:pPr>
    </w:p>
    <w:p w:rsidR="00F46502" w:rsidRPr="00360DE3" w:rsidRDefault="00F46502" w:rsidP="00F46502">
      <w:pPr>
        <w:pStyle w:val="Textpoznpodarou"/>
        <w:jc w:val="both"/>
        <w:rPr>
          <w:rFonts w:cs="Arial"/>
          <w:color w:val="000000"/>
        </w:rPr>
      </w:pPr>
    </w:p>
    <w:p w:rsidR="00F46502" w:rsidRPr="00360DE3" w:rsidRDefault="00F46502" w:rsidP="00F46502">
      <w:pPr>
        <w:pStyle w:val="Textpoznpodarou"/>
        <w:jc w:val="both"/>
        <w:rPr>
          <w:rFonts w:cs="Arial"/>
          <w:color w:val="000000"/>
        </w:rPr>
      </w:pPr>
    </w:p>
    <w:p w:rsidR="00F46502" w:rsidRPr="00360DE3" w:rsidRDefault="00F46502" w:rsidP="00F46502">
      <w:pPr>
        <w:pStyle w:val="Textpoznpodarou"/>
        <w:jc w:val="both"/>
        <w:rPr>
          <w:rFonts w:cs="Arial"/>
          <w:color w:val="000000"/>
        </w:rPr>
      </w:pPr>
    </w:p>
    <w:p w:rsidR="00F46502" w:rsidRPr="00360DE3" w:rsidRDefault="00F46502" w:rsidP="00F46502">
      <w:pPr>
        <w:pStyle w:val="Textpoznpodarou"/>
        <w:jc w:val="both"/>
        <w:rPr>
          <w:rFonts w:cs="Arial"/>
          <w:color w:val="000000"/>
        </w:rPr>
      </w:pPr>
      <w:r w:rsidRPr="00360DE3">
        <w:rPr>
          <w:rFonts w:cs="Arial"/>
          <w:color w:val="000000"/>
        </w:rPr>
        <w:t xml:space="preserve">Zdroje dat v celé analýze: ČSÚ, </w:t>
      </w:r>
      <w:r w:rsidR="000B525B">
        <w:rPr>
          <w:rFonts w:cs="Arial"/>
          <w:color w:val="000000"/>
        </w:rPr>
        <w:t xml:space="preserve">ČNB, </w:t>
      </w:r>
      <w:r w:rsidRPr="00360DE3">
        <w:rPr>
          <w:rFonts w:cs="Arial"/>
          <w:color w:val="000000"/>
        </w:rPr>
        <w:t xml:space="preserve">MF ČR, </w:t>
      </w:r>
      <w:r w:rsidR="000B525B">
        <w:rPr>
          <w:rFonts w:cs="Arial"/>
          <w:color w:val="000000"/>
        </w:rPr>
        <w:t>MD,</w:t>
      </w:r>
      <w:r w:rsidRPr="00360DE3">
        <w:rPr>
          <w:rFonts w:cs="Arial"/>
          <w:color w:val="000000"/>
        </w:rPr>
        <w:t xml:space="preserve"> MPSV, ČSSZ, </w:t>
      </w:r>
      <w:proofErr w:type="spellStart"/>
      <w:r w:rsidRPr="00360DE3">
        <w:rPr>
          <w:rFonts w:cs="Arial"/>
          <w:color w:val="000000"/>
        </w:rPr>
        <w:t>Eurostat</w:t>
      </w:r>
      <w:proofErr w:type="spellEnd"/>
      <w:r w:rsidRPr="00360DE3">
        <w:rPr>
          <w:rFonts w:cs="Arial"/>
          <w:color w:val="000000"/>
        </w:rPr>
        <w:t>, propočty ČSÚ.</w:t>
      </w:r>
    </w:p>
    <w:p w:rsidR="00F46502" w:rsidRPr="00360DE3" w:rsidRDefault="00F46502" w:rsidP="00F46502">
      <w:pPr>
        <w:pStyle w:val="Textpoznpodarou"/>
        <w:jc w:val="both"/>
        <w:rPr>
          <w:rFonts w:cs="Arial"/>
          <w:color w:val="000000"/>
        </w:rPr>
      </w:pPr>
      <w:r w:rsidRPr="00360DE3">
        <w:rPr>
          <w:rFonts w:cs="Arial"/>
          <w:color w:val="000000"/>
        </w:rPr>
        <w:t xml:space="preserve">Poslední informace uváděné v této publikaci pocházejí </w:t>
      </w:r>
      <w:r w:rsidR="00BC0E31">
        <w:rPr>
          <w:rFonts w:cs="Arial"/>
          <w:color w:val="000000"/>
        </w:rPr>
        <w:t>z</w:t>
      </w:r>
      <w:r w:rsidRPr="00833BF2">
        <w:rPr>
          <w:rFonts w:cs="Arial"/>
          <w:color w:val="000000"/>
        </w:rPr>
        <w:t> </w:t>
      </w:r>
      <w:r w:rsidR="00833BF2" w:rsidRPr="00833BF2">
        <w:rPr>
          <w:rFonts w:cs="Arial"/>
          <w:color w:val="000000"/>
        </w:rPr>
        <w:t>27. září</w:t>
      </w:r>
      <w:r w:rsidRPr="00833BF2">
        <w:rPr>
          <w:rFonts w:cs="Arial"/>
          <w:color w:val="000000"/>
        </w:rPr>
        <w:t xml:space="preserve"> 2018.</w:t>
      </w:r>
    </w:p>
    <w:p w:rsidR="00EE4B1B" w:rsidRPr="00360DE3" w:rsidRDefault="00F46502" w:rsidP="00F46502">
      <w:pPr>
        <w:pStyle w:val="Nadpis11"/>
      </w:pPr>
      <w:r w:rsidRPr="00360DE3">
        <w:br w:type="page"/>
      </w:r>
      <w:bookmarkStart w:id="1" w:name="_Toc527639457"/>
      <w:r w:rsidRPr="00360DE3">
        <w:lastRenderedPageBreak/>
        <w:t>Shrnutí</w:t>
      </w:r>
      <w:bookmarkEnd w:id="1"/>
    </w:p>
    <w:p w:rsidR="00CB259D" w:rsidRPr="005A2C7B" w:rsidRDefault="006003D1" w:rsidP="00067A82">
      <w:pPr>
        <w:pStyle w:val="Normalodrka"/>
        <w:spacing w:after="160"/>
        <w:rPr>
          <w:spacing w:val="-4"/>
        </w:rPr>
      </w:pPr>
      <w:r w:rsidRPr="005A2C7B">
        <w:rPr>
          <w:spacing w:val="-4"/>
        </w:rPr>
        <w:t>Pro českou ekonomiku byl v roce 2017 příznačný silný hospodářský růst. Hrubý domácí produkt</w:t>
      </w:r>
      <w:r w:rsidR="00CE153B" w:rsidRPr="005A2C7B">
        <w:rPr>
          <w:spacing w:val="-4"/>
        </w:rPr>
        <w:t xml:space="preserve"> (HDP)</w:t>
      </w:r>
      <w:r w:rsidRPr="005A2C7B">
        <w:rPr>
          <w:spacing w:val="-4"/>
        </w:rPr>
        <w:t xml:space="preserve"> se navýšil o 4,3 % a přispěly k tomu všechny jeho složky. </w:t>
      </w:r>
      <w:r w:rsidR="00CE153B" w:rsidRPr="005A2C7B">
        <w:rPr>
          <w:spacing w:val="-4"/>
        </w:rPr>
        <w:t>Posílila role spotřeby, která se loni zvýšila o</w:t>
      </w:r>
      <w:r w:rsidR="003870EE" w:rsidRPr="005A2C7B">
        <w:rPr>
          <w:spacing w:val="-4"/>
        </w:rPr>
        <w:t> </w:t>
      </w:r>
      <w:r w:rsidR="00CE153B" w:rsidRPr="005A2C7B">
        <w:rPr>
          <w:spacing w:val="-4"/>
        </w:rPr>
        <w:t xml:space="preserve">3,4 %. Po slabém roce 2016 k růstu HDP přispěly i investiční výdaje. Ty vzrostly o 3,7 %. </w:t>
      </w:r>
      <w:r w:rsidR="008E0DC9" w:rsidRPr="005A2C7B">
        <w:rPr>
          <w:spacing w:val="-4"/>
        </w:rPr>
        <w:t>Již čtvrtý rok přetrval silný kladný příspěvek bilance zahraničního obchodu. Hrubá přidaná hodnota</w:t>
      </w:r>
      <w:r w:rsidR="004E326C" w:rsidRPr="005A2C7B">
        <w:rPr>
          <w:spacing w:val="-4"/>
        </w:rPr>
        <w:t xml:space="preserve"> (HPH)</w:t>
      </w:r>
      <w:r w:rsidR="008E0DC9" w:rsidRPr="005A2C7B">
        <w:rPr>
          <w:spacing w:val="-4"/>
        </w:rPr>
        <w:t xml:space="preserve"> se zvýšila o</w:t>
      </w:r>
      <w:r w:rsidR="003870EE" w:rsidRPr="005A2C7B">
        <w:rPr>
          <w:spacing w:val="-4"/>
        </w:rPr>
        <w:t> </w:t>
      </w:r>
      <w:r w:rsidR="008E0DC9" w:rsidRPr="005A2C7B">
        <w:rPr>
          <w:spacing w:val="-4"/>
        </w:rPr>
        <w:t xml:space="preserve">4,2 %. </w:t>
      </w:r>
      <w:r w:rsidR="004E326C" w:rsidRPr="005A2C7B">
        <w:rPr>
          <w:spacing w:val="-4"/>
        </w:rPr>
        <w:t>Silná zahraniční poptávka byla živnou půdou pro zpracovatelský průmysl, který většinově přispíval k růstu HPH. Díky rostoucí domácí kupní síle však prosperovala i odvětví služeb.</w:t>
      </w:r>
      <w:r w:rsidR="00CB259D" w:rsidRPr="005A2C7B">
        <w:rPr>
          <w:spacing w:val="-4"/>
        </w:rPr>
        <w:t xml:space="preserve"> Česko patřilo mezi nejrychleji rostoucí země EU. Výrazně překonalo unijní průměr růstu HDP, který dosáhl 2,4 %</w:t>
      </w:r>
    </w:p>
    <w:p w:rsidR="00330060" w:rsidRPr="005A2C7B" w:rsidRDefault="003870EE" w:rsidP="00067A82">
      <w:pPr>
        <w:pStyle w:val="Normalodrka"/>
        <w:spacing w:after="160"/>
        <w:rPr>
          <w:spacing w:val="-4"/>
        </w:rPr>
      </w:pPr>
      <w:r w:rsidRPr="005A2C7B">
        <w:rPr>
          <w:spacing w:val="-4"/>
        </w:rPr>
        <w:t xml:space="preserve">Cenový vývoj se </w:t>
      </w:r>
      <w:r w:rsidR="001916DB" w:rsidRPr="005A2C7B">
        <w:rPr>
          <w:spacing w:val="-4"/>
        </w:rPr>
        <w:t xml:space="preserve">v roce 2017 odpoutal od </w:t>
      </w:r>
      <w:r w:rsidR="00D943C6" w:rsidRPr="005A2C7B">
        <w:rPr>
          <w:spacing w:val="-4"/>
        </w:rPr>
        <w:t xml:space="preserve">trendu předchozích </w:t>
      </w:r>
      <w:r w:rsidR="006F2595" w:rsidRPr="005A2C7B">
        <w:rPr>
          <w:spacing w:val="-4"/>
        </w:rPr>
        <w:t xml:space="preserve">tří let a vykázal výraznější růstovou dynamiku. Zrychlil zejména růst </w:t>
      </w:r>
      <w:r w:rsidR="001528B9" w:rsidRPr="005A2C7B">
        <w:rPr>
          <w:spacing w:val="-4"/>
        </w:rPr>
        <w:t xml:space="preserve">spotřebitelských cen, které se v loňském roce zvýšily celkem o 2,5 %. Hlavním tahounem růstu byly ceny potravin, zesílil však i vliv cen bydlení a dopravy. Zejména ceny bydlení vstoupily do veřejné diskuze v souvislosti se silně rostoucími cenami nemovitostí. </w:t>
      </w:r>
      <w:r w:rsidR="005E2A7C" w:rsidRPr="005A2C7B">
        <w:rPr>
          <w:spacing w:val="-4"/>
        </w:rPr>
        <w:t xml:space="preserve">Výrazné zrychlení růstu spotřebitelských cen bylo společné celé EU. </w:t>
      </w:r>
      <w:r w:rsidR="00BA0DD3" w:rsidRPr="005A2C7B">
        <w:rPr>
          <w:spacing w:val="-4"/>
        </w:rPr>
        <w:t>Ceny průmysl</w:t>
      </w:r>
      <w:r w:rsidR="00A230A8" w:rsidRPr="005A2C7B">
        <w:rPr>
          <w:spacing w:val="-4"/>
        </w:rPr>
        <w:t>ových výrobců se loni zvýšily o </w:t>
      </w:r>
      <w:r w:rsidR="00BA0DD3" w:rsidRPr="005A2C7B">
        <w:rPr>
          <w:spacing w:val="-4"/>
        </w:rPr>
        <w:t>1,8 %. Hlavní podíl na tom mělo navýšení cen ve zpracovatelském průmyslu o 2,3 %, po pěti letech se však zvýšily i ceny těžby a dobývání (3,8 %).</w:t>
      </w:r>
      <w:r w:rsidR="00330060" w:rsidRPr="005A2C7B">
        <w:rPr>
          <w:spacing w:val="-4"/>
        </w:rPr>
        <w:t xml:space="preserve"> Výrazného růstu se dočkaly i ceny zemědělské výroby (</w:t>
      </w:r>
      <w:r w:rsidR="00716E3F" w:rsidRPr="005A2C7B">
        <w:rPr>
          <w:spacing w:val="-4"/>
        </w:rPr>
        <w:t>7,3 %</w:t>
      </w:r>
      <w:r w:rsidR="00330060" w:rsidRPr="005A2C7B">
        <w:rPr>
          <w:spacing w:val="-4"/>
        </w:rPr>
        <w:t>)</w:t>
      </w:r>
      <w:r w:rsidR="00716E3F" w:rsidRPr="005A2C7B">
        <w:rPr>
          <w:spacing w:val="-4"/>
        </w:rPr>
        <w:t xml:space="preserve">. Přispěly k tomu především ceny živočišné výroby, které vzrostly o 15,2 %. </w:t>
      </w:r>
      <w:r w:rsidR="00F859D0" w:rsidRPr="005A2C7B">
        <w:rPr>
          <w:spacing w:val="-4"/>
        </w:rPr>
        <w:t>Celkové zrychlení ekonomiky a zejména mzdového růstu vedlo i ke zvýšení cen tržních služeb o 1,3 %. Domácí cenový vývoj ovlivňovaly i negativní směnné relace. Ty byly výsledkem poklesu cen vývozu o 0,1 % (ceny dovozu vzrostly o 0,9 %). Klíčovým faktorem se stalo posílení kurzu koruny vůči euru i dolaru. To způsobovalo pokles cen vývozu i dovozu, zejména v druhé polovině roku.</w:t>
      </w:r>
      <w:r w:rsidR="00716E3F" w:rsidRPr="005A2C7B">
        <w:rPr>
          <w:spacing w:val="-4"/>
        </w:rPr>
        <w:t xml:space="preserve"> </w:t>
      </w:r>
    </w:p>
    <w:p w:rsidR="003870EE" w:rsidRPr="005A2C7B" w:rsidRDefault="00FF3EEC" w:rsidP="00067A82">
      <w:pPr>
        <w:pStyle w:val="Normalodrka"/>
        <w:spacing w:after="160"/>
        <w:rPr>
          <w:spacing w:val="-4"/>
        </w:rPr>
      </w:pPr>
      <w:r w:rsidRPr="005A2C7B">
        <w:rPr>
          <w:spacing w:val="-4"/>
        </w:rPr>
        <w:t>V roce 2017 silně rostl vývoz (</w:t>
      </w:r>
      <w:r w:rsidR="00193818" w:rsidRPr="005A2C7B">
        <w:rPr>
          <w:spacing w:val="-4"/>
        </w:rPr>
        <w:t>6,5 %</w:t>
      </w:r>
      <w:r w:rsidRPr="005A2C7B">
        <w:rPr>
          <w:spacing w:val="-4"/>
        </w:rPr>
        <w:t>) i dovoz (</w:t>
      </w:r>
      <w:r w:rsidR="00193818" w:rsidRPr="005A2C7B">
        <w:rPr>
          <w:spacing w:val="-4"/>
        </w:rPr>
        <w:t>6,8 %</w:t>
      </w:r>
      <w:r w:rsidRPr="005A2C7B">
        <w:rPr>
          <w:spacing w:val="-4"/>
        </w:rPr>
        <w:t>) zboží. Rostl přebytek obchodu s</w:t>
      </w:r>
      <w:r w:rsidR="009C3ED8">
        <w:rPr>
          <w:spacing w:val="-4"/>
        </w:rPr>
        <w:t> motorovými vozidly a</w:t>
      </w:r>
      <w:r w:rsidR="009C3ED8" w:rsidRPr="005A2C7B">
        <w:rPr>
          <w:spacing w:val="-4"/>
        </w:rPr>
        <w:t> </w:t>
      </w:r>
      <w:r w:rsidR="00193818" w:rsidRPr="005A2C7B">
        <w:rPr>
          <w:spacing w:val="-4"/>
        </w:rPr>
        <w:t xml:space="preserve">stroji a zařízeními. Růst cen některých surovin pak zvýšil deficit obchodu se zeměmi mimo EU, odkud Česko většinově suroviny dováží. </w:t>
      </w:r>
      <w:r w:rsidR="0010106F" w:rsidRPr="005A2C7B">
        <w:rPr>
          <w:spacing w:val="-4"/>
        </w:rPr>
        <w:t xml:space="preserve">Celkový přebytek zahraničního obchodu navyšovaly služby. </w:t>
      </w:r>
      <w:r w:rsidRPr="005A2C7B">
        <w:rPr>
          <w:spacing w:val="-4"/>
        </w:rPr>
        <w:t>Ekonomická prosperita vedla mimo jiné k nárůstu zisků</w:t>
      </w:r>
      <w:r w:rsidR="0010106F" w:rsidRPr="005A2C7B">
        <w:rPr>
          <w:spacing w:val="-4"/>
        </w:rPr>
        <w:t xml:space="preserve"> z přímých investic. Ty byly reinvestovány ve větší míře než v minulých letech. Ekonomické vztahy se zahraničím ovlivnilo i ukončení režimu intervencí a následné posílení kurzu koruny vůči ostatním měnám. Vedlo to k výraznému navýšení zahraničního dluhu, především v podobě krátkodobého zadlužení.</w:t>
      </w:r>
    </w:p>
    <w:p w:rsidR="006A73A6" w:rsidRPr="005A2C7B" w:rsidRDefault="007C7BAE" w:rsidP="00067A82">
      <w:pPr>
        <w:pStyle w:val="Normalodrka"/>
        <w:spacing w:after="160"/>
        <w:rPr>
          <w:spacing w:val="-4"/>
        </w:rPr>
      </w:pPr>
      <w:r w:rsidRPr="005A2C7B">
        <w:rPr>
          <w:spacing w:val="-4"/>
        </w:rPr>
        <w:t>Investiční výdaje se loni z</w:t>
      </w:r>
      <w:r w:rsidR="00186919" w:rsidRPr="005A2C7B">
        <w:rPr>
          <w:spacing w:val="-4"/>
        </w:rPr>
        <w:t>výšily o 3,3 %. Dynamika již ne</w:t>
      </w:r>
      <w:r w:rsidRPr="005A2C7B">
        <w:rPr>
          <w:spacing w:val="-4"/>
        </w:rPr>
        <w:t>byla tak ovlivněna vývojem čerpání evropských dotací jako v letech 2014-2016. Zvýšily se investiční výdaje ve všech sektorech ekonomiky. Nefinanční podniky se snažily výdaji na stroje a zařízení řešit problém nedostatku pracovní síly, domácnosti dále investovaly do obydlí. U finančních institucí pokračoval výrazný nárů</w:t>
      </w:r>
      <w:r w:rsidR="00C805DC">
        <w:rPr>
          <w:spacing w:val="-4"/>
        </w:rPr>
        <w:t>st investic</w:t>
      </w:r>
      <w:r w:rsidR="00A230A8" w:rsidRPr="005A2C7B">
        <w:rPr>
          <w:spacing w:val="-4"/>
        </w:rPr>
        <w:t xml:space="preserve"> směřovaný do ICT a </w:t>
      </w:r>
      <w:r w:rsidRPr="005A2C7B">
        <w:rPr>
          <w:spacing w:val="-4"/>
        </w:rPr>
        <w:t>produktů duševního vlastnictví. Vládní instituce mírně oživily investice d</w:t>
      </w:r>
      <w:r w:rsidR="005A2C7B">
        <w:rPr>
          <w:spacing w:val="-4"/>
        </w:rPr>
        <w:t>o infrastruktury. L</w:t>
      </w:r>
      <w:r w:rsidR="007D0C24" w:rsidRPr="005A2C7B">
        <w:rPr>
          <w:spacing w:val="-4"/>
        </w:rPr>
        <w:t>oňské posílení investiční aktivity bylo společné většině států ze střední a východní Evropy.</w:t>
      </w:r>
    </w:p>
    <w:p w:rsidR="00186919" w:rsidRPr="005A2C7B" w:rsidRDefault="00186919" w:rsidP="00067A82">
      <w:pPr>
        <w:pStyle w:val="Normalodrka"/>
        <w:spacing w:after="160"/>
        <w:rPr>
          <w:spacing w:val="-4"/>
        </w:rPr>
      </w:pPr>
      <w:r w:rsidRPr="005A2C7B">
        <w:rPr>
          <w:spacing w:val="-4"/>
        </w:rPr>
        <w:t xml:space="preserve">Tuzemský trh práce zažil v roce 2017 výjimečný rok. Pokračující svižný růst ekonomiky se pozitivně odrazil v tvorbě nových pracovních míst i v tempu celkové zaměstnanosti. Role zpracovatelského průmyslu jako hlavního tvůrce pracovních míst loni oslabila ve prospěch služeb, kde sílila zejména odvětví s dominancí státu. Pokračovala také dlouhodobě silná poptávka po pracovnících v informačních a komunikačních činnostech. Sezónně očištěná míra obecné nezaměstnanosti se </w:t>
      </w:r>
      <w:r w:rsidR="00F433FE" w:rsidRPr="005A2C7B">
        <w:rPr>
          <w:spacing w:val="-4"/>
        </w:rPr>
        <w:t>v roce</w:t>
      </w:r>
      <w:r w:rsidRPr="005A2C7B">
        <w:rPr>
          <w:spacing w:val="-4"/>
        </w:rPr>
        <w:t xml:space="preserve"> 2017 plynule snižovala a na jeho konci dosahovala u žen 2,9 %, u mužů 2,0 %. Práci nacházeli hlavně dlouhodobě nezaměstnaní. V míře nezaměstnanosti podobně jako v míře volných pracovních míst drželo Česko primát v EU. Objem vyplacených mezd byl (v pojetí národních účtů) meziročně vyšší o 8,2 %. K akceleraci růstu průměrných výdělků přispělo zvyšování minimální mzdy i </w:t>
      </w:r>
      <w:r w:rsidR="00093E3F" w:rsidRPr="005A2C7B">
        <w:rPr>
          <w:spacing w:val="-4"/>
        </w:rPr>
        <w:t xml:space="preserve">navýšení v oblastech </w:t>
      </w:r>
      <w:r w:rsidRPr="005A2C7B">
        <w:rPr>
          <w:spacing w:val="-4"/>
        </w:rPr>
        <w:t xml:space="preserve">s dominací </w:t>
      </w:r>
      <w:r w:rsidR="00093E3F" w:rsidRPr="005A2C7B">
        <w:rPr>
          <w:spacing w:val="-4"/>
        </w:rPr>
        <w:t>veřejného sektoru</w:t>
      </w:r>
      <w:r w:rsidRPr="005A2C7B">
        <w:rPr>
          <w:spacing w:val="-4"/>
        </w:rPr>
        <w:t>. Relativní mzdové rozdíly z pohledu odvětví, profesí či regionů se nezvyšovaly.</w:t>
      </w:r>
    </w:p>
    <w:p w:rsidR="006A73A6" w:rsidRPr="005A2C7B" w:rsidRDefault="00680001" w:rsidP="00067A82">
      <w:pPr>
        <w:pStyle w:val="Normalodrka"/>
        <w:spacing w:after="160"/>
        <w:rPr>
          <w:spacing w:val="-4"/>
        </w:rPr>
      </w:pPr>
      <w:r w:rsidRPr="005A2C7B">
        <w:rPr>
          <w:spacing w:val="-4"/>
        </w:rPr>
        <w:t>Sektoru nefinančních podniků, reprezentovanému z pohledu tvorby HPH téměř z poloviny odvě</w:t>
      </w:r>
      <w:r w:rsidR="00C805DC">
        <w:rPr>
          <w:spacing w:val="-4"/>
        </w:rPr>
        <w:t>tvím průmyslu, se dařilo. Jeho</w:t>
      </w:r>
      <w:r w:rsidRPr="005A2C7B">
        <w:rPr>
          <w:spacing w:val="-4"/>
        </w:rPr>
        <w:t xml:space="preserve"> podíl na přidané hodnotě celé ekonomiky vzrostl na rekordních 62,7 %. Růstové tempo zaměstnanosti sláblo (na +1,7 %), přesto bylo vyšší než v celé ekonomice. Sílící náklady na pracovní </w:t>
      </w:r>
      <w:r w:rsidR="00093E3F" w:rsidRPr="005A2C7B">
        <w:rPr>
          <w:spacing w:val="-4"/>
        </w:rPr>
        <w:t>sílu se odrazily</w:t>
      </w:r>
      <w:r w:rsidRPr="005A2C7B">
        <w:rPr>
          <w:spacing w:val="-4"/>
        </w:rPr>
        <w:t xml:space="preserve"> v míře zisku podniků, jež klesla druhým rokem v řadě. V kontextu EU však patřila k nejvyšším, unijní úroveň převyšovala o 9,4 p. </w:t>
      </w:r>
      <w:proofErr w:type="spellStart"/>
      <w:r w:rsidRPr="005A2C7B">
        <w:rPr>
          <w:spacing w:val="-4"/>
        </w:rPr>
        <w:t>b</w:t>
      </w:r>
      <w:proofErr w:type="spellEnd"/>
      <w:r w:rsidRPr="005A2C7B">
        <w:rPr>
          <w:spacing w:val="-4"/>
        </w:rPr>
        <w:t xml:space="preserve">. Výše čistého odlivu vlastnických důchodů ze sektoru nefinančních podniků (509 mld. korun) se meziročně nezměnila, když snížení </w:t>
      </w:r>
      <w:r w:rsidR="00093E3F" w:rsidRPr="005A2C7B">
        <w:rPr>
          <w:spacing w:val="-4"/>
        </w:rPr>
        <w:t>negativní</w:t>
      </w:r>
      <w:r w:rsidRPr="005A2C7B">
        <w:rPr>
          <w:spacing w:val="-4"/>
        </w:rPr>
        <w:t xml:space="preserve">ho </w:t>
      </w:r>
      <w:r w:rsidR="00093E3F" w:rsidRPr="005A2C7B">
        <w:rPr>
          <w:spacing w:val="-4"/>
        </w:rPr>
        <w:t>salda</w:t>
      </w:r>
      <w:r w:rsidRPr="005A2C7B">
        <w:rPr>
          <w:spacing w:val="-4"/>
        </w:rPr>
        <w:t xml:space="preserve"> úroků</w:t>
      </w:r>
      <w:r w:rsidR="00093E3F" w:rsidRPr="005A2C7B">
        <w:rPr>
          <w:spacing w:val="-4"/>
        </w:rPr>
        <w:t xml:space="preserve">, ale i </w:t>
      </w:r>
      <w:r w:rsidRPr="005A2C7B">
        <w:rPr>
          <w:spacing w:val="-4"/>
        </w:rPr>
        <w:t xml:space="preserve">dividend bylo </w:t>
      </w:r>
      <w:r w:rsidRPr="005A2C7B">
        <w:rPr>
          <w:spacing w:val="-4"/>
        </w:rPr>
        <w:lastRenderedPageBreak/>
        <w:t>kompenzováno vyšším objem</w:t>
      </w:r>
      <w:r w:rsidR="005A2C7B">
        <w:rPr>
          <w:spacing w:val="-4"/>
        </w:rPr>
        <w:t>em</w:t>
      </w:r>
      <w:r w:rsidRPr="005A2C7B">
        <w:rPr>
          <w:spacing w:val="-4"/>
        </w:rPr>
        <w:t xml:space="preserve"> </w:t>
      </w:r>
      <w:r w:rsidRPr="005A2C7B">
        <w:rPr>
          <w:rFonts w:cs="Arial"/>
          <w:spacing w:val="-4"/>
          <w:szCs w:val="20"/>
        </w:rPr>
        <w:t xml:space="preserve">reinvestovaných zisků z přímých zahraničních investic. Míra investic podniků </w:t>
      </w:r>
      <w:r w:rsidR="005A2C7B">
        <w:rPr>
          <w:rFonts w:cs="Arial"/>
          <w:spacing w:val="-4"/>
          <w:szCs w:val="20"/>
        </w:rPr>
        <w:t>činil</w:t>
      </w:r>
      <w:r w:rsidRPr="005A2C7B">
        <w:rPr>
          <w:rFonts w:cs="Arial"/>
          <w:spacing w:val="-4"/>
          <w:szCs w:val="20"/>
        </w:rPr>
        <w:t xml:space="preserve">a 28,1 % a meziročně se snížila o 0,8 p. </w:t>
      </w:r>
      <w:proofErr w:type="spellStart"/>
      <w:r w:rsidRPr="005A2C7B">
        <w:rPr>
          <w:rFonts w:cs="Arial"/>
          <w:spacing w:val="-4"/>
          <w:szCs w:val="20"/>
        </w:rPr>
        <w:t>b</w:t>
      </w:r>
      <w:proofErr w:type="spellEnd"/>
      <w:r w:rsidRPr="005A2C7B">
        <w:rPr>
          <w:rFonts w:cs="Arial"/>
          <w:spacing w:val="-4"/>
          <w:szCs w:val="20"/>
        </w:rPr>
        <w:t>. Tempo růstu objemu bankovních úvěrů nefinančním podnikům mírně zvolnilo na 4,9 % (z 6,6 % z roku 2016). Platební morálka podniků se dále zlepšovala</w:t>
      </w:r>
      <w:r w:rsidR="005A2C7B" w:rsidRPr="005A2C7B">
        <w:rPr>
          <w:rFonts w:cs="Arial"/>
          <w:spacing w:val="-4"/>
          <w:szCs w:val="20"/>
        </w:rPr>
        <w:t>.</w:t>
      </w:r>
    </w:p>
    <w:p w:rsidR="006A73A6" w:rsidRPr="005A2C7B" w:rsidRDefault="002B6B06" w:rsidP="00067A82">
      <w:pPr>
        <w:pStyle w:val="Normalodrka"/>
        <w:spacing w:after="160"/>
        <w:rPr>
          <w:spacing w:val="-4"/>
        </w:rPr>
      </w:pPr>
      <w:r w:rsidRPr="005A2C7B">
        <w:rPr>
          <w:spacing w:val="-4"/>
        </w:rPr>
        <w:t>V sektoru finančních institucí se začala výrazněji projevov</w:t>
      </w:r>
      <w:r w:rsidR="004F16F7" w:rsidRPr="005A2C7B">
        <w:rPr>
          <w:spacing w:val="-4"/>
        </w:rPr>
        <w:t>at několik let trvající stagnace</w:t>
      </w:r>
      <w:r w:rsidRPr="005A2C7B">
        <w:rPr>
          <w:spacing w:val="-4"/>
        </w:rPr>
        <w:t xml:space="preserve"> zaměstnanosti</w:t>
      </w:r>
      <w:r w:rsidR="004F16F7" w:rsidRPr="005A2C7B">
        <w:rPr>
          <w:spacing w:val="-4"/>
        </w:rPr>
        <w:t>, která loni vyústila do poklesu o 3,2 %</w:t>
      </w:r>
      <w:r w:rsidRPr="005A2C7B">
        <w:rPr>
          <w:spacing w:val="-4"/>
        </w:rPr>
        <w:t>.</w:t>
      </w:r>
      <w:r w:rsidR="004F16F7" w:rsidRPr="005A2C7B">
        <w:rPr>
          <w:spacing w:val="-4"/>
        </w:rPr>
        <w:t xml:space="preserve"> Výsledkem bylo mírné snížení vyplacených náhrad zaměstnancům (navzdory růstu průměrné mzdy ve finančnictví a pojišťovnictví o 3,6 %). Míra zisku celého sektoru následně dosáhla 61,3 %.</w:t>
      </w:r>
    </w:p>
    <w:p w:rsidR="006A73A6" w:rsidRPr="005A2C7B" w:rsidRDefault="006A73A6" w:rsidP="00067A82">
      <w:pPr>
        <w:pStyle w:val="Normalodrka"/>
        <w:spacing w:after="160"/>
        <w:rPr>
          <w:spacing w:val="-4"/>
        </w:rPr>
      </w:pPr>
      <w:r w:rsidRPr="005A2C7B">
        <w:rPr>
          <w:spacing w:val="-4"/>
        </w:rPr>
        <w:t>Domácnosti</w:t>
      </w:r>
      <w:r w:rsidR="004F16F7" w:rsidRPr="005A2C7B">
        <w:rPr>
          <w:spacing w:val="-4"/>
        </w:rPr>
        <w:t xml:space="preserve"> čerpaly z úspěšného ekonomického vývoje. Jejich disponibiln</w:t>
      </w:r>
      <w:r w:rsidR="00A230A8" w:rsidRPr="005A2C7B">
        <w:rPr>
          <w:spacing w:val="-4"/>
        </w:rPr>
        <w:t>í důchod loni vzrostl o 4,1 % a </w:t>
      </w:r>
      <w:r w:rsidR="004F16F7" w:rsidRPr="005A2C7B">
        <w:rPr>
          <w:spacing w:val="-4"/>
        </w:rPr>
        <w:t>hlavní měrou se na růstu podílelo zvyšování mezd a platů. Naopak výsledn</w:t>
      </w:r>
      <w:r w:rsidR="009C3ED8">
        <w:rPr>
          <w:spacing w:val="-4"/>
        </w:rPr>
        <w:t>é saldo důchodů z vlastnictví i</w:t>
      </w:r>
      <w:r w:rsidR="009C3ED8" w:rsidRPr="005A2C7B">
        <w:rPr>
          <w:spacing w:val="-4"/>
        </w:rPr>
        <w:t> </w:t>
      </w:r>
      <w:r w:rsidR="004F16F7" w:rsidRPr="005A2C7B">
        <w:rPr>
          <w:spacing w:val="-4"/>
        </w:rPr>
        <w:t>saldo druhotného rozdělení (sociální příspěvky mínus odvedené daně)</w:t>
      </w:r>
      <w:r w:rsidR="00750EF8" w:rsidRPr="005A2C7B">
        <w:rPr>
          <w:spacing w:val="-4"/>
        </w:rPr>
        <w:t xml:space="preserve"> růst disponibilního příjmu tlumilo. Na rozdíl od minulých třech let se v roce 2017 zvýšil rozdíl mezi nominálním růstem příjmů a reálným posílením kupní síly. Výdaje domácností na konečnou spotřebu loni vzrostly o 4,3 %, nejvíce od roku 2003. Rychlejší růst spotřeby než příjmů vedl také k poklesu </w:t>
      </w:r>
      <w:r w:rsidR="00347378" w:rsidRPr="005A2C7B">
        <w:rPr>
          <w:spacing w:val="-4"/>
        </w:rPr>
        <w:t>míry úspor. K nárůstu spotřeby nejvíce přispěly výdaje na služby, které s</w:t>
      </w:r>
      <w:r w:rsidR="00F433FE" w:rsidRPr="005A2C7B">
        <w:rPr>
          <w:spacing w:val="-4"/>
        </w:rPr>
        <w:t>ílily pátým</w:t>
      </w:r>
      <w:r w:rsidR="00347378" w:rsidRPr="005A2C7B">
        <w:rPr>
          <w:spacing w:val="-4"/>
        </w:rPr>
        <w:t xml:space="preserve"> rokem i výraznější růst výdajů na střednědobé statky (oblečení, obuv, sportovní vybavení, atd.). Zvýšená investiční aktivita domácností (především do obydlí) byla spojena mimo jiné s rostoucími cenami nemovitostí. To potvrzují i data ČNB, ze kterých vyplývá rostoucí průměrná výše poskytnutých úvěrů na bydlení.</w:t>
      </w:r>
    </w:p>
    <w:p w:rsidR="006A73A6" w:rsidRPr="005A2C7B" w:rsidRDefault="006A73A6" w:rsidP="00067A82">
      <w:pPr>
        <w:pStyle w:val="Normalodrka"/>
        <w:spacing w:after="160"/>
        <w:rPr>
          <w:spacing w:val="-4"/>
        </w:rPr>
      </w:pPr>
      <w:r w:rsidRPr="005A2C7B">
        <w:rPr>
          <w:spacing w:val="-4"/>
        </w:rPr>
        <w:t xml:space="preserve">Hospodaření </w:t>
      </w:r>
      <w:r w:rsidR="009C3ED8">
        <w:rPr>
          <w:spacing w:val="-4"/>
        </w:rPr>
        <w:t xml:space="preserve">sektoru </w:t>
      </w:r>
      <w:r w:rsidRPr="005A2C7B">
        <w:rPr>
          <w:spacing w:val="-4"/>
        </w:rPr>
        <w:t>vládních institucí</w:t>
      </w:r>
      <w:r w:rsidR="00551238" w:rsidRPr="005A2C7B">
        <w:rPr>
          <w:spacing w:val="-4"/>
        </w:rPr>
        <w:t xml:space="preserve"> bylo loni přebytkové, podruhé v řadě.</w:t>
      </w:r>
      <w:r w:rsidR="00A230A8" w:rsidRPr="005A2C7B">
        <w:rPr>
          <w:spacing w:val="-4"/>
        </w:rPr>
        <w:t xml:space="preserve"> Přebytek se meziročně zvýšil a </w:t>
      </w:r>
      <w:r w:rsidR="00551238" w:rsidRPr="005A2C7B">
        <w:rPr>
          <w:spacing w:val="-4"/>
        </w:rPr>
        <w:t>dosáhl 80,6 mld. korun (1,6 % HDP). V mezinárodním srovnání se tak Česko výší relativního přebytku vyšvihlo na třetí místo v EU. Na výsledku hospodaření se projevil zejména silný růst daňových příjmů spojený s rostoucím výkonem ekonomiky i m</w:t>
      </w:r>
      <w:r w:rsidR="009C3ED8">
        <w:rPr>
          <w:spacing w:val="-4"/>
        </w:rPr>
        <w:t xml:space="preserve">zdovým vývojem. Výdaje </w:t>
      </w:r>
      <w:r w:rsidR="00551238" w:rsidRPr="005A2C7B">
        <w:rPr>
          <w:spacing w:val="-4"/>
        </w:rPr>
        <w:t xml:space="preserve">sektoru </w:t>
      </w:r>
      <w:r w:rsidR="009C3ED8">
        <w:rPr>
          <w:spacing w:val="-4"/>
        </w:rPr>
        <w:t xml:space="preserve">vládních institucí </w:t>
      </w:r>
      <w:r w:rsidR="00551238" w:rsidRPr="005A2C7B">
        <w:rPr>
          <w:spacing w:val="-4"/>
        </w:rPr>
        <w:t>rovněž silně rostly. Klíčový vliv měly náhrady zaměstnanců sektoru (nárůst o 10,2 %)</w:t>
      </w:r>
      <w:r w:rsidR="00182799" w:rsidRPr="005A2C7B">
        <w:rPr>
          <w:spacing w:val="-4"/>
        </w:rPr>
        <w:t>, především místní vládní instituce k tomu přidaly i silný růst investičních výdajů.</w:t>
      </w:r>
    </w:p>
    <w:p w:rsidR="00D1005A" w:rsidRPr="005A2C7B" w:rsidRDefault="00D1005A" w:rsidP="00067A82">
      <w:pPr>
        <w:pStyle w:val="Normalodrka"/>
        <w:spacing w:after="160"/>
        <w:rPr>
          <w:spacing w:val="-4"/>
        </w:rPr>
      </w:pPr>
      <w:r w:rsidRPr="005A2C7B">
        <w:rPr>
          <w:spacing w:val="-4"/>
        </w:rPr>
        <w:t xml:space="preserve">HPH v odvětví zemědělství, lesnictví a rybářství se meziročně snížila o 3,0 %, nejvíce po roce 2010. </w:t>
      </w:r>
      <w:r w:rsidR="00A230A8" w:rsidRPr="005A2C7B">
        <w:rPr>
          <w:spacing w:val="-4"/>
        </w:rPr>
        <w:t>V </w:t>
      </w:r>
      <w:r w:rsidRPr="005A2C7B">
        <w:rPr>
          <w:spacing w:val="-4"/>
        </w:rPr>
        <w:t xml:space="preserve">samotném lesnictví výkony rostly. Rekordní těžba dřeva (nejvyšší po v historii </w:t>
      </w:r>
      <w:r w:rsidR="00A230A8" w:rsidRPr="005A2C7B">
        <w:rPr>
          <w:spacing w:val="-4"/>
        </w:rPr>
        <w:t>ČR) souvisela s </w:t>
      </w:r>
      <w:r w:rsidRPr="005A2C7B">
        <w:rPr>
          <w:color w:val="000000"/>
          <w:spacing w:val="-4"/>
        </w:rPr>
        <w:t xml:space="preserve">kalamitními situacemi. Zemědělství táhla dolů rostlinná produkce, v níž slabší úroda obilovin, olejnin či ovoce zastínila dobré výsledky </w:t>
      </w:r>
      <w:r w:rsidRPr="005A2C7B">
        <w:rPr>
          <w:spacing w:val="-4"/>
        </w:rPr>
        <w:t>producentů cukrové řepy, luskovin, chmele i vinných hroznů. Naopak v živočišné oblasti vyšší produkce mléka i vajec dokázaly pokles výroby masa (o 2,5 % meziročně, nejhlubší za posledních pět let) kompenzovat. Negativní saldo agrárního zahraničního obchodu ČR</w:t>
      </w:r>
      <w:r w:rsidR="009C3ED8">
        <w:rPr>
          <w:spacing w:val="-4"/>
        </w:rPr>
        <w:t xml:space="preserve"> se nadále prohlubovalo – jak u</w:t>
      </w:r>
      <w:r w:rsidR="009C3ED8" w:rsidRPr="005A2C7B">
        <w:rPr>
          <w:spacing w:val="-4"/>
        </w:rPr>
        <w:t> </w:t>
      </w:r>
      <w:r w:rsidRPr="005A2C7B">
        <w:rPr>
          <w:spacing w:val="-4"/>
        </w:rPr>
        <w:t>prvovýrobců, tak zejména u zpracovatelů.</w:t>
      </w:r>
    </w:p>
    <w:p w:rsidR="00BE468E" w:rsidRPr="005A2C7B" w:rsidRDefault="00BE468E" w:rsidP="00067A82">
      <w:pPr>
        <w:pStyle w:val="Normalodrka"/>
        <w:spacing w:after="160"/>
        <w:rPr>
          <w:spacing w:val="-4"/>
        </w:rPr>
      </w:pPr>
      <w:r w:rsidRPr="005A2C7B">
        <w:rPr>
          <w:spacing w:val="-4"/>
        </w:rPr>
        <w:t xml:space="preserve">Průmysl loni těžil z rostoucí tuzemské i zahraniční poptávky. HPH posílila meziročně o 9,0 %, nejvíce po roce 2006. K růstu HPH v průmyslu přispěly z poloviny automobilový průmysl a nejbližší návazné obory. Dařilo se strojírenství, výrobě počítačů, ale i většině menších zpracovatelských oborů. Po ukončení odstávek plně obnovily výrobní kapacity chemický průmysl i energetika. S dlouhodobějšími problémy se </w:t>
      </w:r>
      <w:r w:rsidR="005A2C7B">
        <w:rPr>
          <w:spacing w:val="-4"/>
        </w:rPr>
        <w:t xml:space="preserve">naopak </w:t>
      </w:r>
      <w:r w:rsidRPr="005A2C7B">
        <w:rPr>
          <w:spacing w:val="-4"/>
        </w:rPr>
        <w:t xml:space="preserve">potýkal těžební průmysl a také hutnictví. </w:t>
      </w:r>
    </w:p>
    <w:p w:rsidR="00067A82" w:rsidRPr="005A2C7B" w:rsidRDefault="00067A82" w:rsidP="005A2C7B">
      <w:pPr>
        <w:pStyle w:val="Normalodrka"/>
        <w:spacing w:after="160"/>
        <w:rPr>
          <w:spacing w:val="-4"/>
        </w:rPr>
      </w:pPr>
      <w:r w:rsidRPr="005A2C7B">
        <w:rPr>
          <w:color w:val="0D0D0D" w:themeColor="text1" w:themeTint="F2"/>
          <w:spacing w:val="-4"/>
        </w:rPr>
        <w:t>Meziroční pokles produkce ve stavebnictví se loni zastavil, nepříznivý vývoj v případě HPH ale přetrvával. Ta loni jen nepatrně překračovala úroveň z roku 2012, kdy v tomto odvětví recese vrcholila. K redukci HPH přisp</w:t>
      </w:r>
      <w:r w:rsidR="005A2C7B">
        <w:rPr>
          <w:color w:val="0D0D0D" w:themeColor="text1" w:themeTint="F2"/>
          <w:spacing w:val="-4"/>
        </w:rPr>
        <w:t>ělo loni</w:t>
      </w:r>
      <w:r w:rsidRPr="005A2C7B">
        <w:rPr>
          <w:color w:val="0D0D0D" w:themeColor="text1" w:themeTint="F2"/>
          <w:spacing w:val="-4"/>
        </w:rPr>
        <w:t xml:space="preserve"> </w:t>
      </w:r>
      <w:r w:rsidR="005A2C7B">
        <w:rPr>
          <w:color w:val="0D0D0D" w:themeColor="text1" w:themeTint="F2"/>
          <w:spacing w:val="-4"/>
        </w:rPr>
        <w:t>hlavně inženýrské</w:t>
      </w:r>
      <w:r w:rsidRPr="005A2C7B">
        <w:rPr>
          <w:color w:val="0D0D0D" w:themeColor="text1" w:themeTint="F2"/>
          <w:spacing w:val="-4"/>
        </w:rPr>
        <w:t xml:space="preserve"> stavitelství. Více se dařilo specializovaných stavebním činnostem. </w:t>
      </w:r>
      <w:r w:rsidRPr="005A2C7B">
        <w:rPr>
          <w:spacing w:val="-4"/>
        </w:rPr>
        <w:t xml:space="preserve">Již druhým rokem v řadě zůstaly nejvýznamnější složkou stavebních prací opravy a údržba. Zrychloval růst výstavby </w:t>
      </w:r>
      <w:r w:rsidRPr="005A2C7B">
        <w:rPr>
          <w:color w:val="0D0D0D"/>
          <w:spacing w:val="-4"/>
        </w:rPr>
        <w:t>nebytových výrobních budov. Již čtvrtým rokem v řadě mírně ožívala výstavba bytových budov. Vyhlídky odvětví stavebnictví se v průběhu roku výrazně zlepšovaly, což souviselo s růstem nových zakázek.</w:t>
      </w:r>
    </w:p>
    <w:p w:rsidR="00FF3EEC" w:rsidRPr="005A2C7B" w:rsidRDefault="005A2C7B" w:rsidP="005A2C7B">
      <w:pPr>
        <w:pStyle w:val="Normalodrka"/>
      </w:pPr>
      <w:r w:rsidRPr="005A2C7B">
        <w:rPr>
          <w:spacing w:val="-4"/>
        </w:rPr>
        <w:t>V celém terciárním sektor</w:t>
      </w:r>
      <w:r w:rsidR="00BD2211">
        <w:rPr>
          <w:spacing w:val="-4"/>
        </w:rPr>
        <w:t>u ekonomiky vzrostla v roce 2017 HPH o 4,2</w:t>
      </w:r>
      <w:r w:rsidRPr="005A2C7B">
        <w:rPr>
          <w:spacing w:val="-4"/>
        </w:rPr>
        <w:t xml:space="preserve"> %. Vedle peněžnictví a pojišťovnictví se dařilo zejména informačním komunikačním činnostem (+5,7 %).</w:t>
      </w:r>
      <w:r>
        <w:rPr>
          <w:spacing w:val="-4"/>
        </w:rPr>
        <w:t xml:space="preserve"> Na růstu služeb se </w:t>
      </w:r>
      <w:r w:rsidRPr="005A2C7B">
        <w:rPr>
          <w:spacing w:val="-4"/>
        </w:rPr>
        <w:t>a</w:t>
      </w:r>
      <w:r>
        <w:rPr>
          <w:spacing w:val="-4"/>
        </w:rPr>
        <w:t>le</w:t>
      </w:r>
      <w:r w:rsidRPr="005A2C7B">
        <w:rPr>
          <w:spacing w:val="-4"/>
        </w:rPr>
        <w:t xml:space="preserve"> nejvíce </w:t>
      </w:r>
      <w:r>
        <w:rPr>
          <w:spacing w:val="-4"/>
        </w:rPr>
        <w:t>podílelo uskupení</w:t>
      </w:r>
      <w:r w:rsidRPr="005A2C7B">
        <w:rPr>
          <w:spacing w:val="-4"/>
        </w:rPr>
        <w:t xml:space="preserve"> obchod, doprava, ubytování a pohostinství</w:t>
      </w:r>
      <w:r w:rsidR="00BD2211">
        <w:rPr>
          <w:spacing w:val="-4"/>
        </w:rPr>
        <w:t>, které k mezi</w:t>
      </w:r>
      <w:r w:rsidR="00942C19">
        <w:rPr>
          <w:spacing w:val="-4"/>
        </w:rPr>
        <w:t>r</w:t>
      </w:r>
      <w:r w:rsidR="00BD2211">
        <w:rPr>
          <w:spacing w:val="-4"/>
        </w:rPr>
        <w:t>o</w:t>
      </w:r>
      <w:r w:rsidR="00942C19">
        <w:rPr>
          <w:spacing w:val="-4"/>
        </w:rPr>
        <w:t>čně vyšší HPH p</w:t>
      </w:r>
      <w:r w:rsidR="00D050F8">
        <w:rPr>
          <w:spacing w:val="-4"/>
        </w:rPr>
        <w:t>řispělo</w:t>
      </w:r>
      <w:r w:rsidRPr="005A2C7B">
        <w:rPr>
          <w:spacing w:val="-4"/>
        </w:rPr>
        <w:t xml:space="preserve"> téměř ze 40 %. Příznivý vývoj na trhu práce společně s dalším posílením optimistických očekávání spotřebitelů vyústily v téměř 6 % růst maloobchodních tržeb. Šlo o desetileté maximum. Rostoucí mobilita obyvatel se odrážela ve vyšších přepravních výkonech všech druhů veřejné dopravy. Tržby v ubytování byly podpořeny dynamickým růstem cestovního ruchu. </w:t>
      </w:r>
      <w:r w:rsidRPr="005A2C7B">
        <w:rPr>
          <w:color w:val="0D0D0D"/>
          <w:spacing w:val="-4"/>
        </w:rPr>
        <w:t>Loni počet hostů v hromadných ubytovacích zařízeních meziročně vzrostl o 8,8 % a</w:t>
      </w:r>
      <w:r w:rsidR="00BD2211" w:rsidRPr="005A2C7B">
        <w:rPr>
          <w:spacing w:val="-4"/>
        </w:rPr>
        <w:t> </w:t>
      </w:r>
      <w:r w:rsidR="00BD2211">
        <w:rPr>
          <w:color w:val="0D0D0D"/>
          <w:spacing w:val="-4"/>
        </w:rPr>
        <w:t>poprvé překročil</w:t>
      </w:r>
      <w:r w:rsidRPr="005A2C7B">
        <w:rPr>
          <w:color w:val="0D0D0D"/>
          <w:spacing w:val="-4"/>
        </w:rPr>
        <w:t xml:space="preserve"> hranici</w:t>
      </w:r>
      <w:r w:rsidR="00BD2211">
        <w:rPr>
          <w:color w:val="0D0D0D"/>
          <w:spacing w:val="-4"/>
        </w:rPr>
        <w:t xml:space="preserve"> 20 milionů</w:t>
      </w:r>
      <w:r w:rsidRPr="005A2C7B">
        <w:rPr>
          <w:color w:val="0D0D0D"/>
          <w:spacing w:val="-4"/>
        </w:rPr>
        <w:t>.</w:t>
      </w:r>
      <w:r w:rsidR="002B2127">
        <w:rPr>
          <w:color w:val="0D0D0D"/>
          <w:spacing w:val="-4"/>
        </w:rPr>
        <w:t xml:space="preserve"> K růstu počtu přenocování přispěli v roce 2017 nejvíce ruští občané.</w:t>
      </w:r>
      <w:r w:rsidR="00FF3EEC" w:rsidRPr="00360DE3">
        <w:br w:type="page"/>
      </w:r>
    </w:p>
    <w:p w:rsidR="00A50D73" w:rsidRPr="00360DE3" w:rsidRDefault="00F46502" w:rsidP="00F46502">
      <w:pPr>
        <w:pStyle w:val="Nadpis1"/>
      </w:pPr>
      <w:bookmarkStart w:id="2" w:name="_Toc527639458"/>
      <w:r w:rsidRPr="00360DE3">
        <w:lastRenderedPageBreak/>
        <w:t>Základní makroekonomické okruhy</w:t>
      </w:r>
      <w:bookmarkEnd w:id="2"/>
    </w:p>
    <w:p w:rsidR="00F46502" w:rsidRPr="00360DE3" w:rsidRDefault="00F46502" w:rsidP="00F46502">
      <w:pPr>
        <w:pStyle w:val="Nadpis11"/>
      </w:pPr>
      <w:bookmarkStart w:id="3" w:name="_Toc527639459"/>
      <w:r w:rsidRPr="00360DE3">
        <w:t>1. Hrubý domácí produkt</w:t>
      </w:r>
      <w:bookmarkEnd w:id="3"/>
    </w:p>
    <w:tbl>
      <w:tblPr>
        <w:tblW w:w="9644" w:type="dxa"/>
        <w:tblInd w:w="-15" w:type="dxa"/>
        <w:tblCellMar>
          <w:left w:w="0" w:type="dxa"/>
          <w:right w:w="0" w:type="dxa"/>
        </w:tblCellMar>
        <w:tblLook w:val="00A0"/>
      </w:tblPr>
      <w:tblGrid>
        <w:gridCol w:w="1909"/>
        <w:gridCol w:w="264"/>
        <w:gridCol w:w="7471"/>
      </w:tblGrid>
      <w:tr w:rsidR="00F46502" w:rsidRPr="00360DE3" w:rsidTr="002B213A">
        <w:trPr>
          <w:trHeight w:val="145"/>
        </w:trPr>
        <w:tc>
          <w:tcPr>
            <w:tcW w:w="1909" w:type="dxa"/>
            <w:shd w:val="clear" w:color="auto" w:fill="auto"/>
          </w:tcPr>
          <w:p w:rsidR="00F46502" w:rsidRPr="00360DE3" w:rsidRDefault="00F46502" w:rsidP="002B213A">
            <w:pPr>
              <w:pStyle w:val="Marginlie"/>
              <w:rPr>
                <w:spacing w:val="0"/>
              </w:rPr>
            </w:pPr>
            <w:r w:rsidRPr="00360DE3">
              <w:rPr>
                <w:spacing w:val="0"/>
              </w:rPr>
              <w:t>Hrubý domácí produkt se v minulém roce reálně zvýšil o 4,3 %.</w:t>
            </w:r>
          </w:p>
        </w:tc>
        <w:tc>
          <w:tcPr>
            <w:tcW w:w="264" w:type="dxa"/>
            <w:shd w:val="clear" w:color="auto" w:fill="auto"/>
          </w:tcPr>
          <w:p w:rsidR="00F46502" w:rsidRPr="00360DE3" w:rsidRDefault="00F46502" w:rsidP="002B213A">
            <w:pPr>
              <w:pStyle w:val="Textpoznpodarou1"/>
              <w:jc w:val="both"/>
            </w:pPr>
          </w:p>
        </w:tc>
        <w:tc>
          <w:tcPr>
            <w:tcW w:w="7471" w:type="dxa"/>
            <w:shd w:val="clear" w:color="auto" w:fill="auto"/>
          </w:tcPr>
          <w:p w:rsidR="00F46502" w:rsidRPr="00360DE3" w:rsidRDefault="00F46502" w:rsidP="002B213A">
            <w:r w:rsidRPr="00360DE3">
              <w:t xml:space="preserve">Hrubý domácí produkt (HDP) v roce 2017 dosáhl 5 045,2 mld. korun (v běžných cenách). Poprvé tak byla překonána hranice 5 bilionů. Reálný meziroční přírůstek HDP činil 4,3 %, tempo tak výrazně zrychlilo v porovnání s předchozím rokem. Šlo o čtvrtý kladný přírůstek v řadě. Během posledního čtyřletého období konjunktury se HDP reálně zvýšil o 15,6 %. V celém uvedeném období stabilně přetrvával silný příspěvek bilance zahraničního obchodu. Výrazného hospodářského růstu v loňském roce však mohlo být dosaženo díky součinnosti všech složek HDP. Klíčovým faktorem, který přispěl ke zrychlení, byly výdaje na spotřebu domácností. </w:t>
            </w:r>
          </w:p>
        </w:tc>
      </w:tr>
      <w:tr w:rsidR="00F46502" w:rsidRPr="00360DE3" w:rsidTr="002B213A">
        <w:tc>
          <w:tcPr>
            <w:tcW w:w="1909" w:type="dxa"/>
            <w:vMerge w:val="restart"/>
            <w:shd w:val="clear" w:color="auto" w:fill="auto"/>
          </w:tcPr>
          <w:p w:rsidR="00F46502" w:rsidRPr="00360DE3" w:rsidRDefault="00F46502" w:rsidP="002B213A">
            <w:pPr>
              <w:pStyle w:val="Marginlie"/>
              <w:rPr>
                <w:spacing w:val="0"/>
              </w:rPr>
            </w:pPr>
          </w:p>
        </w:tc>
        <w:tc>
          <w:tcPr>
            <w:tcW w:w="264" w:type="dxa"/>
            <w:vMerge w:val="restart"/>
            <w:shd w:val="clear" w:color="auto" w:fill="auto"/>
          </w:tcPr>
          <w:p w:rsidR="00F46502" w:rsidRPr="00360DE3" w:rsidRDefault="00F46502" w:rsidP="002B213A">
            <w:pPr>
              <w:pStyle w:val="Textpoznpodarou1"/>
              <w:jc w:val="both"/>
            </w:pPr>
          </w:p>
        </w:tc>
        <w:tc>
          <w:tcPr>
            <w:tcW w:w="7471" w:type="dxa"/>
            <w:shd w:val="clear" w:color="auto" w:fill="auto"/>
          </w:tcPr>
          <w:p w:rsidR="000D514E" w:rsidRDefault="00F46502" w:rsidP="002B213A">
            <w:pPr>
              <w:spacing w:after="0"/>
              <w:rPr>
                <w:b/>
              </w:rPr>
            </w:pPr>
            <w:r w:rsidRPr="00360DE3">
              <w:rPr>
                <w:b/>
              </w:rPr>
              <w:t xml:space="preserve">Graf č. </w:t>
            </w:r>
            <w:proofErr w:type="gramStart"/>
            <w:r w:rsidR="002B213A" w:rsidRPr="00360DE3">
              <w:rPr>
                <w:b/>
              </w:rPr>
              <w:t>1.1</w:t>
            </w:r>
            <w:r w:rsidRPr="00360DE3">
              <w:rPr>
                <w:b/>
              </w:rPr>
              <w:t xml:space="preserve">  Příspěvky</w:t>
            </w:r>
            <w:proofErr w:type="gramEnd"/>
            <w:r w:rsidRPr="00360DE3">
              <w:rPr>
                <w:b/>
              </w:rPr>
              <w:t xml:space="preserve"> jednotlivých složek ke změně HDP* </w:t>
            </w:r>
          </w:p>
          <w:p w:rsidR="00F46502" w:rsidRPr="00360DE3" w:rsidRDefault="00F46502" w:rsidP="002B213A">
            <w:pPr>
              <w:spacing w:after="0"/>
              <w:rPr>
                <w:b/>
              </w:rPr>
            </w:pPr>
            <w:r w:rsidRPr="00360DE3">
              <w:t>(objemové indexy, v p. </w:t>
            </w:r>
            <w:proofErr w:type="spellStart"/>
            <w:r w:rsidRPr="00360DE3">
              <w:t>b</w:t>
            </w:r>
            <w:proofErr w:type="spellEnd"/>
            <w:r w:rsidRPr="00360DE3">
              <w:t>., růst HDP v %)</w:t>
            </w:r>
          </w:p>
        </w:tc>
      </w:tr>
      <w:tr w:rsidR="00F46502" w:rsidRPr="00360DE3" w:rsidTr="002B213A">
        <w:trPr>
          <w:trHeight w:val="170"/>
        </w:trPr>
        <w:tc>
          <w:tcPr>
            <w:tcW w:w="1909" w:type="dxa"/>
            <w:vMerge/>
            <w:shd w:val="clear" w:color="auto" w:fill="auto"/>
          </w:tcPr>
          <w:p w:rsidR="00F46502" w:rsidRPr="00360DE3" w:rsidRDefault="00F46502" w:rsidP="002B213A">
            <w:pPr>
              <w:pStyle w:val="Marginlie"/>
              <w:rPr>
                <w:spacing w:val="0"/>
              </w:rPr>
            </w:pPr>
          </w:p>
        </w:tc>
        <w:tc>
          <w:tcPr>
            <w:tcW w:w="264" w:type="dxa"/>
            <w:vMerge/>
            <w:shd w:val="clear" w:color="auto" w:fill="auto"/>
          </w:tcPr>
          <w:p w:rsidR="00F46502" w:rsidRPr="00360DE3" w:rsidRDefault="00F46502" w:rsidP="002B213A">
            <w:pPr>
              <w:pStyle w:val="Textpoznpodarou1"/>
              <w:jc w:val="both"/>
            </w:pPr>
          </w:p>
        </w:tc>
        <w:tc>
          <w:tcPr>
            <w:tcW w:w="7471" w:type="dxa"/>
            <w:shd w:val="clear" w:color="auto" w:fill="auto"/>
          </w:tcPr>
          <w:p w:rsidR="00F46502" w:rsidRPr="00360DE3" w:rsidRDefault="00F46502" w:rsidP="002B213A">
            <w:pPr>
              <w:spacing w:after="0"/>
            </w:pPr>
            <w:r w:rsidRPr="00360DE3">
              <w:rPr>
                <w:noProof/>
              </w:rPr>
              <w:drawing>
                <wp:inline distT="0" distB="0" distL="0" distR="0">
                  <wp:extent cx="4737600" cy="3553200"/>
                  <wp:effectExtent l="0" t="0" r="0" b="0"/>
                  <wp:docPr id="3"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tc>
      </w:tr>
      <w:tr w:rsidR="00F46502" w:rsidRPr="00360DE3" w:rsidTr="002B213A">
        <w:trPr>
          <w:trHeight w:val="170"/>
        </w:trPr>
        <w:tc>
          <w:tcPr>
            <w:tcW w:w="1909" w:type="dxa"/>
            <w:vMerge/>
            <w:shd w:val="clear" w:color="auto" w:fill="auto"/>
          </w:tcPr>
          <w:p w:rsidR="00F46502" w:rsidRPr="00360DE3" w:rsidRDefault="00F46502" w:rsidP="002B213A">
            <w:pPr>
              <w:pStyle w:val="Marginlie"/>
              <w:rPr>
                <w:spacing w:val="0"/>
              </w:rPr>
            </w:pPr>
          </w:p>
        </w:tc>
        <w:tc>
          <w:tcPr>
            <w:tcW w:w="264" w:type="dxa"/>
            <w:vMerge/>
            <w:shd w:val="clear" w:color="auto" w:fill="auto"/>
          </w:tcPr>
          <w:p w:rsidR="00F46502" w:rsidRPr="00360DE3" w:rsidRDefault="00F46502" w:rsidP="002B213A">
            <w:pPr>
              <w:pStyle w:val="Textpoznpodarou1"/>
              <w:jc w:val="both"/>
            </w:pPr>
          </w:p>
        </w:tc>
        <w:tc>
          <w:tcPr>
            <w:tcW w:w="7471" w:type="dxa"/>
            <w:shd w:val="clear" w:color="auto" w:fill="auto"/>
          </w:tcPr>
          <w:p w:rsidR="00F46502" w:rsidRPr="00360DE3" w:rsidRDefault="00F46502" w:rsidP="002B213A">
            <w:pPr>
              <w:spacing w:after="0"/>
              <w:rPr>
                <w:sz w:val="14"/>
                <w:szCs w:val="14"/>
              </w:rPr>
            </w:pPr>
            <w:r w:rsidRPr="00360DE3">
              <w:rPr>
                <w:sz w:val="14"/>
                <w:szCs w:val="14"/>
              </w:rPr>
              <w:t>Zdroj: ČSÚ</w:t>
            </w:r>
          </w:p>
          <w:p w:rsidR="00F46502" w:rsidRPr="00360DE3" w:rsidRDefault="00F46502" w:rsidP="002B213A">
            <w:pPr>
              <w:rPr>
                <w:sz w:val="14"/>
                <w:szCs w:val="14"/>
              </w:rPr>
            </w:pPr>
            <w:r w:rsidRPr="00360DE3">
              <w:rPr>
                <w:sz w:val="14"/>
                <w:szCs w:val="14"/>
              </w:rPr>
              <w:t>*Po vyloučení dovozu pro konečné užití</w:t>
            </w:r>
          </w:p>
        </w:tc>
      </w:tr>
      <w:tr w:rsidR="00F46502" w:rsidRPr="00360DE3" w:rsidTr="002B213A">
        <w:trPr>
          <w:trHeight w:val="145"/>
        </w:trPr>
        <w:tc>
          <w:tcPr>
            <w:tcW w:w="1909" w:type="dxa"/>
            <w:shd w:val="clear" w:color="auto" w:fill="auto"/>
          </w:tcPr>
          <w:p w:rsidR="00F46502" w:rsidRPr="00360DE3" w:rsidRDefault="00F46502" w:rsidP="002B213A">
            <w:pPr>
              <w:pStyle w:val="Marginlie"/>
              <w:rPr>
                <w:spacing w:val="0"/>
              </w:rPr>
            </w:pPr>
            <w:r w:rsidRPr="00360DE3">
              <w:rPr>
                <w:spacing w:val="0"/>
              </w:rPr>
              <w:t>Hospodářský růst byl podpořen všemi složkami HDP. Nejvýrazněji se projevoval růst spotřeby a investic.</w:t>
            </w:r>
          </w:p>
        </w:tc>
        <w:tc>
          <w:tcPr>
            <w:tcW w:w="264" w:type="dxa"/>
            <w:shd w:val="clear" w:color="auto" w:fill="auto"/>
          </w:tcPr>
          <w:p w:rsidR="00F46502" w:rsidRPr="00360DE3" w:rsidRDefault="00F46502" w:rsidP="002B213A">
            <w:pPr>
              <w:pStyle w:val="Textpoznpodarou1"/>
              <w:jc w:val="both"/>
            </w:pPr>
          </w:p>
        </w:tc>
        <w:tc>
          <w:tcPr>
            <w:tcW w:w="7471" w:type="dxa"/>
            <w:shd w:val="clear" w:color="auto" w:fill="auto"/>
          </w:tcPr>
          <w:p w:rsidR="00F46502" w:rsidRPr="00360DE3" w:rsidRDefault="00F46502" w:rsidP="002B213A">
            <w:r w:rsidRPr="00360DE3">
              <w:t xml:space="preserve">Celkový příspěvek výdajů na konečnou spotřebu k růstu HDP loni dosáhl 2,3 p. </w:t>
            </w:r>
            <w:proofErr w:type="spellStart"/>
            <w:r w:rsidRPr="00360DE3">
              <w:t>b</w:t>
            </w:r>
            <w:proofErr w:type="spellEnd"/>
            <w:r w:rsidRPr="00360DE3">
              <w:t>.</w:t>
            </w:r>
            <w:r w:rsidRPr="00360DE3">
              <w:rPr>
                <w:rStyle w:val="Znakapoznpodarou"/>
              </w:rPr>
              <w:footnoteReference w:id="1"/>
            </w:r>
            <w:r w:rsidRPr="00360DE3">
              <w:t xml:space="preserve"> Klíčovou roli měly domácnosti, jejichž spotřební výdaje se reálně zvýšily o 4,3 % (zrychlení o 0,7 p. </w:t>
            </w:r>
            <w:proofErr w:type="spellStart"/>
            <w:r w:rsidRPr="00360DE3">
              <w:t>b</w:t>
            </w:r>
            <w:proofErr w:type="spellEnd"/>
            <w:r w:rsidRPr="00360DE3">
              <w:t xml:space="preserve">.). Samotný příspěvek spotřeby domácností k růstu HDP narostl na 2,1 p. </w:t>
            </w:r>
            <w:proofErr w:type="spellStart"/>
            <w:r w:rsidRPr="00360DE3">
              <w:t>b</w:t>
            </w:r>
            <w:proofErr w:type="spellEnd"/>
            <w:r w:rsidRPr="00360DE3">
              <w:t>.</w:t>
            </w:r>
            <w:r w:rsidR="000D514E">
              <w:t>,</w:t>
            </w:r>
            <w:r w:rsidRPr="00360DE3">
              <w:t xml:space="preserve"> a byl </w:t>
            </w:r>
            <w:r w:rsidR="000D514E">
              <w:t xml:space="preserve">zároveň </w:t>
            </w:r>
            <w:r w:rsidRPr="00360DE3">
              <w:t xml:space="preserve">nejvyšší od roku 1996. Naopak výdaje na spotřebu vládních institucí rostly pomaleji než v roce 2016 – zvýšily se o 1,3 %. Výsledný příspěvek k celkovému hospodářskému růstu činil 0,2 p. </w:t>
            </w:r>
            <w:proofErr w:type="spellStart"/>
            <w:r w:rsidRPr="00360DE3">
              <w:t>b</w:t>
            </w:r>
            <w:proofErr w:type="spellEnd"/>
            <w:r w:rsidRPr="00360DE3">
              <w:t xml:space="preserve">. Druhý nejvyšší příspěvek k růstu vzešel od rostoucí bilance zahraničního obchodu. Dosáhl 1,4 p. </w:t>
            </w:r>
            <w:proofErr w:type="spellStart"/>
            <w:r w:rsidRPr="00360DE3">
              <w:t>b</w:t>
            </w:r>
            <w:proofErr w:type="spellEnd"/>
            <w:r w:rsidRPr="00360DE3">
              <w:t>.</w:t>
            </w:r>
            <w:r w:rsidR="000D514E">
              <w:t>,</w:t>
            </w:r>
            <w:r w:rsidRPr="00360DE3">
              <w:t xml:space="preserve"> a byl nejvyšší za posledních pět let. Po slabém roce 2016 došlo i k oživení investiční aktivity. Výdaje na tvorbu hrubého fixního kapitálu se zvýšily o 3,3 % a růst HDP podpořily 0,8 p. </w:t>
            </w:r>
            <w:proofErr w:type="spellStart"/>
            <w:r w:rsidRPr="00360DE3">
              <w:t>b</w:t>
            </w:r>
            <w:proofErr w:type="spellEnd"/>
            <w:r w:rsidRPr="00360DE3">
              <w:t>. Tento příspěvek byl (pomineme-li nestandardní rok 2015</w:t>
            </w:r>
            <w:r w:rsidRPr="00360DE3">
              <w:rPr>
                <w:rStyle w:val="Znakapoznpodarou"/>
              </w:rPr>
              <w:footnoteReference w:id="2"/>
            </w:r>
            <w:r w:rsidRPr="00360DE3">
              <w:t xml:space="preserve">) nejvyšší od roku 2007.  </w:t>
            </w:r>
          </w:p>
        </w:tc>
      </w:tr>
      <w:tr w:rsidR="00F46502" w:rsidRPr="00360DE3" w:rsidTr="002B213A">
        <w:trPr>
          <w:trHeight w:val="145"/>
        </w:trPr>
        <w:tc>
          <w:tcPr>
            <w:tcW w:w="1909" w:type="dxa"/>
            <w:shd w:val="clear" w:color="auto" w:fill="auto"/>
          </w:tcPr>
          <w:p w:rsidR="00F46502" w:rsidRPr="00360DE3" w:rsidRDefault="00F46502" w:rsidP="002B213A">
            <w:pPr>
              <w:pStyle w:val="Marginlie"/>
              <w:rPr>
                <w:spacing w:val="0"/>
              </w:rPr>
            </w:pPr>
            <w:r w:rsidRPr="00360DE3">
              <w:rPr>
                <w:spacing w:val="0"/>
              </w:rPr>
              <w:lastRenderedPageBreak/>
              <w:t>Zpracovatelský průmysl loni dále posílil svou převahu v českém hospodářství.</w:t>
            </w:r>
          </w:p>
        </w:tc>
        <w:tc>
          <w:tcPr>
            <w:tcW w:w="264" w:type="dxa"/>
            <w:shd w:val="clear" w:color="auto" w:fill="auto"/>
          </w:tcPr>
          <w:p w:rsidR="00F46502" w:rsidRPr="00360DE3" w:rsidRDefault="00F46502" w:rsidP="002B213A">
            <w:pPr>
              <w:pStyle w:val="Textpoznpodarou1"/>
              <w:jc w:val="both"/>
            </w:pPr>
          </w:p>
        </w:tc>
        <w:tc>
          <w:tcPr>
            <w:tcW w:w="7471" w:type="dxa"/>
            <w:shd w:val="clear" w:color="auto" w:fill="auto"/>
          </w:tcPr>
          <w:p w:rsidR="00F46502" w:rsidRPr="00360DE3" w:rsidRDefault="00F46502" w:rsidP="002B213A">
            <w:r w:rsidRPr="00360DE3">
              <w:t xml:space="preserve">Nabídkovou stranu ekonomiky reprezentuje hrubá přidaná hodnota (HPH). Ta loni dosáhla v běžných cenách 4 527,6 mld. korun a reálně se zvýšila o 4,2 %. Hlavním tvůrcem HPH je v české ekonomice dlouhodobě zpracovatelský průmysl, ve kterém HPH loni vzrostla o 10,5 %. Zpracovatelský průmysl tak nejvýrazněji přispěl k růstu HPH (3,0 p. </w:t>
            </w:r>
            <w:proofErr w:type="spellStart"/>
            <w:r w:rsidRPr="00360DE3">
              <w:t>b</w:t>
            </w:r>
            <w:proofErr w:type="spellEnd"/>
            <w:r w:rsidRPr="00360DE3">
              <w:t xml:space="preserve">.). Ostatním průmyslovým odvětvím se tak nedařilo a růst tlumila celkem o 0,1 p. </w:t>
            </w:r>
            <w:proofErr w:type="spellStart"/>
            <w:r w:rsidRPr="00360DE3">
              <w:t>b</w:t>
            </w:r>
            <w:proofErr w:type="spellEnd"/>
            <w:r w:rsidRPr="00360DE3">
              <w:t xml:space="preserve">. Výjimkou byla výroba a rozvod elektřiny, plynu, tepla a klimatizovaného vzduchu, kde po čtyřech letech propadů loni došlo k mírnému růstu HPH ve výši 3,9 %. Pokračoval však pokles u těžby a dobývání (-9,6 %) a o 3,0 % se snížila HPH v odvětvích věnujících se zásobování vodou a činnostem souvisejícím s odpadními vodami. Pokračoval i slabý výkon stavebnictví, kde HPH meziročně poklesla o 2,9 %. I pod vlivem slabší úrody než v předchozích letech došlo ke snížení HPH v zemědělství, lesnictví a rybářství o 3,0 %.  </w:t>
            </w:r>
          </w:p>
        </w:tc>
      </w:tr>
      <w:tr w:rsidR="00F46502" w:rsidRPr="00360DE3" w:rsidTr="002B213A">
        <w:trPr>
          <w:trHeight w:val="170"/>
        </w:trPr>
        <w:tc>
          <w:tcPr>
            <w:tcW w:w="1909" w:type="dxa"/>
            <w:vMerge w:val="restart"/>
            <w:shd w:val="clear" w:color="auto" w:fill="auto"/>
          </w:tcPr>
          <w:p w:rsidR="00F46502" w:rsidRPr="00360DE3" w:rsidRDefault="00F46502" w:rsidP="002B213A">
            <w:pPr>
              <w:pStyle w:val="Marginlie"/>
              <w:spacing w:after="240"/>
              <w:rPr>
                <w:spacing w:val="0"/>
              </w:rPr>
            </w:pPr>
          </w:p>
        </w:tc>
        <w:tc>
          <w:tcPr>
            <w:tcW w:w="264" w:type="dxa"/>
            <w:vMerge w:val="restart"/>
            <w:shd w:val="clear" w:color="auto" w:fill="auto"/>
          </w:tcPr>
          <w:p w:rsidR="00F46502" w:rsidRPr="00360DE3" w:rsidRDefault="00F46502" w:rsidP="002B213A">
            <w:pPr>
              <w:pStyle w:val="Textpoznpodarou1"/>
              <w:spacing w:after="240"/>
              <w:jc w:val="both"/>
            </w:pPr>
          </w:p>
        </w:tc>
        <w:tc>
          <w:tcPr>
            <w:tcW w:w="7471" w:type="dxa"/>
            <w:shd w:val="clear" w:color="auto" w:fill="auto"/>
          </w:tcPr>
          <w:p w:rsidR="000D514E" w:rsidRDefault="00F46502" w:rsidP="002B213A">
            <w:pPr>
              <w:spacing w:after="0"/>
              <w:rPr>
                <w:rFonts w:cs="Arial"/>
                <w:lang w:eastAsia="en-US"/>
              </w:rPr>
            </w:pPr>
            <w:r w:rsidRPr="00360DE3">
              <w:rPr>
                <w:rFonts w:cs="Arial"/>
                <w:b/>
                <w:lang w:eastAsia="en-US"/>
              </w:rPr>
              <w:t xml:space="preserve">Graf č. </w:t>
            </w:r>
            <w:proofErr w:type="gramStart"/>
            <w:r w:rsidR="002B213A" w:rsidRPr="00360DE3">
              <w:rPr>
                <w:rFonts w:cs="Arial"/>
                <w:b/>
                <w:lang w:eastAsia="en-US"/>
              </w:rPr>
              <w:t>1.2</w:t>
            </w:r>
            <w:r w:rsidRPr="00360DE3">
              <w:rPr>
                <w:rFonts w:cs="Arial"/>
                <w:b/>
                <w:lang w:eastAsia="en-US"/>
              </w:rPr>
              <w:t xml:space="preserve">  Příspěvky</w:t>
            </w:r>
            <w:proofErr w:type="gramEnd"/>
            <w:r w:rsidRPr="00360DE3">
              <w:rPr>
                <w:rFonts w:cs="Arial"/>
                <w:b/>
                <w:lang w:eastAsia="en-US"/>
              </w:rPr>
              <w:t xml:space="preserve"> odvětví ke změně HPH</w:t>
            </w:r>
            <w:r w:rsidRPr="00360DE3">
              <w:rPr>
                <w:rFonts w:cs="Arial"/>
                <w:lang w:eastAsia="en-US"/>
              </w:rPr>
              <w:t xml:space="preserve"> </w:t>
            </w:r>
          </w:p>
          <w:p w:rsidR="00F46502" w:rsidRPr="00360DE3" w:rsidRDefault="00F46502" w:rsidP="002B213A">
            <w:pPr>
              <w:spacing w:after="0"/>
            </w:pPr>
            <w:r w:rsidRPr="00360DE3">
              <w:rPr>
                <w:rFonts w:cs="Arial"/>
                <w:lang w:eastAsia="en-US"/>
              </w:rPr>
              <w:t xml:space="preserve">(objemové indexy, v p. </w:t>
            </w:r>
            <w:proofErr w:type="spellStart"/>
            <w:r w:rsidRPr="00360DE3">
              <w:rPr>
                <w:rFonts w:cs="Arial"/>
                <w:lang w:eastAsia="en-US"/>
              </w:rPr>
              <w:t>b</w:t>
            </w:r>
            <w:proofErr w:type="spellEnd"/>
            <w:r w:rsidRPr="00360DE3">
              <w:rPr>
                <w:rFonts w:cs="Arial"/>
                <w:lang w:eastAsia="en-US"/>
              </w:rPr>
              <w:t>., HPH v %)</w:t>
            </w:r>
          </w:p>
        </w:tc>
      </w:tr>
      <w:tr w:rsidR="00F46502" w:rsidRPr="00360DE3" w:rsidTr="002B213A">
        <w:trPr>
          <w:trHeight w:val="170"/>
        </w:trPr>
        <w:tc>
          <w:tcPr>
            <w:tcW w:w="1909" w:type="dxa"/>
            <w:vMerge/>
            <w:shd w:val="clear" w:color="auto" w:fill="auto"/>
          </w:tcPr>
          <w:p w:rsidR="00F46502" w:rsidRPr="00360DE3" w:rsidRDefault="00F46502" w:rsidP="002B213A">
            <w:pPr>
              <w:pStyle w:val="Marginlie"/>
              <w:spacing w:after="240"/>
              <w:rPr>
                <w:spacing w:val="0"/>
              </w:rPr>
            </w:pPr>
          </w:p>
        </w:tc>
        <w:tc>
          <w:tcPr>
            <w:tcW w:w="264" w:type="dxa"/>
            <w:vMerge/>
            <w:shd w:val="clear" w:color="auto" w:fill="auto"/>
          </w:tcPr>
          <w:p w:rsidR="00F46502" w:rsidRPr="00360DE3" w:rsidRDefault="00F46502" w:rsidP="002B213A">
            <w:pPr>
              <w:pStyle w:val="Textpoznpodarou1"/>
              <w:spacing w:after="240"/>
              <w:jc w:val="both"/>
            </w:pPr>
          </w:p>
        </w:tc>
        <w:tc>
          <w:tcPr>
            <w:tcW w:w="7471" w:type="dxa"/>
            <w:shd w:val="clear" w:color="auto" w:fill="auto"/>
          </w:tcPr>
          <w:p w:rsidR="00F46502" w:rsidRPr="00360DE3" w:rsidRDefault="00F46502" w:rsidP="002B213A">
            <w:pPr>
              <w:spacing w:after="0"/>
            </w:pPr>
            <w:r w:rsidRPr="00360DE3">
              <w:rPr>
                <w:noProof/>
              </w:rPr>
              <w:drawing>
                <wp:inline distT="0" distB="0" distL="0" distR="0">
                  <wp:extent cx="4737600" cy="3553200"/>
                  <wp:effectExtent l="0" t="0" r="0" b="0"/>
                  <wp:docPr id="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tc>
      </w:tr>
      <w:tr w:rsidR="00F46502" w:rsidRPr="00360DE3" w:rsidTr="002B213A">
        <w:trPr>
          <w:trHeight w:val="170"/>
        </w:trPr>
        <w:tc>
          <w:tcPr>
            <w:tcW w:w="1909" w:type="dxa"/>
            <w:vMerge/>
            <w:shd w:val="clear" w:color="auto" w:fill="auto"/>
          </w:tcPr>
          <w:p w:rsidR="00F46502" w:rsidRPr="00360DE3" w:rsidRDefault="00F46502" w:rsidP="002B213A">
            <w:pPr>
              <w:pStyle w:val="Marginlie"/>
              <w:spacing w:after="240"/>
              <w:rPr>
                <w:spacing w:val="0"/>
              </w:rPr>
            </w:pPr>
          </w:p>
        </w:tc>
        <w:tc>
          <w:tcPr>
            <w:tcW w:w="264" w:type="dxa"/>
            <w:vMerge/>
            <w:shd w:val="clear" w:color="auto" w:fill="auto"/>
          </w:tcPr>
          <w:p w:rsidR="00F46502" w:rsidRPr="00360DE3" w:rsidRDefault="00F46502" w:rsidP="002B213A">
            <w:pPr>
              <w:pStyle w:val="Textpoznpodarou1"/>
              <w:spacing w:after="240"/>
              <w:jc w:val="both"/>
            </w:pPr>
          </w:p>
        </w:tc>
        <w:tc>
          <w:tcPr>
            <w:tcW w:w="7471" w:type="dxa"/>
            <w:shd w:val="clear" w:color="auto" w:fill="auto"/>
          </w:tcPr>
          <w:p w:rsidR="00F46502" w:rsidRPr="00360DE3" w:rsidRDefault="00F46502" w:rsidP="002B213A">
            <w:pPr>
              <w:rPr>
                <w:sz w:val="14"/>
                <w:szCs w:val="14"/>
              </w:rPr>
            </w:pPr>
            <w:r w:rsidRPr="00360DE3">
              <w:rPr>
                <w:sz w:val="14"/>
                <w:szCs w:val="14"/>
              </w:rPr>
              <w:t>Zdroj:ČSÚ</w:t>
            </w:r>
          </w:p>
        </w:tc>
      </w:tr>
      <w:tr w:rsidR="00B30358" w:rsidRPr="00360DE3" w:rsidTr="002B213A">
        <w:trPr>
          <w:trHeight w:val="212"/>
        </w:trPr>
        <w:tc>
          <w:tcPr>
            <w:tcW w:w="1909" w:type="dxa"/>
            <w:shd w:val="clear" w:color="auto" w:fill="auto"/>
          </w:tcPr>
          <w:p w:rsidR="00B30358" w:rsidRPr="00360DE3" w:rsidRDefault="00B30358" w:rsidP="00A7184F">
            <w:pPr>
              <w:pStyle w:val="Marginlie"/>
              <w:rPr>
                <w:spacing w:val="0"/>
              </w:rPr>
            </w:pPr>
            <w:r w:rsidRPr="00360DE3">
              <w:rPr>
                <w:spacing w:val="0"/>
              </w:rPr>
              <w:t xml:space="preserve">Odvětví </w:t>
            </w:r>
            <w:proofErr w:type="gramStart"/>
            <w:r w:rsidRPr="00360DE3">
              <w:rPr>
                <w:spacing w:val="0"/>
              </w:rPr>
              <w:t>služeb  podporovalo</w:t>
            </w:r>
            <w:proofErr w:type="gramEnd"/>
            <w:r w:rsidRPr="00360DE3">
              <w:rPr>
                <w:spacing w:val="0"/>
              </w:rPr>
              <w:t xml:space="preserve"> zvýšení domácí poptávky.</w:t>
            </w:r>
          </w:p>
        </w:tc>
        <w:tc>
          <w:tcPr>
            <w:tcW w:w="264" w:type="dxa"/>
            <w:shd w:val="clear" w:color="auto" w:fill="auto"/>
          </w:tcPr>
          <w:p w:rsidR="00B30358" w:rsidRPr="00360DE3" w:rsidRDefault="00B30358" w:rsidP="00A7184F">
            <w:pPr>
              <w:pStyle w:val="Textpoznpodarou1"/>
              <w:jc w:val="both"/>
            </w:pPr>
          </w:p>
        </w:tc>
        <w:tc>
          <w:tcPr>
            <w:tcW w:w="7471" w:type="dxa"/>
            <w:shd w:val="clear" w:color="auto" w:fill="auto"/>
          </w:tcPr>
          <w:p w:rsidR="00B30358" w:rsidRPr="00360DE3" w:rsidRDefault="00B30358" w:rsidP="00A7184F">
            <w:r w:rsidRPr="00360DE3">
              <w:t xml:space="preserve">Odvětvím služeb prospívala zvýšená domácí poptávka i obecné zrychlení hospodářského růstu. Celkový příspěvek služeb k růstu HPH činil 1,6 p. </w:t>
            </w:r>
            <w:proofErr w:type="spellStart"/>
            <w:r w:rsidRPr="00360DE3">
              <w:t>b</w:t>
            </w:r>
            <w:proofErr w:type="spellEnd"/>
            <w:r w:rsidRPr="00360DE3">
              <w:t>. Zvýšená spotřeba domácností podpořila zejména ubytování, stravování a pohostinství, kde růst HPH zrychlil na 3,5 %. Zrychlení ekonomiky a zvýšená potřeba pohybu zboží pak stimulovaly odvětví doprava a skladování – zde se HPH zvýšila o 5,8 %. Naopak u velkoobchodu a maloobchodu se tempo růstu udrželo na 1,7 %. Dohromady zmíněná odvětví přispěla k rů</w:t>
            </w:r>
            <w:r>
              <w:t xml:space="preserve">stu HPH 0,6 p. </w:t>
            </w:r>
            <w:proofErr w:type="spellStart"/>
            <w:r>
              <w:t>b</w:t>
            </w:r>
            <w:proofErr w:type="spellEnd"/>
            <w:r>
              <w:t>. Informačním a</w:t>
            </w:r>
            <w:r w:rsidRPr="00360DE3">
              <w:t> komunikačním činnostem se daří již pět let (oživení zde proběhlo již v roce 2013, dříve než v ostatních důležitých odvětvích), lon</w:t>
            </w:r>
            <w:r>
              <w:t>i jejich HPH vzrostla o 5,7 % a</w:t>
            </w:r>
            <w:r w:rsidRPr="00360DE3">
              <w:t xml:space="preserve"> odvětví přispělo k růstu 0,3 p. </w:t>
            </w:r>
            <w:proofErr w:type="spellStart"/>
            <w:r w:rsidRPr="00360DE3">
              <w:t>b</w:t>
            </w:r>
            <w:proofErr w:type="spellEnd"/>
            <w:r w:rsidRPr="00360DE3">
              <w:t>. Poměrně silně s</w:t>
            </w:r>
            <w:r>
              <w:t>e zvyšovala HPH v peněžnictví a</w:t>
            </w:r>
            <w:r w:rsidRPr="00360DE3">
              <w:t xml:space="preserve"> pojišťovnictví (6,3 %), které podpořilo celkový růst 0,3 p. </w:t>
            </w:r>
            <w:proofErr w:type="spellStart"/>
            <w:r w:rsidRPr="00360DE3">
              <w:t>b</w:t>
            </w:r>
            <w:proofErr w:type="spellEnd"/>
            <w:r w:rsidRPr="00360DE3">
              <w:t xml:space="preserve">. Ostatní odvětví služeb růst podpořila méně. Oslabil růst u profesních, vědeckých a technických činností (2,7 %) i u administrativy a podpůrných činností (4,8 %, příspěvek 0,2 p. </w:t>
            </w:r>
            <w:proofErr w:type="spellStart"/>
            <w:r w:rsidRPr="00360DE3">
              <w:t>b</w:t>
            </w:r>
            <w:proofErr w:type="spellEnd"/>
            <w:r w:rsidRPr="00360DE3">
              <w:t xml:space="preserve">.). Rovněž </w:t>
            </w:r>
            <w:r w:rsidRPr="00360DE3">
              <w:lastRenderedPageBreak/>
              <w:t xml:space="preserve">0,2 p. </w:t>
            </w:r>
            <w:proofErr w:type="spellStart"/>
            <w:r w:rsidRPr="00360DE3">
              <w:t>b</w:t>
            </w:r>
            <w:proofErr w:type="spellEnd"/>
            <w:r w:rsidRPr="00360DE3">
              <w:t xml:space="preserve">. </w:t>
            </w:r>
            <w:proofErr w:type="gramStart"/>
            <w:r w:rsidRPr="00360DE3">
              <w:t>podpořila</w:t>
            </w:r>
            <w:proofErr w:type="gramEnd"/>
            <w:r w:rsidRPr="00360DE3">
              <w:t xml:space="preserve"> růst HPH odvětví </w:t>
            </w:r>
            <w:r>
              <w:t xml:space="preserve">služeb </w:t>
            </w:r>
            <w:r w:rsidRPr="00360DE3">
              <w:t>s dominancí státu</w:t>
            </w:r>
            <w:r>
              <w:rPr>
                <w:rStyle w:val="Znakapoznpodarou"/>
              </w:rPr>
              <w:footnoteReference w:id="3"/>
            </w:r>
            <w:r w:rsidRPr="00360DE3">
              <w:t>, kde hrubá přidaná hodnota vzrostla o 1,6 %. Útlum zažívaly činnosti v oblasti nemovitostí (</w:t>
            </w:r>
            <w:r w:rsidRPr="00360DE3">
              <w:noBreakHyphen/>
              <w:t xml:space="preserve">0,2 %). </w:t>
            </w:r>
          </w:p>
        </w:tc>
      </w:tr>
      <w:tr w:rsidR="00B30358" w:rsidRPr="00360DE3" w:rsidTr="002B213A">
        <w:trPr>
          <w:trHeight w:val="212"/>
        </w:trPr>
        <w:tc>
          <w:tcPr>
            <w:tcW w:w="1909" w:type="dxa"/>
            <w:shd w:val="clear" w:color="auto" w:fill="auto"/>
          </w:tcPr>
          <w:p w:rsidR="00B30358" w:rsidRPr="00360DE3" w:rsidRDefault="00B30358" w:rsidP="002B213A">
            <w:pPr>
              <w:pStyle w:val="Marginlie"/>
              <w:spacing w:after="240"/>
              <w:rPr>
                <w:spacing w:val="0"/>
              </w:rPr>
            </w:pPr>
            <w:r w:rsidRPr="00360DE3">
              <w:rPr>
                <w:spacing w:val="0"/>
              </w:rPr>
              <w:lastRenderedPageBreak/>
              <w:t>Pozitivní ekonomický vývoj probíhal napříč státy Evropské unie.</w:t>
            </w:r>
          </w:p>
        </w:tc>
        <w:tc>
          <w:tcPr>
            <w:tcW w:w="264" w:type="dxa"/>
            <w:shd w:val="clear" w:color="auto" w:fill="auto"/>
          </w:tcPr>
          <w:p w:rsidR="00B30358" w:rsidRPr="00360DE3" w:rsidRDefault="00B30358" w:rsidP="002B213A">
            <w:pPr>
              <w:pStyle w:val="Textpoznpodarou1"/>
              <w:spacing w:after="240"/>
              <w:jc w:val="both"/>
            </w:pPr>
          </w:p>
        </w:tc>
        <w:tc>
          <w:tcPr>
            <w:tcW w:w="7471" w:type="dxa"/>
            <w:shd w:val="clear" w:color="auto" w:fill="auto"/>
          </w:tcPr>
          <w:p w:rsidR="00B30358" w:rsidRPr="00360DE3" w:rsidRDefault="00B30358" w:rsidP="002B213A">
            <w:r w:rsidRPr="00360DE3">
              <w:t xml:space="preserve">Hrubý domácí produkt v Evropské unii loni vzrostl o 2,4 %. Výkon unijní ekonomiky tak zrychlil a dosáhl nejvyšší hodnoty přírůstku od konjunkturního roku 2007. Z celkového pohledu ke zrychlení přispělo zvýšení přebytku obchodní bilance i mírné posílení investiční aktivity. Růst spotřeby naopak zmírnil. Zrychlení hospodářského růstu se odehrálo ve většině </w:t>
            </w:r>
            <w:r>
              <w:t>jednotlivých ekonomik, důvody u</w:t>
            </w:r>
            <w:r w:rsidRPr="00360DE3">
              <w:t> jednotlivých zemí však byly různé. Nejvýraznějšího přírůstku HDP (7,2 %) dosáhlo Irsko, kde panují poměrně nestandardní podmínky, které znesnadňují srovnání se zbytkem EU</w:t>
            </w:r>
            <w:r w:rsidRPr="00360DE3">
              <w:rPr>
                <w:rStyle w:val="Znakapoznpodarou"/>
              </w:rPr>
              <w:footnoteReference w:id="4"/>
            </w:r>
            <w:r w:rsidRPr="00360DE3">
              <w:t>. K růstu zde každopádně přispělo více než zdvojnásobení přebytku bilance zahraničního obchodu. Mezi nejrychle</w:t>
            </w:r>
            <w:r>
              <w:t>ji rostoucími zeměmi se umístily i novější členské státy</w:t>
            </w:r>
            <w:r w:rsidRPr="00360DE3">
              <w:t xml:space="preserve"> Unie. Růst zde podpořila podobně jako v ČR zejména kombinace zvýšených výdajů na spotřebu a posílené investiční aktivity. To byl případ Rumunska (růst HDP o 6,9 %), Slovinska (5,0 %), Estonska (4,9 %) nebo Lotyšska (4,5 %). Poprvé od roku 2007 rostl HDP u všech zemí EU. Nejnižšího přírůstku dosáhlo Řecko (1,4 %, došlo zde k výraznému nárůstu investic), Itálie (1,5 %), shodně Velká Británie a Belgie (1,7 %). Ekonomika Velké Británie byla jednou z mála, kde došlo k meziročnímu zpomalení růstu. Určité zvolňování výkonu zd</w:t>
            </w:r>
            <w:r>
              <w:t>e trvá již třetím rokem.</w:t>
            </w:r>
          </w:p>
        </w:tc>
      </w:tr>
      <w:tr w:rsidR="00B30358" w:rsidRPr="00360DE3" w:rsidTr="002B213A">
        <w:trPr>
          <w:trHeight w:val="150"/>
        </w:trPr>
        <w:tc>
          <w:tcPr>
            <w:tcW w:w="1909" w:type="dxa"/>
            <w:vMerge w:val="restart"/>
            <w:shd w:val="clear" w:color="auto" w:fill="auto"/>
          </w:tcPr>
          <w:p w:rsidR="00B30358" w:rsidRPr="00360DE3" w:rsidRDefault="00B30358" w:rsidP="002B213A">
            <w:pPr>
              <w:pStyle w:val="Marginlie"/>
              <w:spacing w:after="240"/>
              <w:rPr>
                <w:spacing w:val="0"/>
              </w:rPr>
            </w:pPr>
          </w:p>
        </w:tc>
        <w:tc>
          <w:tcPr>
            <w:tcW w:w="264" w:type="dxa"/>
            <w:vMerge w:val="restart"/>
            <w:shd w:val="clear" w:color="auto" w:fill="auto"/>
          </w:tcPr>
          <w:p w:rsidR="00B30358" w:rsidRPr="00360DE3" w:rsidRDefault="00B30358" w:rsidP="002B213A">
            <w:pPr>
              <w:pStyle w:val="Textpoznpodarou1"/>
              <w:jc w:val="both"/>
            </w:pPr>
          </w:p>
        </w:tc>
        <w:tc>
          <w:tcPr>
            <w:tcW w:w="7471" w:type="dxa"/>
            <w:shd w:val="clear" w:color="auto" w:fill="auto"/>
          </w:tcPr>
          <w:p w:rsidR="00B30358" w:rsidRDefault="00B30358" w:rsidP="002B213A">
            <w:pPr>
              <w:spacing w:after="0"/>
            </w:pPr>
            <w:r w:rsidRPr="00360DE3">
              <w:rPr>
                <w:b/>
              </w:rPr>
              <w:t xml:space="preserve">Graf č. </w:t>
            </w:r>
            <w:proofErr w:type="gramStart"/>
            <w:r w:rsidRPr="00360DE3">
              <w:rPr>
                <w:b/>
              </w:rPr>
              <w:t>1.3  Hrubý</w:t>
            </w:r>
            <w:proofErr w:type="gramEnd"/>
            <w:r w:rsidRPr="00360DE3">
              <w:rPr>
                <w:b/>
              </w:rPr>
              <w:t xml:space="preserve"> domácí produkt</w:t>
            </w:r>
            <w:r w:rsidRPr="00360DE3">
              <w:t xml:space="preserve"> </w:t>
            </w:r>
          </w:p>
          <w:p w:rsidR="00B30358" w:rsidRPr="00360DE3" w:rsidRDefault="00B30358" w:rsidP="002B213A">
            <w:pPr>
              <w:spacing w:after="0"/>
            </w:pPr>
            <w:r w:rsidRPr="00360DE3">
              <w:t>(meziroční přírůstek v %)</w:t>
            </w:r>
          </w:p>
        </w:tc>
      </w:tr>
      <w:tr w:rsidR="00B30358" w:rsidRPr="00360DE3" w:rsidTr="002B213A">
        <w:trPr>
          <w:trHeight w:val="150"/>
        </w:trPr>
        <w:tc>
          <w:tcPr>
            <w:tcW w:w="1909" w:type="dxa"/>
            <w:vMerge/>
            <w:shd w:val="clear" w:color="auto" w:fill="auto"/>
          </w:tcPr>
          <w:p w:rsidR="00B30358" w:rsidRPr="00360DE3" w:rsidRDefault="00B30358" w:rsidP="002B213A">
            <w:pPr>
              <w:pStyle w:val="Marginlie"/>
              <w:spacing w:after="240"/>
              <w:rPr>
                <w:spacing w:val="0"/>
              </w:rPr>
            </w:pPr>
          </w:p>
        </w:tc>
        <w:tc>
          <w:tcPr>
            <w:tcW w:w="264" w:type="dxa"/>
            <w:vMerge/>
            <w:shd w:val="clear" w:color="auto" w:fill="auto"/>
          </w:tcPr>
          <w:p w:rsidR="00B30358" w:rsidRPr="00360DE3" w:rsidRDefault="00B30358" w:rsidP="002B213A">
            <w:pPr>
              <w:pStyle w:val="Textpoznpodarou1"/>
              <w:jc w:val="both"/>
            </w:pPr>
          </w:p>
        </w:tc>
        <w:tc>
          <w:tcPr>
            <w:tcW w:w="7471" w:type="dxa"/>
            <w:shd w:val="clear" w:color="auto" w:fill="auto"/>
          </w:tcPr>
          <w:p w:rsidR="00B30358" w:rsidRPr="00360DE3" w:rsidRDefault="00B30358" w:rsidP="002B213A">
            <w:pPr>
              <w:spacing w:after="0"/>
            </w:pPr>
            <w:r w:rsidRPr="00360DE3">
              <w:rPr>
                <w:noProof/>
              </w:rPr>
              <w:drawing>
                <wp:inline distT="0" distB="0" distL="0" distR="0">
                  <wp:extent cx="4737600" cy="3553200"/>
                  <wp:effectExtent l="0" t="0" r="0" b="0"/>
                  <wp:docPr id="40"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r w:rsidR="00B30358" w:rsidRPr="00360DE3" w:rsidTr="002B213A">
        <w:trPr>
          <w:trHeight w:val="150"/>
        </w:trPr>
        <w:tc>
          <w:tcPr>
            <w:tcW w:w="1909" w:type="dxa"/>
            <w:vMerge/>
            <w:shd w:val="clear" w:color="auto" w:fill="auto"/>
          </w:tcPr>
          <w:p w:rsidR="00B30358" w:rsidRPr="00360DE3" w:rsidRDefault="00B30358" w:rsidP="002B213A">
            <w:pPr>
              <w:pStyle w:val="Marginlie"/>
              <w:spacing w:after="240"/>
              <w:rPr>
                <w:spacing w:val="0"/>
              </w:rPr>
            </w:pPr>
          </w:p>
        </w:tc>
        <w:tc>
          <w:tcPr>
            <w:tcW w:w="264" w:type="dxa"/>
            <w:vMerge/>
            <w:shd w:val="clear" w:color="auto" w:fill="auto"/>
          </w:tcPr>
          <w:p w:rsidR="00B30358" w:rsidRPr="00360DE3" w:rsidRDefault="00B30358" w:rsidP="002B213A">
            <w:pPr>
              <w:pStyle w:val="Textpoznpodarou1"/>
              <w:jc w:val="both"/>
            </w:pPr>
          </w:p>
        </w:tc>
        <w:tc>
          <w:tcPr>
            <w:tcW w:w="7471" w:type="dxa"/>
            <w:shd w:val="clear" w:color="auto" w:fill="auto"/>
          </w:tcPr>
          <w:p w:rsidR="00B30358" w:rsidRPr="00360DE3" w:rsidRDefault="00B30358" w:rsidP="002B213A">
            <w:pPr>
              <w:spacing w:after="0"/>
              <w:rPr>
                <w:sz w:val="14"/>
                <w:szCs w:val="14"/>
              </w:rPr>
            </w:pPr>
            <w:r w:rsidRPr="00360DE3">
              <w:rPr>
                <w:sz w:val="14"/>
                <w:szCs w:val="14"/>
              </w:rPr>
              <w:t xml:space="preserve">Zdroj: </w:t>
            </w:r>
            <w:proofErr w:type="spellStart"/>
            <w:r w:rsidRPr="00360DE3">
              <w:rPr>
                <w:sz w:val="14"/>
                <w:szCs w:val="14"/>
              </w:rPr>
              <w:t>Eurostat</w:t>
            </w:r>
            <w:proofErr w:type="spellEnd"/>
          </w:p>
        </w:tc>
      </w:tr>
      <w:tr w:rsidR="00B30358" w:rsidRPr="00360DE3" w:rsidTr="002B213A">
        <w:trPr>
          <w:trHeight w:val="150"/>
        </w:trPr>
        <w:tc>
          <w:tcPr>
            <w:tcW w:w="1909" w:type="dxa"/>
            <w:shd w:val="clear" w:color="auto" w:fill="auto"/>
          </w:tcPr>
          <w:p w:rsidR="00B30358" w:rsidRPr="00360DE3" w:rsidRDefault="00B30358" w:rsidP="002B213A">
            <w:pPr>
              <w:pStyle w:val="Marginlie"/>
              <w:spacing w:after="240"/>
              <w:rPr>
                <w:spacing w:val="0"/>
              </w:rPr>
            </w:pPr>
          </w:p>
        </w:tc>
        <w:tc>
          <w:tcPr>
            <w:tcW w:w="264" w:type="dxa"/>
            <w:shd w:val="clear" w:color="auto" w:fill="auto"/>
          </w:tcPr>
          <w:p w:rsidR="00B30358" w:rsidRPr="00360DE3" w:rsidRDefault="00B30358" w:rsidP="002B213A">
            <w:pPr>
              <w:pStyle w:val="Textpoznpodarou1"/>
              <w:jc w:val="both"/>
            </w:pPr>
          </w:p>
        </w:tc>
        <w:tc>
          <w:tcPr>
            <w:tcW w:w="7471" w:type="dxa"/>
            <w:shd w:val="clear" w:color="auto" w:fill="auto"/>
          </w:tcPr>
          <w:p w:rsidR="00B30358" w:rsidRPr="00360DE3" w:rsidRDefault="00B30358" w:rsidP="002B213A">
            <w:pPr>
              <w:spacing w:after="0"/>
              <w:rPr>
                <w:sz w:val="14"/>
                <w:szCs w:val="14"/>
              </w:rPr>
            </w:pPr>
          </w:p>
        </w:tc>
      </w:tr>
    </w:tbl>
    <w:p w:rsidR="00F46502" w:rsidRPr="00360DE3" w:rsidRDefault="00F46502" w:rsidP="00F46502">
      <w:pPr>
        <w:pStyle w:val="Nadpis1"/>
      </w:pPr>
      <w:bookmarkStart w:id="4" w:name="_Toc511215218"/>
      <w:bookmarkStart w:id="5" w:name="_Toc527639460"/>
      <w:r w:rsidRPr="00360DE3">
        <w:lastRenderedPageBreak/>
        <w:t>2. Ceny</w:t>
      </w:r>
      <w:bookmarkEnd w:id="4"/>
      <w:bookmarkEnd w:id="5"/>
    </w:p>
    <w:p w:rsidR="00F46502" w:rsidRPr="00360DE3" w:rsidRDefault="00F46502" w:rsidP="00F46502">
      <w:pPr>
        <w:pStyle w:val="Nadpis21"/>
      </w:pPr>
      <w:bookmarkStart w:id="6" w:name="_Toc527639461"/>
      <w:r w:rsidRPr="00360DE3">
        <w:t>2.1 Deflátor HDP</w:t>
      </w:r>
      <w:bookmarkEnd w:id="6"/>
    </w:p>
    <w:tbl>
      <w:tblPr>
        <w:tblW w:w="9597" w:type="dxa"/>
        <w:tblInd w:w="-15" w:type="dxa"/>
        <w:tblLayout w:type="fixed"/>
        <w:tblCellMar>
          <w:left w:w="0" w:type="dxa"/>
          <w:right w:w="0" w:type="dxa"/>
        </w:tblCellMar>
        <w:tblLook w:val="00A0"/>
      </w:tblPr>
      <w:tblGrid>
        <w:gridCol w:w="1966"/>
        <w:gridCol w:w="276"/>
        <w:gridCol w:w="7355"/>
      </w:tblGrid>
      <w:tr w:rsidR="00F46502" w:rsidRPr="00360DE3" w:rsidTr="002B213A">
        <w:trPr>
          <w:trHeight w:val="145"/>
        </w:trPr>
        <w:tc>
          <w:tcPr>
            <w:tcW w:w="1966" w:type="dxa"/>
          </w:tcPr>
          <w:p w:rsidR="00F46502" w:rsidRPr="00360DE3" w:rsidRDefault="00F46502" w:rsidP="002B213A">
            <w:pPr>
              <w:pStyle w:val="Marginlie"/>
              <w:rPr>
                <w:spacing w:val="0"/>
              </w:rPr>
            </w:pPr>
            <w:r w:rsidRPr="00360DE3">
              <w:rPr>
                <w:spacing w:val="0"/>
              </w:rPr>
              <w:t>Celková cenová hladina loni vzrostla o 1,3 %. Růst výrazně podpořily spotřební statky.</w:t>
            </w:r>
          </w:p>
        </w:tc>
        <w:tc>
          <w:tcPr>
            <w:tcW w:w="276" w:type="dxa"/>
          </w:tcPr>
          <w:p w:rsidR="00F46502" w:rsidRPr="00360DE3" w:rsidRDefault="00F46502" w:rsidP="002B213A">
            <w:pPr>
              <w:pStyle w:val="Textpoznpodarou"/>
              <w:jc w:val="both"/>
            </w:pPr>
          </w:p>
        </w:tc>
        <w:tc>
          <w:tcPr>
            <w:tcW w:w="7355" w:type="dxa"/>
          </w:tcPr>
          <w:p w:rsidR="00F46502" w:rsidRPr="00360DE3" w:rsidRDefault="00F46502" w:rsidP="00EA405F">
            <w:pPr>
              <w:spacing w:after="220"/>
            </w:pPr>
            <w:r w:rsidRPr="00360DE3">
              <w:t>Celková cenová hladina měřená deflátorem hrubého domácího produktu se v roce 2017 zvýšila o 1,4 %. To je o 0,2 p. </w:t>
            </w:r>
            <w:proofErr w:type="spellStart"/>
            <w:r w:rsidRPr="00360DE3">
              <w:t>b</w:t>
            </w:r>
            <w:proofErr w:type="spellEnd"/>
            <w:r w:rsidRPr="00360DE3">
              <w:t xml:space="preserve">. </w:t>
            </w:r>
            <w:proofErr w:type="gramStart"/>
            <w:r w:rsidRPr="00360DE3">
              <w:t>více</w:t>
            </w:r>
            <w:proofErr w:type="gramEnd"/>
            <w:r w:rsidRPr="00360DE3">
              <w:t xml:space="preserve"> než v předchozím roce. Přitom se v porovnání s rokem 2016 zrychlil růst cen statků spotřebovávaných domácnostmi (z 0,5 % na 2,4 %), podobně jako ceny zboží a služeb spotřebovávaných vládními </w:t>
            </w:r>
            <w:proofErr w:type="gramStart"/>
            <w:r w:rsidRPr="00360DE3">
              <w:t>institucemi (z 1,8</w:t>
            </w:r>
            <w:proofErr w:type="gramEnd"/>
            <w:r w:rsidRPr="00360DE3">
              <w:t xml:space="preserve"> % na 4,0 %). Zrychlení se nevyhnulo ani cenám kapitálových statků. Ty celkově vzrostly o 1,3 %. </w:t>
            </w:r>
          </w:p>
        </w:tc>
      </w:tr>
      <w:tr w:rsidR="00F46502" w:rsidRPr="00360DE3" w:rsidTr="002B213A">
        <w:trPr>
          <w:trHeight w:val="145"/>
        </w:trPr>
        <w:tc>
          <w:tcPr>
            <w:tcW w:w="1966" w:type="dxa"/>
            <w:shd w:val="clear" w:color="auto" w:fill="auto"/>
          </w:tcPr>
          <w:p w:rsidR="00F46502" w:rsidRPr="00360DE3" w:rsidRDefault="00F46502" w:rsidP="002B213A">
            <w:pPr>
              <w:pStyle w:val="Marginlie"/>
              <w:rPr>
                <w:spacing w:val="0"/>
              </w:rPr>
            </w:pPr>
            <w:r w:rsidRPr="00360DE3">
              <w:rPr>
                <w:spacing w:val="0"/>
              </w:rPr>
              <w:t>Směnné relace byly poprvé po čtyřech letech záporné.</w:t>
            </w:r>
          </w:p>
        </w:tc>
        <w:tc>
          <w:tcPr>
            <w:tcW w:w="276" w:type="dxa"/>
          </w:tcPr>
          <w:p w:rsidR="00F46502" w:rsidRPr="00360DE3" w:rsidRDefault="00F46502" w:rsidP="002B213A">
            <w:pPr>
              <w:pStyle w:val="Textpoznpodarou"/>
              <w:jc w:val="both"/>
            </w:pPr>
          </w:p>
        </w:tc>
        <w:tc>
          <w:tcPr>
            <w:tcW w:w="7355" w:type="dxa"/>
          </w:tcPr>
          <w:p w:rsidR="00F46502" w:rsidRPr="00360DE3" w:rsidRDefault="00F46502" w:rsidP="00EA405F">
            <w:pPr>
              <w:spacing w:after="220"/>
            </w:pPr>
            <w:r w:rsidRPr="00360DE3">
              <w:t>Výslednou cenovou hladinu však po celý rok negativně ovlivňovaly záporné směnné relace. Ty loni dosáhly 99,0 %. Do záporných hodnot se směnné relace dostaly poprvé po čtyřech letech. Důvodem byl výsledek obchodu se zbožím, směnné relace zde loni činily 98,8 %. Naopak směnné relace zahraničního obchodu se službami dosáhly 100,2 %.</w:t>
            </w:r>
          </w:p>
        </w:tc>
      </w:tr>
      <w:tr w:rsidR="00F46502" w:rsidRPr="00360DE3" w:rsidTr="002B213A">
        <w:trPr>
          <w:trHeight w:val="90"/>
        </w:trPr>
        <w:tc>
          <w:tcPr>
            <w:tcW w:w="1966" w:type="dxa"/>
            <w:vMerge w:val="restart"/>
            <w:shd w:val="clear" w:color="auto" w:fill="auto"/>
          </w:tcPr>
          <w:p w:rsidR="00F46502" w:rsidRPr="00360DE3" w:rsidRDefault="00F46502" w:rsidP="002B213A">
            <w:pPr>
              <w:pStyle w:val="Marginlie"/>
              <w:rPr>
                <w:spacing w:val="0"/>
              </w:rPr>
            </w:pPr>
          </w:p>
        </w:tc>
        <w:tc>
          <w:tcPr>
            <w:tcW w:w="276" w:type="dxa"/>
            <w:vMerge w:val="restart"/>
          </w:tcPr>
          <w:p w:rsidR="00F46502" w:rsidRPr="00360DE3" w:rsidRDefault="00F46502" w:rsidP="002B213A">
            <w:pPr>
              <w:pStyle w:val="Textpoznpodarou"/>
              <w:jc w:val="both"/>
            </w:pPr>
          </w:p>
        </w:tc>
        <w:tc>
          <w:tcPr>
            <w:tcW w:w="7355" w:type="dxa"/>
          </w:tcPr>
          <w:p w:rsidR="00F46502" w:rsidRPr="00360DE3" w:rsidRDefault="00F46502" w:rsidP="002B213A">
            <w:pPr>
              <w:spacing w:after="0"/>
              <w:rPr>
                <w:b/>
              </w:rPr>
            </w:pPr>
            <w:r w:rsidRPr="00360DE3">
              <w:rPr>
                <w:b/>
              </w:rPr>
              <w:t xml:space="preserve">Graf č. </w:t>
            </w:r>
            <w:proofErr w:type="gramStart"/>
            <w:r w:rsidR="002B213A" w:rsidRPr="00360DE3">
              <w:rPr>
                <w:b/>
              </w:rPr>
              <w:t>2.1.1</w:t>
            </w:r>
            <w:r w:rsidRPr="00360DE3">
              <w:rPr>
                <w:b/>
              </w:rPr>
              <w:t xml:space="preserve">  Deflátor</w:t>
            </w:r>
            <w:proofErr w:type="gramEnd"/>
            <w:r w:rsidRPr="00360DE3">
              <w:rPr>
                <w:b/>
              </w:rPr>
              <w:t xml:space="preserve"> HDP a jeho složek </w:t>
            </w:r>
            <w:r w:rsidRPr="00360DE3">
              <w:t>(meziroční změna v %)</w:t>
            </w:r>
          </w:p>
        </w:tc>
      </w:tr>
      <w:tr w:rsidR="00F46502" w:rsidRPr="00360DE3" w:rsidTr="002B213A">
        <w:trPr>
          <w:trHeight w:val="90"/>
        </w:trPr>
        <w:tc>
          <w:tcPr>
            <w:tcW w:w="1966" w:type="dxa"/>
            <w:vMerge/>
            <w:shd w:val="clear" w:color="auto" w:fill="auto"/>
          </w:tcPr>
          <w:p w:rsidR="00F46502" w:rsidRPr="00360DE3" w:rsidRDefault="00F46502" w:rsidP="002B213A">
            <w:pPr>
              <w:pStyle w:val="Marginlie"/>
              <w:rPr>
                <w:spacing w:val="0"/>
              </w:rPr>
            </w:pPr>
          </w:p>
        </w:tc>
        <w:tc>
          <w:tcPr>
            <w:tcW w:w="276" w:type="dxa"/>
            <w:vMerge/>
          </w:tcPr>
          <w:p w:rsidR="00F46502" w:rsidRPr="00360DE3" w:rsidRDefault="00F46502" w:rsidP="002B213A">
            <w:pPr>
              <w:pStyle w:val="Textpoznpodarou"/>
              <w:jc w:val="both"/>
            </w:pPr>
          </w:p>
        </w:tc>
        <w:tc>
          <w:tcPr>
            <w:tcW w:w="7355" w:type="dxa"/>
          </w:tcPr>
          <w:p w:rsidR="00F46502" w:rsidRPr="00360DE3" w:rsidRDefault="00F46502" w:rsidP="002B213A">
            <w:pPr>
              <w:spacing w:after="0"/>
              <w:rPr>
                <w:b/>
              </w:rPr>
            </w:pPr>
            <w:r w:rsidRPr="00360DE3">
              <w:rPr>
                <w:b/>
                <w:noProof/>
              </w:rPr>
              <w:drawing>
                <wp:inline distT="0" distB="0" distL="0" distR="0">
                  <wp:extent cx="4740295" cy="3522964"/>
                  <wp:effectExtent l="0" t="0" r="0" b="0"/>
                  <wp:docPr id="10"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r w:rsidR="00F46502" w:rsidRPr="00360DE3" w:rsidTr="002B213A">
        <w:trPr>
          <w:trHeight w:val="90"/>
        </w:trPr>
        <w:tc>
          <w:tcPr>
            <w:tcW w:w="1966" w:type="dxa"/>
            <w:vMerge/>
            <w:shd w:val="clear" w:color="auto" w:fill="auto"/>
          </w:tcPr>
          <w:p w:rsidR="00F46502" w:rsidRPr="00360DE3" w:rsidRDefault="00F46502" w:rsidP="002B213A">
            <w:pPr>
              <w:pStyle w:val="Marginlie"/>
              <w:rPr>
                <w:spacing w:val="0"/>
              </w:rPr>
            </w:pPr>
          </w:p>
        </w:tc>
        <w:tc>
          <w:tcPr>
            <w:tcW w:w="276" w:type="dxa"/>
            <w:vMerge/>
          </w:tcPr>
          <w:p w:rsidR="00F46502" w:rsidRPr="00360DE3" w:rsidRDefault="00F46502" w:rsidP="002B213A">
            <w:pPr>
              <w:pStyle w:val="Textpoznpodarou"/>
              <w:jc w:val="both"/>
            </w:pPr>
          </w:p>
        </w:tc>
        <w:tc>
          <w:tcPr>
            <w:tcW w:w="7355" w:type="dxa"/>
          </w:tcPr>
          <w:p w:rsidR="00F46502" w:rsidRPr="00360DE3" w:rsidRDefault="00493F18" w:rsidP="00EA405F">
            <w:pPr>
              <w:pStyle w:val="Textpoznpodarou"/>
              <w:spacing w:after="220" w:line="276" w:lineRule="auto"/>
              <w:jc w:val="both"/>
              <w:rPr>
                <w:b/>
              </w:rPr>
            </w:pPr>
            <w:r>
              <w:rPr>
                <w:sz w:val="14"/>
                <w:szCs w:val="14"/>
              </w:rPr>
              <w:t>Z</w:t>
            </w:r>
            <w:r w:rsidR="00F46502" w:rsidRPr="00360DE3">
              <w:rPr>
                <w:sz w:val="14"/>
                <w:szCs w:val="14"/>
              </w:rPr>
              <w:t>droj: ČSÚ, vlastní výpočty</w:t>
            </w:r>
          </w:p>
        </w:tc>
      </w:tr>
    </w:tbl>
    <w:p w:rsidR="00F46502" w:rsidRPr="00360DE3" w:rsidRDefault="00F46502" w:rsidP="00F46502">
      <w:pPr>
        <w:pStyle w:val="Nadpis2"/>
      </w:pPr>
      <w:bookmarkStart w:id="7" w:name="_Toc527639462"/>
      <w:r w:rsidRPr="00360DE3">
        <w:t>2.2 Spotřebitelské ceny</w:t>
      </w:r>
      <w:bookmarkEnd w:id="7"/>
    </w:p>
    <w:tbl>
      <w:tblPr>
        <w:tblW w:w="9644" w:type="dxa"/>
        <w:tblInd w:w="-15" w:type="dxa"/>
        <w:tblLayout w:type="fixed"/>
        <w:tblCellMar>
          <w:left w:w="0" w:type="dxa"/>
          <w:right w:w="0" w:type="dxa"/>
        </w:tblCellMar>
        <w:tblLook w:val="00A0"/>
      </w:tblPr>
      <w:tblGrid>
        <w:gridCol w:w="1976"/>
        <w:gridCol w:w="277"/>
        <w:gridCol w:w="7391"/>
      </w:tblGrid>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t>Po letech stagnace se v roce 2017 obnovil růst spotřebitelských cen.</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EA405F">
            <w:pPr>
              <w:spacing w:after="220"/>
              <w:rPr>
                <w:sz w:val="16"/>
                <w:szCs w:val="16"/>
              </w:rPr>
            </w:pPr>
            <w:r w:rsidRPr="00360DE3">
              <w:t>Index spotřebitelských cen v roce 2017 vzrostl o 2,5 %. To je nejvíce od roku 2012. V porovnání s lety 2014–2016 došlo tedy ke značnému oživení meziroční dynamiky. Zlom se odehrál již v posledních měsících roku 2016. Meziroční přírůstek indexu se dostal nad 2% hranici v lednu 2017 (poprvé od prosince 2012). Pod 2% hranicí se tedy meziroční dynamika držela nepřetržitě 47 měsíců a dotkla se jí až v prosinci 2016. V průběhu roku 2017 pak meziroční růst spotřebitelských cen sílil. Tomu napomohlo výrazné meziměsíční navýšení indexu v lednu (0,8 %). Díky tomu se udržela meziroční dynamika nad 2% hranicí i ve 2. čtvrtletí, kdy index stagnoval. Dalšímu zrychlení meziročního růstu spotřebitelských cen napomohly meziměsíční impulsy v červenci a říjnu (0,5 %).</w:t>
            </w:r>
          </w:p>
        </w:tc>
      </w:tr>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t xml:space="preserve">Rostly ceny všech hlavních komponent spotřebního </w:t>
            </w:r>
            <w:r w:rsidRPr="00360DE3">
              <w:rPr>
                <w:spacing w:val="0"/>
              </w:rPr>
              <w:lastRenderedPageBreak/>
              <w:t xml:space="preserve">koše. Klíčový byl příspěvek potravin a nealkoholických nápojů. </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pPr>
              <w:rPr>
                <w:sz w:val="16"/>
                <w:szCs w:val="16"/>
              </w:rPr>
            </w:pPr>
            <w:r w:rsidRPr="00360DE3">
              <w:t xml:space="preserve">Klíčovou komponentou spotřebitelského koše, která táhla loňský růst cen, byly potraviny. Jejich příspěvek k růstu v roce 2017 činil 0,9 procentního bodu (p. </w:t>
            </w:r>
            <w:proofErr w:type="spellStart"/>
            <w:r w:rsidRPr="00360DE3">
              <w:t>b</w:t>
            </w:r>
            <w:proofErr w:type="spellEnd"/>
            <w:r w:rsidRPr="00360DE3">
              <w:t xml:space="preserve">.). </w:t>
            </w:r>
            <w:r w:rsidRPr="00360DE3">
              <w:lastRenderedPageBreak/>
              <w:t xml:space="preserve">Sílící růst cen bydlení a energií přispěl 0,4 p. </w:t>
            </w:r>
            <w:proofErr w:type="spellStart"/>
            <w:r w:rsidRPr="00360DE3">
              <w:t>b</w:t>
            </w:r>
            <w:proofErr w:type="spellEnd"/>
            <w:r w:rsidRPr="00360DE3">
              <w:t xml:space="preserve">., stejně jako ceny dopravy. Zatímco doprava tlačila spotřebitelské ceny vzhůru především v 1. čtvrtletí, bydlení a energie výrazněji podpořily růst v druhé polovině roku. Výrazněji (0,3 p. </w:t>
            </w:r>
            <w:proofErr w:type="spellStart"/>
            <w:r w:rsidRPr="00360DE3">
              <w:t>b</w:t>
            </w:r>
            <w:proofErr w:type="spellEnd"/>
            <w:r w:rsidRPr="00360DE3">
              <w:t xml:space="preserve">.) k růstu přispělo i stravování a ubytování, které má přitom ve spotřebitelském koši poměrně malou váhu (5,4 %). V porovnání s rokem 2016 se snížil příspěvek alkoholických nápojů a tabáku a loni dosáhl 0,2 </w:t>
            </w:r>
            <w:proofErr w:type="spellStart"/>
            <w:proofErr w:type="gramStart"/>
            <w:r w:rsidRPr="00360DE3">
              <w:t>p.b</w:t>
            </w:r>
            <w:proofErr w:type="spellEnd"/>
            <w:r w:rsidRPr="00360DE3">
              <w:t>.</w:t>
            </w:r>
            <w:proofErr w:type="gramEnd"/>
          </w:p>
        </w:tc>
      </w:tr>
      <w:tr w:rsidR="00F46502" w:rsidRPr="00360DE3" w:rsidTr="002B213A">
        <w:tc>
          <w:tcPr>
            <w:tcW w:w="1976" w:type="dxa"/>
            <w:vMerge w:val="restart"/>
          </w:tcPr>
          <w:p w:rsidR="00F46502" w:rsidRPr="00360DE3" w:rsidRDefault="00F46502" w:rsidP="002B213A">
            <w:pPr>
              <w:pStyle w:val="Marginlie"/>
              <w:rPr>
                <w:spacing w:val="0"/>
              </w:rPr>
            </w:pPr>
          </w:p>
        </w:tc>
        <w:tc>
          <w:tcPr>
            <w:tcW w:w="277" w:type="dxa"/>
            <w:vMerge w:val="restart"/>
          </w:tcPr>
          <w:p w:rsidR="00F46502" w:rsidRPr="00360DE3" w:rsidRDefault="00F46502" w:rsidP="002B213A">
            <w:pPr>
              <w:pStyle w:val="Textpoznpodarou"/>
              <w:jc w:val="both"/>
            </w:pPr>
          </w:p>
        </w:tc>
        <w:tc>
          <w:tcPr>
            <w:tcW w:w="7391" w:type="dxa"/>
          </w:tcPr>
          <w:p w:rsidR="000D514E" w:rsidRDefault="00F46502" w:rsidP="002B213A">
            <w:pPr>
              <w:spacing w:after="0"/>
              <w:rPr>
                <w:b/>
              </w:rPr>
            </w:pPr>
            <w:r w:rsidRPr="00360DE3">
              <w:rPr>
                <w:b/>
              </w:rPr>
              <w:t xml:space="preserve">Graf č. </w:t>
            </w:r>
            <w:proofErr w:type="gramStart"/>
            <w:r w:rsidRPr="00360DE3">
              <w:rPr>
                <w:b/>
              </w:rPr>
              <w:t>2</w:t>
            </w:r>
            <w:r w:rsidR="002B213A" w:rsidRPr="00360DE3">
              <w:rPr>
                <w:b/>
              </w:rPr>
              <w:t>.2.1</w:t>
            </w:r>
            <w:r w:rsidRPr="00360DE3">
              <w:rPr>
                <w:b/>
              </w:rPr>
              <w:t xml:space="preserve">  Index</w:t>
            </w:r>
            <w:proofErr w:type="gramEnd"/>
            <w:r w:rsidRPr="00360DE3">
              <w:rPr>
                <w:b/>
              </w:rPr>
              <w:t xml:space="preserve"> spotřebitelských cen, rozklad přírůstku </w:t>
            </w:r>
          </w:p>
          <w:p w:rsidR="00F46502" w:rsidRPr="00360DE3" w:rsidRDefault="00F46502" w:rsidP="002B213A">
            <w:pPr>
              <w:spacing w:after="0"/>
              <w:rPr>
                <w:b/>
              </w:rPr>
            </w:pPr>
            <w:r w:rsidRPr="00360DE3">
              <w:t>(meziroční změna v p. </w:t>
            </w:r>
            <w:proofErr w:type="spellStart"/>
            <w:r w:rsidRPr="00360DE3">
              <w:t>b</w:t>
            </w:r>
            <w:proofErr w:type="spellEnd"/>
            <w:r w:rsidRPr="00360DE3">
              <w:t>.)</w:t>
            </w:r>
          </w:p>
        </w:tc>
      </w:tr>
      <w:tr w:rsidR="00F46502" w:rsidRPr="00360DE3" w:rsidTr="002B213A">
        <w:trPr>
          <w:trHeight w:val="170"/>
        </w:trPr>
        <w:tc>
          <w:tcPr>
            <w:tcW w:w="1976" w:type="dxa"/>
            <w:vMerge/>
          </w:tcPr>
          <w:p w:rsidR="00F46502" w:rsidRPr="00360DE3" w:rsidRDefault="00F46502" w:rsidP="002B213A">
            <w:pPr>
              <w:pStyle w:val="Marginlie"/>
              <w:rPr>
                <w:spacing w:val="0"/>
              </w:rPr>
            </w:pPr>
          </w:p>
        </w:tc>
        <w:tc>
          <w:tcPr>
            <w:tcW w:w="277" w:type="dxa"/>
            <w:vMerge/>
          </w:tcPr>
          <w:p w:rsidR="00F46502" w:rsidRPr="00360DE3" w:rsidRDefault="00F46502" w:rsidP="002B213A">
            <w:pPr>
              <w:pStyle w:val="Textpoznpodarou"/>
              <w:jc w:val="both"/>
            </w:pPr>
          </w:p>
        </w:tc>
        <w:tc>
          <w:tcPr>
            <w:tcW w:w="7391" w:type="dxa"/>
          </w:tcPr>
          <w:p w:rsidR="00F46502" w:rsidRPr="00360DE3" w:rsidRDefault="00F46502" w:rsidP="002B213A">
            <w:pPr>
              <w:spacing w:after="0"/>
            </w:pPr>
            <w:r w:rsidRPr="00360DE3">
              <w:rPr>
                <w:noProof/>
              </w:rPr>
              <w:drawing>
                <wp:inline distT="0" distB="0" distL="0" distR="0">
                  <wp:extent cx="4737600" cy="3552825"/>
                  <wp:effectExtent l="0" t="0" r="0" b="0"/>
                  <wp:docPr id="1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r>
      <w:tr w:rsidR="00F46502" w:rsidRPr="00360DE3" w:rsidTr="002B213A">
        <w:trPr>
          <w:trHeight w:val="170"/>
        </w:trPr>
        <w:tc>
          <w:tcPr>
            <w:tcW w:w="1976" w:type="dxa"/>
            <w:vMerge/>
          </w:tcPr>
          <w:p w:rsidR="00F46502" w:rsidRPr="00360DE3" w:rsidRDefault="00F46502" w:rsidP="002B213A">
            <w:pPr>
              <w:pStyle w:val="Marginlie"/>
              <w:rPr>
                <w:spacing w:val="0"/>
              </w:rPr>
            </w:pPr>
          </w:p>
        </w:tc>
        <w:tc>
          <w:tcPr>
            <w:tcW w:w="277" w:type="dxa"/>
            <w:vMerge/>
          </w:tcPr>
          <w:p w:rsidR="00F46502" w:rsidRPr="00360DE3" w:rsidRDefault="00F46502" w:rsidP="002B213A">
            <w:pPr>
              <w:pStyle w:val="Textpoznpodarou"/>
              <w:jc w:val="both"/>
            </w:pPr>
          </w:p>
        </w:tc>
        <w:tc>
          <w:tcPr>
            <w:tcW w:w="7391" w:type="dxa"/>
          </w:tcPr>
          <w:p w:rsidR="00F46502" w:rsidRPr="00360DE3" w:rsidRDefault="00F46502" w:rsidP="002B213A">
            <w:pPr>
              <w:rPr>
                <w:sz w:val="14"/>
                <w:szCs w:val="14"/>
              </w:rPr>
            </w:pPr>
            <w:r w:rsidRPr="00360DE3">
              <w:rPr>
                <w:sz w:val="14"/>
                <w:szCs w:val="14"/>
              </w:rPr>
              <w:t>Zdroj: ČSÚ</w:t>
            </w:r>
          </w:p>
        </w:tc>
      </w:tr>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t>Ceny potravin loni velmi výrazně rostly. Zdražování se týkalo téměř všech tříd klasifikace. Nejvýrazněji se projevilo zdražení mléčných výrobků, vajec, masa a pekárenských výrobků.</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pPr>
              <w:rPr>
                <w:sz w:val="16"/>
                <w:szCs w:val="16"/>
              </w:rPr>
            </w:pPr>
            <w:r w:rsidRPr="00360DE3">
              <w:t xml:space="preserve">Ceny potravin a nealkoholických nápojů se v roce 2017 meziročně zvýšily o 5,2 %. Jde o nejvyšší hodnotu od roku 2012. S výjimkou zeleniny rostly ceny všech tříd v tomto oddílu klasifikace spotřeby. V meziroční dynamice se nejvýrazněji projevila třída mléko, sýry a vejce, která k růstu cen potravin a nápojů přispěla 1,9 p. </w:t>
            </w:r>
            <w:proofErr w:type="spellStart"/>
            <w:r w:rsidRPr="00360DE3">
              <w:t>b</w:t>
            </w:r>
            <w:proofErr w:type="spellEnd"/>
            <w:r w:rsidRPr="00360DE3">
              <w:t xml:space="preserve">. Celkově v roce 2017 tato položka zdražila o 10,8 % a jde o nejvyšší hodnotu od roku 2008. Výrazně rostly i ceny masa (oproti roku 2016 o 4,4 %). Ty přispěly k navýšení cen potravin a nápojů 1,1 p. </w:t>
            </w:r>
            <w:proofErr w:type="spellStart"/>
            <w:r w:rsidRPr="00360DE3">
              <w:t>b</w:t>
            </w:r>
            <w:proofErr w:type="spellEnd"/>
            <w:r w:rsidRPr="00360DE3">
              <w:t xml:space="preserve">. Pekárenské výrobky a obiloviny loni zdražily o 5,1 % a k růstu cen potravin a nápojů přidaly 0,8 p. </w:t>
            </w:r>
            <w:proofErr w:type="spellStart"/>
            <w:r w:rsidRPr="00360DE3">
              <w:t>b</w:t>
            </w:r>
            <w:proofErr w:type="spellEnd"/>
            <w:r w:rsidRPr="00360DE3">
              <w:t xml:space="preserve">. Třída oleje a tuky má v indexu spotřebitelských cen jen malou váhu (0,8 %) a v samotných potravinách a nealkoholických nápojích její zastoupení dosahuje 4,3 %. Přesto díky meziročnímu navýšení o 14,2 % přispěla k růstu cen svého nadřazeného oddílu o 0,6 p. </w:t>
            </w:r>
            <w:proofErr w:type="spellStart"/>
            <w:r w:rsidRPr="00360DE3">
              <w:t>b</w:t>
            </w:r>
            <w:proofErr w:type="spellEnd"/>
            <w:r w:rsidRPr="00360DE3">
              <w:t>. Do této třídy patří hojně medializované máslo.</w:t>
            </w:r>
          </w:p>
        </w:tc>
      </w:tr>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t>Ceny energií loni mírně klesly, růst nákladů na bydlení a energie tak pohánělo zejména zvyšující se imputované nájemné a nájemné z bytů.</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r w:rsidRPr="00360DE3">
              <w:t xml:space="preserve">Ceny bydlení, vody, energií a paliv oproti roku 2016 vloni vzrostly o 1,7 %. Ještě v 1. čtvrtletí meziroční přírůstek cen bydlení a energií nepřesáhl 1,0 %, v dalších čtvrtletích však zrychloval. Samotné ceny energií loni přitom poklesly o 0,7 %. Zrychlení růstu nákladů na bydlení a energie lze přičíst především imputovanému nájemnému (meziroční růst 4,2 %), které zčásti odráží výrazně rostoucí ceny nemovitostí. Napětí na trhu s nemovitostmi se promítlo i do zvyšujícího se nájemného z bytů (2,2 %). Situaci názorně vykresluje pohled na vývoj indexu cen nemovitostí. Ten v roce 2017 vzrostl o 11,7 % (7,2 % v roce 2016). Jeho hlavní součástí jsou nákupy starších obydlí, které zdražily o 11,4 %. V loňském roce však </w:t>
            </w:r>
            <w:r w:rsidRPr="00360DE3">
              <w:lastRenderedPageBreak/>
              <w:t xml:space="preserve">došlo k výraznému zrychlení cenového růstu v nových stavebních projektech. To odráží vzestup cen nových obydlí o 13,9 % (v roce 2016 to bylo 5,9 %).  </w:t>
            </w:r>
          </w:p>
        </w:tc>
      </w:tr>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lastRenderedPageBreak/>
              <w:t>Ustálení cen ropy zmírnilo vliv cen dopravy na vývoj celkového indexu spotřebitelských cen.</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r w:rsidRPr="00360DE3">
              <w:t>Ceny dopravy měly klíčový dopad na spotřebitelské ceny v letech 2015-2016. Nyní jejich význam pro ně mírně poklesl. Celkově ceny dopravy loni vzrostly o 3,7 %. Rostly přitom náklady na provoz dopravních prostředků (5,2 %), které ovlivnil růst cen ropy, i ceny samotných dopravních prostředků (3,1 %). Nejvýrazněji rostly ceny dopravy na počátku roku, kdy se silně projevoval vliv nízké srovnávací základny u cen ropy v předchozím roce. Zatímco náklady na provoz dopravních prostředků tak tlačily na růst cen dopravy v 1. pololetí, ve druhé polovině roku se výrazněji projevilo zdražování osobních dopravních prostředků povzbuzené silnou domácí poptávkou. Podobně silně jako ceny dopravy působilo na spotřebitelské ceny i stravování a ubytování. Zde loni vzrostly ceny o 5,7 %. Jedním z důvodů bylo poměrně výrazné navýšení mezd v tomto odvětví. Rostoucí náklady se následně přenesly do cenové hladiny.</w:t>
            </w:r>
          </w:p>
        </w:tc>
      </w:tr>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t>Česko bylo součástí širší vlny oživení cenového růstu v EU.</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r w:rsidRPr="00360DE3">
              <w:t xml:space="preserve">Výrazné zrychlení růstu spotřebitelských cen bylo společné prakticky celé Evropské unii. V porovnání s rokem 2016 se loni zvýšil harmonizovaný index spotřebitelských cen (HICP) v EU 28 o 1,7 % (v roce 2016 meziroční růst cen činil 0,3 %). V zemích platících eurem rostly spotřebitelské ceny o 1,5 % (zrychlení z 0,2 % v roce 2016). Nejrychleji loni rostly ceny v Estonsku (3,7 %), Litvě (3,7 %) a Lotyšsku (2,9 %). Česká republika se vloni umístila v první šestici zemí s nejrychlejším cenovým růstem. Nejpomaleji rostly ceny v Irsku (0,3 %), na Kypru (0,7 %) a ve Finsku (0,8 %). Tyto tři země byly jediné, kde ceny vzrostly o méně než 1 %. Poprvé po čtyřech letech se meziročně zvýšily spotřebitelské ceny ve všech zemích EU.  </w:t>
            </w:r>
          </w:p>
        </w:tc>
      </w:tr>
      <w:tr w:rsidR="00F46502" w:rsidRPr="00360DE3" w:rsidTr="002B213A">
        <w:trPr>
          <w:trHeight w:val="170"/>
        </w:trPr>
        <w:tc>
          <w:tcPr>
            <w:tcW w:w="1976" w:type="dxa"/>
            <w:vMerge w:val="restart"/>
          </w:tcPr>
          <w:p w:rsidR="00F46502" w:rsidRPr="00360DE3" w:rsidRDefault="00F46502" w:rsidP="002B213A">
            <w:pPr>
              <w:pStyle w:val="Marginlie"/>
              <w:rPr>
                <w:spacing w:val="0"/>
              </w:rPr>
            </w:pPr>
          </w:p>
        </w:tc>
        <w:tc>
          <w:tcPr>
            <w:tcW w:w="277" w:type="dxa"/>
            <w:vMerge w:val="restart"/>
          </w:tcPr>
          <w:p w:rsidR="00F46502" w:rsidRPr="00360DE3" w:rsidRDefault="00F46502" w:rsidP="002B213A">
            <w:pPr>
              <w:pStyle w:val="Textpoznpodarou"/>
              <w:jc w:val="both"/>
            </w:pPr>
          </w:p>
        </w:tc>
        <w:tc>
          <w:tcPr>
            <w:tcW w:w="7391" w:type="dxa"/>
          </w:tcPr>
          <w:p w:rsidR="000D514E" w:rsidRDefault="00F46502" w:rsidP="00E212C9">
            <w:pPr>
              <w:spacing w:after="0"/>
              <w:rPr>
                <w:b/>
              </w:rPr>
            </w:pPr>
            <w:r w:rsidRPr="00360DE3">
              <w:rPr>
                <w:b/>
              </w:rPr>
              <w:t xml:space="preserve">Graf č. </w:t>
            </w:r>
            <w:r w:rsidR="002B213A" w:rsidRPr="00360DE3">
              <w:rPr>
                <w:b/>
              </w:rPr>
              <w:t>2.2.</w:t>
            </w:r>
            <w:r w:rsidR="00E212C9" w:rsidRPr="00360DE3">
              <w:rPr>
                <w:b/>
              </w:rPr>
              <w:t>2</w:t>
            </w:r>
            <w:r w:rsidRPr="00360DE3">
              <w:rPr>
                <w:b/>
              </w:rPr>
              <w:t xml:space="preserve"> Harmonizovaný index spotřebitelských cen </w:t>
            </w:r>
          </w:p>
          <w:p w:rsidR="00F46502" w:rsidRPr="00360DE3" w:rsidRDefault="00F46502" w:rsidP="00E212C9">
            <w:pPr>
              <w:spacing w:after="0"/>
              <w:rPr>
                <w:b/>
              </w:rPr>
            </w:pPr>
            <w:r w:rsidRPr="00360DE3">
              <w:t>(meziroční změna v %)</w:t>
            </w:r>
          </w:p>
        </w:tc>
      </w:tr>
      <w:tr w:rsidR="00F46502" w:rsidRPr="00360DE3" w:rsidTr="002B213A">
        <w:trPr>
          <w:trHeight w:val="170"/>
        </w:trPr>
        <w:tc>
          <w:tcPr>
            <w:tcW w:w="1976" w:type="dxa"/>
            <w:vMerge/>
          </w:tcPr>
          <w:p w:rsidR="00F46502" w:rsidRPr="00360DE3" w:rsidRDefault="00F46502" w:rsidP="002B213A">
            <w:pPr>
              <w:pStyle w:val="Marginlie"/>
              <w:rPr>
                <w:spacing w:val="0"/>
              </w:rPr>
            </w:pPr>
          </w:p>
        </w:tc>
        <w:tc>
          <w:tcPr>
            <w:tcW w:w="277" w:type="dxa"/>
            <w:vMerge/>
          </w:tcPr>
          <w:p w:rsidR="00F46502" w:rsidRPr="00360DE3" w:rsidRDefault="00F46502" w:rsidP="002B213A">
            <w:pPr>
              <w:pStyle w:val="Textpoznpodarou"/>
              <w:jc w:val="both"/>
            </w:pPr>
          </w:p>
        </w:tc>
        <w:tc>
          <w:tcPr>
            <w:tcW w:w="7391" w:type="dxa"/>
          </w:tcPr>
          <w:p w:rsidR="00F46502" w:rsidRPr="00360DE3" w:rsidRDefault="00F46502" w:rsidP="002B213A">
            <w:pPr>
              <w:spacing w:after="0"/>
            </w:pPr>
            <w:r w:rsidRPr="00360DE3">
              <w:rPr>
                <w:noProof/>
              </w:rPr>
              <w:drawing>
                <wp:inline distT="0" distB="0" distL="0" distR="0">
                  <wp:extent cx="4737600" cy="3553200"/>
                  <wp:effectExtent l="0" t="0" r="0" b="0"/>
                  <wp:docPr id="12"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r w:rsidR="00F46502" w:rsidRPr="00360DE3" w:rsidTr="002B213A">
        <w:trPr>
          <w:trHeight w:val="170"/>
        </w:trPr>
        <w:tc>
          <w:tcPr>
            <w:tcW w:w="1976" w:type="dxa"/>
            <w:vMerge/>
          </w:tcPr>
          <w:p w:rsidR="00F46502" w:rsidRPr="00360DE3" w:rsidRDefault="00F46502" w:rsidP="002B213A">
            <w:pPr>
              <w:pStyle w:val="Marginlie"/>
              <w:rPr>
                <w:spacing w:val="0"/>
              </w:rPr>
            </w:pPr>
          </w:p>
        </w:tc>
        <w:tc>
          <w:tcPr>
            <w:tcW w:w="277" w:type="dxa"/>
            <w:vMerge/>
          </w:tcPr>
          <w:p w:rsidR="00F46502" w:rsidRPr="00360DE3" w:rsidRDefault="00F46502" w:rsidP="002B213A">
            <w:pPr>
              <w:pStyle w:val="Textpoznpodarou"/>
              <w:jc w:val="both"/>
            </w:pPr>
          </w:p>
        </w:tc>
        <w:tc>
          <w:tcPr>
            <w:tcW w:w="7391" w:type="dxa"/>
          </w:tcPr>
          <w:p w:rsidR="00F46502" w:rsidRPr="00360DE3" w:rsidRDefault="00F46502" w:rsidP="002B213A">
            <w:pPr>
              <w:rPr>
                <w:sz w:val="14"/>
                <w:szCs w:val="14"/>
              </w:rPr>
            </w:pPr>
            <w:r w:rsidRPr="00360DE3">
              <w:rPr>
                <w:sz w:val="14"/>
                <w:szCs w:val="14"/>
              </w:rPr>
              <w:t xml:space="preserve">Zdroj: </w:t>
            </w:r>
            <w:proofErr w:type="spellStart"/>
            <w:r w:rsidRPr="00360DE3">
              <w:rPr>
                <w:sz w:val="14"/>
                <w:szCs w:val="14"/>
              </w:rPr>
              <w:t>Eurostat</w:t>
            </w:r>
            <w:proofErr w:type="spellEnd"/>
          </w:p>
        </w:tc>
      </w:tr>
      <w:tr w:rsidR="00F46502" w:rsidRPr="00360DE3" w:rsidTr="002B213A">
        <w:trPr>
          <w:trHeight w:val="145"/>
        </w:trPr>
        <w:tc>
          <w:tcPr>
            <w:tcW w:w="1976" w:type="dxa"/>
          </w:tcPr>
          <w:p w:rsidR="00F46502" w:rsidRPr="00360DE3" w:rsidRDefault="00F46502" w:rsidP="002B213A">
            <w:pPr>
              <w:pStyle w:val="Marginlie"/>
              <w:rPr>
                <w:spacing w:val="0"/>
              </w:rPr>
            </w:pPr>
          </w:p>
          <w:p w:rsidR="00F46502" w:rsidRPr="00360DE3" w:rsidRDefault="00F46502" w:rsidP="002B213A">
            <w:pPr>
              <w:pStyle w:val="Marginlie"/>
              <w:rPr>
                <w:spacing w:val="0"/>
              </w:rPr>
            </w:pPr>
          </w:p>
          <w:p w:rsidR="00F46502" w:rsidRPr="00360DE3" w:rsidRDefault="00F46502" w:rsidP="002B213A">
            <w:pPr>
              <w:pStyle w:val="Marginlie"/>
              <w:rPr>
                <w:spacing w:val="0"/>
              </w:rPr>
            </w:pPr>
            <w:r w:rsidRPr="00360DE3">
              <w:rPr>
                <w:spacing w:val="0"/>
              </w:rPr>
              <w:lastRenderedPageBreak/>
              <w:t>Potraviny a nealkoholické nápoje byly jedním z faktorů, který poháněl růst cen v zemích EU.</w:t>
            </w:r>
          </w:p>
          <w:p w:rsidR="00F46502" w:rsidRPr="00360DE3" w:rsidRDefault="00F46502" w:rsidP="002B213A">
            <w:pPr>
              <w:pStyle w:val="Marginlie"/>
              <w:rPr>
                <w:spacing w:val="0"/>
              </w:rPr>
            </w:pP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r w:rsidRPr="00360DE3">
              <w:t xml:space="preserve">Podobně jako v Česku, i v EU zaznamenaly loni potraviny a nealkoholické nápoje výrazné zrychlení cenového růstu (z 0,2 % na 2,1 %). Nejvyšší meziroční růst cen </w:t>
            </w:r>
            <w:r w:rsidRPr="00360DE3">
              <w:lastRenderedPageBreak/>
              <w:t xml:space="preserve">v tomto segmentu spotřeby se krom Česka objevil v Estonsku a Lotyšsku (u obou o 5,6 %). Při pohledu na další spotřební kategorie je patrné, že v pobaltských státech růst spotřebitelských cen závisel na podobných faktorech jako u nás. Kromě potravin zde silně rostly i ceny dopravy (v Litvě o 5,0 %, v Estonsku o 4,8 %). Nezanedbatelným faktorem pro vysoký růst spotřebitelských cen v Litvě (10,7 %) a Estonsku (8,7 %) byly rovněž alkoholické nápoje, které mají v Pobaltí velmi vysokou váhu ve spotřebním koši. V Litvě (7,2 %) a v Estonsku (6,4 %) zaznamenali statistici také silný růst cen ubytování a stravování. V Lotyšsku působily výrazně </w:t>
            </w:r>
            <w:proofErr w:type="spellStart"/>
            <w:r w:rsidRPr="00360DE3">
              <w:t>proinflačně</w:t>
            </w:r>
            <w:proofErr w:type="spellEnd"/>
            <w:r w:rsidRPr="00360DE3">
              <w:t xml:space="preserve"> ceny pošty a telekomunikací (4,4 %). Naopak Irsko, Finsko a Kypr, kde byl růst HICP loni nejnižší, jsou rovněž jediné země EU, kde potraviny a nealkoholické nápoje zlevnily. Na Kypru dále loni poklesla cena alkoholických nápojů a tabáku o 2,3 %, v Irsku se </w:t>
            </w:r>
            <w:r w:rsidR="009C3ED8">
              <w:t>snížily ceny oblečení a obuvi o</w:t>
            </w:r>
            <w:r w:rsidR="009C3ED8" w:rsidRPr="005A2C7B">
              <w:rPr>
                <w:spacing w:val="-4"/>
              </w:rPr>
              <w:t> </w:t>
            </w:r>
            <w:r w:rsidRPr="00360DE3">
              <w:t>4,3 %, obě země zažívaly i výrazný pokles cen bytového vybavení. Ve Finsku proti růstu cen působilo oblečení a obuv, méně výrazný než ve zbytku EU zde byl růst cen dopravy, poklesly ceny pošt a telekomunikací.</w:t>
            </w:r>
          </w:p>
        </w:tc>
      </w:tr>
    </w:tbl>
    <w:p w:rsidR="00F46502" w:rsidRPr="00360DE3" w:rsidRDefault="00F46502" w:rsidP="00F46502">
      <w:pPr>
        <w:pStyle w:val="Nadpis2"/>
      </w:pPr>
      <w:bookmarkStart w:id="8" w:name="_Toc527639463"/>
      <w:r w:rsidRPr="00360DE3">
        <w:lastRenderedPageBreak/>
        <w:t>2.3 Ceny výrobců</w:t>
      </w:r>
      <w:bookmarkEnd w:id="8"/>
    </w:p>
    <w:tbl>
      <w:tblPr>
        <w:tblW w:w="9644" w:type="dxa"/>
        <w:tblInd w:w="-15" w:type="dxa"/>
        <w:tblLayout w:type="fixed"/>
        <w:tblCellMar>
          <w:left w:w="0" w:type="dxa"/>
          <w:right w:w="0" w:type="dxa"/>
        </w:tblCellMar>
        <w:tblLook w:val="00A0"/>
      </w:tblPr>
      <w:tblGrid>
        <w:gridCol w:w="1976"/>
        <w:gridCol w:w="277"/>
        <w:gridCol w:w="7391"/>
      </w:tblGrid>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t>Index cen výrobců loni vzrostl poprvé od roku 2013.</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r w:rsidRPr="00360DE3">
              <w:t>Celkově index cen průmyslových výrobců v roce 2017 vzrostl o 1,8 %, poprvé od roku 2013. Index se do značné míry odvíjí od pohybu cen výrobků a služeb ve zpracovatelském průmyslu. Váha tato sekce je př</w:t>
            </w:r>
            <w:r w:rsidR="00EA405F">
              <w:t>ibližně 80 % celkového indexu a</w:t>
            </w:r>
            <w:r w:rsidR="00EA405F" w:rsidRPr="00360DE3">
              <w:t> </w:t>
            </w:r>
            <w:r w:rsidRPr="00360DE3">
              <w:t>v roce 2017 zde ceny vzrostly o 2,3 %. Ceny v</w:t>
            </w:r>
            <w:r w:rsidR="00EA405F">
              <w:t>ýrobců elektřiny, plynu, páry a</w:t>
            </w:r>
            <w:r w:rsidR="00EA405F" w:rsidRPr="00360DE3">
              <w:t> </w:t>
            </w:r>
            <w:r w:rsidRPr="00360DE3">
              <w:t>klimatizovaného vzduchu se loni snížily o 1,2 %, c</w:t>
            </w:r>
            <w:r w:rsidR="00EA405F">
              <w:t>eny těžby a dobývání vzrostly o</w:t>
            </w:r>
            <w:r w:rsidR="00EA405F" w:rsidRPr="00360DE3">
              <w:t> </w:t>
            </w:r>
            <w:r w:rsidRPr="00360DE3">
              <w:t xml:space="preserve">3,8 % a zásobování vodou a služby spojené s odpadními vodami setrvaly na růstu 1,3 %.  </w:t>
            </w:r>
          </w:p>
        </w:tc>
      </w:tr>
      <w:tr w:rsidR="00F46502" w:rsidRPr="00360DE3" w:rsidTr="002B213A">
        <w:trPr>
          <w:trHeight w:val="170"/>
        </w:trPr>
        <w:tc>
          <w:tcPr>
            <w:tcW w:w="1976" w:type="dxa"/>
            <w:vMerge w:val="restart"/>
          </w:tcPr>
          <w:p w:rsidR="00F46502" w:rsidRPr="00360DE3" w:rsidRDefault="00F46502" w:rsidP="002B213A">
            <w:pPr>
              <w:pStyle w:val="Marginlie"/>
              <w:rPr>
                <w:spacing w:val="0"/>
              </w:rPr>
            </w:pPr>
          </w:p>
        </w:tc>
        <w:tc>
          <w:tcPr>
            <w:tcW w:w="277" w:type="dxa"/>
            <w:vMerge w:val="restart"/>
          </w:tcPr>
          <w:p w:rsidR="00F46502" w:rsidRPr="00360DE3" w:rsidRDefault="00F46502" w:rsidP="002B213A">
            <w:pPr>
              <w:pStyle w:val="Textpoznpodarou"/>
              <w:jc w:val="both"/>
            </w:pPr>
          </w:p>
        </w:tc>
        <w:tc>
          <w:tcPr>
            <w:tcW w:w="7391" w:type="dxa"/>
          </w:tcPr>
          <w:p w:rsidR="000D514E" w:rsidRDefault="00F46502" w:rsidP="001D198A">
            <w:pPr>
              <w:spacing w:after="0"/>
              <w:rPr>
                <w:b/>
                <w:szCs w:val="20"/>
                <w:lang w:eastAsia="en-US"/>
              </w:rPr>
            </w:pPr>
            <w:r w:rsidRPr="00360DE3">
              <w:rPr>
                <w:b/>
                <w:szCs w:val="20"/>
              </w:rPr>
              <w:t xml:space="preserve">Graf č. </w:t>
            </w:r>
            <w:proofErr w:type="gramStart"/>
            <w:r w:rsidR="001D198A" w:rsidRPr="00360DE3">
              <w:rPr>
                <w:b/>
                <w:szCs w:val="20"/>
              </w:rPr>
              <w:t>2.3.1</w:t>
            </w:r>
            <w:r w:rsidRPr="00360DE3">
              <w:rPr>
                <w:b/>
                <w:szCs w:val="20"/>
              </w:rPr>
              <w:t xml:space="preserve">  </w:t>
            </w:r>
            <w:r w:rsidRPr="00360DE3">
              <w:rPr>
                <w:b/>
                <w:szCs w:val="20"/>
                <w:lang w:eastAsia="en-US"/>
              </w:rPr>
              <w:t>Ceny</w:t>
            </w:r>
            <w:proofErr w:type="gramEnd"/>
            <w:r w:rsidRPr="00360DE3">
              <w:rPr>
                <w:b/>
                <w:szCs w:val="20"/>
                <w:lang w:eastAsia="en-US"/>
              </w:rPr>
              <w:t xml:space="preserve"> průmyslových výrobců podle sekcí CZ-CPA </w:t>
            </w:r>
          </w:p>
          <w:p w:rsidR="00F46502" w:rsidRPr="00360DE3" w:rsidRDefault="00F46502" w:rsidP="001D198A">
            <w:pPr>
              <w:spacing w:after="0"/>
              <w:rPr>
                <w:b/>
                <w:szCs w:val="20"/>
              </w:rPr>
            </w:pPr>
            <w:r w:rsidRPr="00360DE3">
              <w:rPr>
                <w:szCs w:val="20"/>
                <w:lang w:eastAsia="en-US"/>
              </w:rPr>
              <w:t>(meziročně, v</w:t>
            </w:r>
            <w:r w:rsidR="001D198A" w:rsidRPr="00360DE3">
              <w:rPr>
                <w:szCs w:val="20"/>
                <w:lang w:eastAsia="en-US"/>
              </w:rPr>
              <w:t> </w:t>
            </w:r>
            <w:r w:rsidRPr="00360DE3">
              <w:rPr>
                <w:szCs w:val="20"/>
                <w:lang w:eastAsia="en-US"/>
              </w:rPr>
              <w:t>%)</w:t>
            </w:r>
          </w:p>
        </w:tc>
      </w:tr>
      <w:tr w:rsidR="00F46502" w:rsidRPr="00360DE3" w:rsidTr="002B213A">
        <w:trPr>
          <w:trHeight w:val="170"/>
        </w:trPr>
        <w:tc>
          <w:tcPr>
            <w:tcW w:w="1976" w:type="dxa"/>
            <w:vMerge/>
          </w:tcPr>
          <w:p w:rsidR="00F46502" w:rsidRPr="00360DE3" w:rsidRDefault="00F46502" w:rsidP="002B213A">
            <w:pPr>
              <w:pStyle w:val="Marginlie"/>
              <w:rPr>
                <w:spacing w:val="0"/>
              </w:rPr>
            </w:pPr>
          </w:p>
        </w:tc>
        <w:tc>
          <w:tcPr>
            <w:tcW w:w="277" w:type="dxa"/>
            <w:vMerge/>
          </w:tcPr>
          <w:p w:rsidR="00F46502" w:rsidRPr="00360DE3" w:rsidRDefault="00F46502" w:rsidP="002B213A">
            <w:pPr>
              <w:pStyle w:val="Textpoznpodarou"/>
              <w:jc w:val="both"/>
            </w:pPr>
          </w:p>
        </w:tc>
        <w:tc>
          <w:tcPr>
            <w:tcW w:w="7391" w:type="dxa"/>
          </w:tcPr>
          <w:p w:rsidR="00F46502" w:rsidRPr="00360DE3" w:rsidRDefault="00F46502" w:rsidP="002B213A">
            <w:pPr>
              <w:spacing w:after="0"/>
            </w:pPr>
            <w:r w:rsidRPr="00360DE3">
              <w:rPr>
                <w:noProof/>
              </w:rPr>
              <w:drawing>
                <wp:inline distT="0" distB="0" distL="0" distR="0">
                  <wp:extent cx="4737600" cy="3553200"/>
                  <wp:effectExtent l="0" t="0" r="0" b="0"/>
                  <wp:docPr id="13"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r w:rsidR="00F46502" w:rsidRPr="00360DE3" w:rsidTr="002B213A">
        <w:trPr>
          <w:trHeight w:val="170"/>
        </w:trPr>
        <w:tc>
          <w:tcPr>
            <w:tcW w:w="1976" w:type="dxa"/>
            <w:vMerge/>
          </w:tcPr>
          <w:p w:rsidR="00F46502" w:rsidRPr="00360DE3" w:rsidRDefault="00F46502" w:rsidP="002B213A">
            <w:pPr>
              <w:pStyle w:val="Marginlie"/>
              <w:rPr>
                <w:spacing w:val="0"/>
              </w:rPr>
            </w:pPr>
          </w:p>
        </w:tc>
        <w:tc>
          <w:tcPr>
            <w:tcW w:w="277" w:type="dxa"/>
            <w:vMerge/>
          </w:tcPr>
          <w:p w:rsidR="00F46502" w:rsidRPr="00360DE3" w:rsidRDefault="00F46502" w:rsidP="002B213A">
            <w:pPr>
              <w:pStyle w:val="Textpoznpodarou"/>
              <w:jc w:val="both"/>
            </w:pPr>
          </w:p>
        </w:tc>
        <w:tc>
          <w:tcPr>
            <w:tcW w:w="7391" w:type="dxa"/>
          </w:tcPr>
          <w:p w:rsidR="00F46502" w:rsidRPr="00360DE3" w:rsidRDefault="00F46502" w:rsidP="002B213A">
            <w:pPr>
              <w:rPr>
                <w:sz w:val="14"/>
                <w:szCs w:val="14"/>
              </w:rPr>
            </w:pPr>
            <w:r w:rsidRPr="00360DE3">
              <w:rPr>
                <w:sz w:val="14"/>
                <w:szCs w:val="14"/>
              </w:rPr>
              <w:t>Zdroj: ČSÚ</w:t>
            </w:r>
          </w:p>
        </w:tc>
      </w:tr>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t>I ve zpracovatelském průmyslu byl růst cen</w:t>
            </w:r>
          </w:p>
          <w:p w:rsidR="00F46502" w:rsidRPr="00360DE3" w:rsidRDefault="00F46502" w:rsidP="002B213A">
            <w:pPr>
              <w:pStyle w:val="Marginlie"/>
              <w:rPr>
                <w:spacing w:val="0"/>
              </w:rPr>
            </w:pPr>
            <w:r w:rsidRPr="00360DE3">
              <w:rPr>
                <w:spacing w:val="0"/>
              </w:rPr>
              <w:t>nejvýraznější za poslední roky.</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r w:rsidRPr="00360DE3">
              <w:t>Ceny výrobků a služeb zpracovatelského průmyslu</w:t>
            </w:r>
            <w:r w:rsidR="00EA405F">
              <w:t xml:space="preserve"> v letech 2015 a 2016 klesaly a</w:t>
            </w:r>
            <w:r w:rsidR="00EA405F" w:rsidRPr="00360DE3">
              <w:t> </w:t>
            </w:r>
            <w:r w:rsidRPr="00360DE3">
              <w:t xml:space="preserve">loňský růst o 2,3 % byl nejvyšší od roku 2011. V minulých letech tuto dynamiku výrazně ovlivňovala cena ropy. Ta se na počátku roku 2017 výrazně meziročně </w:t>
            </w:r>
            <w:r w:rsidRPr="00360DE3">
              <w:lastRenderedPageBreak/>
              <w:t>zvýšila a především v první čtvrtině roku tak k růstu cen ve zpracovatelském průmyslu podstatnou měrou přispěl koks a rafinované ropné výrobky. Výrazně působilo i zvýšení cen obecných kovů a kovodělných výrobků o 5,3 %, které bylo navíc rovnoměrně rozloženo do celého roku. Ceny potravinářských výrobků, nápojů a tabáku se loni zvýšily o 2,6 %, u chemických látek a výrobků o 3,0 %. Naopak ceny dopravních prostředků klesly o 2,2 %. V průběhu roku se jejich meziroční propad prohluboval, což kvůli jejich váze v indexu přispělo k postupnému zpomalování celkového růstu cen výrobků zpracovatelského průmyslu. Jedním z důvodů bylo i postupné prosakování posilujícího kurzu koruny do cen.</w:t>
            </w:r>
          </w:p>
        </w:tc>
      </w:tr>
      <w:tr w:rsidR="00F46502" w:rsidRPr="00360DE3" w:rsidTr="002B213A">
        <w:trPr>
          <w:trHeight w:val="412"/>
        </w:trPr>
        <w:tc>
          <w:tcPr>
            <w:tcW w:w="1976" w:type="dxa"/>
          </w:tcPr>
          <w:p w:rsidR="00F46502" w:rsidRPr="00360DE3" w:rsidRDefault="00F46502" w:rsidP="002B213A">
            <w:pPr>
              <w:pStyle w:val="Marginlie"/>
              <w:rPr>
                <w:spacing w:val="0"/>
              </w:rPr>
            </w:pPr>
            <w:r w:rsidRPr="00360DE3">
              <w:rPr>
                <w:spacing w:val="0"/>
              </w:rPr>
              <w:lastRenderedPageBreak/>
              <w:t>S výjimkou elektřiny, plynu, páry a klimatizovaného vzduchu ostatní sekce průmyslu prolomily trend posledních let a ceny zde rostly.</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r w:rsidRPr="00360DE3">
              <w:t xml:space="preserve">Ceny elektřiny, plynu, páry a klimatizovaného vzduchu loni poklesly počtvrté v řadě (-1,2 %), tempo se však výrazně zmírnilo. Tuto dynamiku kopíroval především vývoj cen elektřiny a jejího přenosu a obchodu (-2,1 %, zmírnění oproti roku 2016). Naopak ceny plynu a jeho rozvodu vzrostly loni o </w:t>
            </w:r>
            <w:r w:rsidR="00EA405F">
              <w:t>3,0 %. Ceny páry a horké vody a</w:t>
            </w:r>
            <w:r w:rsidR="00EA405F" w:rsidRPr="00360DE3">
              <w:t> </w:t>
            </w:r>
            <w:r w:rsidRPr="00360DE3">
              <w:t>souvisejících služeb stagnovaly (0,2 %). Výrazný obrat nastal ve vývoji cen těžby a dobývání. Ty loni vzrostly o 3,8 % (v roce 2016 klesly o 6,1 %). Projevilo se zvýšení cen černého a hnědého uhlí a lignitu o 6,4</w:t>
            </w:r>
            <w:r w:rsidR="00EA405F">
              <w:t xml:space="preserve"> % i cen ropy a zemního plynu o</w:t>
            </w:r>
            <w:r w:rsidR="00EA405F" w:rsidRPr="00360DE3">
              <w:t> </w:t>
            </w:r>
            <w:r w:rsidRPr="00360DE3">
              <w:t xml:space="preserve">6,8 % (u ropy došlo k růstu o 22,7 %, ceny plynu klesly o 5,0 %). Ceny ostatní těžby však loni stagnovaly (0,4 %).    </w:t>
            </w:r>
          </w:p>
        </w:tc>
      </w:tr>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t>Ceny výrobců v EU rostly silněji než v Česku.</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r w:rsidRPr="00360DE3">
              <w:t>Vzhledem k tomu, že vývoj cen ropy má globální dopad, ceny výrobců v EU i Česku měly podobný trend a z tříletého poklesu se dostaly do růstové fáze. Oproti roku 2016 vzrostly ceny průmyslových výrobců v EU o 3,6 % a v </w:t>
            </w:r>
            <w:proofErr w:type="spellStart"/>
            <w:r w:rsidRPr="00360DE3">
              <w:t>eurozóně</w:t>
            </w:r>
            <w:proofErr w:type="spellEnd"/>
            <w:r w:rsidRPr="00360DE3">
              <w:t xml:space="preserve"> o 3,1 %. Ceny ve zpracovatelském průmyslu se v EU zvýšily o</w:t>
            </w:r>
            <w:r w:rsidR="00EA405F">
              <w:t xml:space="preserve"> 3,3 %, elektřina, plyn, pára a</w:t>
            </w:r>
            <w:r w:rsidR="00EA405F" w:rsidRPr="00360DE3">
              <w:t> </w:t>
            </w:r>
            <w:r w:rsidRPr="00360DE3">
              <w:t>klimatizovaný vzduch zdražily o 3,1 %, těžba a dobývání o 13,7 % a zásobování vodou o 1,2 %. Nejvyšší růst cen výrobců se loni odehrával v Belgii (8,9 %). Ceny zde výrazně rostly v celém průmyslu, nejvíce se však projevovaly základní kovy (25,6 %), koks a rafinované ropné výrobky (17,2 %) a chemické výrobky (8,1 %). Ceny výrobců měly silný růst ve Velké Británii (6,2 %) a Polsku (4,7 %). U obou se projevoval skokový nárůst cen těžby a dobývání (</w:t>
            </w:r>
            <w:r w:rsidR="00EA405F">
              <w:t>ve Velké Británii vlivem ropy a</w:t>
            </w:r>
            <w:r w:rsidR="00EA405F" w:rsidRPr="00360DE3">
              <w:t> </w:t>
            </w:r>
            <w:r w:rsidRPr="00360DE3">
              <w:t xml:space="preserve">zemního plynu o 24,6 %, v Polsku bylo důležité uhlí </w:t>
            </w:r>
            <w:r w:rsidR="00EA405F">
              <w:t>a lignit a ceny těžby vylétly o</w:t>
            </w:r>
            <w:r w:rsidR="00EA405F" w:rsidRPr="00360DE3">
              <w:t> </w:t>
            </w:r>
            <w:r w:rsidRPr="00360DE3">
              <w:t xml:space="preserve">22,2 %). V Lucembursku ceny výrobců klesly o 1,9 % (ceny elektřiny, plynu, páry a klimatizovaného vzduchu se zde propadly o 10,7 %), V Irsku klesly o 0,4 % a na Maltě vzrostly o 0,7 %. </w:t>
            </w:r>
          </w:p>
        </w:tc>
      </w:tr>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t>Ceny zemědělských výrobců loni poměrně výrazně vzrostly, především pod vlivem cen živočišné výroby.</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r w:rsidRPr="00360DE3">
              <w:t>Ceny v zemědělské výrobě v letech 2014–2016 poměrně výrazně klesaly, loňský rok však přinesl změnu. Oproti roku 2016 se ceny zemědělských výrobců zvýšily o 7,3 %. Klíčový byl 15,2% růst cen živočišné výroby, ceny rostlinné výroby se zvýšily o 1,7 %. Růst cen živočišné výroby byl mimořádný i ve srovnání s poslední růstovou fází, která skončila v roce 2014. Díky 11,2% zvýšení cen prasat a selat vzrostly ceny hospodářských zvířat o 4,9 %. Proti tomu působil vývoj cen drůbeže, které klesly o 2,3 % (počtvrté v řadě). Mimořádný skok nastal u cen živočišných výrobků (25,4 %, v roce 2016 pokles o 14,3 %). Ceny mléka s</w:t>
            </w:r>
            <w:r w:rsidR="00EA405F">
              <w:t>e zvýšily o 25,8 % a</w:t>
            </w:r>
            <w:r w:rsidR="00EA405F" w:rsidRPr="00360DE3">
              <w:t> </w:t>
            </w:r>
            <w:r w:rsidRPr="00360DE3">
              <w:t>ceny vajec o 23,0 %. V mírném růstu cen rostlinné výroby lze vidět především vývoj cen obilovin, které mají v indexu největší váhu. Ty vzrostly o 1,7 %, z toho ceny pšenice byly vyšší o 3,0 %, žita o 2,3 %. Celkový růst tlumila především kukuřice, jejíž ceny klesly o 3,2 %. Ceny průmysl</w:t>
            </w:r>
            <w:r w:rsidR="00EA405F">
              <w:t>ových plodin vzrostly o 2,5 % a</w:t>
            </w:r>
            <w:r w:rsidR="00EA405F" w:rsidRPr="00360DE3">
              <w:t> </w:t>
            </w:r>
            <w:r w:rsidRPr="00360DE3">
              <w:t>dominovaly jim hlavně olejniny (4,1 %), růst zpomalovala cukrová řepa (-5,2 %). Klesaly ceny krmných plodin (-7,4 %), zeleniny a zahradnických produktů (-1,5 %), i brambor (-8,8 %). Naopak ceny ovoce vyskočily o 34,7 %</w:t>
            </w:r>
            <w:r w:rsidRPr="00360DE3">
              <w:rPr>
                <w:rStyle w:val="Znakapoznpodarou"/>
              </w:rPr>
              <w:footnoteReference w:id="5"/>
            </w:r>
            <w:r w:rsidRPr="00360DE3">
              <w:t xml:space="preserve">. Mezinárodní srovnání </w:t>
            </w:r>
            <w:r w:rsidRPr="00360DE3">
              <w:lastRenderedPageBreak/>
              <w:t xml:space="preserve">je u cen zemědělských výrobců poměrně složité vzhledem k odlišné struktuře zemědělství v jednotlivých zemích. Společné trendy jsou však patrné u obilovin, jejichž ceny klesaly v minulých letech a v roce 2017 mírně vzrostly (v EU o 4,7 %). Výše zmíněný skokový nárůst cen mléka a vajec se odehrál i v okolních státech (mléko v EU nárůst o 19,1 %, vejce o 16,9 %). </w:t>
            </w:r>
          </w:p>
        </w:tc>
      </w:tr>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lastRenderedPageBreak/>
              <w:t>Ceny tržních služeb vzrostly nejvýrazněji od roku 2009 a projevila se na nich současná konjunkturní fáze.</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r w:rsidRPr="00360DE3">
              <w:t>Index cen tržních služeb loni vzrostl o 1,3 %. To je nejvyšší a prakticky první výraznější růstová hodnota od roku 2009. Nejvýrazněji ovlivnil ceny tržních služeb 4,1% růst cen pojištění, zajištění a penzijního financování a p</w:t>
            </w:r>
            <w:r w:rsidR="00EA405F">
              <w:t>ak reklamní služby a</w:t>
            </w:r>
            <w:r w:rsidR="00EA405F" w:rsidRPr="00360DE3">
              <w:t> </w:t>
            </w:r>
            <w:r w:rsidRPr="00360DE3">
              <w:t xml:space="preserve">průzkum trhu, kde ceny vzrostly o 2,7 %. Ceny tržních služeb do značné míry ovlivnila probíhající konjunktura. Ta stimulovala zrychlení růstu cen v silniční nákladní dopravě (0,6 %) i ve skladování (6,2 %). Výrazný nedostatek pracovní síly i růst mezd se projevil na 11,5% zvýšení cen služeb agentur zprostředkujících zaměstnání. Růst mezd se projevil i v cenách bezpečnostních a pátracích služeb (5,1 %).  </w:t>
            </w:r>
          </w:p>
        </w:tc>
      </w:tr>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t>Ceny stavebních děl loni rostly rychleji než v roce 2016.</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r w:rsidRPr="00360DE3">
              <w:t xml:space="preserve">Zrychlení ekonomiky povzbudilo i růst cen stavebních děl. Cenový nárůst probíhal napříč jednotlivými druhy stavebních děl, což pravděpodobně odráželo tlak na zvyšování mezd, který se projevil ve výsledných cenách výrobků. Zároveň byl cenový růst poměrně rovnoměrně rozložen a pohyboval se pod 2,0 %. Zvýšily se ceny všech druhů bytových budov (jednobytové o 1,9 %, tří a </w:t>
            </w:r>
            <w:proofErr w:type="spellStart"/>
            <w:r w:rsidRPr="00360DE3">
              <w:t>vícebytové</w:t>
            </w:r>
            <w:proofErr w:type="spellEnd"/>
            <w:r w:rsidRPr="00360DE3">
              <w:t xml:space="preserve"> o 1,8 %). Podobný cenový růst nastal u nebytových budov (1,8 %). Mírněji rostly inženýrských děl, kde váhově dominují dálnice a místní a účelové komunikace (1,6 %).</w:t>
            </w:r>
          </w:p>
        </w:tc>
      </w:tr>
    </w:tbl>
    <w:p w:rsidR="00F46502" w:rsidRPr="00360DE3" w:rsidRDefault="00F46502" w:rsidP="00F46502">
      <w:pPr>
        <w:pStyle w:val="Nadpis2"/>
      </w:pPr>
      <w:bookmarkStart w:id="9" w:name="_Toc527639464"/>
      <w:r w:rsidRPr="00360DE3">
        <w:t>2.4 Ceny v zahraničním obchodě se zbožím</w:t>
      </w:r>
      <w:bookmarkEnd w:id="9"/>
    </w:p>
    <w:tbl>
      <w:tblPr>
        <w:tblW w:w="9644" w:type="dxa"/>
        <w:tblInd w:w="-15" w:type="dxa"/>
        <w:tblLayout w:type="fixed"/>
        <w:tblCellMar>
          <w:left w:w="0" w:type="dxa"/>
          <w:right w:w="0" w:type="dxa"/>
        </w:tblCellMar>
        <w:tblLook w:val="00A0"/>
      </w:tblPr>
      <w:tblGrid>
        <w:gridCol w:w="1976"/>
        <w:gridCol w:w="277"/>
        <w:gridCol w:w="7391"/>
      </w:tblGrid>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t>Ceny vývozu klesly. Do značné míry se na tom podílel obchod se stroji a dopravními prostředky.</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r w:rsidRPr="00360DE3">
              <w:t>Klíčovým faktorem, který v roce 2017 ovlivňoval ceny vývozu a dovozu byl kurz koruny vůči světovým měnám. Na počátku roku 2017 sice ceny vývozu a dovozu poměrně přesvědčivě rostly, po dubnovém ukončení intervenci ČNB se však tento vývoj obrátil. Posílení bylo tak velké, že v druhé polovině roku způsobovalo meziroční propad cen dovozu i vývozu (po očištění od kurzových vlivů by ceny mírně rostly). Ceny vývozu loni oproti roku 2016 poklesly o 0,1 %. Klíčový byl pokles cen strojů a dopravních prostředků o 2,2 %, jejichž váhu v indexu nepřekonal ani nárůst cen minerálních paliv o 16,3 % a ostatních surovin o 10,3 %. Výrazněji klesaly ceny silničních vozidel (-2,9 %), u strojů a zařízení bylo snížení mírnější (-1,8 %). Pokles celkového indexu pak zmí</w:t>
            </w:r>
            <w:r w:rsidR="00EA405F">
              <w:t>rňoval nárůst cen potravin (2,2</w:t>
            </w:r>
            <w:r w:rsidR="00EA405F" w:rsidRPr="00360DE3">
              <w:t> </w:t>
            </w:r>
            <w:r w:rsidRPr="00360DE3">
              <w:t>%), chemikálií (0,7 %) a polotovarů (1,7 %).</w:t>
            </w:r>
          </w:p>
        </w:tc>
      </w:tr>
      <w:tr w:rsidR="00F46502" w:rsidRPr="00360DE3" w:rsidTr="002B213A">
        <w:trPr>
          <w:trHeight w:val="145"/>
        </w:trPr>
        <w:tc>
          <w:tcPr>
            <w:tcW w:w="1976" w:type="dxa"/>
          </w:tcPr>
          <w:p w:rsidR="00F46502" w:rsidRPr="00360DE3" w:rsidRDefault="00F46502" w:rsidP="002B213A">
            <w:pPr>
              <w:pStyle w:val="Marginlie"/>
              <w:rPr>
                <w:spacing w:val="0"/>
              </w:rPr>
            </w:pPr>
            <w:r w:rsidRPr="00360DE3">
              <w:rPr>
                <w:spacing w:val="0"/>
              </w:rPr>
              <w:t>Ceny dovozu mírně vzrostly, šlo však o výsledek silného růstu v 1. pololetí roku. Ve druhé půli již ceny dovozu rychle klesaly.</w:t>
            </w:r>
          </w:p>
        </w:tc>
        <w:tc>
          <w:tcPr>
            <w:tcW w:w="277" w:type="dxa"/>
          </w:tcPr>
          <w:p w:rsidR="00F46502" w:rsidRPr="00360DE3" w:rsidRDefault="00F46502" w:rsidP="002B213A">
            <w:pPr>
              <w:pStyle w:val="Textpoznpodarou"/>
              <w:jc w:val="both"/>
            </w:pPr>
          </w:p>
        </w:tc>
        <w:tc>
          <w:tcPr>
            <w:tcW w:w="7391" w:type="dxa"/>
          </w:tcPr>
          <w:p w:rsidR="00F46502" w:rsidRPr="00EA405F" w:rsidRDefault="00F46502" w:rsidP="002B213A">
            <w:pPr>
              <w:rPr>
                <w:spacing w:val="-2"/>
              </w:rPr>
            </w:pPr>
            <w:r w:rsidRPr="00EA405F">
              <w:rPr>
                <w:spacing w:val="-2"/>
              </w:rPr>
              <w:t>Ceny dovozu loni celkově vzrostly o 0,9 %. Přitom však v druhé půli roku klesaly rychleji než ceny vývozu (především kvůli posílení kurzu koruny vůči dolaru, který je v dovozu podstatnější než ve vývozu). Podobně jako u vývozu silně rostly ceny minerálních paliv (13,9 %) a ostatních surovin (10,3 %). Mírně rostly ceny polotovarů (4,9 %), potravin (2,8 %) a chemikálií (0,9 %). Naopak klesaly ceny strojů a</w:t>
            </w:r>
            <w:r w:rsidR="00EA405F" w:rsidRPr="00360DE3">
              <w:t> </w:t>
            </w:r>
            <w:r w:rsidRPr="00EA405F">
              <w:rPr>
                <w:spacing w:val="-2"/>
              </w:rPr>
              <w:t>dopravních prostředků (-2,9 %). Výrazněji ne</w:t>
            </w:r>
            <w:r w:rsidR="00EA405F" w:rsidRPr="00EA405F">
              <w:rPr>
                <w:spacing w:val="-2"/>
              </w:rPr>
              <w:t>ž ceny silničních vozidel (-0,4 </w:t>
            </w:r>
            <w:r w:rsidRPr="00EA405F">
              <w:rPr>
                <w:spacing w:val="-2"/>
              </w:rPr>
              <w:t xml:space="preserve">%) se však snižovaly ceny strojů a zařízení (-2,1 %). </w:t>
            </w:r>
          </w:p>
        </w:tc>
      </w:tr>
      <w:tr w:rsidR="00F46502" w:rsidRPr="00360DE3" w:rsidTr="002B213A">
        <w:trPr>
          <w:trHeight w:val="429"/>
        </w:trPr>
        <w:tc>
          <w:tcPr>
            <w:tcW w:w="1976" w:type="dxa"/>
          </w:tcPr>
          <w:p w:rsidR="00F46502" w:rsidRPr="00360DE3" w:rsidRDefault="00F46502" w:rsidP="002B213A">
            <w:pPr>
              <w:pStyle w:val="Marginlie"/>
              <w:rPr>
                <w:spacing w:val="0"/>
              </w:rPr>
            </w:pPr>
            <w:r w:rsidRPr="00360DE3">
              <w:rPr>
                <w:spacing w:val="0"/>
              </w:rPr>
              <w:t>Směnné relace v roce 2017 byly záporné.</w:t>
            </w:r>
          </w:p>
        </w:tc>
        <w:tc>
          <w:tcPr>
            <w:tcW w:w="277" w:type="dxa"/>
          </w:tcPr>
          <w:p w:rsidR="00F46502" w:rsidRPr="00360DE3" w:rsidRDefault="00F46502" w:rsidP="002B213A">
            <w:pPr>
              <w:pStyle w:val="Textpoznpodarou"/>
              <w:jc w:val="both"/>
            </w:pPr>
          </w:p>
        </w:tc>
        <w:tc>
          <w:tcPr>
            <w:tcW w:w="7391" w:type="dxa"/>
          </w:tcPr>
          <w:p w:rsidR="00F46502" w:rsidRPr="00360DE3" w:rsidRDefault="00F46502" w:rsidP="002B213A">
            <w:r w:rsidRPr="00360DE3">
              <w:t>Výsledné směnné relace zahraničního obchodu dosáhly 99,0 %. Záporné byly především směnné relace obchodu s polotovary (96,9 %), dále s potravinami a živými zvířaty (99,4 %), nápoji a tabákem (97,5 %) a chemikáliemi (99,8 %). Kladné směnné relace zaznamenal obchod s minerál</w:t>
            </w:r>
            <w:r w:rsidR="00EA405F">
              <w:t>ními palivy (102,1 %), stroji a</w:t>
            </w:r>
            <w:r w:rsidR="00EA405F" w:rsidRPr="00360DE3">
              <w:t> </w:t>
            </w:r>
            <w:r w:rsidRPr="00360DE3">
              <w:t xml:space="preserve">dopravními prostředky (100,7 %) a průmyslovým spotřebním zbožím (101,2 %). Jak bylo uvedeno výše, v mnohých případech ceny vývozu klesaly pomaleji než ceny dovozu, protože v dovozu měl větší roli vůči koruně silně oslabující dolar.  </w:t>
            </w:r>
          </w:p>
        </w:tc>
      </w:tr>
    </w:tbl>
    <w:p w:rsidR="00BE6186" w:rsidRPr="00360DE3" w:rsidRDefault="00BE6186" w:rsidP="00BE6186">
      <w:pPr>
        <w:pStyle w:val="Nadpis1"/>
      </w:pPr>
      <w:bookmarkStart w:id="10" w:name="_Toc527639465"/>
      <w:r w:rsidRPr="00360DE3">
        <w:lastRenderedPageBreak/>
        <w:t>3. Vnější ekonomické vztahy</w:t>
      </w:r>
      <w:bookmarkEnd w:id="10"/>
    </w:p>
    <w:p w:rsidR="00BE6186" w:rsidRPr="00360DE3" w:rsidRDefault="00BE6186" w:rsidP="00BE6186">
      <w:pPr>
        <w:pStyle w:val="Nadpis2"/>
      </w:pPr>
      <w:bookmarkStart w:id="11" w:name="_Toc527639466"/>
      <w:r w:rsidRPr="00360DE3">
        <w:t>3.1 Finanční vztahy s nerezidenty</w:t>
      </w:r>
      <w:bookmarkEnd w:id="11"/>
    </w:p>
    <w:tbl>
      <w:tblPr>
        <w:tblW w:w="9644" w:type="dxa"/>
        <w:tblInd w:w="-15" w:type="dxa"/>
        <w:tblLayout w:type="fixed"/>
        <w:tblCellMar>
          <w:left w:w="0" w:type="dxa"/>
          <w:right w:w="0" w:type="dxa"/>
        </w:tblCellMar>
        <w:tblLook w:val="00A0"/>
      </w:tblPr>
      <w:tblGrid>
        <w:gridCol w:w="1976"/>
        <w:gridCol w:w="277"/>
        <w:gridCol w:w="7391"/>
      </w:tblGrid>
      <w:tr w:rsidR="00BE6186" w:rsidRPr="00360DE3" w:rsidTr="002B213A">
        <w:trPr>
          <w:trHeight w:val="145"/>
        </w:trPr>
        <w:tc>
          <w:tcPr>
            <w:tcW w:w="1976" w:type="dxa"/>
          </w:tcPr>
          <w:p w:rsidR="00BE6186" w:rsidRPr="00360DE3" w:rsidRDefault="00BE6186" w:rsidP="002B213A">
            <w:pPr>
              <w:pStyle w:val="Marginlie"/>
              <w:rPr>
                <w:spacing w:val="0"/>
              </w:rPr>
            </w:pPr>
            <w:r w:rsidRPr="00360DE3">
              <w:rPr>
                <w:spacing w:val="0"/>
              </w:rPr>
              <w:t>Bilance obchodu se zbožím a službami se navýšila díky výraznému nárůstu přebytku na straně služeb.</w:t>
            </w:r>
          </w:p>
        </w:tc>
        <w:tc>
          <w:tcPr>
            <w:tcW w:w="277" w:type="dxa"/>
          </w:tcPr>
          <w:p w:rsidR="00BE6186" w:rsidRPr="00360DE3" w:rsidRDefault="00BE6186" w:rsidP="002B213A">
            <w:pPr>
              <w:pStyle w:val="Textpoznpodarou"/>
              <w:jc w:val="both"/>
            </w:pPr>
          </w:p>
        </w:tc>
        <w:tc>
          <w:tcPr>
            <w:tcW w:w="7391" w:type="dxa"/>
          </w:tcPr>
          <w:p w:rsidR="00BE6186" w:rsidRPr="00360DE3" w:rsidRDefault="00BE6186" w:rsidP="00DF7AD4">
            <w:pPr>
              <w:spacing w:after="220"/>
            </w:pPr>
            <w:r w:rsidRPr="00360DE3">
              <w:t>Z údajů národních účtů</w:t>
            </w:r>
            <w:r w:rsidRPr="00360DE3">
              <w:rPr>
                <w:rStyle w:val="Znakapoznpodarou"/>
              </w:rPr>
              <w:footnoteReference w:id="6"/>
            </w:r>
            <w:r w:rsidRPr="00360DE3">
              <w:t xml:space="preserve"> vyplývá, že v roce 2017 činilo kladné saldo bilance vývozu a dovozu zboží a služeb 379,4 mld. korun. Meziročně se přebytek navýšil o 11,5 mld. korun, což do značné míry odráží i probíhající vrchol ekonomického cyklu. Srovnáváme totiž s rokem 2016, kdy se kladné saldo zvýšilo o 92,2 mld. korun. Podrobnější pohled ukazuje, že růst přebytku v loňském roce zajistil obchod se službami, Jeho bilance činila 126,3 mld. korun a meziročně se navýšila o 16,9 mld. Naopak kladné saldo zahraničního obchodu se zbožím, který je dominantním prvkem české ekonomiky, se loni snížilo o 5,4 mld. a přebytek dosáhl 253,2 mld. korun.</w:t>
            </w:r>
          </w:p>
        </w:tc>
      </w:tr>
      <w:tr w:rsidR="00BE6186" w:rsidRPr="00360DE3" w:rsidTr="002B213A">
        <w:trPr>
          <w:trHeight w:val="145"/>
        </w:trPr>
        <w:tc>
          <w:tcPr>
            <w:tcW w:w="1976" w:type="dxa"/>
          </w:tcPr>
          <w:p w:rsidR="00BE6186" w:rsidRPr="00360DE3" w:rsidRDefault="00BE6186" w:rsidP="002B213A">
            <w:pPr>
              <w:pStyle w:val="Marginlie"/>
              <w:rPr>
                <w:spacing w:val="0"/>
              </w:rPr>
            </w:pPr>
            <w:r w:rsidRPr="00360DE3">
              <w:rPr>
                <w:spacing w:val="0"/>
              </w:rPr>
              <w:t>Reinvestice zisků měly v roce 2017 větší objem i váhu než v předchozím roce.</w:t>
            </w:r>
          </w:p>
        </w:tc>
        <w:tc>
          <w:tcPr>
            <w:tcW w:w="277" w:type="dxa"/>
          </w:tcPr>
          <w:p w:rsidR="00BE6186" w:rsidRPr="00360DE3" w:rsidRDefault="00BE6186" w:rsidP="002B213A">
            <w:pPr>
              <w:pStyle w:val="Textpoznpodarou"/>
              <w:jc w:val="both"/>
            </w:pPr>
          </w:p>
        </w:tc>
        <w:tc>
          <w:tcPr>
            <w:tcW w:w="7391" w:type="dxa"/>
          </w:tcPr>
          <w:p w:rsidR="00BE6186" w:rsidRPr="005B08EB" w:rsidRDefault="00BE6186" w:rsidP="00DF7AD4">
            <w:pPr>
              <w:spacing w:after="220"/>
              <w:rPr>
                <w:spacing w:val="2"/>
              </w:rPr>
            </w:pPr>
            <w:r w:rsidRPr="005B08EB">
              <w:rPr>
                <w:spacing w:val="2"/>
              </w:rPr>
              <w:t>Ve směru od nerezidentů</w:t>
            </w:r>
            <w:r w:rsidRPr="005B08EB">
              <w:rPr>
                <w:rStyle w:val="Znakapoznpodarou"/>
                <w:spacing w:val="2"/>
              </w:rPr>
              <w:footnoteReference w:id="7"/>
            </w:r>
            <w:r w:rsidRPr="005B08EB">
              <w:rPr>
                <w:spacing w:val="2"/>
              </w:rPr>
              <w:t xml:space="preserve"> k rezidentům v roce 2017 zamířilo 64,4 mld. korun ve formě náhrad zaměstnancům (o 5,9 mld. více než v předchozím roce). Naopak nerezidentům bylo takto vyplaceno 26,7 mld. korun (+3,8 mld.). Výsledné saldo dosáhlo 37,7 mld. korun a meziročně se zvýšilo o 2,1 mld. Zisky z přímých investic zahraničních vlastníků loni dosáhly 451,7 mld. korun, což představovalo 8,9 % HDP. Z toho 275,9 mld. korun odešlo do zahraničí ve formě dividend a</w:t>
            </w:r>
            <w:r w:rsidR="005B08EB" w:rsidRPr="00360DE3">
              <w:t> </w:t>
            </w:r>
            <w:r w:rsidRPr="005B08EB">
              <w:rPr>
                <w:spacing w:val="2"/>
              </w:rPr>
              <w:t>175,8 mld. bylo reinvestováno. V porovnání s rokem 2016 se loni výrazně zvýšil podíl reinvestic na celkových ziscích. Tento vývoj lze spojit s vyšší mírou investiční aktivity podniků vyvolanou mimo jiné nedostatkem pracovní síly, který je nutné řešit inovací výroby. Zisky rezidentů z přímých zahranič</w:t>
            </w:r>
            <w:r w:rsidR="00DF7AD4" w:rsidRPr="005B08EB">
              <w:rPr>
                <w:spacing w:val="2"/>
              </w:rPr>
              <w:t>ních investic loni dosáhly 48,8 </w:t>
            </w:r>
            <w:r w:rsidRPr="005B08EB">
              <w:rPr>
                <w:spacing w:val="2"/>
              </w:rPr>
              <w:t xml:space="preserve">mld. korun a reinvestováno bylo 36,6 mld. Celkové saldo toků prvotních důchodů mezi rezidenty a nerezidenty v roce 2017 činilo -309,9 mld. korun. </w:t>
            </w:r>
          </w:p>
        </w:tc>
      </w:tr>
      <w:tr w:rsidR="00BE6186" w:rsidRPr="00360DE3" w:rsidTr="002B213A">
        <w:trPr>
          <w:trHeight w:val="170"/>
        </w:trPr>
        <w:tc>
          <w:tcPr>
            <w:tcW w:w="1976" w:type="dxa"/>
          </w:tcPr>
          <w:p w:rsidR="00BE6186" w:rsidRPr="00360DE3" w:rsidRDefault="00BE6186" w:rsidP="002B213A">
            <w:pPr>
              <w:pStyle w:val="Marginlie"/>
              <w:rPr>
                <w:spacing w:val="0"/>
              </w:rPr>
            </w:pPr>
            <w:r w:rsidRPr="00360DE3">
              <w:rPr>
                <w:spacing w:val="0"/>
              </w:rPr>
              <w:t>Výsledné saldo běžných transakcí bylo kladné.</w:t>
            </w:r>
          </w:p>
        </w:tc>
        <w:tc>
          <w:tcPr>
            <w:tcW w:w="277" w:type="dxa"/>
          </w:tcPr>
          <w:p w:rsidR="00BE6186" w:rsidRPr="00360DE3" w:rsidRDefault="00BE6186" w:rsidP="002B213A">
            <w:pPr>
              <w:pStyle w:val="Textpoznpodarou"/>
              <w:jc w:val="both"/>
            </w:pPr>
          </w:p>
        </w:tc>
        <w:tc>
          <w:tcPr>
            <w:tcW w:w="7391" w:type="dxa"/>
          </w:tcPr>
          <w:p w:rsidR="00BE6186" w:rsidRPr="00360DE3" w:rsidRDefault="00BE6186" w:rsidP="00DF7AD4">
            <w:pPr>
              <w:spacing w:after="220"/>
            </w:pPr>
            <w:r w:rsidRPr="00360DE3">
              <w:t>Prostřednictvím ostatních transferů (daně, sociální příspěvky a dávky a ostatní běžné transfery) k nerezidentům odešlo k nerezidentům 119,2 mld. korun, v opačném směru to bylo 65,1 mld. Výsledné saldo tak působilo ve směru deficitu běžných transakcí rezidentů s nerezidenty. Díky výraznému přebytku bilance obchodu se zbožím a službami bylo výsledné saldo běžných transakcí kladné a dosáhlo 15,3 mld. korun. Rovněž saldo kapitálových transferů bylo kladné a dosáhlo 31,3 mld. korun. Ze zahraničí totiž přiteklo (především ve formě investičních dotací) 39,1 mld. korun. Čisté výpůjčky (součet salda běžných a kapitálových transferů očištěného o čisté pořízení nefinančních aktiv) dosáhly 42,4 mld. korun a zvýšily se o 16,1 mld.</w:t>
            </w:r>
          </w:p>
        </w:tc>
      </w:tr>
    </w:tbl>
    <w:p w:rsidR="00BE6186" w:rsidRPr="00360DE3" w:rsidRDefault="00BE6186" w:rsidP="00BE6186">
      <w:pPr>
        <w:pStyle w:val="Nadpis2"/>
      </w:pPr>
      <w:bookmarkStart w:id="12" w:name="_Toc527639467"/>
      <w:r w:rsidRPr="00360DE3">
        <w:t>3.2 Zahraniční obchod a jeho struktura</w:t>
      </w:r>
      <w:bookmarkEnd w:id="12"/>
    </w:p>
    <w:tbl>
      <w:tblPr>
        <w:tblW w:w="9597" w:type="dxa"/>
        <w:tblInd w:w="-15" w:type="dxa"/>
        <w:tblLayout w:type="fixed"/>
        <w:tblCellMar>
          <w:left w:w="0" w:type="dxa"/>
          <w:right w:w="0" w:type="dxa"/>
        </w:tblCellMar>
        <w:tblLook w:val="00A0"/>
      </w:tblPr>
      <w:tblGrid>
        <w:gridCol w:w="1966"/>
        <w:gridCol w:w="276"/>
        <w:gridCol w:w="7355"/>
      </w:tblGrid>
      <w:tr w:rsidR="00C466D2" w:rsidRPr="00360DE3" w:rsidTr="002B213A">
        <w:trPr>
          <w:trHeight w:val="145"/>
        </w:trPr>
        <w:tc>
          <w:tcPr>
            <w:tcW w:w="1966" w:type="dxa"/>
          </w:tcPr>
          <w:p w:rsidR="00C466D2" w:rsidRPr="00360DE3" w:rsidRDefault="00C466D2" w:rsidP="00C466D2">
            <w:pPr>
              <w:pStyle w:val="Marginlie"/>
              <w:rPr>
                <w:spacing w:val="0"/>
              </w:rPr>
            </w:pPr>
            <w:r w:rsidRPr="00360DE3">
              <w:rPr>
                <w:spacing w:val="0"/>
              </w:rPr>
              <w:t>Rostl vývoz i dovoz zboží, ale přebytek bilance meziročně nepatrně poklesl.</w:t>
            </w:r>
          </w:p>
        </w:tc>
        <w:tc>
          <w:tcPr>
            <w:tcW w:w="276" w:type="dxa"/>
          </w:tcPr>
          <w:p w:rsidR="00C466D2" w:rsidRPr="00360DE3" w:rsidRDefault="00C466D2" w:rsidP="00C466D2">
            <w:pPr>
              <w:pStyle w:val="Textpoznpodarou"/>
              <w:jc w:val="both"/>
            </w:pPr>
          </w:p>
        </w:tc>
        <w:tc>
          <w:tcPr>
            <w:tcW w:w="7355" w:type="dxa"/>
          </w:tcPr>
          <w:p w:rsidR="00C466D2" w:rsidRPr="00360DE3" w:rsidRDefault="00C466D2" w:rsidP="00C466D2">
            <w:r w:rsidRPr="00360DE3">
              <w:t>Výsledky zahraničního obchodu se zbožím v roce 2017 korespondovaly s celkovým vývojem ekonomiky. Hodnota vývozu zboží dosáhla 3 512,9 mld. korun</w:t>
            </w:r>
            <w:r w:rsidRPr="00360DE3">
              <w:rPr>
                <w:rStyle w:val="Znakapoznpodarou"/>
              </w:rPr>
              <w:footnoteReference w:id="8"/>
            </w:r>
            <w:r w:rsidRPr="00360DE3">
              <w:t xml:space="preserve"> (meziroční nárůst o 213,8 mld. korun, 6,5 %) a bylo dovezeno zboží v hodnotě 3 349,4 mld. korun (navýšení </w:t>
            </w:r>
            <w:r w:rsidR="000D514E">
              <w:t>o 214,0 mld., 6,8 %). Nepatrné zhoršení</w:t>
            </w:r>
            <w:r w:rsidRPr="00360DE3">
              <w:t xml:space="preserve"> přebytku bilance obchodu se zbožím o 0,2 mld. korun tak bylo mimo jiné výsledkem vyššího importu, který ve větší míře než </w:t>
            </w:r>
            <w:r w:rsidR="005B08EB">
              <w:t>dříve saturoval růst spotřeby i</w:t>
            </w:r>
            <w:r w:rsidR="005B08EB" w:rsidRPr="00360DE3">
              <w:t> </w:t>
            </w:r>
            <w:r w:rsidRPr="00360DE3">
              <w:t xml:space="preserve">kapitálových výdajů. </w:t>
            </w:r>
          </w:p>
        </w:tc>
      </w:tr>
      <w:tr w:rsidR="00C466D2" w:rsidRPr="00360DE3" w:rsidTr="002B213A">
        <w:trPr>
          <w:trHeight w:val="145"/>
        </w:trPr>
        <w:tc>
          <w:tcPr>
            <w:tcW w:w="1966" w:type="dxa"/>
            <w:shd w:val="clear" w:color="auto" w:fill="auto"/>
          </w:tcPr>
          <w:p w:rsidR="00C466D2" w:rsidRPr="00360DE3" w:rsidRDefault="00C466D2" w:rsidP="00C466D2">
            <w:pPr>
              <w:pStyle w:val="Marginlie"/>
              <w:rPr>
                <w:spacing w:val="0"/>
              </w:rPr>
            </w:pPr>
            <w:r w:rsidRPr="00360DE3">
              <w:rPr>
                <w:spacing w:val="0"/>
              </w:rPr>
              <w:lastRenderedPageBreak/>
              <w:t>Výrazný dopad na bilanci obchodu se zbožím mělo zvýšení cen surovin.</w:t>
            </w:r>
          </w:p>
        </w:tc>
        <w:tc>
          <w:tcPr>
            <w:tcW w:w="276" w:type="dxa"/>
          </w:tcPr>
          <w:p w:rsidR="00C466D2" w:rsidRPr="00360DE3" w:rsidRDefault="00C466D2" w:rsidP="00C466D2">
            <w:pPr>
              <w:pStyle w:val="Textpoznpodarou"/>
              <w:jc w:val="both"/>
            </w:pPr>
          </w:p>
        </w:tc>
        <w:tc>
          <w:tcPr>
            <w:tcW w:w="7355" w:type="dxa"/>
          </w:tcPr>
          <w:p w:rsidR="00C466D2" w:rsidRPr="00360DE3" w:rsidRDefault="00C466D2" w:rsidP="00C466D2">
            <w:r w:rsidRPr="00360DE3">
              <w:t>Dalším faktorem, který lze s poklesem přebytku bilance obchodu se zbožím spojit je nárůst cen surovin, který navýšil hodnotu dovozu, ve kterém mají v českém prostředí suroviny větší váhu, než v exportu. I to je důvod prohloubení deficitu se zeměmi mimo EU o 67,3 mld. korun. Naopak přebytek obchodu s EU loni dále rostl (o 65,4 mld. korun). Z hlediska jednotlivých oddílů klasifikace produkce mají dlouhodobě největší dopad na výsledný přebytek motorová vozidla, u nichž loni kladné saldo dosáhlo 444,8 mld. korun a zvýšilo se meziročně o 28,9 mld. Výrazný byl i přebytek u strojů a zařízení (74,4 mld. korun, +11,0 mld.) a kovodělných výrobků (58,2 mld. korun, -2,3 mld.). Deficitní je dlouhodobě obchod se základními kovy (deficit ve výši 125,9 mld. korun, prohloubení o 30,1 mld.), ropou a zemním plynem (</w:t>
            </w:r>
            <w:r w:rsidRPr="00360DE3">
              <w:noBreakHyphen/>
              <w:t>117,3 mld., prohloubení o 39,7 mld.) a chemickými látkami a přípravky (</w:t>
            </w:r>
            <w:r w:rsidRPr="00360DE3">
              <w:noBreakHyphen/>
              <w:t>109,5 mld., zmírnění o 10,0 mld.).</w:t>
            </w:r>
          </w:p>
        </w:tc>
      </w:tr>
      <w:tr w:rsidR="00BE6186" w:rsidRPr="00360DE3" w:rsidTr="002B213A">
        <w:trPr>
          <w:trHeight w:val="90"/>
        </w:trPr>
        <w:tc>
          <w:tcPr>
            <w:tcW w:w="1966" w:type="dxa"/>
            <w:shd w:val="clear" w:color="auto" w:fill="auto"/>
          </w:tcPr>
          <w:p w:rsidR="00BE6186" w:rsidRPr="00360DE3" w:rsidRDefault="00BE6186" w:rsidP="002B213A">
            <w:pPr>
              <w:pStyle w:val="Marginlie"/>
              <w:rPr>
                <w:spacing w:val="0"/>
              </w:rPr>
            </w:pPr>
            <w:r w:rsidRPr="00360DE3">
              <w:rPr>
                <w:spacing w:val="0"/>
              </w:rPr>
              <w:t>V posledních letech se proměnila struktura bilance služeb.</w:t>
            </w:r>
          </w:p>
        </w:tc>
        <w:tc>
          <w:tcPr>
            <w:tcW w:w="276" w:type="dxa"/>
          </w:tcPr>
          <w:p w:rsidR="00BE6186" w:rsidRPr="00360DE3" w:rsidRDefault="00BE6186" w:rsidP="002B213A">
            <w:pPr>
              <w:pStyle w:val="Textpoznpodarou"/>
              <w:jc w:val="both"/>
            </w:pPr>
          </w:p>
        </w:tc>
        <w:tc>
          <w:tcPr>
            <w:tcW w:w="7355" w:type="dxa"/>
          </w:tcPr>
          <w:p w:rsidR="00BE6186" w:rsidRPr="00DF7AD4" w:rsidRDefault="00AB5421" w:rsidP="00AB5421">
            <w:pPr>
              <w:rPr>
                <w:spacing w:val="-2"/>
              </w:rPr>
            </w:pPr>
            <w:r w:rsidRPr="00DF7AD4">
              <w:rPr>
                <w:spacing w:val="-2"/>
              </w:rPr>
              <w:t>Z</w:t>
            </w:r>
            <w:r w:rsidR="00BE6186" w:rsidRPr="00DF7AD4">
              <w:rPr>
                <w:spacing w:val="-2"/>
              </w:rPr>
              <w:t xml:space="preserve">ahraniční obchod se službami v loňském roce zajistil navýšení celkového přebytku obchodní bilance. Pro bližší pohled na strukturu vývozu služeb použijeme údaje ČNB. </w:t>
            </w:r>
            <w:r w:rsidRPr="00DF7AD4">
              <w:rPr>
                <w:spacing w:val="-2"/>
              </w:rPr>
              <w:t xml:space="preserve">Od </w:t>
            </w:r>
            <w:proofErr w:type="spellStart"/>
            <w:r w:rsidRPr="00DF7AD4">
              <w:rPr>
                <w:spacing w:val="-2"/>
              </w:rPr>
              <w:t>mimima</w:t>
            </w:r>
            <w:proofErr w:type="spellEnd"/>
            <w:r w:rsidRPr="00DF7AD4">
              <w:rPr>
                <w:spacing w:val="-2"/>
              </w:rPr>
              <w:t xml:space="preserve"> </w:t>
            </w:r>
            <w:r w:rsidR="00BE6186" w:rsidRPr="00DF7AD4">
              <w:rPr>
                <w:spacing w:val="-2"/>
              </w:rPr>
              <w:t xml:space="preserve">v roce 2014 </w:t>
            </w:r>
            <w:r w:rsidRPr="00DF7AD4">
              <w:rPr>
                <w:spacing w:val="-2"/>
              </w:rPr>
              <w:t>se přebytek obchodu se službami odrazil a </w:t>
            </w:r>
            <w:r w:rsidR="00BE6186" w:rsidRPr="00DF7AD4">
              <w:rPr>
                <w:spacing w:val="-2"/>
              </w:rPr>
              <w:t xml:space="preserve">výrazně rostl. </w:t>
            </w:r>
            <w:r w:rsidRPr="00DF7AD4">
              <w:rPr>
                <w:spacing w:val="-2"/>
              </w:rPr>
              <w:t>Jde o</w:t>
            </w:r>
            <w:r w:rsidR="00BE6186" w:rsidRPr="00DF7AD4">
              <w:rPr>
                <w:spacing w:val="-2"/>
              </w:rPr>
              <w:t xml:space="preserve"> výsled</w:t>
            </w:r>
            <w:r w:rsidRPr="00DF7AD4">
              <w:rPr>
                <w:spacing w:val="-2"/>
              </w:rPr>
              <w:t>ek</w:t>
            </w:r>
            <w:r w:rsidR="00BE6186" w:rsidRPr="00DF7AD4">
              <w:rPr>
                <w:spacing w:val="-2"/>
              </w:rPr>
              <w:t xml:space="preserve"> zvyšování přebytku obchodu s telekomunikačními službami, službami v oblasti počítačů a informač</w:t>
            </w:r>
            <w:r w:rsidR="00DF7AD4" w:rsidRPr="00DF7AD4">
              <w:rPr>
                <w:spacing w:val="-2"/>
              </w:rPr>
              <w:t>ními službami (loni dosáhl 37,9 </w:t>
            </w:r>
            <w:r w:rsidR="00BE6186" w:rsidRPr="00DF7AD4">
              <w:rPr>
                <w:spacing w:val="-2"/>
              </w:rPr>
              <w:t>mld. korun). Především v posledních dvou letech výrazně narostl přeb</w:t>
            </w:r>
            <w:r w:rsidR="00DF7AD4" w:rsidRPr="00DF7AD4">
              <w:rPr>
                <w:spacing w:val="-2"/>
              </w:rPr>
              <w:t>ytek u </w:t>
            </w:r>
            <w:r w:rsidR="00BE6186" w:rsidRPr="00DF7AD4">
              <w:rPr>
                <w:spacing w:val="-2"/>
              </w:rPr>
              <w:t>služeb v dopravě (31,2 mld.) a v průběhu let postupně sílí význam výrobních služeb u cizích fyzických vstupů (jde například o montování konečných výrobků z dodaných součástek, 41,2</w:t>
            </w:r>
            <w:r w:rsidR="00DF7AD4" w:rsidRPr="00360DE3">
              <w:t> </w:t>
            </w:r>
            <w:r w:rsidR="00BE6186" w:rsidRPr="00DF7AD4">
              <w:rPr>
                <w:spacing w:val="-2"/>
              </w:rPr>
              <w:t>mld.). Cestovní ruch, který tvořil většinu přebytku před rokem 2014, loni dosáhl kladného salda 35,2 mld. korun. To mírně rostlo, ale tempo zpomalovaly vyšší výdaje domácích spotřebitelů na cestování do zahraničí. Ve směru deficitu stabilně působily poplatky za využívání duševního vlastnictví (-18,9 mld.) a pojišťovací služby a penz</w:t>
            </w:r>
            <w:r w:rsidR="00DF7AD4">
              <w:rPr>
                <w:spacing w:val="-2"/>
              </w:rPr>
              <w:t xml:space="preserve">ijní financování (-11,2 mld.). </w:t>
            </w:r>
          </w:p>
        </w:tc>
      </w:tr>
      <w:tr w:rsidR="00BE6186" w:rsidRPr="00360DE3" w:rsidTr="002B213A">
        <w:trPr>
          <w:trHeight w:val="170"/>
        </w:trPr>
        <w:tc>
          <w:tcPr>
            <w:tcW w:w="1966" w:type="dxa"/>
            <w:vMerge w:val="restart"/>
            <w:shd w:val="clear" w:color="auto" w:fill="auto"/>
          </w:tcPr>
          <w:p w:rsidR="00BE6186" w:rsidRPr="00360DE3" w:rsidRDefault="00BE6186" w:rsidP="002B213A">
            <w:pPr>
              <w:pStyle w:val="Marginlie"/>
              <w:rPr>
                <w:spacing w:val="0"/>
              </w:rPr>
            </w:pPr>
          </w:p>
        </w:tc>
        <w:tc>
          <w:tcPr>
            <w:tcW w:w="276" w:type="dxa"/>
            <w:vMerge w:val="restart"/>
          </w:tcPr>
          <w:p w:rsidR="00BE6186" w:rsidRPr="00360DE3" w:rsidRDefault="00BE6186" w:rsidP="002B213A">
            <w:pPr>
              <w:pStyle w:val="Textpoznpodarou"/>
              <w:jc w:val="both"/>
            </w:pPr>
          </w:p>
        </w:tc>
        <w:tc>
          <w:tcPr>
            <w:tcW w:w="7355" w:type="dxa"/>
          </w:tcPr>
          <w:p w:rsidR="00BE6186" w:rsidRPr="00360DE3" w:rsidRDefault="00BE6186" w:rsidP="001D198A">
            <w:pPr>
              <w:spacing w:after="0"/>
              <w:rPr>
                <w:b/>
              </w:rPr>
            </w:pPr>
            <w:r w:rsidRPr="00360DE3">
              <w:rPr>
                <w:b/>
              </w:rPr>
              <w:t xml:space="preserve">Graf č. </w:t>
            </w:r>
            <w:proofErr w:type="gramStart"/>
            <w:r w:rsidR="001D198A" w:rsidRPr="00360DE3">
              <w:rPr>
                <w:b/>
              </w:rPr>
              <w:t>3.2.1</w:t>
            </w:r>
            <w:r w:rsidRPr="00360DE3">
              <w:rPr>
                <w:b/>
              </w:rPr>
              <w:t xml:space="preserve">  Bilance</w:t>
            </w:r>
            <w:proofErr w:type="gramEnd"/>
            <w:r w:rsidRPr="00360DE3">
              <w:rPr>
                <w:b/>
              </w:rPr>
              <w:t xml:space="preserve"> služeb </w:t>
            </w:r>
            <w:r w:rsidRPr="00360DE3">
              <w:t>(kumulace celého roku, v mld. korun)</w:t>
            </w:r>
          </w:p>
        </w:tc>
      </w:tr>
      <w:tr w:rsidR="00BE6186" w:rsidRPr="00360DE3" w:rsidTr="002B213A">
        <w:trPr>
          <w:trHeight w:val="170"/>
        </w:trPr>
        <w:tc>
          <w:tcPr>
            <w:tcW w:w="1966" w:type="dxa"/>
            <w:vMerge/>
            <w:shd w:val="clear" w:color="auto" w:fill="auto"/>
          </w:tcPr>
          <w:p w:rsidR="00BE6186" w:rsidRPr="00360DE3" w:rsidRDefault="00BE6186" w:rsidP="002B213A">
            <w:pPr>
              <w:pStyle w:val="Marginlie"/>
              <w:rPr>
                <w:spacing w:val="0"/>
              </w:rPr>
            </w:pPr>
          </w:p>
        </w:tc>
        <w:tc>
          <w:tcPr>
            <w:tcW w:w="276" w:type="dxa"/>
            <w:vMerge/>
          </w:tcPr>
          <w:p w:rsidR="00BE6186" w:rsidRPr="00360DE3" w:rsidRDefault="00BE6186" w:rsidP="002B213A">
            <w:pPr>
              <w:pStyle w:val="Textpoznpodarou"/>
              <w:jc w:val="both"/>
            </w:pPr>
          </w:p>
        </w:tc>
        <w:tc>
          <w:tcPr>
            <w:tcW w:w="7355" w:type="dxa"/>
          </w:tcPr>
          <w:p w:rsidR="00BE6186" w:rsidRPr="00360DE3" w:rsidRDefault="00BE6186" w:rsidP="002B213A">
            <w:pPr>
              <w:spacing w:after="0"/>
            </w:pPr>
            <w:r w:rsidRPr="00360DE3">
              <w:rPr>
                <w:noProof/>
              </w:rPr>
              <w:drawing>
                <wp:inline distT="0" distB="0" distL="0" distR="0">
                  <wp:extent cx="4737600" cy="3362700"/>
                  <wp:effectExtent l="0" t="0" r="0" b="0"/>
                  <wp:docPr id="14"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r w:rsidR="00BE6186" w:rsidRPr="00360DE3" w:rsidTr="002B213A">
        <w:trPr>
          <w:trHeight w:val="170"/>
        </w:trPr>
        <w:tc>
          <w:tcPr>
            <w:tcW w:w="1966" w:type="dxa"/>
            <w:vMerge/>
            <w:shd w:val="clear" w:color="auto" w:fill="auto"/>
          </w:tcPr>
          <w:p w:rsidR="00BE6186" w:rsidRPr="00360DE3" w:rsidRDefault="00BE6186" w:rsidP="002B213A">
            <w:pPr>
              <w:pStyle w:val="Marginlie"/>
              <w:rPr>
                <w:spacing w:val="0"/>
              </w:rPr>
            </w:pPr>
          </w:p>
        </w:tc>
        <w:tc>
          <w:tcPr>
            <w:tcW w:w="276" w:type="dxa"/>
            <w:vMerge/>
          </w:tcPr>
          <w:p w:rsidR="00BE6186" w:rsidRPr="00360DE3" w:rsidRDefault="00BE6186" w:rsidP="002B213A">
            <w:pPr>
              <w:pStyle w:val="Textpoznpodarou"/>
              <w:jc w:val="both"/>
            </w:pPr>
          </w:p>
        </w:tc>
        <w:tc>
          <w:tcPr>
            <w:tcW w:w="7355" w:type="dxa"/>
          </w:tcPr>
          <w:p w:rsidR="00BE6186" w:rsidRPr="00360DE3" w:rsidRDefault="00BE6186" w:rsidP="002B213A">
            <w:pPr>
              <w:rPr>
                <w:sz w:val="14"/>
                <w:szCs w:val="14"/>
              </w:rPr>
            </w:pPr>
            <w:r w:rsidRPr="00360DE3">
              <w:rPr>
                <w:sz w:val="14"/>
                <w:szCs w:val="14"/>
              </w:rPr>
              <w:t>Zdroj: ČNB</w:t>
            </w:r>
          </w:p>
        </w:tc>
      </w:tr>
    </w:tbl>
    <w:p w:rsidR="00BE6186" w:rsidRPr="00360DE3" w:rsidRDefault="00BE6186" w:rsidP="00BE6186">
      <w:pPr>
        <w:pStyle w:val="Nadpis2"/>
      </w:pPr>
      <w:bookmarkStart w:id="13" w:name="_Toc527639468"/>
      <w:r w:rsidRPr="00360DE3">
        <w:t>3.3 Investiční pozice a zahraniční dluh</w:t>
      </w:r>
      <w:bookmarkEnd w:id="13"/>
    </w:p>
    <w:tbl>
      <w:tblPr>
        <w:tblW w:w="9644" w:type="dxa"/>
        <w:tblInd w:w="-15" w:type="dxa"/>
        <w:tblLayout w:type="fixed"/>
        <w:tblCellMar>
          <w:left w:w="0" w:type="dxa"/>
          <w:right w:w="0" w:type="dxa"/>
        </w:tblCellMar>
        <w:tblLook w:val="00A0"/>
      </w:tblPr>
      <w:tblGrid>
        <w:gridCol w:w="1976"/>
        <w:gridCol w:w="277"/>
        <w:gridCol w:w="7391"/>
      </w:tblGrid>
      <w:tr w:rsidR="00BE6186" w:rsidRPr="00360DE3" w:rsidTr="002B213A">
        <w:trPr>
          <w:trHeight w:val="145"/>
        </w:trPr>
        <w:tc>
          <w:tcPr>
            <w:tcW w:w="1976" w:type="dxa"/>
          </w:tcPr>
          <w:p w:rsidR="00BE6186" w:rsidRPr="00360DE3" w:rsidRDefault="00BE6186" w:rsidP="002B213A">
            <w:pPr>
              <w:pStyle w:val="Marginlie"/>
              <w:rPr>
                <w:spacing w:val="0"/>
              </w:rPr>
            </w:pPr>
            <w:r w:rsidRPr="00360DE3">
              <w:rPr>
                <w:spacing w:val="0"/>
              </w:rPr>
              <w:t xml:space="preserve">Investiční pozice se díky rostoucím rezervním aktivům mírně zlepšila. </w:t>
            </w:r>
            <w:r w:rsidRPr="00360DE3">
              <w:rPr>
                <w:spacing w:val="0"/>
              </w:rPr>
              <w:lastRenderedPageBreak/>
              <w:t>Tradiční deficit přímých investic se však prohloubil.</w:t>
            </w:r>
          </w:p>
        </w:tc>
        <w:tc>
          <w:tcPr>
            <w:tcW w:w="277" w:type="dxa"/>
          </w:tcPr>
          <w:p w:rsidR="00BE6186" w:rsidRPr="00360DE3" w:rsidRDefault="00BE6186" w:rsidP="002B213A">
            <w:pPr>
              <w:pStyle w:val="Textpoznpodarou"/>
              <w:jc w:val="both"/>
            </w:pPr>
          </w:p>
        </w:tc>
        <w:tc>
          <w:tcPr>
            <w:tcW w:w="7391" w:type="dxa"/>
          </w:tcPr>
          <w:p w:rsidR="00BE6186" w:rsidRPr="00360DE3" w:rsidRDefault="00BE6186" w:rsidP="002B213A">
            <w:r w:rsidRPr="00360DE3">
              <w:t xml:space="preserve">Investiční pozice vůči zahraničí skončila loni podle údajů ČNB schodkem ve výši 1 337,0 mld. korun, který se meziročně prohloubil o 53,9 mld. (poprvé od roku 2012). Vývoj investiční pozice v posledních letech ovlivňovaly kurzové intervence. </w:t>
            </w:r>
            <w:r w:rsidRPr="00360DE3">
              <w:lastRenderedPageBreak/>
              <w:t xml:space="preserve">Kvůli těm postupně od roku 2013 narůstal objem rezervních aktiv a tím se snižoval schodek investiční pozice. Ačkoli intervenční režim skončil již v dubnu loňského roku, objem rezervních aktiv stačil meziročně narůst o 952,6. mld. korun, čímž zabránil většímu prohloubení schodku, v jehož směru působily ostatní investice, především výrazné zvýšení přílivu oběživa a vkladů ze zahraničí. Záporné saldo přímých investic, které </w:t>
            </w:r>
            <w:proofErr w:type="gramStart"/>
            <w:r w:rsidRPr="00360DE3">
              <w:t>je</w:t>
            </w:r>
            <w:proofErr w:type="gramEnd"/>
            <w:r w:rsidRPr="00360DE3">
              <w:t xml:space="preserve"> hlavním důvodem záporné investiční pozice Česka </w:t>
            </w:r>
            <w:proofErr w:type="gramStart"/>
            <w:r w:rsidRPr="00360DE3">
              <w:t>se</w:t>
            </w:r>
            <w:proofErr w:type="gramEnd"/>
            <w:r w:rsidRPr="00360DE3">
              <w:t xml:space="preserve"> loni opět prohloubilo a dosáhlo 2 793,4 mld. korun.   </w:t>
            </w:r>
          </w:p>
        </w:tc>
      </w:tr>
      <w:tr w:rsidR="00BE6186" w:rsidRPr="00360DE3" w:rsidTr="002B213A">
        <w:trPr>
          <w:trHeight w:val="170"/>
        </w:trPr>
        <w:tc>
          <w:tcPr>
            <w:tcW w:w="1976" w:type="dxa"/>
            <w:vMerge w:val="restart"/>
          </w:tcPr>
          <w:p w:rsidR="00BE6186" w:rsidRPr="00360DE3" w:rsidRDefault="00BE6186" w:rsidP="002B213A">
            <w:pPr>
              <w:pStyle w:val="Marginlie"/>
              <w:rPr>
                <w:spacing w:val="0"/>
              </w:rPr>
            </w:pPr>
          </w:p>
        </w:tc>
        <w:tc>
          <w:tcPr>
            <w:tcW w:w="277" w:type="dxa"/>
            <w:vMerge w:val="restart"/>
          </w:tcPr>
          <w:p w:rsidR="00BE6186" w:rsidRPr="00360DE3" w:rsidRDefault="00BE6186" w:rsidP="002B213A">
            <w:pPr>
              <w:pStyle w:val="Textpoznpodarou"/>
              <w:jc w:val="both"/>
            </w:pPr>
          </w:p>
        </w:tc>
        <w:tc>
          <w:tcPr>
            <w:tcW w:w="7391" w:type="dxa"/>
          </w:tcPr>
          <w:p w:rsidR="00BE6186" w:rsidRPr="00360DE3" w:rsidRDefault="00BE6186" w:rsidP="001D198A">
            <w:pPr>
              <w:spacing w:after="0"/>
              <w:rPr>
                <w:b/>
                <w:szCs w:val="20"/>
              </w:rPr>
            </w:pPr>
            <w:r w:rsidRPr="00360DE3">
              <w:rPr>
                <w:b/>
                <w:szCs w:val="20"/>
              </w:rPr>
              <w:t xml:space="preserve">Graf č. </w:t>
            </w:r>
            <w:proofErr w:type="gramStart"/>
            <w:r w:rsidR="001D198A" w:rsidRPr="00360DE3">
              <w:rPr>
                <w:b/>
                <w:szCs w:val="20"/>
              </w:rPr>
              <w:t>3.3.1</w:t>
            </w:r>
            <w:r w:rsidRPr="00360DE3">
              <w:rPr>
                <w:b/>
                <w:szCs w:val="20"/>
              </w:rPr>
              <w:t xml:space="preserve">  Investiční</w:t>
            </w:r>
            <w:proofErr w:type="gramEnd"/>
            <w:r w:rsidRPr="00360DE3">
              <w:rPr>
                <w:b/>
                <w:szCs w:val="20"/>
              </w:rPr>
              <w:t xml:space="preserve"> pozice vůči zahraničí </w:t>
            </w:r>
            <w:r w:rsidRPr="000D514E">
              <w:rPr>
                <w:szCs w:val="20"/>
              </w:rPr>
              <w:t>(v mld. korun, stav ke konci roku)</w:t>
            </w:r>
          </w:p>
        </w:tc>
      </w:tr>
      <w:tr w:rsidR="00BE6186" w:rsidRPr="00360DE3" w:rsidTr="002B213A">
        <w:trPr>
          <w:trHeight w:val="170"/>
        </w:trPr>
        <w:tc>
          <w:tcPr>
            <w:tcW w:w="1976" w:type="dxa"/>
            <w:vMerge/>
          </w:tcPr>
          <w:p w:rsidR="00BE6186" w:rsidRPr="00360DE3" w:rsidRDefault="00BE6186" w:rsidP="002B213A">
            <w:pPr>
              <w:pStyle w:val="Marginlie"/>
              <w:rPr>
                <w:spacing w:val="0"/>
              </w:rPr>
            </w:pPr>
          </w:p>
        </w:tc>
        <w:tc>
          <w:tcPr>
            <w:tcW w:w="277" w:type="dxa"/>
            <w:vMerge/>
          </w:tcPr>
          <w:p w:rsidR="00BE6186" w:rsidRPr="00360DE3" w:rsidRDefault="00BE6186" w:rsidP="002B213A">
            <w:pPr>
              <w:pStyle w:val="Textpoznpodarou"/>
              <w:jc w:val="both"/>
            </w:pPr>
          </w:p>
        </w:tc>
        <w:tc>
          <w:tcPr>
            <w:tcW w:w="7391" w:type="dxa"/>
          </w:tcPr>
          <w:p w:rsidR="00BE6186" w:rsidRPr="00360DE3" w:rsidRDefault="00BE6186" w:rsidP="002B213A">
            <w:pPr>
              <w:spacing w:after="0"/>
            </w:pPr>
            <w:r w:rsidRPr="00360DE3">
              <w:rPr>
                <w:noProof/>
              </w:rPr>
              <w:drawing>
                <wp:inline distT="0" distB="0" distL="0" distR="0">
                  <wp:extent cx="4737600" cy="3553200"/>
                  <wp:effectExtent l="0" t="0" r="0" b="0"/>
                  <wp:docPr id="17"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r w:rsidR="00BE6186" w:rsidRPr="00360DE3" w:rsidTr="002B213A">
        <w:trPr>
          <w:trHeight w:val="170"/>
        </w:trPr>
        <w:tc>
          <w:tcPr>
            <w:tcW w:w="1976" w:type="dxa"/>
            <w:vMerge/>
          </w:tcPr>
          <w:p w:rsidR="00BE6186" w:rsidRPr="00360DE3" w:rsidRDefault="00BE6186" w:rsidP="002B213A">
            <w:pPr>
              <w:pStyle w:val="Marginlie"/>
              <w:rPr>
                <w:spacing w:val="0"/>
              </w:rPr>
            </w:pPr>
          </w:p>
        </w:tc>
        <w:tc>
          <w:tcPr>
            <w:tcW w:w="277" w:type="dxa"/>
            <w:vMerge/>
          </w:tcPr>
          <w:p w:rsidR="00BE6186" w:rsidRPr="00360DE3" w:rsidRDefault="00BE6186" w:rsidP="002B213A">
            <w:pPr>
              <w:pStyle w:val="Textpoznpodarou"/>
              <w:jc w:val="both"/>
            </w:pPr>
          </w:p>
        </w:tc>
        <w:tc>
          <w:tcPr>
            <w:tcW w:w="7391" w:type="dxa"/>
          </w:tcPr>
          <w:p w:rsidR="00BE6186" w:rsidRPr="00360DE3" w:rsidRDefault="00BE6186" w:rsidP="002B213A">
            <w:pPr>
              <w:rPr>
                <w:sz w:val="14"/>
                <w:szCs w:val="14"/>
              </w:rPr>
            </w:pPr>
            <w:r w:rsidRPr="00360DE3">
              <w:rPr>
                <w:sz w:val="14"/>
                <w:szCs w:val="14"/>
              </w:rPr>
              <w:t>Zdroj: ČNB</w:t>
            </w:r>
          </w:p>
        </w:tc>
      </w:tr>
      <w:tr w:rsidR="00BE6186" w:rsidRPr="00360DE3" w:rsidTr="002B213A">
        <w:trPr>
          <w:trHeight w:val="145"/>
        </w:trPr>
        <w:tc>
          <w:tcPr>
            <w:tcW w:w="1976" w:type="dxa"/>
          </w:tcPr>
          <w:p w:rsidR="00BE6186" w:rsidRPr="00360DE3" w:rsidRDefault="00BE6186" w:rsidP="002B213A">
            <w:pPr>
              <w:pStyle w:val="Marginlie"/>
              <w:rPr>
                <w:spacing w:val="0"/>
              </w:rPr>
            </w:pPr>
            <w:r w:rsidRPr="00360DE3">
              <w:rPr>
                <w:spacing w:val="0"/>
              </w:rPr>
              <w:t>Zahraniční dluh se loni zvyšoval.</w:t>
            </w:r>
          </w:p>
        </w:tc>
        <w:tc>
          <w:tcPr>
            <w:tcW w:w="277" w:type="dxa"/>
          </w:tcPr>
          <w:p w:rsidR="00BE6186" w:rsidRPr="00360DE3" w:rsidRDefault="00BE6186" w:rsidP="002B213A">
            <w:pPr>
              <w:pStyle w:val="Textpoznpodarou"/>
              <w:jc w:val="both"/>
            </w:pPr>
          </w:p>
        </w:tc>
        <w:tc>
          <w:tcPr>
            <w:tcW w:w="7391" w:type="dxa"/>
          </w:tcPr>
          <w:p w:rsidR="00BE6186" w:rsidRPr="00360DE3" w:rsidRDefault="00BE6186" w:rsidP="002B213A">
            <w:r w:rsidRPr="00360DE3">
              <w:t xml:space="preserve">Výše zahraničního dluhu dosáhla ke konci roku 4 372,4 mld. korun a meziročně vzrostla o 874,7 mld. korun. Nahoru ji tlačil především nárůst krátkodobého zadlužení. Ten bral hlavně formu oběživa a vkladů, jejichž objem v krátkodobém zahraničním dluhu se loni zvýšil o 542,8 mld. korun (dosáhl 1,7násobek stavu z konce roku 2016). Silně patrný byl i přírůstek dluhových cenných papírů, které se do struktury krátkodobého dluhu promítaly v posledních třech letech. Loni se jejich objem zvýšil o 165,0 mld. korun a tím se téměř zdvojnásobil. Dlouhodobý dluh se v posledních letech nemění až tak výrazně. Jeho nárůst o 50,0 mld. loni způsobilo výhradně zvýšení objemu oběživa a vkladů o 86,2 mld. korun. Zadlužení ve formě ostatních nástrojů mírně pokleslo.     </w:t>
            </w:r>
          </w:p>
        </w:tc>
      </w:tr>
      <w:tr w:rsidR="00BE6186" w:rsidRPr="00360DE3" w:rsidTr="002B213A">
        <w:trPr>
          <w:trHeight w:val="412"/>
        </w:trPr>
        <w:tc>
          <w:tcPr>
            <w:tcW w:w="1976" w:type="dxa"/>
          </w:tcPr>
          <w:p w:rsidR="00BE6186" w:rsidRPr="00360DE3" w:rsidRDefault="00BE6186" w:rsidP="002B213A">
            <w:pPr>
              <w:pStyle w:val="Marginlie"/>
              <w:rPr>
                <w:spacing w:val="0"/>
              </w:rPr>
            </w:pPr>
            <w:r w:rsidRPr="00360DE3">
              <w:rPr>
                <w:spacing w:val="0"/>
              </w:rPr>
              <w:t>Krátkodobý dluh u bank byl hlavním tahounem zvyšování zahraničního zadlužení.</w:t>
            </w:r>
          </w:p>
        </w:tc>
        <w:tc>
          <w:tcPr>
            <w:tcW w:w="277" w:type="dxa"/>
          </w:tcPr>
          <w:p w:rsidR="00BE6186" w:rsidRPr="00360DE3" w:rsidRDefault="00BE6186" w:rsidP="002B213A">
            <w:pPr>
              <w:pStyle w:val="Textpoznpodarou"/>
              <w:jc w:val="both"/>
            </w:pPr>
          </w:p>
        </w:tc>
        <w:tc>
          <w:tcPr>
            <w:tcW w:w="7391" w:type="dxa"/>
          </w:tcPr>
          <w:p w:rsidR="00BE6186" w:rsidRPr="00360DE3" w:rsidRDefault="00AB5421" w:rsidP="00C466D2">
            <w:r w:rsidRPr="00360DE3">
              <w:t>N</w:t>
            </w:r>
            <w:r w:rsidR="00BE6186" w:rsidRPr="00360DE3">
              <w:t>ejvýrazněji rostl zahraniční dluh institucí přijímajících vklady (banky). Zvýšil se o</w:t>
            </w:r>
            <w:r w:rsidR="00C466D2" w:rsidRPr="00360DE3">
              <w:t> </w:t>
            </w:r>
            <w:r w:rsidR="00BE6186" w:rsidRPr="00360DE3">
              <w:t xml:space="preserve">680,1 mld. korun. Právě bankovní instituce stály za prudkým nárůstem krátkodobého dluhu (zadlužení se zvýšilo o 600,6 mld.). Navyšoval se </w:t>
            </w:r>
            <w:r w:rsidRPr="00360DE3">
              <w:t>zde</w:t>
            </w:r>
            <w:r w:rsidR="00BE6186" w:rsidRPr="00360DE3">
              <w:t xml:space="preserve"> dluh ve formě oběživa a vkladů a rovněž dluhových cenných papírů, které jinak nehrají významnou roli (ke konci roku 2017 jich bylo 317,3</w:t>
            </w:r>
            <w:r w:rsidR="00DF7AD4">
              <w:t xml:space="preserve"> mld., v roce 2014 3,4 mld.). U</w:t>
            </w:r>
            <w:r w:rsidR="00DF7AD4" w:rsidRPr="00360DE3">
              <w:t> </w:t>
            </w:r>
            <w:r w:rsidR="00BE6186" w:rsidRPr="00360DE3">
              <w:t xml:space="preserve">centrální banky je objem zahraničního dluhu poměrně nízký v porovnání s ostatními aktéry v ekonomice, od roku 2014 však roste a loni se zvýšil o 68,3 mld. korun na 171,1 mld. Jeho pohyb rovněž zajišťovalo krátkodobé zadlužení ve formě oběživa a vkladů. Zahraniční dluh vládních institucí a ostatních sektorů mírně rostl, k významnějším posunům v jeho struktuře však nedocházelo.  </w:t>
            </w:r>
          </w:p>
        </w:tc>
      </w:tr>
    </w:tbl>
    <w:p w:rsidR="00BE6186" w:rsidRPr="00360DE3" w:rsidRDefault="00BE6186" w:rsidP="00BE6186">
      <w:pPr>
        <w:pStyle w:val="Nadpis110"/>
      </w:pPr>
      <w:bookmarkStart w:id="14" w:name="_Toc527639469"/>
      <w:r w:rsidRPr="00360DE3">
        <w:lastRenderedPageBreak/>
        <w:t>4. Investice</w:t>
      </w:r>
      <w:bookmarkEnd w:id="14"/>
    </w:p>
    <w:tbl>
      <w:tblPr>
        <w:tblW w:w="9644" w:type="dxa"/>
        <w:tblInd w:w="-15" w:type="dxa"/>
        <w:tblCellMar>
          <w:left w:w="0" w:type="dxa"/>
          <w:right w:w="0" w:type="dxa"/>
        </w:tblCellMar>
        <w:tblLook w:val="00A0"/>
      </w:tblPr>
      <w:tblGrid>
        <w:gridCol w:w="1909"/>
        <w:gridCol w:w="264"/>
        <w:gridCol w:w="7471"/>
      </w:tblGrid>
      <w:tr w:rsidR="00BE6186" w:rsidRPr="00360DE3" w:rsidTr="00F160CE">
        <w:trPr>
          <w:trHeight w:val="145"/>
        </w:trPr>
        <w:tc>
          <w:tcPr>
            <w:tcW w:w="1909" w:type="dxa"/>
            <w:shd w:val="clear" w:color="auto" w:fill="auto"/>
          </w:tcPr>
          <w:p w:rsidR="00BE6186" w:rsidRPr="00360DE3" w:rsidRDefault="00BE6186" w:rsidP="002B213A">
            <w:pPr>
              <w:pStyle w:val="Marginlie"/>
              <w:rPr>
                <w:spacing w:val="0"/>
              </w:rPr>
            </w:pPr>
            <w:r w:rsidRPr="00360DE3">
              <w:rPr>
                <w:spacing w:val="0"/>
              </w:rPr>
              <w:t>Investiční aktivita v loňském roce zaznamenala oživení po slabším roce 2016.</w:t>
            </w:r>
          </w:p>
        </w:tc>
        <w:tc>
          <w:tcPr>
            <w:tcW w:w="264" w:type="dxa"/>
            <w:shd w:val="clear" w:color="auto" w:fill="auto"/>
          </w:tcPr>
          <w:p w:rsidR="00BE6186" w:rsidRPr="00360DE3" w:rsidRDefault="00BE6186" w:rsidP="002B213A">
            <w:pPr>
              <w:pStyle w:val="Textpoznpodarou10"/>
              <w:jc w:val="both"/>
            </w:pPr>
          </w:p>
        </w:tc>
        <w:tc>
          <w:tcPr>
            <w:tcW w:w="7471" w:type="dxa"/>
            <w:shd w:val="clear" w:color="auto" w:fill="auto"/>
          </w:tcPr>
          <w:p w:rsidR="00BE6186" w:rsidRPr="00360DE3" w:rsidRDefault="00BE6186" w:rsidP="002B213A">
            <w:r w:rsidRPr="00360DE3">
              <w:t xml:space="preserve">Celková výše výdajů na tvorbu hrubého fixního kapitálu v roce 2017 v běžných cenách dosáhla 1 246,1 mld. korun. Meziročně se tak investiční výdaje zvýšily o 57,4 mld. korun a jejich reálný růst dosáhl 3,3 %. Dynamika investiční aktivity v posledních letech byla ovlivněna evropskými dotacemi, jejichž dočerpávání v roce 2015 výdaje výrazně stimulovalo. Náběh nového programového období v roce 2016 bylo spojeno i s meziročním poklesem investic. Loňské oživení pak hodnotu investic v běžných cenách posunulo mírně nad úroveň roku 2015, účelová i sektorová struktura však byla odlišná. </w:t>
            </w:r>
          </w:p>
        </w:tc>
      </w:tr>
      <w:tr w:rsidR="00BE6186" w:rsidRPr="00360DE3" w:rsidTr="00F160CE">
        <w:tc>
          <w:tcPr>
            <w:tcW w:w="1909" w:type="dxa"/>
            <w:vMerge w:val="restart"/>
            <w:shd w:val="clear" w:color="auto" w:fill="auto"/>
          </w:tcPr>
          <w:p w:rsidR="00BE6186" w:rsidRPr="00360DE3" w:rsidRDefault="00BE6186" w:rsidP="002B213A">
            <w:pPr>
              <w:pStyle w:val="Marginlie"/>
              <w:rPr>
                <w:spacing w:val="0"/>
              </w:rPr>
            </w:pPr>
          </w:p>
        </w:tc>
        <w:tc>
          <w:tcPr>
            <w:tcW w:w="264" w:type="dxa"/>
            <w:vMerge w:val="restart"/>
            <w:shd w:val="clear" w:color="auto" w:fill="auto"/>
          </w:tcPr>
          <w:p w:rsidR="00BE6186" w:rsidRPr="00360DE3" w:rsidRDefault="00BE6186" w:rsidP="002B213A">
            <w:pPr>
              <w:pStyle w:val="Textpoznpodarou10"/>
              <w:jc w:val="both"/>
            </w:pPr>
          </w:p>
        </w:tc>
        <w:tc>
          <w:tcPr>
            <w:tcW w:w="7471" w:type="dxa"/>
            <w:shd w:val="clear" w:color="auto" w:fill="auto"/>
          </w:tcPr>
          <w:p w:rsidR="006836CB" w:rsidRDefault="00BE6186" w:rsidP="001D198A">
            <w:pPr>
              <w:spacing w:after="0"/>
              <w:rPr>
                <w:b/>
              </w:rPr>
            </w:pPr>
            <w:r w:rsidRPr="00360DE3">
              <w:rPr>
                <w:b/>
              </w:rPr>
              <w:t xml:space="preserve">Graf č. </w:t>
            </w:r>
            <w:proofErr w:type="gramStart"/>
            <w:r w:rsidR="001D198A" w:rsidRPr="00360DE3">
              <w:rPr>
                <w:b/>
              </w:rPr>
              <w:t>4.1</w:t>
            </w:r>
            <w:r w:rsidRPr="00360DE3">
              <w:rPr>
                <w:b/>
              </w:rPr>
              <w:t xml:space="preserve">  Tvorba</w:t>
            </w:r>
            <w:proofErr w:type="gramEnd"/>
            <w:r w:rsidRPr="00360DE3">
              <w:rPr>
                <w:b/>
              </w:rPr>
              <w:t xml:space="preserve"> hrubého fixního kapitálu, sektorové členění</w:t>
            </w:r>
          </w:p>
          <w:p w:rsidR="00BE6186" w:rsidRPr="00360DE3" w:rsidRDefault="00BE6186" w:rsidP="001D198A">
            <w:pPr>
              <w:spacing w:after="0"/>
              <w:rPr>
                <w:b/>
              </w:rPr>
            </w:pPr>
            <w:r w:rsidRPr="00360DE3">
              <w:t>(běžné ceny, meziroční změna v mld. korun)</w:t>
            </w:r>
          </w:p>
        </w:tc>
      </w:tr>
      <w:tr w:rsidR="00BE6186" w:rsidRPr="00360DE3" w:rsidTr="00F160CE">
        <w:trPr>
          <w:trHeight w:val="170"/>
        </w:trPr>
        <w:tc>
          <w:tcPr>
            <w:tcW w:w="1909" w:type="dxa"/>
            <w:vMerge/>
            <w:shd w:val="clear" w:color="auto" w:fill="auto"/>
          </w:tcPr>
          <w:p w:rsidR="00BE6186" w:rsidRPr="00360DE3" w:rsidRDefault="00BE6186" w:rsidP="002B213A">
            <w:pPr>
              <w:pStyle w:val="Marginlie"/>
              <w:rPr>
                <w:spacing w:val="0"/>
              </w:rPr>
            </w:pPr>
          </w:p>
        </w:tc>
        <w:tc>
          <w:tcPr>
            <w:tcW w:w="264" w:type="dxa"/>
            <w:vMerge/>
            <w:shd w:val="clear" w:color="auto" w:fill="auto"/>
          </w:tcPr>
          <w:p w:rsidR="00BE6186" w:rsidRPr="00360DE3" w:rsidRDefault="00BE6186" w:rsidP="002B213A">
            <w:pPr>
              <w:pStyle w:val="Textpoznpodarou10"/>
              <w:jc w:val="both"/>
            </w:pPr>
          </w:p>
        </w:tc>
        <w:tc>
          <w:tcPr>
            <w:tcW w:w="7471" w:type="dxa"/>
            <w:shd w:val="clear" w:color="auto" w:fill="auto"/>
          </w:tcPr>
          <w:p w:rsidR="00BE6186" w:rsidRPr="00360DE3" w:rsidRDefault="00BE6186" w:rsidP="002B213A">
            <w:pPr>
              <w:spacing w:after="0"/>
            </w:pPr>
            <w:r w:rsidRPr="00360DE3">
              <w:rPr>
                <w:noProof/>
              </w:rPr>
              <w:drawing>
                <wp:inline distT="0" distB="0" distL="0" distR="0">
                  <wp:extent cx="4737600" cy="3553200"/>
                  <wp:effectExtent l="0" t="0" r="0" b="0"/>
                  <wp:docPr id="18"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r w:rsidR="00BE6186" w:rsidRPr="00360DE3" w:rsidTr="00F160CE">
        <w:trPr>
          <w:trHeight w:val="170"/>
        </w:trPr>
        <w:tc>
          <w:tcPr>
            <w:tcW w:w="1909" w:type="dxa"/>
            <w:vMerge/>
            <w:shd w:val="clear" w:color="auto" w:fill="auto"/>
          </w:tcPr>
          <w:p w:rsidR="00BE6186" w:rsidRPr="00360DE3" w:rsidRDefault="00BE6186" w:rsidP="002B213A">
            <w:pPr>
              <w:pStyle w:val="Marginlie"/>
              <w:rPr>
                <w:spacing w:val="0"/>
              </w:rPr>
            </w:pPr>
          </w:p>
        </w:tc>
        <w:tc>
          <w:tcPr>
            <w:tcW w:w="264" w:type="dxa"/>
            <w:vMerge/>
            <w:shd w:val="clear" w:color="auto" w:fill="auto"/>
          </w:tcPr>
          <w:p w:rsidR="00BE6186" w:rsidRPr="00360DE3" w:rsidRDefault="00BE6186" w:rsidP="002B213A">
            <w:pPr>
              <w:pStyle w:val="Textpoznpodarou10"/>
              <w:jc w:val="both"/>
            </w:pPr>
          </w:p>
        </w:tc>
        <w:tc>
          <w:tcPr>
            <w:tcW w:w="7471" w:type="dxa"/>
            <w:shd w:val="clear" w:color="auto" w:fill="auto"/>
          </w:tcPr>
          <w:p w:rsidR="00BE6186" w:rsidRPr="00360DE3" w:rsidRDefault="00BE6186" w:rsidP="002B213A">
            <w:pPr>
              <w:rPr>
                <w:sz w:val="14"/>
                <w:szCs w:val="14"/>
              </w:rPr>
            </w:pPr>
            <w:r w:rsidRPr="00360DE3">
              <w:rPr>
                <w:sz w:val="14"/>
                <w:szCs w:val="14"/>
              </w:rPr>
              <w:t>Zdroj:ČSÚ</w:t>
            </w:r>
          </w:p>
        </w:tc>
      </w:tr>
      <w:tr w:rsidR="00F160CE" w:rsidRPr="00360DE3" w:rsidTr="00F160CE">
        <w:trPr>
          <w:trHeight w:val="145"/>
        </w:trPr>
        <w:tc>
          <w:tcPr>
            <w:tcW w:w="1909" w:type="dxa"/>
            <w:shd w:val="clear" w:color="auto" w:fill="auto"/>
          </w:tcPr>
          <w:p w:rsidR="00F160CE" w:rsidRPr="00360DE3" w:rsidRDefault="00F160CE" w:rsidP="00DC37E3">
            <w:pPr>
              <w:pStyle w:val="Marginlie"/>
              <w:rPr>
                <w:spacing w:val="0"/>
              </w:rPr>
            </w:pPr>
            <w:r w:rsidRPr="00360DE3">
              <w:rPr>
                <w:spacing w:val="0"/>
              </w:rPr>
              <w:t>Růst investičních výdajů podpořily hlavně nefinanční podniky. Růst však zažívaly všechny sektory.</w:t>
            </w:r>
          </w:p>
        </w:tc>
        <w:tc>
          <w:tcPr>
            <w:tcW w:w="264" w:type="dxa"/>
            <w:shd w:val="clear" w:color="auto" w:fill="auto"/>
          </w:tcPr>
          <w:p w:rsidR="00F160CE" w:rsidRPr="00360DE3" w:rsidRDefault="00F160CE" w:rsidP="00DC37E3">
            <w:pPr>
              <w:pStyle w:val="Textpoznpodarou10"/>
              <w:jc w:val="both"/>
            </w:pPr>
          </w:p>
        </w:tc>
        <w:tc>
          <w:tcPr>
            <w:tcW w:w="7471" w:type="dxa"/>
            <w:shd w:val="clear" w:color="auto" w:fill="auto"/>
          </w:tcPr>
          <w:p w:rsidR="00F160CE" w:rsidRPr="00360DE3" w:rsidRDefault="00F160CE" w:rsidP="00DC37E3">
            <w:r w:rsidRPr="00360DE3">
              <w:t>Z pohledu jednotlivých sektorů byly tahounem investiční aktivity nefinanční podniky, které k nominálnímu nárůstu celkových výdajů na tvorbu hrubého fixního kapitálu přispěly téměř polovinou (26,5 mld. korun). Výše jejich výdajů celkem dosáhla 797,5 mld. korun (64,0 % investic v ekonomice). Druhým nejvýznamnějším investorem z pohledu objemu celkových výdajů byly domácnosti a neziskové instituce sloužící domácnostem (v dalším textu označeno jako domácnosti). Jejich kapitálové výdaje činily 238,5 mld. korun a meziročně se zvýšily o 12,2 mld. Podíl na celkových investicích u nich loni dosáhl 19,1 %, což je nejvíce od roku 2010. Rok 2010 byl lokálním vrcholem investiční aktivity domácností, který se nominálně podařilo překonat až loni (domácnosti reagovaly na tehdejší prudký pokles cen nemovitostí). Investice sektoru vládních institucí se v roce 2017 zvýšily o 13,3 mld. korun a dosáhly 168,5 mld. Tato korekce však ne</w:t>
            </w:r>
            <w:r w:rsidR="006836CB">
              <w:t>stačila na kompenzaci propadu z</w:t>
            </w:r>
            <w:r w:rsidR="006836CB" w:rsidRPr="005A2C7B">
              <w:rPr>
                <w:spacing w:val="-4"/>
              </w:rPr>
              <w:t> </w:t>
            </w:r>
            <w:r w:rsidRPr="00360DE3">
              <w:t xml:space="preserve">roku 2016 (-81,1 mld. korun). Vládní investiční výdaje mají přitom specifickou věcnou strukturu a možnost jejich substituce ostatními sektory je omezena. </w:t>
            </w:r>
          </w:p>
        </w:tc>
      </w:tr>
      <w:tr w:rsidR="00F160CE" w:rsidRPr="00360DE3" w:rsidTr="00F160CE">
        <w:trPr>
          <w:trHeight w:val="145"/>
        </w:trPr>
        <w:tc>
          <w:tcPr>
            <w:tcW w:w="1909" w:type="dxa"/>
            <w:shd w:val="clear" w:color="auto" w:fill="auto"/>
          </w:tcPr>
          <w:p w:rsidR="00F160CE" w:rsidRPr="00360DE3" w:rsidRDefault="006836CB" w:rsidP="002B213A">
            <w:pPr>
              <w:pStyle w:val="Marginlie"/>
              <w:rPr>
                <w:spacing w:val="0"/>
              </w:rPr>
            </w:pPr>
            <w:r>
              <w:rPr>
                <w:spacing w:val="0"/>
              </w:rPr>
              <w:t xml:space="preserve">Stroje a zařízení </w:t>
            </w:r>
            <w:r w:rsidR="00F160CE" w:rsidRPr="00360DE3">
              <w:rPr>
                <w:spacing w:val="0"/>
              </w:rPr>
              <w:t xml:space="preserve">pohltily největší porci investičních výdajů. </w:t>
            </w:r>
          </w:p>
        </w:tc>
        <w:tc>
          <w:tcPr>
            <w:tcW w:w="264" w:type="dxa"/>
            <w:shd w:val="clear" w:color="auto" w:fill="auto"/>
          </w:tcPr>
          <w:p w:rsidR="00F160CE" w:rsidRPr="00360DE3" w:rsidRDefault="00F160CE" w:rsidP="002B213A">
            <w:pPr>
              <w:pStyle w:val="Textpoznpodarou10"/>
              <w:jc w:val="both"/>
            </w:pPr>
          </w:p>
        </w:tc>
        <w:tc>
          <w:tcPr>
            <w:tcW w:w="7471" w:type="dxa"/>
            <w:shd w:val="clear" w:color="auto" w:fill="auto"/>
          </w:tcPr>
          <w:p w:rsidR="00F160CE" w:rsidRPr="00360DE3" w:rsidRDefault="00F160CE" w:rsidP="002B213A">
            <w:r w:rsidRPr="00360DE3">
              <w:t xml:space="preserve">Objemově nejvýznamnější položkou investiční aktivity jsou tradičně stroje a zařízení. Výdaje na ně loni dosáhly 551,6 mld. korun (více než dvě pětiny celkových investic v ekonomice). Jejich meziroční nárůst činil 11,8 mld. korun </w:t>
            </w:r>
            <w:r w:rsidRPr="00360DE3">
              <w:lastRenderedPageBreak/>
              <w:t xml:space="preserve">(reálně 3,0 %). Křivka vývoje této položky má </w:t>
            </w:r>
            <w:r w:rsidR="00DF7AD4">
              <w:t>rovněž tvar písmene U se dnem v</w:t>
            </w:r>
            <w:r w:rsidR="00DF7AD4" w:rsidRPr="00360DE3">
              <w:t> </w:t>
            </w:r>
            <w:r w:rsidRPr="00360DE3">
              <w:t>roce 2016. Hlavním aktérem jsou zde totiž nefinanční podniky, které ovlivňoval cyklus evropských dotací, které podniky do jisté míry využívaly. Podrobnější vhled do této položky ukazuje, že propad dynamiky v roce 2016 a následné oživení vykazují prostředky informačních a komunikačních t</w:t>
            </w:r>
            <w:r w:rsidR="00DF7AD4">
              <w:t>echnologií (reálný nárůst o</w:t>
            </w:r>
            <w:r w:rsidR="00DF7AD4" w:rsidRPr="00360DE3">
              <w:t> </w:t>
            </w:r>
            <w:r w:rsidR="00DF7AD4">
              <w:t>4,5</w:t>
            </w:r>
            <w:r w:rsidR="00DF7AD4" w:rsidRPr="00360DE3">
              <w:t> </w:t>
            </w:r>
            <w:r w:rsidRPr="00360DE3">
              <w:t xml:space="preserve">%) i ostatní stroje a zařízení (2,4 %). Naopak po silných přírůstcích v letech 2015 a 2016 (více než 9 %) zpomalil reálný růst investic do dopravních prostředků a zařízení (3,5 %).   </w:t>
            </w:r>
          </w:p>
        </w:tc>
      </w:tr>
      <w:tr w:rsidR="00F160CE" w:rsidRPr="00360DE3" w:rsidTr="00F160CE">
        <w:trPr>
          <w:trHeight w:val="145"/>
        </w:trPr>
        <w:tc>
          <w:tcPr>
            <w:tcW w:w="1909" w:type="dxa"/>
            <w:shd w:val="clear" w:color="auto" w:fill="auto"/>
          </w:tcPr>
          <w:p w:rsidR="00F160CE" w:rsidRPr="00360DE3" w:rsidRDefault="00F160CE" w:rsidP="002B213A">
            <w:pPr>
              <w:pStyle w:val="Marginlie"/>
              <w:rPr>
                <w:spacing w:val="0"/>
              </w:rPr>
            </w:pPr>
            <w:r w:rsidRPr="00360DE3">
              <w:rPr>
                <w:spacing w:val="0"/>
              </w:rPr>
              <w:lastRenderedPageBreak/>
              <w:t>Již čtvrtým rokem rostly investice do produktů duševního vlastnictví.</w:t>
            </w:r>
          </w:p>
        </w:tc>
        <w:tc>
          <w:tcPr>
            <w:tcW w:w="264" w:type="dxa"/>
            <w:shd w:val="clear" w:color="auto" w:fill="auto"/>
          </w:tcPr>
          <w:p w:rsidR="00F160CE" w:rsidRPr="00360DE3" w:rsidRDefault="00F160CE" w:rsidP="002B213A">
            <w:pPr>
              <w:pStyle w:val="Textpoznpodarou10"/>
              <w:jc w:val="both"/>
            </w:pPr>
          </w:p>
        </w:tc>
        <w:tc>
          <w:tcPr>
            <w:tcW w:w="7471" w:type="dxa"/>
            <w:shd w:val="clear" w:color="auto" w:fill="auto"/>
          </w:tcPr>
          <w:p w:rsidR="00F160CE" w:rsidRPr="00360DE3" w:rsidRDefault="00F160CE" w:rsidP="002B213A">
            <w:r w:rsidRPr="00360DE3">
              <w:t xml:space="preserve">Objem investic do produktů duševního vlastnictví loni dosáhl 200,9 mld. korun a zvětšil se o 11,7 mld. (reálný nárůst o 4,4 %). Ačkoli je patrný stimul roku 2015 (reálný nárůst o 14,2 %), tato investiční položka si udržela poměrně stabilní dynamiku v celém čtyřletém období 2014-2017. Produkty duševního vlastnictví zahrnují na jedné straně investice do výzkumu a vývoje a na straně druhé výdaje na počítačové a programové vybavení a databáze. Právě druhá jmenovaná položka skokově nabyla na významu v roce 2015 a poměrně silný růst si udržela (6,9 % v roce 2016, loňský reálný přírůstek 4,5 %). Výdaje na výzkum a vývoj se loni reálně zvýšily o 4,5 %, a v porovnání s rokem 2016 zrychlily. Největší porci investic do produktů duševního vlastnictví vydávají díky své váze nefinanční podniky. V porovnání s ostatními investičními položkami mají produkty duševního vlastnictví největší roli u finančních institucí (hlavně počítačové a softwarové vybavení). U vládních institucí jde nejvíce prostředků v této </w:t>
            </w:r>
            <w:r w:rsidR="00DF7AD4">
              <w:t xml:space="preserve">oblasti na výzkum a vývoj. </w:t>
            </w:r>
          </w:p>
        </w:tc>
      </w:tr>
      <w:tr w:rsidR="00F160CE" w:rsidRPr="00360DE3" w:rsidTr="00F160CE">
        <w:trPr>
          <w:trHeight w:val="170"/>
        </w:trPr>
        <w:tc>
          <w:tcPr>
            <w:tcW w:w="1909" w:type="dxa"/>
            <w:vMerge w:val="restart"/>
            <w:shd w:val="clear" w:color="auto" w:fill="auto"/>
          </w:tcPr>
          <w:p w:rsidR="00F160CE" w:rsidRPr="00360DE3" w:rsidRDefault="00F160CE" w:rsidP="002B213A">
            <w:pPr>
              <w:pStyle w:val="Marginlie"/>
              <w:rPr>
                <w:spacing w:val="0"/>
              </w:rPr>
            </w:pPr>
          </w:p>
        </w:tc>
        <w:tc>
          <w:tcPr>
            <w:tcW w:w="264" w:type="dxa"/>
            <w:vMerge w:val="restart"/>
            <w:shd w:val="clear" w:color="auto" w:fill="auto"/>
          </w:tcPr>
          <w:p w:rsidR="00F160CE" w:rsidRPr="00360DE3" w:rsidRDefault="00F160CE" w:rsidP="002B213A">
            <w:pPr>
              <w:pStyle w:val="Textpoznpodarou10"/>
              <w:jc w:val="both"/>
            </w:pPr>
          </w:p>
        </w:tc>
        <w:tc>
          <w:tcPr>
            <w:tcW w:w="7471" w:type="dxa"/>
            <w:shd w:val="clear" w:color="auto" w:fill="auto"/>
          </w:tcPr>
          <w:p w:rsidR="00F160CE" w:rsidRPr="00360DE3" w:rsidRDefault="00F160CE" w:rsidP="001D198A">
            <w:pPr>
              <w:spacing w:after="0"/>
            </w:pPr>
            <w:r w:rsidRPr="00360DE3">
              <w:rPr>
                <w:b/>
              </w:rPr>
              <w:t xml:space="preserve">Graf č. </w:t>
            </w:r>
            <w:proofErr w:type="gramStart"/>
            <w:r w:rsidRPr="00360DE3">
              <w:rPr>
                <w:b/>
              </w:rPr>
              <w:t>4.2  Tvorba</w:t>
            </w:r>
            <w:proofErr w:type="gramEnd"/>
            <w:r w:rsidRPr="00360DE3">
              <w:rPr>
                <w:b/>
              </w:rPr>
              <w:t xml:space="preserve"> hrubého fixního kapitálu a její věcná struktura </w:t>
            </w:r>
            <w:r w:rsidRPr="00360DE3">
              <w:t>(běžné ceny, meziroční změna v mld. korun)</w:t>
            </w:r>
          </w:p>
        </w:tc>
      </w:tr>
      <w:tr w:rsidR="00F160CE" w:rsidRPr="00360DE3" w:rsidTr="00F160CE">
        <w:trPr>
          <w:trHeight w:val="170"/>
        </w:trPr>
        <w:tc>
          <w:tcPr>
            <w:tcW w:w="1909" w:type="dxa"/>
            <w:vMerge/>
            <w:shd w:val="clear" w:color="auto" w:fill="auto"/>
          </w:tcPr>
          <w:p w:rsidR="00F160CE" w:rsidRPr="00360DE3" w:rsidRDefault="00F160CE" w:rsidP="002B213A">
            <w:pPr>
              <w:pStyle w:val="Marginlie"/>
              <w:rPr>
                <w:spacing w:val="0"/>
              </w:rPr>
            </w:pPr>
          </w:p>
        </w:tc>
        <w:tc>
          <w:tcPr>
            <w:tcW w:w="264" w:type="dxa"/>
            <w:vMerge/>
            <w:shd w:val="clear" w:color="auto" w:fill="auto"/>
          </w:tcPr>
          <w:p w:rsidR="00F160CE" w:rsidRPr="00360DE3" w:rsidRDefault="00F160CE" w:rsidP="002B213A">
            <w:pPr>
              <w:pStyle w:val="Textpoznpodarou10"/>
              <w:jc w:val="both"/>
            </w:pPr>
          </w:p>
        </w:tc>
        <w:tc>
          <w:tcPr>
            <w:tcW w:w="7471" w:type="dxa"/>
            <w:shd w:val="clear" w:color="auto" w:fill="auto"/>
          </w:tcPr>
          <w:p w:rsidR="00F160CE" w:rsidRPr="00360DE3" w:rsidRDefault="00F160CE" w:rsidP="002B213A">
            <w:pPr>
              <w:spacing w:after="0"/>
            </w:pPr>
            <w:r w:rsidRPr="00360DE3">
              <w:rPr>
                <w:noProof/>
              </w:rPr>
              <w:drawing>
                <wp:inline distT="0" distB="0" distL="0" distR="0">
                  <wp:extent cx="4737600" cy="3553200"/>
                  <wp:effectExtent l="0" t="0" r="0" b="0"/>
                  <wp:docPr id="8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r w:rsidR="00F160CE" w:rsidRPr="00360DE3" w:rsidTr="00F160CE">
        <w:trPr>
          <w:trHeight w:val="170"/>
        </w:trPr>
        <w:tc>
          <w:tcPr>
            <w:tcW w:w="1909" w:type="dxa"/>
            <w:vMerge/>
            <w:shd w:val="clear" w:color="auto" w:fill="auto"/>
          </w:tcPr>
          <w:p w:rsidR="00F160CE" w:rsidRPr="00360DE3" w:rsidRDefault="00F160CE" w:rsidP="002B213A">
            <w:pPr>
              <w:pStyle w:val="Marginlie"/>
              <w:rPr>
                <w:spacing w:val="0"/>
              </w:rPr>
            </w:pPr>
          </w:p>
        </w:tc>
        <w:tc>
          <w:tcPr>
            <w:tcW w:w="264" w:type="dxa"/>
            <w:vMerge/>
            <w:shd w:val="clear" w:color="auto" w:fill="auto"/>
          </w:tcPr>
          <w:p w:rsidR="00F160CE" w:rsidRPr="00360DE3" w:rsidRDefault="00F160CE" w:rsidP="002B213A">
            <w:pPr>
              <w:pStyle w:val="Textpoznpodarou10"/>
              <w:jc w:val="both"/>
            </w:pPr>
          </w:p>
        </w:tc>
        <w:tc>
          <w:tcPr>
            <w:tcW w:w="7471" w:type="dxa"/>
            <w:shd w:val="clear" w:color="auto" w:fill="auto"/>
          </w:tcPr>
          <w:p w:rsidR="00F160CE" w:rsidRPr="00360DE3" w:rsidRDefault="00F160CE" w:rsidP="002B213A">
            <w:pPr>
              <w:rPr>
                <w:sz w:val="14"/>
                <w:szCs w:val="14"/>
              </w:rPr>
            </w:pPr>
            <w:r w:rsidRPr="00360DE3">
              <w:rPr>
                <w:sz w:val="14"/>
                <w:szCs w:val="14"/>
              </w:rPr>
              <w:t>Zdroj: ČSÚ</w:t>
            </w:r>
          </w:p>
        </w:tc>
      </w:tr>
      <w:tr w:rsidR="00F160CE" w:rsidRPr="00360DE3" w:rsidTr="00F160CE">
        <w:trPr>
          <w:trHeight w:val="145"/>
        </w:trPr>
        <w:tc>
          <w:tcPr>
            <w:tcW w:w="1909" w:type="dxa"/>
            <w:shd w:val="clear" w:color="auto" w:fill="auto"/>
          </w:tcPr>
          <w:p w:rsidR="00F160CE" w:rsidRPr="00360DE3" w:rsidRDefault="00F160CE" w:rsidP="002B213A">
            <w:pPr>
              <w:pStyle w:val="Marginlie"/>
              <w:rPr>
                <w:spacing w:val="0"/>
              </w:rPr>
            </w:pPr>
            <w:r w:rsidRPr="00360DE3">
              <w:rPr>
                <w:spacing w:val="0"/>
              </w:rPr>
              <w:t xml:space="preserve">Nominální nárůst investic do obydlí byl loni nejvyšší ze všech investičních kategorií.  </w:t>
            </w:r>
          </w:p>
          <w:p w:rsidR="00F160CE" w:rsidRPr="00360DE3" w:rsidRDefault="00F160CE" w:rsidP="002B213A">
            <w:pPr>
              <w:pStyle w:val="Marginlie"/>
              <w:rPr>
                <w:spacing w:val="0"/>
              </w:rPr>
            </w:pPr>
          </w:p>
          <w:p w:rsidR="00F160CE" w:rsidRPr="00360DE3" w:rsidRDefault="00F160CE" w:rsidP="002B213A">
            <w:pPr>
              <w:pStyle w:val="Marginlie"/>
              <w:rPr>
                <w:spacing w:val="0"/>
              </w:rPr>
            </w:pPr>
          </w:p>
          <w:p w:rsidR="00F160CE" w:rsidRPr="00360DE3" w:rsidRDefault="00F160CE" w:rsidP="002B213A">
            <w:pPr>
              <w:pStyle w:val="Marginlie"/>
              <w:rPr>
                <w:spacing w:val="0"/>
              </w:rPr>
            </w:pPr>
          </w:p>
          <w:p w:rsidR="00F160CE" w:rsidRPr="00360DE3" w:rsidRDefault="00F160CE" w:rsidP="002B213A">
            <w:pPr>
              <w:pStyle w:val="Marginlie"/>
              <w:rPr>
                <w:spacing w:val="0"/>
              </w:rPr>
            </w:pPr>
          </w:p>
          <w:p w:rsidR="00F160CE" w:rsidRPr="00360DE3" w:rsidRDefault="00F160CE" w:rsidP="002B213A">
            <w:pPr>
              <w:pStyle w:val="Marginlie"/>
              <w:rPr>
                <w:spacing w:val="0"/>
              </w:rPr>
            </w:pPr>
          </w:p>
          <w:p w:rsidR="00F160CE" w:rsidRPr="00360DE3" w:rsidRDefault="00F160CE" w:rsidP="002B213A">
            <w:pPr>
              <w:pStyle w:val="Marginlie"/>
              <w:rPr>
                <w:spacing w:val="0"/>
              </w:rPr>
            </w:pPr>
          </w:p>
          <w:p w:rsidR="00F160CE" w:rsidRPr="00360DE3" w:rsidRDefault="00F160CE" w:rsidP="002B213A">
            <w:pPr>
              <w:pStyle w:val="Marginlie"/>
              <w:rPr>
                <w:spacing w:val="0"/>
              </w:rPr>
            </w:pPr>
          </w:p>
          <w:p w:rsidR="00F160CE" w:rsidRPr="00360DE3" w:rsidRDefault="00F160CE" w:rsidP="002B213A">
            <w:pPr>
              <w:pStyle w:val="Marginlie"/>
              <w:rPr>
                <w:spacing w:val="0"/>
              </w:rPr>
            </w:pPr>
          </w:p>
          <w:p w:rsidR="00F160CE" w:rsidRPr="00360DE3" w:rsidRDefault="00F160CE" w:rsidP="002B213A">
            <w:pPr>
              <w:pStyle w:val="Marginlie"/>
              <w:rPr>
                <w:spacing w:val="0"/>
              </w:rPr>
            </w:pPr>
          </w:p>
          <w:p w:rsidR="00F160CE" w:rsidRPr="00360DE3" w:rsidRDefault="00F160CE" w:rsidP="002B213A">
            <w:pPr>
              <w:pStyle w:val="Marginlie"/>
              <w:rPr>
                <w:spacing w:val="0"/>
              </w:rPr>
            </w:pPr>
          </w:p>
        </w:tc>
        <w:tc>
          <w:tcPr>
            <w:tcW w:w="264" w:type="dxa"/>
            <w:shd w:val="clear" w:color="auto" w:fill="auto"/>
          </w:tcPr>
          <w:p w:rsidR="00F160CE" w:rsidRPr="00360DE3" w:rsidRDefault="00F160CE" w:rsidP="002B213A">
            <w:pPr>
              <w:pStyle w:val="Textpoznpodarou10"/>
              <w:jc w:val="both"/>
            </w:pPr>
          </w:p>
        </w:tc>
        <w:tc>
          <w:tcPr>
            <w:tcW w:w="7471" w:type="dxa"/>
            <w:shd w:val="clear" w:color="auto" w:fill="auto"/>
          </w:tcPr>
          <w:p w:rsidR="00F160CE" w:rsidRPr="00360DE3" w:rsidRDefault="00F160CE" w:rsidP="00360DE3">
            <w:r w:rsidRPr="00360DE3">
              <w:t xml:space="preserve">Investiční výdaje na obydlí loni dosáhly 195,5 mld. korun a meziročně se zvýšily o 19,9 mld. (reálný nárůst 4,7 %). Reálná dynamika tak mírně zpomalila oproti roku 2016 (5,0 %), stále však pokračuje růstový trend započatý v roce 2014 (nárůst o 10,2 % následovaný 22,5 % v roce 2015). Investice do obydlí jsou téměř výhradně financovány domácnostmi. V jejich rozhodování hrají roli očekávání dalšího ekonomického vývoje i vývoj cen nemovitostí. Ceny bytů začaly výrazněji růst </w:t>
            </w:r>
            <w:r w:rsidRPr="00360DE3">
              <w:lastRenderedPageBreak/>
              <w:t xml:space="preserve">během roku 2013. Zrychlení cenové dynamiky společně s příznivým ekonomickým výhledem pohánělo investiční aktivitu v dalších dvou letech (nemovitostní trh byl stimulován i nízkými úrokovými sazbami). Poměrně rychle se však začal projevovat nesoulad mezi poptávkou a volnými kapacitami bytů (zejména v žádaných lokalitách jako je Praha nebo Brno), což dále pohánělo cenový růst. V loňském roce dosáhla dynamika cen nemovitostí svého vrcholu, což je patrné i na rozdílu mezi nominálním (11,3 %) a reálným (4,7 %) růstem investic. </w:t>
            </w:r>
          </w:p>
        </w:tc>
      </w:tr>
      <w:tr w:rsidR="00360DE3" w:rsidRPr="00360DE3" w:rsidTr="00F160CE">
        <w:trPr>
          <w:trHeight w:val="145"/>
        </w:trPr>
        <w:tc>
          <w:tcPr>
            <w:tcW w:w="1909" w:type="dxa"/>
            <w:shd w:val="clear" w:color="auto" w:fill="auto"/>
          </w:tcPr>
          <w:p w:rsidR="00360DE3" w:rsidRPr="00360DE3" w:rsidRDefault="00360DE3" w:rsidP="002B213A">
            <w:pPr>
              <w:pStyle w:val="Marginlie"/>
              <w:rPr>
                <w:spacing w:val="0"/>
              </w:rPr>
            </w:pPr>
            <w:r w:rsidRPr="00360DE3">
              <w:rPr>
                <w:spacing w:val="0"/>
              </w:rPr>
              <w:lastRenderedPageBreak/>
              <w:t>Oživení investic do ostatních staveb a budov nevykompenzovalo propad z roku 2016.</w:t>
            </w:r>
          </w:p>
        </w:tc>
        <w:tc>
          <w:tcPr>
            <w:tcW w:w="264" w:type="dxa"/>
            <w:shd w:val="clear" w:color="auto" w:fill="auto"/>
          </w:tcPr>
          <w:p w:rsidR="00360DE3" w:rsidRPr="00360DE3" w:rsidRDefault="00360DE3" w:rsidP="002B213A">
            <w:pPr>
              <w:pStyle w:val="Textpoznpodarou10"/>
              <w:jc w:val="both"/>
            </w:pPr>
          </w:p>
        </w:tc>
        <w:tc>
          <w:tcPr>
            <w:tcW w:w="7471" w:type="dxa"/>
            <w:shd w:val="clear" w:color="auto" w:fill="auto"/>
          </w:tcPr>
          <w:p w:rsidR="00360DE3" w:rsidRPr="00360DE3" w:rsidRDefault="00360DE3" w:rsidP="002B213A">
            <w:r w:rsidRPr="00360DE3">
              <w:t>Ostatní budovy a stavby jsou druhou největší investiční oblastí. Loni na ni směřovalo 23,6 % z celkového objemu prostředků (294,0 mld. korun). Investice zde loni narostly o 13,9 mld. korun (reálně 2,4 %). Tento přírůstek však nevykompenzoval 13,1% propad z roku 2016. Ostatní stavby byly totiž nejvýrazněji poznamenány nerovnoměrným čerpáním evropských dotací. Součástí této kategorie jsou nebytové prostory pořizované podniky (např. výrobní haly) a rovněž infrastrukturní projekty, které financují zejména vládní instituce. Právě v oblasti infrastruktury je zatím role vlády nezastupitelná</w:t>
            </w:r>
            <w:r w:rsidR="006836CB">
              <w:t xml:space="preserve"> ostatními sektory.</w:t>
            </w:r>
          </w:p>
        </w:tc>
      </w:tr>
      <w:tr w:rsidR="00F160CE" w:rsidRPr="00360DE3" w:rsidTr="00F160CE">
        <w:trPr>
          <w:trHeight w:val="170"/>
        </w:trPr>
        <w:tc>
          <w:tcPr>
            <w:tcW w:w="1909" w:type="dxa"/>
            <w:vMerge w:val="restart"/>
            <w:shd w:val="clear" w:color="auto" w:fill="auto"/>
          </w:tcPr>
          <w:p w:rsidR="00F160CE" w:rsidRPr="00360DE3" w:rsidRDefault="00F160CE" w:rsidP="002B213A">
            <w:pPr>
              <w:pStyle w:val="Marginlie"/>
              <w:rPr>
                <w:spacing w:val="0"/>
              </w:rPr>
            </w:pPr>
          </w:p>
        </w:tc>
        <w:tc>
          <w:tcPr>
            <w:tcW w:w="264" w:type="dxa"/>
            <w:vMerge w:val="restart"/>
            <w:shd w:val="clear" w:color="auto" w:fill="auto"/>
          </w:tcPr>
          <w:p w:rsidR="00F160CE" w:rsidRPr="00360DE3" w:rsidRDefault="00F160CE" w:rsidP="002B213A">
            <w:pPr>
              <w:pStyle w:val="Textpoznpodarou10"/>
              <w:jc w:val="both"/>
            </w:pPr>
          </w:p>
        </w:tc>
        <w:tc>
          <w:tcPr>
            <w:tcW w:w="7471" w:type="dxa"/>
            <w:shd w:val="clear" w:color="auto" w:fill="auto"/>
          </w:tcPr>
          <w:p w:rsidR="00F160CE" w:rsidRPr="00360DE3" w:rsidRDefault="00F160CE" w:rsidP="001D198A">
            <w:pPr>
              <w:spacing w:after="0"/>
              <w:rPr>
                <w:b/>
              </w:rPr>
            </w:pPr>
            <w:r w:rsidRPr="00360DE3">
              <w:rPr>
                <w:b/>
              </w:rPr>
              <w:t xml:space="preserve">Graf č. </w:t>
            </w:r>
            <w:proofErr w:type="gramStart"/>
            <w:r w:rsidRPr="00360DE3">
              <w:rPr>
                <w:b/>
              </w:rPr>
              <w:t>4.3  Výdaje</w:t>
            </w:r>
            <w:proofErr w:type="gramEnd"/>
            <w:r w:rsidRPr="00360DE3">
              <w:rPr>
                <w:b/>
              </w:rPr>
              <w:t xml:space="preserve"> na tvorbu hrubého fixního kapitálu </w:t>
            </w:r>
            <w:r w:rsidRPr="00360DE3">
              <w:t>(objemové indexy, meziroční změna v %)</w:t>
            </w:r>
          </w:p>
        </w:tc>
      </w:tr>
      <w:tr w:rsidR="00F160CE" w:rsidRPr="00360DE3" w:rsidTr="00F160CE">
        <w:trPr>
          <w:trHeight w:val="170"/>
        </w:trPr>
        <w:tc>
          <w:tcPr>
            <w:tcW w:w="1909" w:type="dxa"/>
            <w:vMerge/>
            <w:shd w:val="clear" w:color="auto" w:fill="auto"/>
          </w:tcPr>
          <w:p w:rsidR="00F160CE" w:rsidRPr="00360DE3" w:rsidRDefault="00F160CE" w:rsidP="002B213A">
            <w:pPr>
              <w:pStyle w:val="Marginlie"/>
              <w:rPr>
                <w:spacing w:val="0"/>
              </w:rPr>
            </w:pPr>
          </w:p>
        </w:tc>
        <w:tc>
          <w:tcPr>
            <w:tcW w:w="264" w:type="dxa"/>
            <w:vMerge/>
            <w:shd w:val="clear" w:color="auto" w:fill="auto"/>
          </w:tcPr>
          <w:p w:rsidR="00F160CE" w:rsidRPr="00360DE3" w:rsidRDefault="00F160CE" w:rsidP="002B213A">
            <w:pPr>
              <w:pStyle w:val="Textpoznpodarou10"/>
              <w:jc w:val="both"/>
            </w:pPr>
          </w:p>
        </w:tc>
        <w:tc>
          <w:tcPr>
            <w:tcW w:w="7471" w:type="dxa"/>
            <w:shd w:val="clear" w:color="auto" w:fill="auto"/>
          </w:tcPr>
          <w:p w:rsidR="00F160CE" w:rsidRPr="00360DE3" w:rsidRDefault="00F160CE" w:rsidP="002B213A">
            <w:pPr>
              <w:spacing w:after="0"/>
            </w:pPr>
            <w:r w:rsidRPr="00360DE3">
              <w:rPr>
                <w:noProof/>
              </w:rPr>
              <w:drawing>
                <wp:inline distT="0" distB="0" distL="0" distR="0">
                  <wp:extent cx="4737600" cy="3553200"/>
                  <wp:effectExtent l="0" t="0" r="0" b="0"/>
                  <wp:docPr id="82"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r w:rsidR="00F160CE" w:rsidRPr="00360DE3" w:rsidTr="00F160CE">
        <w:trPr>
          <w:trHeight w:val="170"/>
        </w:trPr>
        <w:tc>
          <w:tcPr>
            <w:tcW w:w="1909" w:type="dxa"/>
            <w:vMerge/>
            <w:shd w:val="clear" w:color="auto" w:fill="auto"/>
          </w:tcPr>
          <w:p w:rsidR="00F160CE" w:rsidRPr="00360DE3" w:rsidRDefault="00F160CE" w:rsidP="002B213A">
            <w:pPr>
              <w:pStyle w:val="Marginlie"/>
              <w:rPr>
                <w:spacing w:val="0"/>
              </w:rPr>
            </w:pPr>
          </w:p>
        </w:tc>
        <w:tc>
          <w:tcPr>
            <w:tcW w:w="264" w:type="dxa"/>
            <w:vMerge/>
            <w:shd w:val="clear" w:color="auto" w:fill="auto"/>
          </w:tcPr>
          <w:p w:rsidR="00F160CE" w:rsidRPr="00360DE3" w:rsidRDefault="00F160CE" w:rsidP="002B213A">
            <w:pPr>
              <w:pStyle w:val="Textpoznpodarou10"/>
              <w:jc w:val="both"/>
            </w:pPr>
          </w:p>
        </w:tc>
        <w:tc>
          <w:tcPr>
            <w:tcW w:w="7471" w:type="dxa"/>
            <w:shd w:val="clear" w:color="auto" w:fill="auto"/>
          </w:tcPr>
          <w:p w:rsidR="00F160CE" w:rsidRPr="00360DE3" w:rsidRDefault="00F160CE" w:rsidP="002B213A">
            <w:pPr>
              <w:rPr>
                <w:sz w:val="14"/>
                <w:szCs w:val="14"/>
              </w:rPr>
            </w:pPr>
            <w:r w:rsidRPr="00360DE3">
              <w:rPr>
                <w:sz w:val="14"/>
                <w:szCs w:val="14"/>
              </w:rPr>
              <w:t xml:space="preserve">Zdroj: </w:t>
            </w:r>
            <w:proofErr w:type="spellStart"/>
            <w:r w:rsidRPr="00360DE3">
              <w:rPr>
                <w:sz w:val="14"/>
                <w:szCs w:val="14"/>
              </w:rPr>
              <w:t>Eurostat</w:t>
            </w:r>
            <w:proofErr w:type="spellEnd"/>
          </w:p>
        </w:tc>
      </w:tr>
      <w:tr w:rsidR="00F160CE" w:rsidRPr="00360DE3" w:rsidTr="00F160CE">
        <w:trPr>
          <w:trHeight w:val="170"/>
        </w:trPr>
        <w:tc>
          <w:tcPr>
            <w:tcW w:w="1909" w:type="dxa"/>
            <w:shd w:val="clear" w:color="auto" w:fill="auto"/>
          </w:tcPr>
          <w:p w:rsidR="00F160CE" w:rsidRPr="00360DE3" w:rsidRDefault="00F160CE" w:rsidP="00DC37E3">
            <w:pPr>
              <w:pStyle w:val="Marginlie"/>
              <w:rPr>
                <w:spacing w:val="0"/>
              </w:rPr>
            </w:pPr>
            <w:r w:rsidRPr="00360DE3">
              <w:rPr>
                <w:spacing w:val="0"/>
              </w:rPr>
              <w:t>Dynamiku investic v EU ovlivnily nerovnoměrnosti v čerpání evropských fondů.</w:t>
            </w:r>
          </w:p>
        </w:tc>
        <w:tc>
          <w:tcPr>
            <w:tcW w:w="264" w:type="dxa"/>
            <w:shd w:val="clear" w:color="auto" w:fill="auto"/>
          </w:tcPr>
          <w:p w:rsidR="00F160CE" w:rsidRPr="00360DE3" w:rsidRDefault="00F160CE" w:rsidP="00DC37E3">
            <w:pPr>
              <w:pStyle w:val="Textpoznpodarou10"/>
              <w:jc w:val="both"/>
            </w:pPr>
          </w:p>
        </w:tc>
        <w:tc>
          <w:tcPr>
            <w:tcW w:w="7471" w:type="dxa"/>
            <w:shd w:val="clear" w:color="auto" w:fill="auto"/>
          </w:tcPr>
          <w:p w:rsidR="00F160CE" w:rsidRPr="00360DE3" w:rsidRDefault="00F160CE" w:rsidP="00DC37E3">
            <w:r w:rsidRPr="00360DE3">
              <w:t xml:space="preserve">Růst investiční aktivity v Evropské unii v loňském roce mírně zrychlil na 3,1 %. V dynamice kapitálových výdajů bylo patrné dočerpávání evropských fondů (silný růst v roce 2015, oslabení v roce 2016 a loni mírné zrychlení). Pokud se totiž podíváme na jednotlivé státy unie, propad dynamiky v roce 2016 a nový růst v následujícím roce je společný členským státům ze střední a východní Evropy. Nejsilněji rostly výdaje na hrubý fixní kapitál na Kypru (27,8 %), v Maďarsku (16,8 %), Lotyšsku (16,0 %), Estonsku (13,1 %) a Slovinsku (10,3 %). Společně se spotřebními výdaji byly investice klíčovým stimulem pro nejrychleji rostoucí státy unie. Nejmarkantnější meziroční propad kapitálových výdajů zažilo Irsko (- 31,0 %). U něj se však projevoval příchod technologických firem, které využívají příznivé daňové podmínky (v roce 2015 a 2016 zde investice vzrostly o více než 50 %).  </w:t>
            </w:r>
          </w:p>
        </w:tc>
      </w:tr>
    </w:tbl>
    <w:p w:rsidR="00C466D2" w:rsidRPr="00360DE3" w:rsidRDefault="00141782" w:rsidP="005D3386">
      <w:pPr>
        <w:pStyle w:val="Nadpis110"/>
      </w:pPr>
      <w:bookmarkStart w:id="15" w:name="_Toc527639470"/>
      <w:r w:rsidRPr="00360DE3">
        <w:lastRenderedPageBreak/>
        <w:t>5. Trh práce</w:t>
      </w:r>
      <w:bookmarkEnd w:id="15"/>
    </w:p>
    <w:tbl>
      <w:tblPr>
        <w:tblW w:w="9644" w:type="dxa"/>
        <w:tblInd w:w="-15" w:type="dxa"/>
        <w:tblLayout w:type="fixed"/>
        <w:tblCellMar>
          <w:left w:w="0" w:type="dxa"/>
          <w:right w:w="0" w:type="dxa"/>
        </w:tblCellMar>
        <w:tblLook w:val="00A0"/>
      </w:tblPr>
      <w:tblGrid>
        <w:gridCol w:w="1976"/>
        <w:gridCol w:w="277"/>
        <w:gridCol w:w="7391"/>
      </w:tblGrid>
      <w:tr w:rsidR="005D3386" w:rsidRPr="00360DE3" w:rsidTr="005D3386">
        <w:trPr>
          <w:trHeight w:val="145"/>
        </w:trPr>
        <w:tc>
          <w:tcPr>
            <w:tcW w:w="1966" w:type="dxa"/>
          </w:tcPr>
          <w:p w:rsidR="005D3386" w:rsidRPr="00360DE3" w:rsidRDefault="005D3386" w:rsidP="005D3386">
            <w:pPr>
              <w:pStyle w:val="Marginlie"/>
              <w:rPr>
                <w:spacing w:val="0"/>
              </w:rPr>
            </w:pPr>
            <w:r w:rsidRPr="00360DE3">
              <w:rPr>
                <w:spacing w:val="0"/>
              </w:rPr>
              <w:t>Situace na pracovním trhu v Česku loni výrazně nahrávala zaměstnancům i osobám hledajících práci.</w:t>
            </w:r>
          </w:p>
        </w:tc>
        <w:tc>
          <w:tcPr>
            <w:tcW w:w="276" w:type="dxa"/>
          </w:tcPr>
          <w:p w:rsidR="005D3386" w:rsidRPr="00360DE3" w:rsidRDefault="005D3386" w:rsidP="005D3386">
            <w:pPr>
              <w:pStyle w:val="Textpoznpodarou"/>
              <w:jc w:val="both"/>
            </w:pPr>
          </w:p>
        </w:tc>
        <w:tc>
          <w:tcPr>
            <w:tcW w:w="7355" w:type="dxa"/>
          </w:tcPr>
          <w:p w:rsidR="005D3386" w:rsidRPr="00360DE3" w:rsidRDefault="005D3386" w:rsidP="005D3386">
            <w:pPr>
              <w:spacing w:after="200"/>
            </w:pPr>
            <w:r w:rsidRPr="00360DE3">
              <w:t>Tuzemský trh práce zažil v roce 2017 výjimečný rok. Pokračující svižný růst ekonomiky se pozitivně odrazil v tvorbě nových pracovních míst. Nezaměstnanost se nadále snižovala, práci nacházeli z velké části dlouhodobě nezaměstnaní. Při stále omezenějším rezervoáru potenciálních pracovních sil z tuzemska využívaly podniky intenzivněji náboru lidí ze zahraničí, který však i kvůli své administrativní náročnosti nestačil jejich potřeby plně pokrýt. Z rostoucího napětí na pracovním trhu profitovaly osoby v zaměstnaneckém postavení, jejichž výdělky akcelerovaly k tempům z vrcholu konjunktury minulé dekády. V kontextu zemí EU se trh práce v Česku v mnohých ohledech těšil zcela výsadnímu postavení (</w:t>
            </w:r>
            <w:r w:rsidR="005B08EB">
              <w:t xml:space="preserve">pohledem ukazatelů: </w:t>
            </w:r>
            <w:r w:rsidRPr="00360DE3">
              <w:t xml:space="preserve">míra nezaměstnanosti, míra zaměstnanosti mužů, míra volných pracovních míst). </w:t>
            </w:r>
          </w:p>
        </w:tc>
      </w:tr>
    </w:tbl>
    <w:p w:rsidR="005D3386" w:rsidRPr="00360DE3" w:rsidRDefault="005D3386" w:rsidP="005D3386">
      <w:pPr>
        <w:pStyle w:val="Nadpis2"/>
      </w:pPr>
      <w:bookmarkStart w:id="16" w:name="_Toc527639471"/>
      <w:r w:rsidRPr="00360DE3">
        <w:t>5.1 Zaměstnanost</w:t>
      </w:r>
      <w:bookmarkEnd w:id="16"/>
    </w:p>
    <w:tbl>
      <w:tblPr>
        <w:tblW w:w="9644" w:type="dxa"/>
        <w:tblInd w:w="-15" w:type="dxa"/>
        <w:tblLayout w:type="fixed"/>
        <w:tblCellMar>
          <w:left w:w="0" w:type="dxa"/>
          <w:right w:w="0" w:type="dxa"/>
        </w:tblCellMar>
        <w:tblLook w:val="00A0"/>
      </w:tblPr>
      <w:tblGrid>
        <w:gridCol w:w="1966"/>
        <w:gridCol w:w="10"/>
        <w:gridCol w:w="266"/>
        <w:gridCol w:w="11"/>
        <w:gridCol w:w="7344"/>
        <w:gridCol w:w="47"/>
      </w:tblGrid>
      <w:tr w:rsidR="005D3386" w:rsidRPr="00360DE3" w:rsidTr="005D3386">
        <w:trPr>
          <w:gridAfter w:val="1"/>
          <w:wAfter w:w="47" w:type="dxa"/>
          <w:trHeight w:val="145"/>
        </w:trPr>
        <w:tc>
          <w:tcPr>
            <w:tcW w:w="1966" w:type="dxa"/>
            <w:shd w:val="clear" w:color="auto" w:fill="auto"/>
          </w:tcPr>
          <w:p w:rsidR="005D3386" w:rsidRPr="00360DE3" w:rsidRDefault="005D3386" w:rsidP="005D3386">
            <w:pPr>
              <w:pStyle w:val="Marginlie"/>
              <w:rPr>
                <w:spacing w:val="0"/>
              </w:rPr>
            </w:pPr>
            <w:r w:rsidRPr="00360DE3">
              <w:rPr>
                <w:spacing w:val="0"/>
              </w:rPr>
              <w:t xml:space="preserve">Současný hospodářský růst společně s dlouhodobě působícími demografickými vlivy vyústily v rekordním </w:t>
            </w:r>
            <w:proofErr w:type="gramStart"/>
            <w:r w:rsidRPr="00360DE3">
              <w:rPr>
                <w:spacing w:val="0"/>
              </w:rPr>
              <w:t>počet</w:t>
            </w:r>
            <w:proofErr w:type="gramEnd"/>
            <w:r w:rsidRPr="00360DE3">
              <w:rPr>
                <w:spacing w:val="0"/>
              </w:rPr>
              <w:t xml:space="preserve"> pracovníků.</w:t>
            </w:r>
          </w:p>
        </w:tc>
        <w:tc>
          <w:tcPr>
            <w:tcW w:w="276" w:type="dxa"/>
            <w:gridSpan w:val="2"/>
          </w:tcPr>
          <w:p w:rsidR="005D3386" w:rsidRPr="00360DE3" w:rsidRDefault="005D3386" w:rsidP="005D3386">
            <w:pPr>
              <w:pStyle w:val="Textpoznpodarou"/>
              <w:jc w:val="both"/>
            </w:pPr>
          </w:p>
        </w:tc>
        <w:tc>
          <w:tcPr>
            <w:tcW w:w="7355" w:type="dxa"/>
            <w:gridSpan w:val="2"/>
          </w:tcPr>
          <w:p w:rsidR="005D3386" w:rsidRPr="00EA0840" w:rsidRDefault="005D3386" w:rsidP="005D3386">
            <w:pPr>
              <w:spacing w:after="200"/>
            </w:pPr>
            <w:r w:rsidRPr="00EA0840">
              <w:t xml:space="preserve">Celková zaměstnanost </w:t>
            </w:r>
            <w:r w:rsidR="005B08EB">
              <w:t xml:space="preserve">v národním hospodářství </w:t>
            </w:r>
            <w:r w:rsidRPr="00EA0840">
              <w:t>(ve fyzických osobách)</w:t>
            </w:r>
            <w:r w:rsidRPr="00EA0840">
              <w:rPr>
                <w:rStyle w:val="Znakapoznpodarou"/>
              </w:rPr>
              <w:footnoteReference w:id="9"/>
            </w:r>
            <w:r w:rsidRPr="00EA0840">
              <w:t xml:space="preserve"> vzrostla v roce 2017 o 1,6 % meziroč</w:t>
            </w:r>
            <w:r w:rsidR="005B08EB">
              <w:t>ně. Jednalo se</w:t>
            </w:r>
            <w:r w:rsidRPr="00EA0840">
              <w:t xml:space="preserve"> společně s předešlým rokem, kdy zaměstnanost posilovala shodným tempem jako loni, o nejlepší výsledek po roce 2008. Loňský růst zaměstnanosti byl v Česku obdobný jako v celé </w:t>
            </w:r>
            <w:r w:rsidR="005B08EB">
              <w:t>EU či např. sousedním Německu a</w:t>
            </w:r>
            <w:r w:rsidR="005B08EB" w:rsidRPr="00360DE3">
              <w:t> </w:t>
            </w:r>
            <w:r w:rsidRPr="00EA0840">
              <w:t>Rakousku, za většinou novějších členských států Unie však zaostal</w:t>
            </w:r>
            <w:r w:rsidRPr="00EA0840">
              <w:rPr>
                <w:rStyle w:val="Znakapoznpodarou"/>
              </w:rPr>
              <w:footnoteReference w:id="10"/>
            </w:r>
            <w:r w:rsidRPr="00EA0840">
              <w:t xml:space="preserve">. Na rozdíl od roku 2016 již loni k vyšší zaměstnanosti nepřispívali </w:t>
            </w:r>
            <w:proofErr w:type="spellStart"/>
            <w:r w:rsidRPr="00EA0840">
              <w:t>sebezaměstnaní</w:t>
            </w:r>
            <w:proofErr w:type="spellEnd"/>
            <w:r w:rsidRPr="00EA0840">
              <w:t>. Na jeho konci mělo v ČR práci již 5,37 mil. lidí</w:t>
            </w:r>
            <w:r w:rsidRPr="00EA0840">
              <w:rPr>
                <w:rStyle w:val="Znakapoznpodarou"/>
              </w:rPr>
              <w:footnoteReference w:id="11"/>
            </w:r>
            <w:r w:rsidRPr="00EA0840">
              <w:t>. Rekordní výše zaměstnanosti byla vedle efektu hospodářského cyklu ovlivněna také dlouhodobě působícími demografickými vlivy. Četnost toků mezi neaktivitou a zaměstnaností odrážela i dopad navyšujícího se věku odchodu d</w:t>
            </w:r>
            <w:r w:rsidR="005B08EB">
              <w:t>o důchodu (s větší intenzitou u</w:t>
            </w:r>
            <w:r w:rsidR="005B08EB" w:rsidRPr="00EA0840">
              <w:t> </w:t>
            </w:r>
            <w:r w:rsidRPr="00EA0840">
              <w:t>žen).</w:t>
            </w:r>
          </w:p>
        </w:tc>
      </w:tr>
      <w:tr w:rsidR="005D3386" w:rsidRPr="00360DE3" w:rsidTr="005D3386">
        <w:trPr>
          <w:gridAfter w:val="1"/>
          <w:wAfter w:w="47" w:type="dxa"/>
          <w:trHeight w:val="145"/>
        </w:trPr>
        <w:tc>
          <w:tcPr>
            <w:tcW w:w="1966" w:type="dxa"/>
            <w:shd w:val="clear" w:color="auto" w:fill="auto"/>
          </w:tcPr>
          <w:p w:rsidR="005D3386" w:rsidRPr="00360DE3" w:rsidRDefault="005D3386" w:rsidP="005D3386">
            <w:pPr>
              <w:pStyle w:val="Marginlie"/>
              <w:rPr>
                <w:spacing w:val="0"/>
              </w:rPr>
            </w:pPr>
            <w:r w:rsidRPr="00360DE3">
              <w:rPr>
                <w:spacing w:val="0"/>
              </w:rPr>
              <w:t>Role zpracovatelského průmyslu jako hlavního tvůrce pracovních míst loni oslabila ve prospěch služeb, kde sílila zejména odvětví s dominancí státu.</w:t>
            </w: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5D3386">
            <w:pPr>
              <w:pStyle w:val="Marginlie"/>
              <w:rPr>
                <w:spacing w:val="0"/>
              </w:rPr>
            </w:pPr>
          </w:p>
          <w:p w:rsidR="005D3386" w:rsidRPr="00360DE3" w:rsidRDefault="005D3386" w:rsidP="00360DE3">
            <w:pPr>
              <w:pStyle w:val="Marginlie"/>
              <w:rPr>
                <w:spacing w:val="0"/>
              </w:rPr>
            </w:pPr>
          </w:p>
        </w:tc>
        <w:tc>
          <w:tcPr>
            <w:tcW w:w="276" w:type="dxa"/>
            <w:gridSpan w:val="2"/>
          </w:tcPr>
          <w:p w:rsidR="005D3386" w:rsidRPr="00360DE3" w:rsidRDefault="005D3386" w:rsidP="005D3386">
            <w:pPr>
              <w:pStyle w:val="Textpoznpodarou"/>
              <w:jc w:val="both"/>
            </w:pPr>
          </w:p>
        </w:tc>
        <w:tc>
          <w:tcPr>
            <w:tcW w:w="7355" w:type="dxa"/>
            <w:gridSpan w:val="2"/>
          </w:tcPr>
          <w:p w:rsidR="00360DE3" w:rsidRPr="00EA0840" w:rsidRDefault="005D3386" w:rsidP="00360DE3">
            <w:pPr>
              <w:spacing w:after="0"/>
            </w:pPr>
            <w:r w:rsidRPr="00EA0840">
              <w:t xml:space="preserve">Počet pracovníků (po přepočtu na celé úvazky) v ekonomice se v roce 2017 </w:t>
            </w:r>
            <w:proofErr w:type="gramStart"/>
            <w:r w:rsidRPr="00EA0840">
              <w:t>zvýšil</w:t>
            </w:r>
            <w:proofErr w:type="gramEnd"/>
            <w:r w:rsidRPr="00EA0840">
              <w:t xml:space="preserve"> o 62 tis. osob  Stavy zaměstnaných nadále </w:t>
            </w:r>
            <w:proofErr w:type="gramStart"/>
            <w:r w:rsidRPr="00EA0840">
              <w:t>rozšiřoval</w:t>
            </w:r>
            <w:proofErr w:type="gramEnd"/>
            <w:r w:rsidRPr="00EA0840">
              <w:t xml:space="preserve"> zpracovatelský průmysl (+13 tis.), jeho role však oproti rokům 2015 i 2016 (kdy zajistil více než polovinu meziročního přírůstku zaměstnanosti v celé ekonomice) citelně oslabila. Stály za tím jak sílící potíže při náboru nových pracovníků, tak i tlak na růst produktivity klíčových exportérů v prostředí posilující české koruny. Naopak již druhým rokem v řadě sílila role odvětví majících charakter veřejných služeb. Na jejich loňském růstu (+29 tis.) se podílelo primárně vzdělávání (+4,2 %, nejsilnější tempo po roce 2003). Pracovníci přibývali i ve zdravotnictví, sociálních službách i v oblastech souvisejících s bezpečností státu. Z ostatních služeb se dařilo odvětví ubytování, stravování a pohostinství (+3,2 %, nejvyšší tempo za posledních osm let). Na silný rok 2016 loni plně nenavázaly profesní, vědeck</w:t>
            </w:r>
            <w:r w:rsidR="00DF7AD4">
              <w:t>é a technické činnosti, jakož i</w:t>
            </w:r>
            <w:r w:rsidR="00DF7AD4" w:rsidRPr="00360DE3">
              <w:t> </w:t>
            </w:r>
            <w:r w:rsidRPr="00EA0840">
              <w:t>dlouhodobě nejdynamičtější odvětví služeb – informačních a komunikační činnosti. V dopravě nadále kontrastoval dynamický růst ve skladování (+5,0 %) s umírněným vývojem ve váhově dominantní p</w:t>
            </w:r>
            <w:r w:rsidR="00EA0840">
              <w:t>ozemní a potrubní dopravě (+0,8</w:t>
            </w:r>
            <w:r w:rsidR="00EA0840" w:rsidRPr="00EA0840">
              <w:t> </w:t>
            </w:r>
            <w:r w:rsidRPr="00EA0840">
              <w:t>%).</w:t>
            </w:r>
          </w:p>
          <w:p w:rsidR="00360DE3" w:rsidRDefault="00360DE3" w:rsidP="00360DE3">
            <w:pPr>
              <w:spacing w:after="0"/>
            </w:pPr>
          </w:p>
          <w:p w:rsidR="00DF7AD4" w:rsidRDefault="00DF7AD4" w:rsidP="00360DE3">
            <w:pPr>
              <w:spacing w:after="0"/>
            </w:pPr>
          </w:p>
          <w:p w:rsidR="00DF7AD4" w:rsidRDefault="00DF7AD4" w:rsidP="00360DE3">
            <w:pPr>
              <w:spacing w:after="0"/>
            </w:pPr>
          </w:p>
          <w:p w:rsidR="00DF7AD4" w:rsidRDefault="00DF7AD4" w:rsidP="00360DE3">
            <w:pPr>
              <w:spacing w:after="0"/>
            </w:pPr>
          </w:p>
          <w:p w:rsidR="00DF7AD4" w:rsidRPr="00EA0840" w:rsidRDefault="00DF7AD4" w:rsidP="00360DE3">
            <w:pPr>
              <w:spacing w:after="0"/>
            </w:pPr>
          </w:p>
          <w:p w:rsidR="00360DE3" w:rsidRPr="00EA0840" w:rsidRDefault="00360DE3" w:rsidP="00360DE3">
            <w:pPr>
              <w:spacing w:after="0"/>
            </w:pPr>
          </w:p>
        </w:tc>
      </w:tr>
      <w:tr w:rsidR="005D3386" w:rsidRPr="00360DE3" w:rsidTr="005D3386">
        <w:trPr>
          <w:gridAfter w:val="1"/>
          <w:wAfter w:w="47" w:type="dxa"/>
          <w:trHeight w:val="90"/>
        </w:trPr>
        <w:tc>
          <w:tcPr>
            <w:tcW w:w="1966" w:type="dxa"/>
            <w:vMerge w:val="restart"/>
            <w:shd w:val="clear" w:color="auto" w:fill="auto"/>
          </w:tcPr>
          <w:p w:rsidR="005D3386" w:rsidRPr="00360DE3" w:rsidRDefault="005D3386" w:rsidP="005D3386">
            <w:pPr>
              <w:pStyle w:val="Marginlie"/>
              <w:rPr>
                <w:spacing w:val="0"/>
              </w:rPr>
            </w:pPr>
          </w:p>
        </w:tc>
        <w:tc>
          <w:tcPr>
            <w:tcW w:w="276" w:type="dxa"/>
            <w:gridSpan w:val="2"/>
            <w:vMerge w:val="restart"/>
          </w:tcPr>
          <w:p w:rsidR="005D3386" w:rsidRPr="00360DE3" w:rsidRDefault="005D3386" w:rsidP="005D3386">
            <w:pPr>
              <w:pStyle w:val="Textpoznpodarou"/>
              <w:jc w:val="both"/>
            </w:pPr>
          </w:p>
        </w:tc>
        <w:tc>
          <w:tcPr>
            <w:tcW w:w="7355" w:type="dxa"/>
            <w:gridSpan w:val="2"/>
          </w:tcPr>
          <w:p w:rsidR="005D3386" w:rsidRPr="00360DE3" w:rsidRDefault="005D3386" w:rsidP="005D3386">
            <w:pPr>
              <w:spacing w:after="0"/>
              <w:rPr>
                <w:b/>
              </w:rPr>
            </w:pPr>
            <w:r w:rsidRPr="00360DE3">
              <w:rPr>
                <w:b/>
              </w:rPr>
              <w:t xml:space="preserve">Graf 5.1.1 Meziroční změny zaměstnanosti a nezaměstnanosti a sezónně očištěná míra volných pracovních míst </w:t>
            </w:r>
            <w:r w:rsidRPr="00360DE3">
              <w:t>(v %, po čtvrtletích)</w:t>
            </w:r>
          </w:p>
        </w:tc>
      </w:tr>
      <w:tr w:rsidR="005D3386" w:rsidRPr="00360DE3" w:rsidTr="005D3386">
        <w:trPr>
          <w:gridAfter w:val="1"/>
          <w:wAfter w:w="47" w:type="dxa"/>
          <w:trHeight w:val="90"/>
        </w:trPr>
        <w:tc>
          <w:tcPr>
            <w:tcW w:w="1966" w:type="dxa"/>
            <w:vMerge/>
            <w:shd w:val="clear" w:color="auto" w:fill="auto"/>
          </w:tcPr>
          <w:p w:rsidR="005D3386" w:rsidRPr="00360DE3" w:rsidRDefault="005D3386" w:rsidP="005D3386">
            <w:pPr>
              <w:pStyle w:val="Marginlie"/>
              <w:rPr>
                <w:spacing w:val="0"/>
              </w:rPr>
            </w:pPr>
          </w:p>
        </w:tc>
        <w:tc>
          <w:tcPr>
            <w:tcW w:w="276" w:type="dxa"/>
            <w:gridSpan w:val="2"/>
            <w:vMerge/>
          </w:tcPr>
          <w:p w:rsidR="005D3386" w:rsidRPr="00360DE3" w:rsidRDefault="005D3386" w:rsidP="005D3386">
            <w:pPr>
              <w:pStyle w:val="Textpoznpodarou"/>
              <w:jc w:val="both"/>
            </w:pPr>
          </w:p>
        </w:tc>
        <w:tc>
          <w:tcPr>
            <w:tcW w:w="7355" w:type="dxa"/>
            <w:gridSpan w:val="2"/>
          </w:tcPr>
          <w:p w:rsidR="005D3386" w:rsidRPr="00360DE3" w:rsidRDefault="005D3386" w:rsidP="005D3386">
            <w:pPr>
              <w:spacing w:after="0"/>
              <w:rPr>
                <w:b/>
              </w:rPr>
            </w:pPr>
            <w:r w:rsidRPr="00360DE3">
              <w:rPr>
                <w:b/>
                <w:noProof/>
              </w:rPr>
              <w:drawing>
                <wp:inline distT="0" distB="0" distL="0" distR="0">
                  <wp:extent cx="4705350" cy="3438525"/>
                  <wp:effectExtent l="19050" t="0" r="0" b="0"/>
                  <wp:docPr id="33"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r w:rsidR="005D3386" w:rsidRPr="00360DE3" w:rsidTr="005D3386">
        <w:trPr>
          <w:gridAfter w:val="1"/>
          <w:wAfter w:w="47" w:type="dxa"/>
          <w:trHeight w:val="90"/>
        </w:trPr>
        <w:tc>
          <w:tcPr>
            <w:tcW w:w="1966" w:type="dxa"/>
            <w:vMerge/>
            <w:shd w:val="clear" w:color="auto" w:fill="auto"/>
          </w:tcPr>
          <w:p w:rsidR="005D3386" w:rsidRPr="00360DE3" w:rsidRDefault="005D3386" w:rsidP="005D3386">
            <w:pPr>
              <w:pStyle w:val="Marginlie"/>
              <w:rPr>
                <w:spacing w:val="0"/>
              </w:rPr>
            </w:pPr>
          </w:p>
        </w:tc>
        <w:tc>
          <w:tcPr>
            <w:tcW w:w="276" w:type="dxa"/>
            <w:gridSpan w:val="2"/>
            <w:vMerge/>
          </w:tcPr>
          <w:p w:rsidR="005D3386" w:rsidRPr="00360DE3" w:rsidRDefault="005D3386" w:rsidP="005D3386">
            <w:pPr>
              <w:pStyle w:val="Textpoznpodarou"/>
              <w:jc w:val="both"/>
            </w:pPr>
          </w:p>
        </w:tc>
        <w:tc>
          <w:tcPr>
            <w:tcW w:w="7355" w:type="dxa"/>
            <w:gridSpan w:val="2"/>
          </w:tcPr>
          <w:p w:rsidR="005D3386" w:rsidRPr="00360DE3" w:rsidRDefault="005D3386" w:rsidP="005D3386">
            <w:pPr>
              <w:pStyle w:val="Textpoznpodarou"/>
              <w:jc w:val="both"/>
              <w:rPr>
                <w:rFonts w:cs="Arial"/>
                <w:sz w:val="14"/>
                <w:szCs w:val="14"/>
              </w:rPr>
            </w:pPr>
            <w:r w:rsidRPr="00360DE3">
              <w:rPr>
                <w:rFonts w:cs="Arial"/>
                <w:sz w:val="14"/>
                <w:szCs w:val="14"/>
              </w:rPr>
              <w:t xml:space="preserve">*Bez odvětví zemědělství, lesnictví a rybářství. </w:t>
            </w:r>
          </w:p>
          <w:p w:rsidR="005D3386" w:rsidRPr="00360DE3" w:rsidRDefault="005D3386" w:rsidP="005D3386">
            <w:pPr>
              <w:pStyle w:val="Textpoznpodarou"/>
              <w:jc w:val="both"/>
              <w:rPr>
                <w:rFonts w:cs="Arial"/>
                <w:sz w:val="14"/>
                <w:szCs w:val="14"/>
              </w:rPr>
            </w:pPr>
            <w:r w:rsidRPr="00360DE3">
              <w:rPr>
                <w:rFonts w:cs="Arial"/>
                <w:sz w:val="14"/>
                <w:szCs w:val="14"/>
              </w:rPr>
              <w:t>Pozn.:Míra volných pracovních míst vyjadřuje</w:t>
            </w:r>
            <w:r w:rsidRPr="00360DE3">
              <w:rPr>
                <w:rFonts w:cs="Arial"/>
                <w:b/>
                <w:sz w:val="14"/>
                <w:szCs w:val="14"/>
              </w:rPr>
              <w:t xml:space="preserve"> </w:t>
            </w:r>
            <w:r w:rsidRPr="00360DE3">
              <w:rPr>
                <w:rFonts w:cs="Arial"/>
                <w:sz w:val="14"/>
                <w:szCs w:val="14"/>
              </w:rPr>
              <w:t>podíl volných míst (z podkladů evidence úřadů práce) na celkovém počtu obsazených (součet počtu zam</w:t>
            </w:r>
            <w:r w:rsidRPr="00360DE3">
              <w:rPr>
                <w:rFonts w:eastAsia="SimSun" w:cs="Arial"/>
                <w:sz w:val="14"/>
                <w:szCs w:val="14"/>
              </w:rPr>
              <w:t xml:space="preserve">ěstnanců a členů produkčních družstev dle VŠPS) </w:t>
            </w:r>
            <w:r w:rsidRPr="00360DE3">
              <w:rPr>
                <w:rFonts w:cs="Arial"/>
                <w:sz w:val="14"/>
                <w:szCs w:val="14"/>
              </w:rPr>
              <w:t>a volných míst. Do</w:t>
            </w:r>
            <w:r w:rsidRPr="00360DE3">
              <w:rPr>
                <w:rFonts w:eastAsia="SimSun" w:cs="Arial"/>
                <w:sz w:val="14"/>
                <w:szCs w:val="14"/>
              </w:rPr>
              <w:t xml:space="preserve"> celkového počtu volných míst nejsou zahrnuta místa vznikající u firem či soukromníků, do té doby bez zaměstnanců.</w:t>
            </w:r>
            <w:r w:rsidRPr="00360DE3">
              <w:rPr>
                <w:rFonts w:cs="Arial"/>
                <w:sz w:val="14"/>
                <w:szCs w:val="14"/>
              </w:rPr>
              <w:t xml:space="preserve"> </w:t>
            </w:r>
          </w:p>
          <w:p w:rsidR="005D3386" w:rsidRPr="00360DE3" w:rsidRDefault="005D3386" w:rsidP="00360DE3">
            <w:pPr>
              <w:pStyle w:val="Textpoznpodarou"/>
              <w:spacing w:after="240"/>
              <w:jc w:val="both"/>
              <w:rPr>
                <w:b/>
              </w:rPr>
            </w:pPr>
            <w:r w:rsidRPr="00360DE3">
              <w:rPr>
                <w:rFonts w:cs="Arial"/>
                <w:sz w:val="14"/>
                <w:szCs w:val="14"/>
              </w:rPr>
              <w:t>Zdroj: ČSÚ (národní účty, VŠPS), MPSV</w:t>
            </w:r>
          </w:p>
        </w:tc>
      </w:tr>
      <w:tr w:rsidR="005D3386" w:rsidRPr="00360DE3" w:rsidTr="005D3386">
        <w:tc>
          <w:tcPr>
            <w:tcW w:w="1976" w:type="dxa"/>
            <w:gridSpan w:val="2"/>
            <w:vMerge w:val="restart"/>
          </w:tcPr>
          <w:p w:rsidR="005D3386" w:rsidRPr="00360DE3" w:rsidRDefault="005D3386" w:rsidP="005D3386">
            <w:pPr>
              <w:pStyle w:val="Marginlie"/>
              <w:rPr>
                <w:spacing w:val="0"/>
              </w:rPr>
            </w:pPr>
          </w:p>
        </w:tc>
        <w:tc>
          <w:tcPr>
            <w:tcW w:w="277" w:type="dxa"/>
            <w:gridSpan w:val="2"/>
            <w:vMerge w:val="restart"/>
          </w:tcPr>
          <w:p w:rsidR="005D3386" w:rsidRPr="00360DE3" w:rsidRDefault="005D3386" w:rsidP="005D3386">
            <w:pPr>
              <w:pStyle w:val="Textpoznpodarou"/>
              <w:jc w:val="both"/>
            </w:pPr>
          </w:p>
        </w:tc>
        <w:tc>
          <w:tcPr>
            <w:tcW w:w="7391" w:type="dxa"/>
            <w:gridSpan w:val="2"/>
          </w:tcPr>
          <w:p w:rsidR="005D3386" w:rsidRPr="00360DE3" w:rsidRDefault="005D3386" w:rsidP="005D3386">
            <w:pPr>
              <w:spacing w:after="0"/>
            </w:pPr>
            <w:r w:rsidRPr="00360DE3">
              <w:rPr>
                <w:b/>
              </w:rPr>
              <w:t xml:space="preserve">Graf </w:t>
            </w:r>
            <w:proofErr w:type="gramStart"/>
            <w:r w:rsidRPr="00360DE3">
              <w:rPr>
                <w:b/>
              </w:rPr>
              <w:t>5.1.2  Zaměstnanost</w:t>
            </w:r>
            <w:proofErr w:type="gramEnd"/>
            <w:r w:rsidRPr="00360DE3">
              <w:rPr>
                <w:b/>
              </w:rPr>
              <w:t xml:space="preserve"> v hlavních odvětvích ekonomiky</w:t>
            </w:r>
            <w:r w:rsidRPr="00360DE3">
              <w:t xml:space="preserve"> </w:t>
            </w:r>
          </w:p>
          <w:p w:rsidR="005D3386" w:rsidRPr="00360DE3" w:rsidRDefault="005D3386" w:rsidP="005D3386">
            <w:pPr>
              <w:spacing w:after="0"/>
              <w:rPr>
                <w:b/>
              </w:rPr>
            </w:pPr>
            <w:r w:rsidRPr="00360DE3">
              <w:t>(úvazky na plnou pracovní dobu, úroveň roku 2007 =100)</w:t>
            </w:r>
          </w:p>
        </w:tc>
      </w:tr>
      <w:tr w:rsidR="005D3386" w:rsidRPr="00360DE3" w:rsidTr="005D3386">
        <w:trPr>
          <w:trHeight w:val="170"/>
        </w:trPr>
        <w:tc>
          <w:tcPr>
            <w:tcW w:w="1976" w:type="dxa"/>
            <w:gridSpan w:val="2"/>
            <w:vMerge/>
          </w:tcPr>
          <w:p w:rsidR="005D3386" w:rsidRPr="00360DE3" w:rsidRDefault="005D3386" w:rsidP="005D3386">
            <w:pPr>
              <w:pStyle w:val="Marginlie"/>
              <w:rPr>
                <w:spacing w:val="0"/>
              </w:rPr>
            </w:pPr>
          </w:p>
        </w:tc>
        <w:tc>
          <w:tcPr>
            <w:tcW w:w="277" w:type="dxa"/>
            <w:gridSpan w:val="2"/>
            <w:vMerge/>
          </w:tcPr>
          <w:p w:rsidR="005D3386" w:rsidRPr="00360DE3" w:rsidRDefault="005D3386" w:rsidP="005D3386">
            <w:pPr>
              <w:pStyle w:val="Textpoznpodarou"/>
              <w:jc w:val="both"/>
            </w:pPr>
          </w:p>
        </w:tc>
        <w:tc>
          <w:tcPr>
            <w:tcW w:w="7391" w:type="dxa"/>
            <w:gridSpan w:val="2"/>
          </w:tcPr>
          <w:p w:rsidR="005D3386" w:rsidRPr="00360DE3" w:rsidRDefault="005D3386" w:rsidP="005D3386">
            <w:pPr>
              <w:spacing w:after="0"/>
            </w:pPr>
            <w:r w:rsidRPr="00360DE3">
              <w:rPr>
                <w:noProof/>
              </w:rPr>
              <w:drawing>
                <wp:inline distT="0" distB="0" distL="0" distR="0">
                  <wp:extent cx="4714875" cy="3705225"/>
                  <wp:effectExtent l="19050" t="0" r="0" b="0"/>
                  <wp:docPr id="34"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r w:rsidR="005D3386" w:rsidRPr="00360DE3" w:rsidTr="005D3386">
        <w:trPr>
          <w:trHeight w:val="170"/>
        </w:trPr>
        <w:tc>
          <w:tcPr>
            <w:tcW w:w="1976" w:type="dxa"/>
            <w:gridSpan w:val="2"/>
            <w:vMerge/>
          </w:tcPr>
          <w:p w:rsidR="005D3386" w:rsidRPr="00360DE3" w:rsidRDefault="005D3386" w:rsidP="005D3386">
            <w:pPr>
              <w:pStyle w:val="Marginlie"/>
              <w:rPr>
                <w:spacing w:val="0"/>
              </w:rPr>
            </w:pPr>
          </w:p>
        </w:tc>
        <w:tc>
          <w:tcPr>
            <w:tcW w:w="277" w:type="dxa"/>
            <w:gridSpan w:val="2"/>
            <w:vMerge/>
          </w:tcPr>
          <w:p w:rsidR="005D3386" w:rsidRPr="00360DE3" w:rsidRDefault="005D3386" w:rsidP="005D3386">
            <w:pPr>
              <w:pStyle w:val="Textpoznpodarou"/>
              <w:jc w:val="both"/>
            </w:pPr>
          </w:p>
        </w:tc>
        <w:tc>
          <w:tcPr>
            <w:tcW w:w="7391" w:type="dxa"/>
            <w:gridSpan w:val="2"/>
          </w:tcPr>
          <w:p w:rsidR="005D3386" w:rsidRPr="006836CB" w:rsidRDefault="0000437D" w:rsidP="005D3386">
            <w:pPr>
              <w:spacing w:after="0" w:line="240" w:lineRule="auto"/>
              <w:rPr>
                <w:spacing w:val="-2"/>
                <w:sz w:val="14"/>
                <w:szCs w:val="14"/>
              </w:rPr>
            </w:pPr>
            <w:r w:rsidRPr="006836CB">
              <w:rPr>
                <w:spacing w:val="-2"/>
                <w:sz w:val="14"/>
                <w:szCs w:val="14"/>
              </w:rPr>
              <w:t>*Zahrnuté</w:t>
            </w:r>
            <w:r w:rsidR="005D3386" w:rsidRPr="006836CB">
              <w:rPr>
                <w:spacing w:val="-2"/>
                <w:sz w:val="14"/>
                <w:szCs w:val="14"/>
              </w:rPr>
              <w:t xml:space="preserve"> odvětvové oddíly CZ-NACE 84 až 91 (Veřejná správa a obrana, vzdělávání, zdravotnictví, </w:t>
            </w:r>
            <w:proofErr w:type="spellStart"/>
            <w:r w:rsidR="005D3386" w:rsidRPr="006836CB">
              <w:rPr>
                <w:spacing w:val="-2"/>
                <w:sz w:val="14"/>
                <w:szCs w:val="14"/>
              </w:rPr>
              <w:t>soc</w:t>
            </w:r>
            <w:proofErr w:type="spellEnd"/>
            <w:r w:rsidR="005D3386" w:rsidRPr="006836CB">
              <w:rPr>
                <w:spacing w:val="-2"/>
                <w:sz w:val="14"/>
                <w:szCs w:val="14"/>
              </w:rPr>
              <w:t>, péče a služby, tvůrčí, umělecké a zábavní činnosti, knihovny, archivy, muzea a jiná kulturní zařízení.</w:t>
            </w:r>
          </w:p>
          <w:p w:rsidR="005D3386" w:rsidRPr="00360DE3" w:rsidRDefault="005D3386" w:rsidP="005D3386">
            <w:pPr>
              <w:rPr>
                <w:sz w:val="14"/>
                <w:szCs w:val="14"/>
              </w:rPr>
            </w:pPr>
            <w:r w:rsidRPr="00360DE3">
              <w:rPr>
                <w:sz w:val="14"/>
                <w:szCs w:val="14"/>
              </w:rPr>
              <w:t>Zdroj: ČSÚ (národní účty)</w:t>
            </w:r>
          </w:p>
        </w:tc>
      </w:tr>
      <w:tr w:rsidR="005D3386" w:rsidRPr="00360DE3" w:rsidTr="005D3386">
        <w:trPr>
          <w:trHeight w:val="145"/>
        </w:trPr>
        <w:tc>
          <w:tcPr>
            <w:tcW w:w="1976" w:type="dxa"/>
            <w:gridSpan w:val="2"/>
          </w:tcPr>
          <w:p w:rsidR="00360DE3" w:rsidRPr="00360DE3" w:rsidRDefault="00360DE3" w:rsidP="00360DE3">
            <w:pPr>
              <w:pStyle w:val="Marginlie"/>
              <w:rPr>
                <w:spacing w:val="0"/>
              </w:rPr>
            </w:pPr>
            <w:r w:rsidRPr="00360DE3">
              <w:rPr>
                <w:spacing w:val="0"/>
              </w:rPr>
              <w:lastRenderedPageBreak/>
              <w:t>Pokračoval dlouhodobý útlum zaměstnanosti v těžebních aktivitách, v menší míře stále i ve stavebnictví.</w:t>
            </w:r>
          </w:p>
          <w:p w:rsidR="005D3386" w:rsidRPr="00360DE3" w:rsidRDefault="005D3386" w:rsidP="005D3386">
            <w:pPr>
              <w:pStyle w:val="Marginlie"/>
              <w:rPr>
                <w:spacing w:val="0"/>
              </w:rPr>
            </w:pPr>
          </w:p>
        </w:tc>
        <w:tc>
          <w:tcPr>
            <w:tcW w:w="277" w:type="dxa"/>
            <w:gridSpan w:val="2"/>
          </w:tcPr>
          <w:p w:rsidR="005D3386" w:rsidRPr="00360DE3" w:rsidRDefault="005D3386" w:rsidP="005D3386">
            <w:pPr>
              <w:pStyle w:val="Textpoznpodarou"/>
              <w:jc w:val="both"/>
            </w:pPr>
          </w:p>
        </w:tc>
        <w:tc>
          <w:tcPr>
            <w:tcW w:w="7391" w:type="dxa"/>
            <w:gridSpan w:val="2"/>
          </w:tcPr>
          <w:p w:rsidR="005D3386" w:rsidRPr="00360DE3" w:rsidRDefault="00360DE3" w:rsidP="005D3386">
            <w:pPr>
              <w:rPr>
                <w:sz w:val="16"/>
                <w:szCs w:val="16"/>
              </w:rPr>
            </w:pPr>
            <w:r w:rsidRPr="00360DE3">
              <w:t>Navzdory celkově příznivému vývoji stále existovala odvětví, jež pracovní pozice ztrácela. Dlouhodobě strukturálně postižený obor těžby a dobývání ztratil jen v posledních dvou letech skoro sedminu pracovních míst. Ve stavebnictví přetrvával mírnější úbytek (zejména vlivem větších podniků) již sedmý rok v řadě</w:t>
            </w:r>
            <w:r w:rsidRPr="00360DE3">
              <w:rPr>
                <w:rStyle w:val="Znakapoznpodarou"/>
              </w:rPr>
              <w:footnoteReference w:id="12"/>
            </w:r>
            <w:r w:rsidRPr="00360DE3">
              <w:t>. Ve službách ztrácelo loni místa nejvíce peněžnictví a pojišťovnictví (-3,8 %), kde šlo ale o teprve třetí meziroční pokles za posledních čtrnáct let.</w:t>
            </w:r>
          </w:p>
        </w:tc>
      </w:tr>
      <w:tr w:rsidR="005D3386" w:rsidRPr="00360DE3" w:rsidTr="005D3386">
        <w:trPr>
          <w:trHeight w:val="145"/>
        </w:trPr>
        <w:tc>
          <w:tcPr>
            <w:tcW w:w="1976" w:type="dxa"/>
            <w:gridSpan w:val="2"/>
          </w:tcPr>
          <w:p w:rsidR="005D3386" w:rsidRPr="00360DE3" w:rsidRDefault="005D3386" w:rsidP="005D3386">
            <w:pPr>
              <w:pStyle w:val="Marginlie"/>
              <w:rPr>
                <w:spacing w:val="0"/>
              </w:rPr>
            </w:pPr>
            <w:r w:rsidRPr="00360DE3">
              <w:rPr>
                <w:spacing w:val="0"/>
              </w:rPr>
              <w:t>Rostoucí počet pracovníků byl po roce 2008 zajištěn vyšší mírou participace, neboť samotný počet obyvatel v produktivním věku setrvale klesal.</w:t>
            </w:r>
          </w:p>
          <w:p w:rsidR="005D3386" w:rsidRPr="00360DE3" w:rsidRDefault="005D3386" w:rsidP="005D3386">
            <w:pPr>
              <w:pStyle w:val="Marginlie"/>
              <w:rPr>
                <w:spacing w:val="0"/>
              </w:rPr>
            </w:pPr>
            <w:r w:rsidRPr="00360DE3">
              <w:rPr>
                <w:spacing w:val="0"/>
              </w:rPr>
              <w:t>Míra zaměstnanosti meziročně rostla napříč všemi pohlavně-věkovými skupinami, výjimkou byly žen ve věku 35-39 let.</w:t>
            </w:r>
          </w:p>
          <w:p w:rsidR="005D3386" w:rsidRPr="00360DE3" w:rsidRDefault="005D3386" w:rsidP="005D3386">
            <w:pPr>
              <w:pStyle w:val="Marginlie"/>
              <w:rPr>
                <w:spacing w:val="0"/>
              </w:rPr>
            </w:pPr>
          </w:p>
        </w:tc>
        <w:tc>
          <w:tcPr>
            <w:tcW w:w="277" w:type="dxa"/>
            <w:gridSpan w:val="2"/>
          </w:tcPr>
          <w:p w:rsidR="005D3386" w:rsidRPr="00360DE3" w:rsidRDefault="005D3386" w:rsidP="005D3386">
            <w:pPr>
              <w:pStyle w:val="Textpoznpodarou"/>
              <w:jc w:val="both"/>
            </w:pPr>
          </w:p>
        </w:tc>
        <w:tc>
          <w:tcPr>
            <w:tcW w:w="7391" w:type="dxa"/>
            <w:gridSpan w:val="2"/>
          </w:tcPr>
          <w:p w:rsidR="005D3386" w:rsidRPr="00360DE3" w:rsidRDefault="005D3386" w:rsidP="005D3386">
            <w:r w:rsidRPr="00360DE3">
              <w:t>Počet obyvatel v produktivním věku (15–64 let) se v Česku po roce 2008 neustále snižuje. Vyšší zaměstnanost v ekonomice tak byla výsledkem nárůstu míry participace částečně podpořené plynule rostoucím důchodovým věkem</w:t>
            </w:r>
            <w:r w:rsidR="006836CB">
              <w:t>. Míra zaměstnanosti ve věku 15</w:t>
            </w:r>
            <w:r w:rsidR="006836CB" w:rsidRPr="00360DE3">
              <w:t>–</w:t>
            </w:r>
            <w:r w:rsidRPr="00360DE3">
              <w:t xml:space="preserve">64 let loni dosáhla 73,6 %, meziročně posílila o 1,7 p. </w:t>
            </w:r>
            <w:proofErr w:type="spellStart"/>
            <w:r w:rsidRPr="00360DE3">
              <w:t>b</w:t>
            </w:r>
            <w:proofErr w:type="spellEnd"/>
            <w:r w:rsidRPr="00360DE3">
              <w:t xml:space="preserve">. Relativně vysoká míra zapojení obyvatel souvisí s nízkou nezaměstnaností, ekonomickým růstem i specifickou odvětvovou skladbou ekonomiky s typicky vysokým podílem pracovních míst ve zpracovatelském průmyslu. K nárůstu míry zaměstnanosti došlo napříč všemi věkovými </w:t>
            </w:r>
            <w:r w:rsidR="006836CB">
              <w:t>skupinami vyjma osob ve věku 35</w:t>
            </w:r>
            <w:r w:rsidR="006836CB" w:rsidRPr="00360DE3">
              <w:t>–</w:t>
            </w:r>
            <w:r w:rsidRPr="00360DE3">
              <w:t>39 let, kde negativně působila slabší participace žen (</w:t>
            </w:r>
            <w:r w:rsidR="005B08EB">
              <w:t>-1,3 </w:t>
            </w:r>
            <w:proofErr w:type="spellStart"/>
            <w:proofErr w:type="gramStart"/>
            <w:r w:rsidR="005B08EB">
              <w:t>p.b</w:t>
            </w:r>
            <w:proofErr w:type="spellEnd"/>
            <w:r w:rsidR="005B08EB">
              <w:t>.) související</w:t>
            </w:r>
            <w:proofErr w:type="gramEnd"/>
            <w:r w:rsidR="005B08EB">
              <w:t xml:space="preserve"> zřejmě s</w:t>
            </w:r>
            <w:r w:rsidR="005B08EB" w:rsidRPr="00360DE3">
              <w:t> </w:t>
            </w:r>
            <w:r w:rsidRPr="00360DE3">
              <w:t>posunem průměrného věku matek při narození dítěte. Míra zaměstnanosti 20 až 64letých roste v ČR v posledních letech pravidelně vyšším tempem než v EU. Jen tři státy dosáhly loni v této věkové kategorii vyšší zaměstnanosti (Německo, Estonsko a zejména Švédsko – 81,8 %). Zatímco mezi muži dominovalo Česko (86,3 %) unijním zemím již čtvrtým rokem v řadě</w:t>
            </w:r>
            <w:r w:rsidRPr="00360DE3">
              <w:rPr>
                <w:rStyle w:val="Znakapoznpodarou"/>
              </w:rPr>
              <w:footnoteReference w:id="13"/>
            </w:r>
            <w:r w:rsidRPr="00360DE3">
              <w:t>, u žen stále patřilo až na začátek druhé desítky, když např. z novějších členských zemí dosahovaly vyšších intenzit všechny pobaltské státy.</w:t>
            </w:r>
          </w:p>
        </w:tc>
      </w:tr>
      <w:tr w:rsidR="005D3386" w:rsidRPr="00360DE3" w:rsidTr="005D3386">
        <w:trPr>
          <w:trHeight w:val="145"/>
        </w:trPr>
        <w:tc>
          <w:tcPr>
            <w:tcW w:w="1976" w:type="dxa"/>
            <w:gridSpan w:val="2"/>
          </w:tcPr>
          <w:p w:rsidR="005D3386" w:rsidRPr="00360DE3" w:rsidRDefault="005D3386" w:rsidP="005D3386">
            <w:pPr>
              <w:pStyle w:val="Marginlie"/>
              <w:rPr>
                <w:spacing w:val="0"/>
              </w:rPr>
            </w:pPr>
            <w:r w:rsidRPr="00360DE3">
              <w:rPr>
                <w:spacing w:val="0"/>
              </w:rPr>
              <w:t>Míra zaměstnanosti mladých v ČR zůstává v evropském kontextu výrazně podprůměrná, u lidí na sklonku produktivního věku ale úroveň EU mírně převyšovala.</w:t>
            </w:r>
          </w:p>
        </w:tc>
        <w:tc>
          <w:tcPr>
            <w:tcW w:w="277" w:type="dxa"/>
            <w:gridSpan w:val="2"/>
          </w:tcPr>
          <w:p w:rsidR="005D3386" w:rsidRPr="00360DE3" w:rsidRDefault="005D3386" w:rsidP="005D3386">
            <w:pPr>
              <w:pStyle w:val="Textpoznpodarou"/>
              <w:jc w:val="both"/>
            </w:pPr>
          </w:p>
        </w:tc>
        <w:tc>
          <w:tcPr>
            <w:tcW w:w="7391" w:type="dxa"/>
            <w:gridSpan w:val="2"/>
          </w:tcPr>
          <w:p w:rsidR="005D3386" w:rsidRPr="00360DE3" w:rsidRDefault="005D3386" w:rsidP="005D3386">
            <w:r w:rsidRPr="00360DE3">
              <w:t xml:space="preserve">V prostředí sílícího nedostatku nových disponibilních pracovníků se pro tuzemské firmy stává stále větší výzvou intenzivnější zapojení obyvatel v „krajních“ věkových skupinách (studentů, osob na sklonku produktivního věku a aktivních seniorů), jakož i dalších lidí se specifickými potřebami (zdravotně postižených, žen na rodičovské dovolené aj). Míra zaměstnanosti nejmladších (15-24 let) zůstává v ČR i přes svůj mírný růst v posledních šesti letech v evropském kontextu stále podprůměrná (29 %, v sousedním Rakousku či Německu se pohybuje kolem 50 %, v Nizozemsku až 62 %). Naopak ve věku 55–64 let unijní úroveň loni převyšovala, a to jak u žen (53 % ku 51 %), tak u mužů (72 %, pátá nejvyšší hodnota v EU). Mezi 65-69letými byla v ČR zaměstnána jen osmina (mírně nižší podíl než v EU), participace v tomto věku navíc vykazuje výraznější selektivnost z hlediska vzdělání, profesí či regionu. </w:t>
            </w:r>
          </w:p>
        </w:tc>
      </w:tr>
      <w:tr w:rsidR="00360DE3" w:rsidRPr="00360DE3" w:rsidTr="005D3386">
        <w:trPr>
          <w:trHeight w:val="145"/>
        </w:trPr>
        <w:tc>
          <w:tcPr>
            <w:tcW w:w="1976" w:type="dxa"/>
            <w:gridSpan w:val="2"/>
          </w:tcPr>
          <w:p w:rsidR="00360DE3" w:rsidRPr="00360DE3" w:rsidRDefault="00360DE3" w:rsidP="00F162B3">
            <w:pPr>
              <w:pStyle w:val="Marginlie"/>
              <w:rPr>
                <w:spacing w:val="0"/>
              </w:rPr>
            </w:pPr>
            <w:r w:rsidRPr="00360DE3">
              <w:rPr>
                <w:spacing w:val="0"/>
              </w:rPr>
              <w:t xml:space="preserve">Česko patří mezi státy s nejvyšším rozdílem míry zaměstnanosti žen v závislosti na věku nejmladšího dítěte. </w:t>
            </w:r>
          </w:p>
          <w:p w:rsidR="00360DE3" w:rsidRPr="00360DE3" w:rsidRDefault="00360DE3" w:rsidP="00F162B3">
            <w:pPr>
              <w:pStyle w:val="Marginlie"/>
              <w:rPr>
                <w:spacing w:val="0"/>
              </w:rPr>
            </w:pPr>
            <w:r w:rsidRPr="00360DE3">
              <w:rPr>
                <w:spacing w:val="0"/>
              </w:rPr>
              <w:t xml:space="preserve">Míra zaměstnanosti žen s nejmladším dítětem v předškolním věku se v Česku vyvíjela odlišně podle počtu dětí. U žen s dvěma a více dětmi mírně rostla, u žen s pouze jedním dítětem spíše stagnovala. </w:t>
            </w:r>
          </w:p>
          <w:p w:rsidR="00360DE3" w:rsidRPr="00360DE3" w:rsidRDefault="00360DE3" w:rsidP="00F162B3">
            <w:pPr>
              <w:pStyle w:val="Marginlie"/>
              <w:rPr>
                <w:spacing w:val="0"/>
              </w:rPr>
            </w:pPr>
          </w:p>
        </w:tc>
        <w:tc>
          <w:tcPr>
            <w:tcW w:w="277" w:type="dxa"/>
            <w:gridSpan w:val="2"/>
          </w:tcPr>
          <w:p w:rsidR="00360DE3" w:rsidRPr="00360DE3" w:rsidRDefault="00360DE3" w:rsidP="00F162B3">
            <w:pPr>
              <w:pStyle w:val="Textpoznpodarou"/>
              <w:jc w:val="both"/>
            </w:pPr>
          </w:p>
        </w:tc>
        <w:tc>
          <w:tcPr>
            <w:tcW w:w="7391" w:type="dxa"/>
            <w:gridSpan w:val="2"/>
          </w:tcPr>
          <w:p w:rsidR="00360DE3" w:rsidRPr="00360DE3" w:rsidRDefault="00360DE3" w:rsidP="00F162B3">
            <w:r w:rsidRPr="00360DE3">
              <w:t>Pro zaměstnanost žen s dětmi před povinnou školní docházkou představuje klíčový determinant nabídka flexibilních forem pracovních úvazků podpořená komplexně pojatou rodinnou politikou státu. Česko podobně jako některé státy střední a východní Evropy (Slovensko, Maďarsko, Estonsko) charakterizuje to, že míra zaměstnanosti žen s alespoň jedním dítětem předškolního věku dosahuje v EU nejnižších hodnot</w:t>
            </w:r>
            <w:r w:rsidRPr="00360DE3">
              <w:rPr>
                <w:rStyle w:val="Znakapoznpodarou"/>
              </w:rPr>
              <w:footnoteReference w:id="14"/>
            </w:r>
            <w:r w:rsidRPr="00360DE3">
              <w:t xml:space="preserve">, pak však prudce stoupá s věkem dítěte. </w:t>
            </w:r>
            <w:r w:rsidR="005B08EB">
              <w:t>Míra z</w:t>
            </w:r>
            <w:r w:rsidRPr="00360DE3">
              <w:t>aměstnanost</w:t>
            </w:r>
            <w:r w:rsidR="005B08EB">
              <w:t>i</w:t>
            </w:r>
            <w:r w:rsidRPr="00360DE3">
              <w:t xml:space="preserve"> 20–49letých žen s věkem nejmladšího dítěte 6-11 let, resp. nad 12 let byla v ČR nejvyšší ze zemí EU (v obou případech těsně přesahovala 90 %). Podobně výsadní postavení mělo Če</w:t>
            </w:r>
            <w:r w:rsidR="006836CB">
              <w:t>sko v participaci bezdětných 20</w:t>
            </w:r>
            <w:r w:rsidR="006836CB" w:rsidRPr="00360DE3">
              <w:t>–</w:t>
            </w:r>
            <w:r w:rsidRPr="00360DE3">
              <w:t xml:space="preserve">49letých žen (88,5 %, o 10 p. </w:t>
            </w:r>
            <w:proofErr w:type="spellStart"/>
            <w:r w:rsidRPr="00360DE3">
              <w:t>b</w:t>
            </w:r>
            <w:proofErr w:type="spellEnd"/>
            <w:r w:rsidRPr="00360DE3">
              <w:t xml:space="preserve">. </w:t>
            </w:r>
            <w:proofErr w:type="gramStart"/>
            <w:r w:rsidRPr="00360DE3">
              <w:t>nad</w:t>
            </w:r>
            <w:proofErr w:type="gramEnd"/>
            <w:r w:rsidRPr="00360DE3">
              <w:t xml:space="preserve"> úrovní EU). </w:t>
            </w:r>
            <w:proofErr w:type="gramStart"/>
            <w:r w:rsidRPr="00360DE3">
              <w:t>U žen</w:t>
            </w:r>
            <w:proofErr w:type="gramEnd"/>
            <w:r w:rsidRPr="00360DE3">
              <w:t xml:space="preserve"> s nejmladším dítětem do 6 let věku zaměstnanost prudce klesala v případě jednoho dítěte (na 38 %, v EU na 68 %), u žen s dvěma </w:t>
            </w:r>
            <w:r w:rsidRPr="00360DE3">
              <w:lastRenderedPageBreak/>
              <w:t xml:space="preserve">dětmi byl </w:t>
            </w:r>
            <w:proofErr w:type="gramStart"/>
            <w:r w:rsidRPr="00360DE3">
              <w:t>jíž</w:t>
            </w:r>
            <w:proofErr w:type="gramEnd"/>
            <w:r w:rsidRPr="00360DE3">
              <w:t xml:space="preserve"> rozdíl mezi ČR a EU výrazně nižší (50 % vs. 66 %). Míra zaměstnanosti žen s dítětem/dětmi předškolního věku v ČR za poslední dekádu mírně vzrostla, avšak převážně zásluhou žen s vyšším počtem dětí. Naopak u žen pouze s jedním dítětem byl posun minimální. To se týká i nabízených flexibilních forem úvazků. Přestože v posledních třech letech lze pozorovat nárůst podílu žen s dítětem/dětmi v předškolním věku využívajících tyto úvazky</w:t>
            </w:r>
            <w:r w:rsidRPr="00360DE3">
              <w:rPr>
                <w:rStyle w:val="Znakapoznpodarou"/>
              </w:rPr>
              <w:footnoteReference w:id="15"/>
            </w:r>
            <w:r w:rsidRPr="00360DE3">
              <w:t>, z dlouhodobějšího pohledu je růstový trend méně průkazný.</w:t>
            </w:r>
          </w:p>
        </w:tc>
      </w:tr>
      <w:tr w:rsidR="00360DE3" w:rsidRPr="00360DE3" w:rsidTr="005D3386">
        <w:trPr>
          <w:trHeight w:val="170"/>
        </w:trPr>
        <w:tc>
          <w:tcPr>
            <w:tcW w:w="1976" w:type="dxa"/>
            <w:gridSpan w:val="2"/>
            <w:vMerge w:val="restart"/>
          </w:tcPr>
          <w:p w:rsidR="00360DE3" w:rsidRPr="00360DE3" w:rsidRDefault="00360DE3" w:rsidP="005D3386">
            <w:pPr>
              <w:pStyle w:val="Marginlie"/>
              <w:rPr>
                <w:spacing w:val="0"/>
              </w:rPr>
            </w:pPr>
          </w:p>
        </w:tc>
        <w:tc>
          <w:tcPr>
            <w:tcW w:w="277" w:type="dxa"/>
            <w:gridSpan w:val="2"/>
            <w:vMerge w:val="restart"/>
          </w:tcPr>
          <w:p w:rsidR="00360DE3" w:rsidRPr="00360DE3" w:rsidRDefault="00360DE3" w:rsidP="005D3386">
            <w:pPr>
              <w:pStyle w:val="Textpoznpodarou"/>
              <w:jc w:val="both"/>
            </w:pPr>
          </w:p>
        </w:tc>
        <w:tc>
          <w:tcPr>
            <w:tcW w:w="7391" w:type="dxa"/>
            <w:gridSpan w:val="2"/>
          </w:tcPr>
          <w:p w:rsidR="00360DE3" w:rsidRPr="00360DE3" w:rsidRDefault="00360DE3" w:rsidP="005D3386">
            <w:pPr>
              <w:spacing w:after="0"/>
              <w:rPr>
                <w:b/>
              </w:rPr>
            </w:pPr>
            <w:r w:rsidRPr="00360DE3">
              <w:rPr>
                <w:b/>
              </w:rPr>
              <w:t xml:space="preserve">Graf </w:t>
            </w:r>
            <w:proofErr w:type="gramStart"/>
            <w:r w:rsidRPr="00360DE3">
              <w:rPr>
                <w:b/>
              </w:rPr>
              <w:t>5.1.3  Mí</w:t>
            </w:r>
            <w:r w:rsidR="006836CB">
              <w:rPr>
                <w:b/>
              </w:rPr>
              <w:t>ra</w:t>
            </w:r>
            <w:proofErr w:type="gramEnd"/>
            <w:r w:rsidR="006836CB">
              <w:rPr>
                <w:b/>
              </w:rPr>
              <w:t xml:space="preserve"> zaměstnanosti žen ve věku 20</w:t>
            </w:r>
            <w:r w:rsidR="006836CB" w:rsidRPr="00360DE3">
              <w:t>–</w:t>
            </w:r>
            <w:r w:rsidRPr="00360DE3">
              <w:rPr>
                <w:b/>
              </w:rPr>
              <w:t xml:space="preserve">49 let dle počtu dětí a podíl pracujících žen* ve flexibilních formách zaměstnání </w:t>
            </w:r>
            <w:r w:rsidRPr="00360DE3">
              <w:t>(v %)</w:t>
            </w:r>
          </w:p>
        </w:tc>
      </w:tr>
      <w:tr w:rsidR="00360DE3" w:rsidRPr="00360DE3" w:rsidTr="005D3386">
        <w:trPr>
          <w:trHeight w:val="170"/>
        </w:trPr>
        <w:tc>
          <w:tcPr>
            <w:tcW w:w="1976" w:type="dxa"/>
            <w:gridSpan w:val="2"/>
            <w:vMerge/>
          </w:tcPr>
          <w:p w:rsidR="00360DE3" w:rsidRPr="00360DE3" w:rsidRDefault="00360DE3" w:rsidP="005D3386">
            <w:pPr>
              <w:pStyle w:val="Marginlie"/>
              <w:rPr>
                <w:spacing w:val="0"/>
              </w:rPr>
            </w:pPr>
          </w:p>
        </w:tc>
        <w:tc>
          <w:tcPr>
            <w:tcW w:w="277" w:type="dxa"/>
            <w:gridSpan w:val="2"/>
            <w:vMerge/>
          </w:tcPr>
          <w:p w:rsidR="00360DE3" w:rsidRPr="00360DE3" w:rsidRDefault="00360DE3" w:rsidP="005D3386">
            <w:pPr>
              <w:pStyle w:val="Textpoznpodarou"/>
              <w:jc w:val="both"/>
            </w:pPr>
          </w:p>
        </w:tc>
        <w:tc>
          <w:tcPr>
            <w:tcW w:w="7391" w:type="dxa"/>
            <w:gridSpan w:val="2"/>
          </w:tcPr>
          <w:p w:rsidR="00360DE3" w:rsidRPr="00360DE3" w:rsidRDefault="00360DE3" w:rsidP="005D3386">
            <w:pPr>
              <w:spacing w:after="0"/>
            </w:pPr>
            <w:r w:rsidRPr="00360DE3">
              <w:rPr>
                <w:noProof/>
              </w:rPr>
              <w:drawing>
                <wp:inline distT="0" distB="0" distL="0" distR="0">
                  <wp:extent cx="4714875" cy="3676650"/>
                  <wp:effectExtent l="0" t="0" r="0" b="0"/>
                  <wp:docPr id="36"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r w:rsidR="00360DE3" w:rsidRPr="00360DE3" w:rsidTr="005D3386">
        <w:trPr>
          <w:trHeight w:val="170"/>
        </w:trPr>
        <w:tc>
          <w:tcPr>
            <w:tcW w:w="1976" w:type="dxa"/>
            <w:gridSpan w:val="2"/>
            <w:vMerge/>
          </w:tcPr>
          <w:p w:rsidR="00360DE3" w:rsidRPr="00360DE3" w:rsidRDefault="00360DE3" w:rsidP="005D3386">
            <w:pPr>
              <w:pStyle w:val="Marginlie"/>
              <w:rPr>
                <w:spacing w:val="0"/>
              </w:rPr>
            </w:pPr>
          </w:p>
        </w:tc>
        <w:tc>
          <w:tcPr>
            <w:tcW w:w="277" w:type="dxa"/>
            <w:gridSpan w:val="2"/>
            <w:vMerge/>
          </w:tcPr>
          <w:p w:rsidR="00360DE3" w:rsidRPr="00360DE3" w:rsidRDefault="00360DE3" w:rsidP="005D3386">
            <w:pPr>
              <w:pStyle w:val="Textpoznpodarou"/>
              <w:jc w:val="both"/>
            </w:pPr>
          </w:p>
        </w:tc>
        <w:tc>
          <w:tcPr>
            <w:tcW w:w="7391" w:type="dxa"/>
            <w:gridSpan w:val="2"/>
          </w:tcPr>
          <w:p w:rsidR="00EA0840" w:rsidRDefault="00360DE3" w:rsidP="00EA0840">
            <w:pPr>
              <w:spacing w:after="0" w:line="240" w:lineRule="auto"/>
              <w:rPr>
                <w:sz w:val="14"/>
                <w:szCs w:val="14"/>
              </w:rPr>
            </w:pPr>
            <w:r w:rsidRPr="00360DE3">
              <w:rPr>
                <w:sz w:val="14"/>
                <w:szCs w:val="14"/>
              </w:rPr>
              <w:t xml:space="preserve">* s nejmladším dítětem ve věku do 6 let                                                                                                       </w:t>
            </w:r>
          </w:p>
          <w:p w:rsidR="00360DE3" w:rsidRPr="00360DE3" w:rsidRDefault="00360DE3" w:rsidP="005D3386">
            <w:pPr>
              <w:spacing w:after="200" w:line="240" w:lineRule="auto"/>
              <w:rPr>
                <w:sz w:val="14"/>
                <w:szCs w:val="14"/>
              </w:rPr>
            </w:pPr>
            <w:r w:rsidRPr="00360DE3">
              <w:rPr>
                <w:sz w:val="14"/>
                <w:szCs w:val="14"/>
              </w:rPr>
              <w:t xml:space="preserve">Zdroj: </w:t>
            </w:r>
            <w:proofErr w:type="spellStart"/>
            <w:r w:rsidRPr="00360DE3">
              <w:rPr>
                <w:sz w:val="14"/>
                <w:szCs w:val="14"/>
              </w:rPr>
              <w:t>Eurostat</w:t>
            </w:r>
            <w:proofErr w:type="spellEnd"/>
          </w:p>
        </w:tc>
      </w:tr>
    </w:tbl>
    <w:p w:rsidR="005D3386" w:rsidRPr="00360DE3" w:rsidRDefault="005D3386" w:rsidP="005D3386">
      <w:pPr>
        <w:pStyle w:val="Nadpis2"/>
      </w:pPr>
      <w:bookmarkStart w:id="17" w:name="_Toc527639472"/>
      <w:r w:rsidRPr="00360DE3">
        <w:t>5.2 Nezaměstnanost</w:t>
      </w:r>
      <w:bookmarkEnd w:id="17"/>
    </w:p>
    <w:tbl>
      <w:tblPr>
        <w:tblW w:w="9644" w:type="dxa"/>
        <w:tblInd w:w="-15" w:type="dxa"/>
        <w:tblLayout w:type="fixed"/>
        <w:tblCellMar>
          <w:left w:w="0" w:type="dxa"/>
          <w:right w:w="0" w:type="dxa"/>
        </w:tblCellMar>
        <w:tblLook w:val="00A0"/>
      </w:tblPr>
      <w:tblGrid>
        <w:gridCol w:w="1976"/>
        <w:gridCol w:w="277"/>
        <w:gridCol w:w="7391"/>
      </w:tblGrid>
      <w:tr w:rsidR="005D3386" w:rsidRPr="00360DE3" w:rsidTr="005D3386">
        <w:trPr>
          <w:trHeight w:val="145"/>
        </w:trPr>
        <w:tc>
          <w:tcPr>
            <w:tcW w:w="1976" w:type="dxa"/>
          </w:tcPr>
          <w:p w:rsidR="005D3386" w:rsidRPr="00360DE3" w:rsidRDefault="005D3386" w:rsidP="005D3386">
            <w:pPr>
              <w:pStyle w:val="Marginlie"/>
              <w:rPr>
                <w:spacing w:val="0"/>
              </w:rPr>
            </w:pPr>
            <w:r w:rsidRPr="00360DE3">
              <w:rPr>
                <w:spacing w:val="0"/>
              </w:rPr>
              <w:t>Počet ekonomicky neaktivních deklarujících ochotu pracovat se snížil pod 130 tis. Tvořil jádro potenciální pracovní síly z tuzemska.</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r w:rsidRPr="00360DE3">
              <w:t>Výše uvedené skupiny (senioři, studenti, matky s malými dětmi, zdravotně postižení) tvoří zároveň jádro skupiny ekonomicky neaktivních chtějících pracovat, ale práci nehledajících (příp. hledajících, ale neschopných do ní do 14 dnů nastoupit). Jejich četnost klesla na konci roku 2017 pod 130 tis. osob, v poměru k celkovému počtu zaměstnaných činila 2,4 %. Tito lidé již v současnosti tvoří jádro potenciální pracovní síly z tuzemska, neboť při významném poklesu nezaměstnanosti vystupovala stále více do popředí její frikční (tedy obtížně redukovatelná) složka</w:t>
            </w:r>
            <w:r w:rsidRPr="00360DE3">
              <w:rPr>
                <w:rStyle w:val="Znakapoznpodarou"/>
              </w:rPr>
              <w:footnoteReference w:id="16"/>
            </w:r>
            <w:r w:rsidRPr="00360DE3">
              <w:t xml:space="preserve">. </w:t>
            </w:r>
          </w:p>
        </w:tc>
      </w:tr>
      <w:tr w:rsidR="005D3386" w:rsidRPr="00360DE3" w:rsidTr="005D3386">
        <w:trPr>
          <w:trHeight w:val="145"/>
        </w:trPr>
        <w:tc>
          <w:tcPr>
            <w:tcW w:w="1976" w:type="dxa"/>
          </w:tcPr>
          <w:p w:rsidR="005D3386" w:rsidRPr="00360DE3" w:rsidRDefault="005D3386" w:rsidP="005D3386">
            <w:pPr>
              <w:pStyle w:val="Marginlie"/>
              <w:rPr>
                <w:spacing w:val="0"/>
              </w:rPr>
            </w:pPr>
            <w:r w:rsidRPr="00360DE3">
              <w:rPr>
                <w:spacing w:val="0"/>
              </w:rPr>
              <w:t>Tempo redukce míry nezaměstnanosti po většinu loňského roku nepolevovalo. Nezaměstnanost klesla na nové historické minimum.</w:t>
            </w:r>
          </w:p>
          <w:p w:rsidR="005D3386" w:rsidRPr="00360DE3" w:rsidRDefault="005D3386" w:rsidP="005D3386">
            <w:pPr>
              <w:pStyle w:val="Marginlie"/>
              <w:rPr>
                <w:spacing w:val="0"/>
              </w:rPr>
            </w:pPr>
            <w:r w:rsidRPr="00360DE3">
              <w:rPr>
                <w:spacing w:val="0"/>
              </w:rPr>
              <w:lastRenderedPageBreak/>
              <w:t>Výrazně klesala nezaměstnanost lidí se základním vzděláním. Citelně prořídly i stavy dlouhodobě nezaměstnaných.</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r w:rsidRPr="00360DE3">
              <w:t xml:space="preserve">Sezónně očištěná míra obecné nezaměstnanosti se v průběhu roku 2017 plynule snižovala a na jeho konci dosahovala u žen 2,9 %, u mužů těsně prolomila 2% hranici. V obou případech šlo o minima v historii ČR. Tempo redukce nezaměstnanosti během loňska ve srovnání s rokem 2016 nepolevovalo, přestože zejména u mužů se již její úroveň blížila svým přirozeným limitům. K redukci </w:t>
            </w:r>
            <w:r w:rsidRPr="00360DE3">
              <w:lastRenderedPageBreak/>
              <w:t>nezaměstnanosti mezi roky 2016 a 2017 (o 56 tis. osob) p</w:t>
            </w:r>
            <w:r w:rsidR="006836CB">
              <w:t>řispěli nejvíce lidé ve věku 20</w:t>
            </w:r>
            <w:r w:rsidR="006836CB" w:rsidRPr="00360DE3">
              <w:t>–</w:t>
            </w:r>
            <w:r w:rsidRPr="00360DE3">
              <w:t>29 let (-21 tis.), z regionálního pohledu obyvatelé Moravskoslezského kraje (-14 tis.). Nezaměstnanost však klesala napříč všemi kraji, stejně tak i mezi všemi pětiletými věkovými skupinami (v produktivním věku). Tento příznivý vývoj se odrazil na snížení rozdílů nejen mezi regiony, ale i různými vzdělanostními skupinami obyvatel. Míra nezaměstnanosti osob s maximálně základním vzděláním loni sestoupila na 13,3 % (z vysokých 20,9 % v roce 2016), šlo o ne</w:t>
            </w:r>
            <w:r w:rsidR="0026207F">
              <w:t>j</w:t>
            </w:r>
            <w:r w:rsidRPr="00360DE3">
              <w:t>hlubší meziroční pokles v historii ČR. Ten souvisel s citelnou redukcí dlouhodobé nezaměstnanosti (bezmála o dvě pětiny). Velmi dobré postavení měli i vlivem odvětvové skladby ekonomiky lidé se středoškolským vzděláním. Rozdíl mezi nezaměstnanosti v této kategorii (2,7 %) a osob s terciárním vzděláváním (1,5 %) patřil loni k nejnižším v EU (společně s Dánskem a Švédskem).</w:t>
            </w:r>
          </w:p>
        </w:tc>
      </w:tr>
      <w:tr w:rsidR="005D3386" w:rsidRPr="00360DE3" w:rsidTr="005D3386">
        <w:trPr>
          <w:trHeight w:val="145"/>
        </w:trPr>
        <w:tc>
          <w:tcPr>
            <w:tcW w:w="1976" w:type="dxa"/>
          </w:tcPr>
          <w:p w:rsidR="005D3386" w:rsidRPr="00360DE3" w:rsidRDefault="005D3386" w:rsidP="005D3386">
            <w:pPr>
              <w:pStyle w:val="Marginlie"/>
              <w:rPr>
                <w:spacing w:val="0"/>
              </w:rPr>
            </w:pPr>
            <w:r w:rsidRPr="00360DE3">
              <w:rPr>
                <w:spacing w:val="0"/>
              </w:rPr>
              <w:lastRenderedPageBreak/>
              <w:t>Česko obhájilo loňský primát státu s nejnižší nezaměstnaností v rámci celé EU.</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r w:rsidRPr="00360DE3">
              <w:t>Míra nezaměstnanosti dosáhla za celý loňský rok 2,9 % a Česko se podruhé v řadě pyšnilo postavením státu s nejnižší nezaměstnaností v rámci EU. Velmi příznivé postavení si drželo i ve všech věkových skupinách</w:t>
            </w:r>
            <w:r w:rsidRPr="00360DE3">
              <w:rPr>
                <w:rStyle w:val="Znakapoznpodarou"/>
              </w:rPr>
              <w:footnoteReference w:id="17"/>
            </w:r>
            <w:r w:rsidRPr="00360DE3">
              <w:t>, v</w:t>
            </w:r>
            <w:r w:rsidR="006836CB">
              <w:t>yjma váhově okrajové skupiny 15</w:t>
            </w:r>
            <w:r w:rsidR="006836CB" w:rsidRPr="00360DE3">
              <w:t>–</w:t>
            </w:r>
            <w:r w:rsidRPr="00360DE3">
              <w:t xml:space="preserve">19 let (jež v ČR čítala méně než 5 % všech nezaměstnaných). Podíl dlouhodobě nezaměstnaných klesl na 35 % (z 42 % v roce 2016) a nacházel se o 10 p. </w:t>
            </w:r>
            <w:proofErr w:type="spellStart"/>
            <w:r w:rsidRPr="00360DE3">
              <w:t>b</w:t>
            </w:r>
            <w:proofErr w:type="spellEnd"/>
            <w:r w:rsidRPr="00360DE3">
              <w:t xml:space="preserve">. </w:t>
            </w:r>
            <w:proofErr w:type="gramStart"/>
            <w:r w:rsidRPr="00360DE3">
              <w:t>pod</w:t>
            </w:r>
            <w:proofErr w:type="gramEnd"/>
            <w:r w:rsidRPr="00360DE3">
              <w:t xml:space="preserve"> úrovní EU</w:t>
            </w:r>
            <w:r w:rsidRPr="00360DE3">
              <w:rPr>
                <w:rStyle w:val="Znakapoznpodarou"/>
              </w:rPr>
              <w:footnoteReference w:id="18"/>
            </w:r>
            <w:r w:rsidRPr="00360DE3">
              <w:rPr>
                <w:vertAlign w:val="superscript"/>
              </w:rPr>
              <w:t>.</w:t>
            </w:r>
            <w:r w:rsidRPr="00360DE3">
              <w:t xml:space="preserve"> </w:t>
            </w:r>
          </w:p>
        </w:tc>
      </w:tr>
      <w:tr w:rsidR="005D3386" w:rsidRPr="00360DE3" w:rsidTr="005D3386">
        <w:trPr>
          <w:trHeight w:val="170"/>
        </w:trPr>
        <w:tc>
          <w:tcPr>
            <w:tcW w:w="1976" w:type="dxa"/>
            <w:vMerge w:val="restart"/>
          </w:tcPr>
          <w:p w:rsidR="005D3386" w:rsidRPr="00360DE3" w:rsidRDefault="005D3386" w:rsidP="005D3386">
            <w:pPr>
              <w:pStyle w:val="Marginlie"/>
              <w:rPr>
                <w:spacing w:val="0"/>
              </w:rPr>
            </w:pPr>
          </w:p>
        </w:tc>
        <w:tc>
          <w:tcPr>
            <w:tcW w:w="277" w:type="dxa"/>
            <w:vMerge w:val="restart"/>
          </w:tcPr>
          <w:p w:rsidR="005D3386" w:rsidRPr="00360DE3" w:rsidRDefault="005D3386" w:rsidP="005D3386">
            <w:pPr>
              <w:pStyle w:val="Textpoznpodarou"/>
              <w:jc w:val="both"/>
            </w:pPr>
          </w:p>
        </w:tc>
        <w:tc>
          <w:tcPr>
            <w:tcW w:w="7391" w:type="dxa"/>
          </w:tcPr>
          <w:p w:rsidR="005D3386" w:rsidRPr="00360DE3" w:rsidRDefault="005D3386" w:rsidP="005D3386">
            <w:pPr>
              <w:spacing w:after="0"/>
              <w:rPr>
                <w:b/>
              </w:rPr>
            </w:pPr>
            <w:r w:rsidRPr="00360DE3">
              <w:rPr>
                <w:b/>
              </w:rPr>
              <w:t xml:space="preserve">Graf </w:t>
            </w:r>
            <w:proofErr w:type="gramStart"/>
            <w:r w:rsidRPr="00360DE3">
              <w:rPr>
                <w:b/>
              </w:rPr>
              <w:t>5.2.1  Počet</w:t>
            </w:r>
            <w:proofErr w:type="gramEnd"/>
            <w:r w:rsidRPr="00360DE3">
              <w:rPr>
                <w:b/>
              </w:rPr>
              <w:t xml:space="preserve"> nezaměstnaných uchazečů na volné pracovní místo </w:t>
            </w:r>
          </w:p>
          <w:p w:rsidR="005D3386" w:rsidRPr="00360DE3" w:rsidRDefault="005D3386" w:rsidP="005D3386">
            <w:pPr>
              <w:spacing w:after="0"/>
              <w:rPr>
                <w:b/>
                <w:szCs w:val="20"/>
              </w:rPr>
            </w:pPr>
            <w:r w:rsidRPr="00360DE3">
              <w:t>(dle vybraných kvalifikačních tříd)</w:t>
            </w:r>
          </w:p>
        </w:tc>
      </w:tr>
      <w:tr w:rsidR="005D3386" w:rsidRPr="00360DE3" w:rsidTr="005D3386">
        <w:trPr>
          <w:trHeight w:val="170"/>
        </w:trPr>
        <w:tc>
          <w:tcPr>
            <w:tcW w:w="1976" w:type="dxa"/>
            <w:vMerge/>
          </w:tcPr>
          <w:p w:rsidR="005D3386" w:rsidRPr="00360DE3" w:rsidRDefault="005D3386" w:rsidP="005D3386">
            <w:pPr>
              <w:pStyle w:val="Marginlie"/>
              <w:rPr>
                <w:spacing w:val="0"/>
              </w:rPr>
            </w:pPr>
          </w:p>
        </w:tc>
        <w:tc>
          <w:tcPr>
            <w:tcW w:w="277" w:type="dxa"/>
            <w:vMerge/>
          </w:tcPr>
          <w:p w:rsidR="005D3386" w:rsidRPr="00360DE3" w:rsidRDefault="005D3386" w:rsidP="005D3386">
            <w:pPr>
              <w:pStyle w:val="Textpoznpodarou"/>
              <w:jc w:val="both"/>
            </w:pPr>
          </w:p>
        </w:tc>
        <w:tc>
          <w:tcPr>
            <w:tcW w:w="7391" w:type="dxa"/>
          </w:tcPr>
          <w:p w:rsidR="005D3386" w:rsidRPr="00360DE3" w:rsidRDefault="005D3386" w:rsidP="005D3386">
            <w:pPr>
              <w:spacing w:after="0"/>
            </w:pPr>
            <w:r w:rsidRPr="00360DE3">
              <w:rPr>
                <w:noProof/>
              </w:rPr>
              <w:drawing>
                <wp:inline distT="0" distB="0" distL="0" distR="0">
                  <wp:extent cx="4629150" cy="3743325"/>
                  <wp:effectExtent l="19050" t="0" r="0" b="0"/>
                  <wp:docPr id="7"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r w:rsidR="005D3386" w:rsidRPr="00360DE3" w:rsidTr="005D3386">
        <w:trPr>
          <w:trHeight w:val="170"/>
        </w:trPr>
        <w:tc>
          <w:tcPr>
            <w:tcW w:w="1976" w:type="dxa"/>
            <w:vMerge/>
          </w:tcPr>
          <w:p w:rsidR="005D3386" w:rsidRPr="00360DE3" w:rsidRDefault="005D3386" w:rsidP="005D3386">
            <w:pPr>
              <w:pStyle w:val="Marginlie"/>
              <w:rPr>
                <w:spacing w:val="0"/>
              </w:rPr>
            </w:pPr>
          </w:p>
        </w:tc>
        <w:tc>
          <w:tcPr>
            <w:tcW w:w="277" w:type="dxa"/>
            <w:vMerge/>
          </w:tcPr>
          <w:p w:rsidR="005D3386" w:rsidRPr="00360DE3" w:rsidRDefault="005D3386" w:rsidP="005D3386">
            <w:pPr>
              <w:pStyle w:val="Textpoznpodarou"/>
              <w:jc w:val="both"/>
            </w:pPr>
          </w:p>
        </w:tc>
        <w:tc>
          <w:tcPr>
            <w:tcW w:w="7391" w:type="dxa"/>
          </w:tcPr>
          <w:p w:rsidR="00EA0840" w:rsidRDefault="005D3386" w:rsidP="00EA0840">
            <w:pPr>
              <w:spacing w:after="0" w:line="240" w:lineRule="auto"/>
              <w:rPr>
                <w:rFonts w:cs="Arial"/>
                <w:sz w:val="14"/>
                <w:szCs w:val="14"/>
              </w:rPr>
            </w:pPr>
            <w:r w:rsidRPr="00360DE3">
              <w:rPr>
                <w:rFonts w:cs="Arial"/>
                <w:sz w:val="14"/>
                <w:szCs w:val="14"/>
              </w:rPr>
              <w:t xml:space="preserve">Pozn.:Kvalifikační třídy jsou do konce roku 2010 uvedeny dle klasifikace KZAM, od roku 2011 v klasifikaci CZ-ISCO. Všechny údaje vyjadřují skutečnost ke konci příslušných čtvrtletí.                                                                 </w:t>
            </w:r>
          </w:p>
          <w:p w:rsidR="005D3386" w:rsidRPr="00360DE3" w:rsidRDefault="005D3386" w:rsidP="005D3386">
            <w:pPr>
              <w:spacing w:line="240" w:lineRule="auto"/>
              <w:rPr>
                <w:rFonts w:cs="Arial"/>
                <w:sz w:val="14"/>
                <w:szCs w:val="14"/>
              </w:rPr>
            </w:pPr>
            <w:r w:rsidRPr="00360DE3">
              <w:rPr>
                <w:rFonts w:cs="Arial"/>
                <w:sz w:val="14"/>
                <w:szCs w:val="14"/>
              </w:rPr>
              <w:t>Zdroj: MPSV</w:t>
            </w:r>
          </w:p>
        </w:tc>
      </w:tr>
      <w:tr w:rsidR="005D3386" w:rsidRPr="00360DE3" w:rsidTr="005D3386">
        <w:trPr>
          <w:trHeight w:val="145"/>
        </w:trPr>
        <w:tc>
          <w:tcPr>
            <w:tcW w:w="1976" w:type="dxa"/>
          </w:tcPr>
          <w:p w:rsidR="005D3386" w:rsidRPr="00360DE3" w:rsidRDefault="005D3386" w:rsidP="005D3386">
            <w:pPr>
              <w:pStyle w:val="Marginlie"/>
              <w:rPr>
                <w:spacing w:val="0"/>
              </w:rPr>
            </w:pPr>
            <w:r w:rsidRPr="00360DE3">
              <w:rPr>
                <w:spacing w:val="0"/>
              </w:rPr>
              <w:lastRenderedPageBreak/>
              <w:t>Růst volných míst v nabídce úřadů práce akceleroval. Z výrazné většiny byl však tažen nabídkou pozic s nízkými nároky na kvalifikaci.</w:t>
            </w:r>
          </w:p>
          <w:p w:rsidR="005D3386" w:rsidRPr="00360DE3" w:rsidRDefault="005D3386" w:rsidP="005D3386">
            <w:pPr>
              <w:pStyle w:val="Marginlie"/>
              <w:rPr>
                <w:spacing w:val="0"/>
              </w:rPr>
            </w:pPr>
          </w:p>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5D3386" w:rsidRPr="00360DE3" w:rsidRDefault="005D3386" w:rsidP="00EA0840">
            <w:pPr>
              <w:rPr>
                <w:rFonts w:cs="Arial"/>
                <w:color w:val="0D0D0D" w:themeColor="text1" w:themeTint="F2"/>
              </w:rPr>
            </w:pPr>
            <w:r w:rsidRPr="00360DE3">
              <w:t xml:space="preserve">Pokles nezaměstnanosti byl doprovázen strmým růstem nabídky volných pracovních míst. </w:t>
            </w:r>
            <w:r w:rsidRPr="00360DE3">
              <w:rPr>
                <w:rFonts w:cs="Arial"/>
                <w:color w:val="0D0D0D" w:themeColor="text1" w:themeTint="F2"/>
              </w:rPr>
              <w:t>Na konci loňského září jejich počet (v evidenci úřadů práce) poprvé v historii překonal 200tis. hranici, na sklonku roku jich bylo již 217 tis. (meziročně o 84 tis. více). Rok 2017 byl prvním v historii ČR, kdy počet volných míst meziměsíčně rostl (navzdory sezónním vlivům) nepřetržitě po celý rok. O meziroční přírůstek se ze tří čtvrtin zasloužila místa s minimální deklarovanými kvalifikačními nároky (na něž postačovalo základní vzdělání, šlo hlavně o pozice ve zpracovatelském průmyslu a stavebnictví). Tato skutečnost spolu s citelnou redukcí dlouhodobé nezaměstnanosti naznačuje, že zaměstnavatelé měli s obsazením těchto míst pracovníky z tuzemska značné problémy. Téměř 48 % všech volných míst klasifikovalo na konci roku 2017 MPSV jako vhodné pro cizince</w:t>
            </w:r>
            <w:r w:rsidRPr="00360DE3">
              <w:rPr>
                <w:rStyle w:val="Znakapoznpodarou"/>
                <w:rFonts w:cs="Arial"/>
                <w:color w:val="0D0D0D" w:themeColor="text1" w:themeTint="F2"/>
              </w:rPr>
              <w:footnoteReference w:id="19"/>
            </w:r>
            <w:r w:rsidRPr="00360DE3">
              <w:rPr>
                <w:rFonts w:cs="Arial"/>
                <w:color w:val="0D0D0D" w:themeColor="text1" w:themeTint="F2"/>
              </w:rPr>
              <w:t>. Role zahraničních pracovníků na tuzemském trhu práce sílila</w:t>
            </w:r>
            <w:r w:rsidRPr="00360DE3">
              <w:rPr>
                <w:rStyle w:val="Znakapoznpodarou"/>
                <w:rFonts w:cs="Arial"/>
                <w:color w:val="0D0D0D" w:themeColor="text1" w:themeTint="F2"/>
              </w:rPr>
              <w:footnoteReference w:id="20"/>
            </w:r>
            <w:r w:rsidRPr="00360DE3">
              <w:rPr>
                <w:rFonts w:cs="Arial"/>
                <w:color w:val="0D0D0D" w:themeColor="text1" w:themeTint="F2"/>
              </w:rPr>
              <w:t>. Na jedno volné místo celkem připadalo na konci roku 2017 jen 1,3 uchazeče, nejméně od poloviny 90. let.</w:t>
            </w:r>
          </w:p>
        </w:tc>
      </w:tr>
      <w:tr w:rsidR="00EA0840" w:rsidRPr="00360DE3" w:rsidTr="00EA0840">
        <w:trPr>
          <w:trHeight w:val="145"/>
        </w:trPr>
        <w:tc>
          <w:tcPr>
            <w:tcW w:w="1976" w:type="dxa"/>
          </w:tcPr>
          <w:p w:rsidR="00EA0840" w:rsidRPr="00360DE3" w:rsidRDefault="00EA0840" w:rsidP="00DF7AD4">
            <w:pPr>
              <w:pStyle w:val="Marginlie"/>
              <w:rPr>
                <w:spacing w:val="0"/>
              </w:rPr>
            </w:pPr>
            <w:r w:rsidRPr="00360DE3">
              <w:rPr>
                <w:spacing w:val="0"/>
              </w:rPr>
              <w:t>Vyhlídky na nalezení práce výrazně vzrostly hlavně kvalifikovaným i nekvalifikovaným manuálním pracovníkům.</w:t>
            </w:r>
          </w:p>
        </w:tc>
        <w:tc>
          <w:tcPr>
            <w:tcW w:w="277" w:type="dxa"/>
          </w:tcPr>
          <w:p w:rsidR="00EA0840" w:rsidRPr="00360DE3" w:rsidRDefault="00EA0840" w:rsidP="00DF7AD4">
            <w:pPr>
              <w:pStyle w:val="Textpoznpodarou"/>
              <w:jc w:val="both"/>
            </w:pPr>
          </w:p>
        </w:tc>
        <w:tc>
          <w:tcPr>
            <w:tcW w:w="7391" w:type="dxa"/>
          </w:tcPr>
          <w:p w:rsidR="00EA0840" w:rsidRPr="00360DE3" w:rsidRDefault="00EA0840" w:rsidP="00EA0840">
            <w:r w:rsidRPr="00EA0840">
              <w:t xml:space="preserve">Šance nezaměstnaných na uplatnění se meziročně zlepšila ve všech krajích, z pohledu kvalifikací pak hlavně pro řemeslníky, opraváře či montéry i obsluhu strojů a zařízení. Ve srovnání s koncem konjunkturního roku 2007 se nejvíce </w:t>
            </w:r>
            <w:proofErr w:type="gramStart"/>
            <w:r w:rsidRPr="00EA0840">
              <w:t>zlepšily</w:t>
            </w:r>
            <w:proofErr w:type="gramEnd"/>
            <w:r w:rsidRPr="00EA0840">
              <w:t xml:space="preserve"> vyhlídky uchazečům o práci v kategorii pomocní a nekvalifikovaní pracovníci a dále lidem ve službách a prodeji či kvalifikovaným pracovníkům v zemědělství, lesnictví a rybářství. Z regionálního pohledu to platilo hlavně pro Ústecký a Karlovarský kraj.</w:t>
            </w:r>
          </w:p>
        </w:tc>
      </w:tr>
      <w:tr w:rsidR="00EA0840" w:rsidRPr="00360DE3" w:rsidTr="00EA0840">
        <w:trPr>
          <w:trHeight w:val="145"/>
        </w:trPr>
        <w:tc>
          <w:tcPr>
            <w:tcW w:w="1976" w:type="dxa"/>
          </w:tcPr>
          <w:p w:rsidR="00EA0840" w:rsidRPr="00360DE3" w:rsidRDefault="00EA0840" w:rsidP="00DF7AD4">
            <w:pPr>
              <w:pStyle w:val="Marginlie"/>
              <w:rPr>
                <w:spacing w:val="0"/>
              </w:rPr>
            </w:pPr>
            <w:r w:rsidRPr="00360DE3">
              <w:rPr>
                <w:spacing w:val="0"/>
              </w:rPr>
              <w:t>Pokles nezaměstnanosti z pohledu regionů měl během roku 2017 plošný charakter.</w:t>
            </w:r>
          </w:p>
          <w:p w:rsidR="00EA0840" w:rsidRPr="00360DE3" w:rsidRDefault="00EA0840" w:rsidP="00DF7AD4">
            <w:pPr>
              <w:pStyle w:val="Marginlie"/>
              <w:rPr>
                <w:spacing w:val="0"/>
              </w:rPr>
            </w:pPr>
          </w:p>
          <w:p w:rsidR="00EA0840" w:rsidRPr="00360DE3" w:rsidRDefault="00EA0840" w:rsidP="00DF7AD4">
            <w:pPr>
              <w:pStyle w:val="Marginlie"/>
              <w:rPr>
                <w:spacing w:val="0"/>
              </w:rPr>
            </w:pPr>
          </w:p>
          <w:p w:rsidR="00EA0840" w:rsidRPr="00360DE3" w:rsidRDefault="00EA0840" w:rsidP="00DF7AD4">
            <w:pPr>
              <w:pStyle w:val="Marginlie"/>
              <w:rPr>
                <w:spacing w:val="0"/>
              </w:rPr>
            </w:pPr>
          </w:p>
          <w:p w:rsidR="00EA0840" w:rsidRPr="00360DE3" w:rsidRDefault="00EA0840" w:rsidP="00DF7AD4">
            <w:pPr>
              <w:pStyle w:val="Marginlie"/>
              <w:rPr>
                <w:spacing w:val="0"/>
              </w:rPr>
            </w:pPr>
          </w:p>
          <w:p w:rsidR="00EA0840" w:rsidRPr="00360DE3" w:rsidRDefault="00EA0840" w:rsidP="00DF7AD4">
            <w:pPr>
              <w:pStyle w:val="Marginlie"/>
              <w:rPr>
                <w:spacing w:val="0"/>
              </w:rPr>
            </w:pPr>
          </w:p>
          <w:p w:rsidR="00EA0840" w:rsidRPr="00360DE3" w:rsidRDefault="00EA0840" w:rsidP="00DF7AD4">
            <w:pPr>
              <w:pStyle w:val="Marginlie"/>
              <w:rPr>
                <w:spacing w:val="0"/>
              </w:rPr>
            </w:pPr>
            <w:r w:rsidRPr="00360DE3">
              <w:rPr>
                <w:spacing w:val="0"/>
              </w:rPr>
              <w:t xml:space="preserve">Vyšší nezaměstnanost přetrvává v některých </w:t>
            </w:r>
            <w:proofErr w:type="spellStart"/>
            <w:r w:rsidRPr="00360DE3">
              <w:rPr>
                <w:spacing w:val="0"/>
              </w:rPr>
              <w:t>mikro</w:t>
            </w:r>
            <w:proofErr w:type="spellEnd"/>
            <w:r w:rsidRPr="00360DE3">
              <w:rPr>
                <w:spacing w:val="0"/>
              </w:rPr>
              <w:t>-regionech znevýhodněným polohou, dopravní obslužností či vzdělanostní skladbou populace v produktivním věku.</w:t>
            </w:r>
          </w:p>
        </w:tc>
        <w:tc>
          <w:tcPr>
            <w:tcW w:w="277" w:type="dxa"/>
          </w:tcPr>
          <w:p w:rsidR="00EA0840" w:rsidRPr="00360DE3" w:rsidRDefault="00EA0840" w:rsidP="00DF7AD4">
            <w:pPr>
              <w:pStyle w:val="Textpoznpodarou"/>
              <w:jc w:val="both"/>
            </w:pPr>
          </w:p>
        </w:tc>
        <w:tc>
          <w:tcPr>
            <w:tcW w:w="7391" w:type="dxa"/>
          </w:tcPr>
          <w:p w:rsidR="00EA0840" w:rsidRPr="00360DE3" w:rsidRDefault="00EA0840" w:rsidP="00EA0840">
            <w:pPr>
              <w:spacing w:after="0"/>
            </w:pPr>
            <w:r w:rsidRPr="00360DE3">
              <w:t>Údaje z evidence úřadů práce dokumentují na příkladu malých území (téměř 400 obvodů pověřených obecních úřadů), že pokles nezaměstnanosti měl během roku 2017 plošný charakter</w:t>
            </w:r>
            <w:r w:rsidRPr="0000437D">
              <w:rPr>
                <w:rStyle w:val="Znakapoznpodarou"/>
              </w:rPr>
              <w:footnoteReference w:id="21"/>
            </w:r>
            <w:r w:rsidRPr="00360DE3">
              <w:t xml:space="preserve">. Relativně vysoká nezaměstnanost přetrvávala na konci roku hlavně ve strukturálně postižených </w:t>
            </w:r>
            <w:proofErr w:type="spellStart"/>
            <w:r w:rsidRPr="00360DE3">
              <w:t>mikroregionech</w:t>
            </w:r>
            <w:proofErr w:type="spellEnd"/>
            <w:r w:rsidRPr="00360DE3">
              <w:t xml:space="preserve"> Ústeckého a Moravskoslezského kraje a dále v periferních územích se zhoršenou dopravní obslužností (často při hranicích krajů), kde je mnohdy navíc nezaměstnanost na sklonku roku výrazněji ovlivněna omezením sezónních prací. Sílu současné konjunktury dokládá i fakt, že ve třech čtvrtinách hodnocených </w:t>
            </w:r>
            <w:proofErr w:type="spellStart"/>
            <w:r w:rsidRPr="00360DE3">
              <w:t>mikroregionů</w:t>
            </w:r>
            <w:proofErr w:type="spellEnd"/>
            <w:r w:rsidRPr="00360DE3">
              <w:t xml:space="preserve"> představovala loňská nezaměstnanosti zároveň i celoroční minimum v období 2000 až 2017. Ve více než čtvrtině všech území pak na konci roku 2017 převažovala nabídka volných pracovních míst nad poptávkou ze strany uchazečů o práci. Zatímco ve středních a jihozápadních Čechách nejsou oblasti s vysokým tlakem na pracovní místa rozsáhlé a umožňují případné dojíždění do sousedních území s výrazně lepšími vyhlídkami na uplatnění, v severních Čechách či v moravských krajích je situace pro nezaměstnané obtížnější (dále umocněná i jejich horší vzdělanostní skladbou). </w:t>
            </w:r>
          </w:p>
        </w:tc>
      </w:tr>
    </w:tbl>
    <w:p w:rsidR="005D3386" w:rsidRPr="00360DE3" w:rsidRDefault="005D3386" w:rsidP="005D3386">
      <w:pPr>
        <w:spacing w:after="0"/>
      </w:pPr>
    </w:p>
    <w:p w:rsidR="005D3386" w:rsidRDefault="005D3386" w:rsidP="005D3386">
      <w:pPr>
        <w:spacing w:after="0"/>
      </w:pPr>
    </w:p>
    <w:p w:rsidR="00EA0840" w:rsidRDefault="00EA0840" w:rsidP="005D3386">
      <w:pPr>
        <w:spacing w:after="0"/>
      </w:pPr>
    </w:p>
    <w:p w:rsidR="00EA0840" w:rsidRPr="00360DE3" w:rsidRDefault="00EA0840" w:rsidP="005D3386">
      <w:pPr>
        <w:spacing w:after="0"/>
      </w:pPr>
    </w:p>
    <w:p w:rsidR="005D3386" w:rsidRPr="00360DE3" w:rsidRDefault="005D3386" w:rsidP="005D3386">
      <w:pPr>
        <w:spacing w:after="0"/>
        <w:rPr>
          <w:b/>
          <w:szCs w:val="20"/>
        </w:rPr>
      </w:pPr>
      <w:r w:rsidRPr="00360DE3">
        <w:rPr>
          <w:b/>
          <w:szCs w:val="20"/>
        </w:rPr>
        <w:lastRenderedPageBreak/>
        <w:t>Kartogramy 5.1 a 5.2</w:t>
      </w:r>
    </w:p>
    <w:p w:rsidR="005D3386" w:rsidRPr="00360DE3" w:rsidRDefault="005D3386" w:rsidP="005D3386">
      <w:pPr>
        <w:spacing w:after="0"/>
      </w:pPr>
      <w:r w:rsidRPr="00360DE3">
        <w:rPr>
          <w:noProof/>
        </w:rPr>
        <w:drawing>
          <wp:inline distT="0" distB="0" distL="0" distR="0">
            <wp:extent cx="6120130" cy="4330700"/>
            <wp:effectExtent l="19050" t="0" r="0" b="0"/>
            <wp:docPr id="8" name="Obrázek 1" descr="Nezaměstnanost-míry.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zaměstnanost-míry.emf"/>
                    <pic:cNvPicPr/>
                  </pic:nvPicPr>
                  <pic:blipFill>
                    <a:blip r:embed="rId24" cstate="print"/>
                    <a:stretch>
                      <a:fillRect/>
                    </a:stretch>
                  </pic:blipFill>
                  <pic:spPr>
                    <a:xfrm>
                      <a:off x="0" y="0"/>
                      <a:ext cx="6120130" cy="4330700"/>
                    </a:xfrm>
                    <a:prstGeom prst="rect">
                      <a:avLst/>
                    </a:prstGeom>
                  </pic:spPr>
                </pic:pic>
              </a:graphicData>
            </a:graphic>
          </wp:inline>
        </w:drawing>
      </w:r>
    </w:p>
    <w:p w:rsidR="005D3386" w:rsidRPr="00360DE3" w:rsidRDefault="005D3386" w:rsidP="005D3386">
      <w:pPr>
        <w:spacing w:after="0"/>
      </w:pPr>
    </w:p>
    <w:p w:rsidR="005D3386" w:rsidRPr="00360DE3" w:rsidRDefault="005D3386" w:rsidP="005D3386">
      <w:pPr>
        <w:spacing w:after="0"/>
      </w:pPr>
      <w:r w:rsidRPr="00360DE3">
        <w:rPr>
          <w:noProof/>
        </w:rPr>
        <w:drawing>
          <wp:inline distT="0" distB="0" distL="0" distR="0">
            <wp:extent cx="6120130" cy="4330700"/>
            <wp:effectExtent l="19050" t="0" r="0" b="0"/>
            <wp:docPr id="19" name="Obrázek 7" descr="UV-podíl-se srafy.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V-podíl-se srafy.emf"/>
                    <pic:cNvPicPr/>
                  </pic:nvPicPr>
                  <pic:blipFill>
                    <a:blip r:embed="rId25" cstate="print"/>
                    <a:stretch>
                      <a:fillRect/>
                    </a:stretch>
                  </pic:blipFill>
                  <pic:spPr>
                    <a:xfrm>
                      <a:off x="0" y="0"/>
                      <a:ext cx="6120130" cy="4330700"/>
                    </a:xfrm>
                    <a:prstGeom prst="rect">
                      <a:avLst/>
                    </a:prstGeom>
                  </pic:spPr>
                </pic:pic>
              </a:graphicData>
            </a:graphic>
          </wp:inline>
        </w:drawing>
      </w:r>
    </w:p>
    <w:p w:rsidR="005D3386" w:rsidRPr="00360DE3" w:rsidRDefault="005D3386" w:rsidP="005D3386">
      <w:pPr>
        <w:pStyle w:val="Nadpis2"/>
      </w:pPr>
      <w:bookmarkStart w:id="18" w:name="_Toc527639473"/>
      <w:r w:rsidRPr="00360DE3">
        <w:lastRenderedPageBreak/>
        <w:t>5.3 Mzdy a jejich diferenciace</w:t>
      </w:r>
      <w:bookmarkEnd w:id="18"/>
    </w:p>
    <w:tbl>
      <w:tblPr>
        <w:tblW w:w="9644" w:type="dxa"/>
        <w:tblInd w:w="-15" w:type="dxa"/>
        <w:tblLayout w:type="fixed"/>
        <w:tblCellMar>
          <w:left w:w="0" w:type="dxa"/>
          <w:right w:w="0" w:type="dxa"/>
        </w:tblCellMar>
        <w:tblLook w:val="00A0"/>
      </w:tblPr>
      <w:tblGrid>
        <w:gridCol w:w="1976"/>
        <w:gridCol w:w="277"/>
        <w:gridCol w:w="7391"/>
      </w:tblGrid>
      <w:tr w:rsidR="005D3386" w:rsidRPr="00360DE3" w:rsidTr="00360DE3">
        <w:trPr>
          <w:trHeight w:val="145"/>
        </w:trPr>
        <w:tc>
          <w:tcPr>
            <w:tcW w:w="1976" w:type="dxa"/>
          </w:tcPr>
          <w:p w:rsidR="005D3386" w:rsidRPr="00360DE3" w:rsidRDefault="005D3386" w:rsidP="005D3386">
            <w:pPr>
              <w:pStyle w:val="Marginlie"/>
              <w:rPr>
                <w:spacing w:val="0"/>
              </w:rPr>
            </w:pPr>
            <w:r w:rsidRPr="00360DE3">
              <w:rPr>
                <w:spacing w:val="0"/>
              </w:rPr>
              <w:t>Tempo růstu mezd v roce 2017 akcelerovalo. Výše průměrné měsíční mzdy poprvé v historii překonala 30 tis. hranici.</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r w:rsidRPr="00360DE3">
              <w:rPr>
                <w:rFonts w:cs="Arial"/>
                <w:color w:val="0D0D0D" w:themeColor="text1" w:themeTint="F2"/>
              </w:rPr>
              <w:t>Dobré hospodářské výsledky podniků, pokračující pozitivní očekávání v klíčových odvětvích i stupňující se obtíže při náboru nových pracovníků vedly v průběhu roku 2017 k akceleraci růstu mezd. K uvedeným vlivům přistupovala ještě zvýšená aktivita státu – jak v podobě navýšení mzdových prostředků (skrze státní rozpočet i nepřímo prostřednictvím územních rozpočtů), tak i v pokračování navyšování minimální mzdy. Objem vyplacených prostředků byl loni o 8,2 % vyšší, v roce 2016 činilo meziroční tempo 5,7 %</w:t>
            </w:r>
            <w:r w:rsidRPr="00360DE3">
              <w:rPr>
                <w:rStyle w:val="Znakapoznpodarou"/>
                <w:rFonts w:cs="Arial"/>
                <w:color w:val="0D0D0D" w:themeColor="text1" w:themeTint="F2"/>
              </w:rPr>
              <w:footnoteReference w:id="22"/>
            </w:r>
            <w:r w:rsidRPr="00360DE3">
              <w:rPr>
                <w:rFonts w:cs="Arial"/>
                <w:color w:val="0D0D0D" w:themeColor="text1" w:themeTint="F2"/>
              </w:rPr>
              <w:t xml:space="preserve">. V relaci na jednoho zaměstnance (po přepočtu na celé úvazky) dosáhl loni růst výdělků 6,8 %, v samotném 4. čtvrtletí dokonce 7,7 %, když průměrná hrubá měsíční mzda poprvé v historii přesáhla 30tis. hranici. </w:t>
            </w:r>
          </w:p>
        </w:tc>
      </w:tr>
      <w:tr w:rsidR="005D3386" w:rsidRPr="00360DE3" w:rsidTr="00360DE3">
        <w:trPr>
          <w:trHeight w:val="429"/>
        </w:trPr>
        <w:tc>
          <w:tcPr>
            <w:tcW w:w="1976" w:type="dxa"/>
          </w:tcPr>
          <w:p w:rsidR="005D3386" w:rsidRPr="00360DE3" w:rsidRDefault="005D3386" w:rsidP="00360DE3">
            <w:pPr>
              <w:spacing w:after="0"/>
              <w:jc w:val="left"/>
            </w:pPr>
            <w:r w:rsidRPr="00360DE3">
              <w:rPr>
                <w:sz w:val="16"/>
                <w:szCs w:val="16"/>
              </w:rPr>
              <w:t>Nejrychleji rostly loni průměrné výdělky v odvětvích s nízkou úrovní mezd.</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360DE3">
            <w:pPr>
              <w:rPr>
                <w:rFonts w:cs="Arial"/>
                <w:color w:val="0D0D0D" w:themeColor="text1" w:themeTint="F2"/>
              </w:rPr>
            </w:pPr>
            <w:r w:rsidRPr="00360DE3">
              <w:rPr>
                <w:rFonts w:cs="Arial"/>
                <w:color w:val="0D0D0D" w:themeColor="text1" w:themeTint="F2"/>
              </w:rPr>
              <w:t>V úhrnu za celý rok 2017 průměrné výdělky (v pojetí národních účtů) vzrostly ve všech hlavních odvětvích (19 odvětvových sekcích). Nejvyššího tempa dosáhly v ubytování, stravování a pohostinství (+10,1 %) a také zábavních, kulturních a rekreačních činnostech (+7,8 %). V obou případech šlo odvětví s nízkou úrovní mezd, kde k jejich vysoké dynamice zásadně přispělo navýšení hranici minimální mzdy (z 9,9 na 11,0 tis, korun na počátku roku).</w:t>
            </w:r>
          </w:p>
        </w:tc>
      </w:tr>
      <w:tr w:rsidR="00360DE3" w:rsidRPr="00360DE3" w:rsidTr="00360DE3">
        <w:trPr>
          <w:trHeight w:val="429"/>
        </w:trPr>
        <w:tc>
          <w:tcPr>
            <w:tcW w:w="1976" w:type="dxa"/>
          </w:tcPr>
          <w:p w:rsidR="00360DE3" w:rsidRPr="00360DE3" w:rsidRDefault="00360DE3" w:rsidP="00360DE3">
            <w:pPr>
              <w:spacing w:after="0"/>
              <w:jc w:val="left"/>
              <w:rPr>
                <w:sz w:val="16"/>
                <w:szCs w:val="16"/>
              </w:rPr>
            </w:pPr>
            <w:r w:rsidRPr="00360DE3">
              <w:rPr>
                <w:sz w:val="16"/>
                <w:szCs w:val="16"/>
              </w:rPr>
              <w:t>V odvětvích s domina</w:t>
            </w:r>
            <w:r w:rsidR="0026207F">
              <w:rPr>
                <w:sz w:val="16"/>
                <w:szCs w:val="16"/>
              </w:rPr>
              <w:t>n</w:t>
            </w:r>
            <w:r w:rsidRPr="00360DE3">
              <w:rPr>
                <w:sz w:val="16"/>
                <w:szCs w:val="16"/>
              </w:rPr>
              <w:t>cí státu se projevila preference aktivit souvisejících s bezpečností a také v oblasti vzdělávání.</w:t>
            </w:r>
          </w:p>
          <w:p w:rsidR="00360DE3" w:rsidRPr="00360DE3" w:rsidRDefault="00360DE3" w:rsidP="005D3386">
            <w:pPr>
              <w:spacing w:after="0"/>
              <w:jc w:val="left"/>
              <w:rPr>
                <w:sz w:val="16"/>
                <w:szCs w:val="16"/>
              </w:rPr>
            </w:pPr>
          </w:p>
        </w:tc>
        <w:tc>
          <w:tcPr>
            <w:tcW w:w="277" w:type="dxa"/>
          </w:tcPr>
          <w:p w:rsidR="00360DE3" w:rsidRPr="00360DE3" w:rsidRDefault="00360DE3" w:rsidP="005D3386">
            <w:pPr>
              <w:pStyle w:val="Textpoznpodarou"/>
              <w:jc w:val="both"/>
            </w:pPr>
          </w:p>
        </w:tc>
        <w:tc>
          <w:tcPr>
            <w:tcW w:w="7391" w:type="dxa"/>
          </w:tcPr>
          <w:p w:rsidR="00360DE3" w:rsidRPr="00360DE3" w:rsidRDefault="00360DE3" w:rsidP="00360DE3">
            <w:pPr>
              <w:rPr>
                <w:rFonts w:cs="Arial"/>
                <w:color w:val="0D0D0D" w:themeColor="text1" w:themeTint="F2"/>
              </w:rPr>
            </w:pPr>
            <w:r w:rsidRPr="00360DE3">
              <w:rPr>
                <w:rFonts w:cs="Arial"/>
                <w:color w:val="0D0D0D" w:themeColor="text1" w:themeTint="F2"/>
              </w:rPr>
              <w:t>Jen nepatrně slabším tempem vzrostly platy v odvětvích s domina</w:t>
            </w:r>
            <w:r w:rsidR="0026207F">
              <w:rPr>
                <w:rFonts w:cs="Arial"/>
                <w:color w:val="0D0D0D" w:themeColor="text1" w:themeTint="F2"/>
              </w:rPr>
              <w:t>n</w:t>
            </w:r>
            <w:r w:rsidRPr="00360DE3">
              <w:rPr>
                <w:rFonts w:cs="Arial"/>
                <w:color w:val="0D0D0D" w:themeColor="text1" w:themeTint="F2"/>
              </w:rPr>
              <w:t>cí státu, kde se projevila preference aktivit souvisejících s bezpečností státu (policejní a hasičské sbory, armáda) i podstatné zrychlení růstu ve vzdělávání (+6,2 %, dvakrát více než v roce 2016),</w:t>
            </w:r>
            <w:r w:rsidR="0026207F">
              <w:rPr>
                <w:rFonts w:cs="Arial"/>
                <w:color w:val="0D0D0D" w:themeColor="text1" w:themeTint="F2"/>
              </w:rPr>
              <w:t xml:space="preserve"> kde patřila dynamika výdělků </w:t>
            </w:r>
            <w:r w:rsidRPr="00360DE3">
              <w:rPr>
                <w:rFonts w:cs="Arial"/>
                <w:color w:val="0D0D0D" w:themeColor="text1" w:themeTint="F2"/>
              </w:rPr>
              <w:t>po roce 2009 vůbec k nejnižším. I</w:t>
            </w:r>
            <w:r w:rsidR="00DF7AD4" w:rsidRPr="00360DE3">
              <w:t> </w:t>
            </w:r>
            <w:r w:rsidRPr="00360DE3">
              <w:rPr>
                <w:rFonts w:cs="Arial"/>
                <w:color w:val="0D0D0D" w:themeColor="text1" w:themeTint="F2"/>
              </w:rPr>
              <w:t>přes dílčí zlepšení v loňském roce tak zůstaly průměrné výdělky zaměstnanců ve vzdělávání těsně pod úrovní národního hospodářství. Nepatrně nad touto úrovní se naopak nacházely průměrné měsíční výdělky v průmyslu (29,9 tis. korun), jejichž loňský růst (+7,3 %) patřil rovněž k nadprůměrným.</w:t>
            </w:r>
          </w:p>
        </w:tc>
      </w:tr>
      <w:tr w:rsidR="00360DE3" w:rsidRPr="00360DE3" w:rsidTr="00360DE3">
        <w:trPr>
          <w:trHeight w:val="429"/>
        </w:trPr>
        <w:tc>
          <w:tcPr>
            <w:tcW w:w="1976" w:type="dxa"/>
          </w:tcPr>
          <w:p w:rsidR="00360DE3" w:rsidRPr="00360DE3" w:rsidRDefault="00360DE3" w:rsidP="005D3386">
            <w:pPr>
              <w:spacing w:after="0"/>
              <w:jc w:val="left"/>
              <w:rPr>
                <w:sz w:val="16"/>
                <w:szCs w:val="16"/>
              </w:rPr>
            </w:pPr>
            <w:r w:rsidRPr="00360DE3">
              <w:rPr>
                <w:sz w:val="16"/>
                <w:szCs w:val="16"/>
              </w:rPr>
              <w:t xml:space="preserve">V peněžnictví a poštovnictví se průměrné výdělky navyšovaly relativně pomaleji než v celé ekonomice. Přesto zůstávaly nejvyšší ze všech odvětví, mj. i vlivem zaměstnaneckých </w:t>
            </w:r>
            <w:proofErr w:type="spellStart"/>
            <w:r w:rsidRPr="00360DE3">
              <w:rPr>
                <w:sz w:val="16"/>
                <w:szCs w:val="16"/>
              </w:rPr>
              <w:t>benefitů</w:t>
            </w:r>
            <w:proofErr w:type="spellEnd"/>
            <w:r>
              <w:rPr>
                <w:sz w:val="16"/>
                <w:szCs w:val="16"/>
              </w:rPr>
              <w:t>.</w:t>
            </w:r>
          </w:p>
        </w:tc>
        <w:tc>
          <w:tcPr>
            <w:tcW w:w="277" w:type="dxa"/>
          </w:tcPr>
          <w:p w:rsidR="00360DE3" w:rsidRPr="00360DE3" w:rsidRDefault="00360DE3" w:rsidP="005D3386">
            <w:pPr>
              <w:pStyle w:val="Textpoznpodarou"/>
              <w:jc w:val="both"/>
            </w:pPr>
          </w:p>
        </w:tc>
        <w:tc>
          <w:tcPr>
            <w:tcW w:w="7391" w:type="dxa"/>
          </w:tcPr>
          <w:p w:rsidR="00EA0840" w:rsidRDefault="00360DE3" w:rsidP="005D3386">
            <w:pPr>
              <w:rPr>
                <w:rFonts w:cs="Arial"/>
                <w:color w:val="0D0D0D" w:themeColor="text1" w:themeTint="F2"/>
              </w:rPr>
            </w:pPr>
            <w:r w:rsidRPr="00360DE3">
              <w:rPr>
                <w:rFonts w:cs="Arial"/>
                <w:color w:val="0D0D0D" w:themeColor="text1" w:themeTint="F2"/>
              </w:rPr>
              <w:t xml:space="preserve">V peněžnictví a pojišťovnictví se v posledních třech výdělky navyšovaly relativně slabším tempem než v celé ekonomice. I přesto si tento obor i v roce 2017 stále držel pozici odvětví s nejvyšším průměrným měsíčním výdělkem (53,8 tis. korun), mj. i vlivem tradičně vyššího zastoupení zaměstnaneckých </w:t>
            </w:r>
            <w:proofErr w:type="spellStart"/>
            <w:r w:rsidRPr="00360DE3">
              <w:rPr>
                <w:rFonts w:cs="Arial"/>
                <w:color w:val="0D0D0D" w:themeColor="text1" w:themeTint="F2"/>
              </w:rPr>
              <w:t>benefitů</w:t>
            </w:r>
            <w:proofErr w:type="spellEnd"/>
            <w:r w:rsidRPr="00360DE3">
              <w:rPr>
                <w:rStyle w:val="Znakapoznpodarou"/>
                <w:rFonts w:cs="Arial"/>
                <w:color w:val="0D0D0D" w:themeColor="text1" w:themeTint="F2"/>
              </w:rPr>
              <w:footnoteReference w:id="23"/>
            </w:r>
            <w:r w:rsidRPr="00360DE3">
              <w:rPr>
                <w:rFonts w:cs="Arial"/>
                <w:color w:val="0D0D0D" w:themeColor="text1" w:themeTint="F2"/>
              </w:rPr>
              <w:t>. Ty se projevily i ve výdělcích zaměstnanců v odvětví výroby a rozvodu elektřiny, plynu, tepla a klimatizovaného vzduchu (48,4 tis. korun). V absolutním vyjádření si loni nejvíce polepšili zaměstnanci v informačních a komunikačních činnostech (o</w:t>
            </w:r>
            <w:r w:rsidR="00DF7AD4" w:rsidRPr="00360DE3">
              <w:t> </w:t>
            </w:r>
            <w:r w:rsidRPr="00360DE3">
              <w:rPr>
                <w:rFonts w:cs="Arial"/>
                <w:color w:val="0D0D0D" w:themeColor="text1" w:themeTint="F2"/>
              </w:rPr>
              <w:t>2,8</w:t>
            </w:r>
            <w:r w:rsidR="00DF7AD4" w:rsidRPr="00360DE3">
              <w:t> </w:t>
            </w:r>
            <w:r w:rsidRPr="00360DE3">
              <w:rPr>
                <w:rFonts w:cs="Arial"/>
                <w:color w:val="0D0D0D" w:themeColor="text1" w:themeTint="F2"/>
              </w:rPr>
              <w:t xml:space="preserve">tis., na 51,1 tis. korun). Po čtyřech letech se loni zastavila redukce průměrných výdělků v těžbě a dobývání (+6,6 %), současně se ale prohloubilo tempo meziročního poklesu počtu zaměstnanců (na osmileté maximum). Objem vyplacených mezd tak zde jako v jediném z hlavních odvětví ekonomiky loni poklesl (o 1,7 %). Jen slabý </w:t>
            </w:r>
            <w:r w:rsidR="00336E03">
              <w:rPr>
                <w:rFonts w:cs="Arial"/>
                <w:color w:val="0D0D0D" w:themeColor="text1" w:themeTint="F2"/>
              </w:rPr>
              <w:t xml:space="preserve">meziroční </w:t>
            </w:r>
            <w:r w:rsidRPr="00360DE3">
              <w:rPr>
                <w:rFonts w:cs="Arial"/>
                <w:color w:val="0D0D0D" w:themeColor="text1" w:themeTint="F2"/>
              </w:rPr>
              <w:t xml:space="preserve">růst </w:t>
            </w:r>
            <w:r w:rsidR="00336E03">
              <w:rPr>
                <w:rFonts w:cs="Arial"/>
                <w:color w:val="0D0D0D" w:themeColor="text1" w:themeTint="F2"/>
              </w:rPr>
              <w:t xml:space="preserve">objemu vyplacených mezd a platů </w:t>
            </w:r>
            <w:r w:rsidRPr="00360DE3">
              <w:rPr>
                <w:rFonts w:cs="Arial"/>
                <w:color w:val="0D0D0D" w:themeColor="text1" w:themeTint="F2"/>
              </w:rPr>
              <w:t>si pak připsalo stavebnictví a také finanční sektor, v obou případech stál v pozadí klesající počet zaměstnanců.</w:t>
            </w:r>
          </w:p>
          <w:p w:rsidR="00EA0840" w:rsidRPr="00360DE3" w:rsidRDefault="00EA0840" w:rsidP="005D3386">
            <w:pPr>
              <w:rPr>
                <w:rFonts w:cs="Arial"/>
                <w:color w:val="0D0D0D" w:themeColor="text1" w:themeTint="F2"/>
              </w:rPr>
            </w:pPr>
          </w:p>
        </w:tc>
      </w:tr>
      <w:tr w:rsidR="005D3386" w:rsidRPr="00360DE3" w:rsidTr="00360DE3">
        <w:trPr>
          <w:trHeight w:val="429"/>
        </w:trPr>
        <w:tc>
          <w:tcPr>
            <w:tcW w:w="1976" w:type="dxa"/>
          </w:tcPr>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0"/>
            </w:pPr>
            <w:r w:rsidRPr="00360DE3">
              <w:rPr>
                <w:b/>
              </w:rPr>
              <w:t xml:space="preserve">Graf </w:t>
            </w:r>
            <w:proofErr w:type="gramStart"/>
            <w:r w:rsidRPr="00360DE3">
              <w:rPr>
                <w:b/>
              </w:rPr>
              <w:t>5.3.1  Objem</w:t>
            </w:r>
            <w:proofErr w:type="gramEnd"/>
            <w:r w:rsidRPr="00360DE3">
              <w:rPr>
                <w:b/>
              </w:rPr>
              <w:t xml:space="preserve"> vyplacených mezd a platů a národohospodářská produktivita práce </w:t>
            </w:r>
            <w:r w:rsidRPr="00360DE3">
              <w:t>(meziročně, v %)*</w:t>
            </w:r>
          </w:p>
        </w:tc>
      </w:tr>
      <w:tr w:rsidR="005D3386" w:rsidRPr="00360DE3" w:rsidTr="00360DE3">
        <w:trPr>
          <w:trHeight w:val="429"/>
        </w:trPr>
        <w:tc>
          <w:tcPr>
            <w:tcW w:w="1976" w:type="dxa"/>
          </w:tcPr>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0"/>
            </w:pPr>
            <w:r w:rsidRPr="00360DE3">
              <w:rPr>
                <w:noProof/>
              </w:rPr>
              <w:drawing>
                <wp:inline distT="0" distB="0" distL="0" distR="0">
                  <wp:extent cx="4709899" cy="3705367"/>
                  <wp:effectExtent l="19050" t="0" r="0" b="0"/>
                  <wp:docPr id="20"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r w:rsidR="005D3386" w:rsidRPr="00360DE3" w:rsidTr="00360DE3">
        <w:trPr>
          <w:trHeight w:val="429"/>
        </w:trPr>
        <w:tc>
          <w:tcPr>
            <w:tcW w:w="1976" w:type="dxa"/>
          </w:tcPr>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0"/>
              <w:rPr>
                <w:rFonts w:cs="Arial"/>
                <w:color w:val="0D0D0D" w:themeColor="text1" w:themeTint="F2"/>
                <w:sz w:val="14"/>
                <w:szCs w:val="14"/>
              </w:rPr>
            </w:pPr>
            <w:r w:rsidRPr="00360DE3">
              <w:rPr>
                <w:rFonts w:cs="Arial"/>
                <w:color w:val="0D0D0D" w:themeColor="text1" w:themeTint="F2"/>
                <w:sz w:val="14"/>
                <w:szCs w:val="14"/>
              </w:rPr>
              <w:t>*Produktivita práce vyjadřuje podíl sezónně neočištěného HDP a celkového (fyzického počtu) zaměstnaných.</w:t>
            </w:r>
          </w:p>
          <w:p w:rsidR="005D3386" w:rsidRPr="00360DE3" w:rsidRDefault="005D3386" w:rsidP="005D3386">
            <w:pPr>
              <w:spacing w:after="0"/>
              <w:rPr>
                <w:rFonts w:cs="Arial"/>
                <w:color w:val="0D0D0D" w:themeColor="text1" w:themeTint="F2"/>
                <w:sz w:val="14"/>
                <w:szCs w:val="14"/>
              </w:rPr>
            </w:pPr>
            <w:r w:rsidRPr="00360DE3">
              <w:rPr>
                <w:rFonts w:cs="Arial"/>
                <w:color w:val="0D0D0D" w:themeColor="text1" w:themeTint="F2"/>
                <w:sz w:val="14"/>
                <w:szCs w:val="14"/>
              </w:rPr>
              <w:t xml:space="preserve">Pozn.: </w:t>
            </w:r>
            <w:r w:rsidRPr="00360DE3">
              <w:rPr>
                <w:iCs/>
                <w:color w:val="0D0D0D" w:themeColor="text1" w:themeTint="F2"/>
                <w:sz w:val="14"/>
                <w:szCs w:val="14"/>
              </w:rPr>
              <w:t xml:space="preserve">Objem mezd a platů zahrnuje veškeré příjmy ze zaměstnání, a to v peněžní i naturální podobě (zaměstnanecké </w:t>
            </w:r>
            <w:proofErr w:type="spellStart"/>
            <w:r w:rsidRPr="00360DE3">
              <w:rPr>
                <w:iCs/>
                <w:color w:val="0D0D0D" w:themeColor="text1" w:themeTint="F2"/>
                <w:sz w:val="14"/>
                <w:szCs w:val="14"/>
              </w:rPr>
              <w:t>benefity</w:t>
            </w:r>
            <w:proofErr w:type="spellEnd"/>
            <w:r w:rsidRPr="00360DE3">
              <w:rPr>
                <w:iCs/>
                <w:color w:val="0D0D0D" w:themeColor="text1" w:themeTint="F2"/>
                <w:sz w:val="14"/>
                <w:szCs w:val="14"/>
              </w:rPr>
              <w:t>) bez ohledu na to, jestli byly oficiálně přiznány nebo ne. Ukazatel počtu zaměstnanců (ve fyzických osobách) zahrnuje veškeré formy zaměstnání, formální i neformální. Jsou zde zahrnuty i různé formy dohod.</w:t>
            </w:r>
          </w:p>
          <w:p w:rsidR="005D3386" w:rsidRPr="00360DE3" w:rsidRDefault="005D3386" w:rsidP="005D3386">
            <w:r w:rsidRPr="00360DE3">
              <w:rPr>
                <w:rFonts w:cs="Arial"/>
                <w:color w:val="0D0D0D" w:themeColor="text1" w:themeTint="F2"/>
                <w:sz w:val="14"/>
                <w:szCs w:val="14"/>
              </w:rPr>
              <w:t>Zdroj: ČSÚ (národní účty)</w:t>
            </w:r>
          </w:p>
        </w:tc>
      </w:tr>
      <w:tr w:rsidR="005D3386" w:rsidRPr="00360DE3" w:rsidTr="00360DE3">
        <w:trPr>
          <w:trHeight w:val="145"/>
        </w:trPr>
        <w:tc>
          <w:tcPr>
            <w:tcW w:w="1976" w:type="dxa"/>
          </w:tcPr>
          <w:p w:rsidR="005D3386" w:rsidRPr="00360DE3" w:rsidRDefault="005D3386" w:rsidP="005D3386">
            <w:pPr>
              <w:pStyle w:val="Marginlie"/>
              <w:rPr>
                <w:spacing w:val="0"/>
              </w:rPr>
            </w:pPr>
            <w:r w:rsidRPr="00360DE3">
              <w:rPr>
                <w:spacing w:val="0"/>
              </w:rPr>
              <w:t>Reálný růst průměrných výdělků byl loni nejvyšší za posledních jedenáct let.</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rPr>
                <w:rFonts w:cs="Arial"/>
                <w:color w:val="0D0D0D" w:themeColor="text1" w:themeTint="F2"/>
              </w:rPr>
            </w:pPr>
            <w:r w:rsidRPr="00360DE3">
              <w:rPr>
                <w:rFonts w:cs="Arial"/>
                <w:color w:val="0D0D0D" w:themeColor="text1" w:themeTint="F2"/>
              </w:rPr>
              <w:t>Z pohledu vývoje koupěschopnosti bylo pozitivní, že reálný růst průměrných výdělků zaměstnanců loni vystoupal na 3,9 %, nejvíce za posledních jedenáct let. Nominální růst průměrných výdělků zaměstnanců již druhý rok v řadě převyšoval růstové tempo produktivity práce. Lze to chápat i jako určitou kompenzaci za období let 2014 až 2015, kdy byla vazba mezi mzdovým růstem a produktivitou opačná.</w:t>
            </w:r>
          </w:p>
        </w:tc>
      </w:tr>
      <w:tr w:rsidR="005D3386" w:rsidRPr="00360DE3" w:rsidTr="00360DE3">
        <w:trPr>
          <w:trHeight w:val="429"/>
        </w:trPr>
        <w:tc>
          <w:tcPr>
            <w:tcW w:w="1976" w:type="dxa"/>
          </w:tcPr>
          <w:p w:rsidR="005D3386" w:rsidRPr="00360DE3" w:rsidRDefault="005D3386" w:rsidP="005D3386">
            <w:pPr>
              <w:pStyle w:val="Marginlie"/>
              <w:rPr>
                <w:spacing w:val="0"/>
              </w:rPr>
            </w:pPr>
            <w:r w:rsidRPr="00360DE3">
              <w:rPr>
                <w:spacing w:val="0"/>
              </w:rPr>
              <w:t>Prohlubování mzdové diferenciace se zastavilo. Přispělo k tomu především opakované navyšování hranice minimální mzdy a také silná poptávka po manuálních pracovních ve výrobních odvětvích.</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0"/>
              <w:rPr>
                <w:rFonts w:cs="Arial"/>
                <w:color w:val="0D0D0D" w:themeColor="text1" w:themeTint="F2"/>
              </w:rPr>
            </w:pPr>
            <w:r w:rsidRPr="00360DE3">
              <w:rPr>
                <w:rFonts w:cs="Arial"/>
                <w:color w:val="000000" w:themeColor="text1"/>
              </w:rPr>
              <w:t xml:space="preserve">Podrobnější pohled na diferenciaci mezd </w:t>
            </w:r>
            <w:proofErr w:type="gramStart"/>
            <w:r w:rsidRPr="00360DE3">
              <w:rPr>
                <w:rFonts w:cs="Arial"/>
                <w:color w:val="000000" w:themeColor="text1"/>
              </w:rPr>
              <w:t>umožňuje</w:t>
            </w:r>
            <w:proofErr w:type="gramEnd"/>
            <w:r w:rsidRPr="00360DE3">
              <w:rPr>
                <w:rFonts w:cs="Arial"/>
                <w:color w:val="000000" w:themeColor="text1"/>
              </w:rPr>
              <w:t xml:space="preserve"> </w:t>
            </w:r>
            <w:r w:rsidRPr="00360DE3">
              <w:rPr>
                <w:rFonts w:cs="Arial"/>
                <w:color w:val="0D0D0D" w:themeColor="text1" w:themeTint="F2"/>
              </w:rPr>
              <w:t>strukturální mzdová statistika</w:t>
            </w:r>
            <w:r w:rsidRPr="00360DE3">
              <w:rPr>
                <w:rStyle w:val="Znakapoznpodarou"/>
                <w:color w:val="0D0D0D" w:themeColor="text1" w:themeTint="F2"/>
              </w:rPr>
              <w:footnoteReference w:id="24"/>
            </w:r>
            <w:r w:rsidRPr="00360DE3">
              <w:rPr>
                <w:rFonts w:cs="Arial"/>
                <w:color w:val="0D0D0D" w:themeColor="text1" w:themeTint="F2"/>
              </w:rPr>
              <w:t xml:space="preserve"> Údaje z posledních let </w:t>
            </w:r>
            <w:proofErr w:type="gramStart"/>
            <w:r w:rsidRPr="00360DE3">
              <w:rPr>
                <w:rFonts w:cs="Arial"/>
                <w:color w:val="0D0D0D" w:themeColor="text1" w:themeTint="F2"/>
              </w:rPr>
              <w:t>naznačují</w:t>
            </w:r>
            <w:proofErr w:type="gramEnd"/>
            <w:r w:rsidRPr="00360DE3">
              <w:rPr>
                <w:rFonts w:cs="Arial"/>
                <w:color w:val="0D0D0D" w:themeColor="text1" w:themeTint="F2"/>
              </w:rPr>
              <w:t>, že prohlubování mzdové diferenciace, jež bylo typické pro dvě předchozí deká</w:t>
            </w:r>
            <w:r w:rsidR="0026207F">
              <w:rPr>
                <w:rFonts w:cs="Arial"/>
                <w:color w:val="0D0D0D" w:themeColor="text1" w:themeTint="F2"/>
              </w:rPr>
              <w:t>dy, se zastavilo. Předstih tempa</w:t>
            </w:r>
            <w:r w:rsidRPr="00360DE3">
              <w:rPr>
                <w:rFonts w:cs="Arial"/>
                <w:color w:val="0D0D0D" w:themeColor="text1" w:themeTint="F2"/>
              </w:rPr>
              <w:t xml:space="preserve"> růstu mediánové mzdy nad tempem průměrné mzdy se v letech 2016 i 2017 zvýraznil. Loni vzrostla hodnota mzdové</w:t>
            </w:r>
            <w:r w:rsidR="0026207F">
              <w:rPr>
                <w:rFonts w:cs="Arial"/>
                <w:color w:val="0D0D0D" w:themeColor="text1" w:themeTint="F2"/>
              </w:rPr>
              <w:t>ho</w:t>
            </w:r>
            <w:r w:rsidRPr="00360DE3">
              <w:rPr>
                <w:rFonts w:cs="Arial"/>
                <w:color w:val="0D0D0D" w:themeColor="text1" w:themeTint="F2"/>
              </w:rPr>
              <w:t xml:space="preserve"> mediánu meziročně o 7,4 % (o rok dříve o 5,3 %). Průměrná hrubá měsíční mediánová mzda činila 26 843 korun. Snížila se také hodnota variačního koeficientu vyjadřující celkovou úroveň rozrůzněnosti (z 0,80 v roce 2014 na loňských 0,74). Diference klesly v tomto období svižněji u mužů nežli u</w:t>
            </w:r>
            <w:r w:rsidR="00DF7AD4" w:rsidRPr="00360DE3">
              <w:t> </w:t>
            </w:r>
            <w:r w:rsidRPr="00360DE3">
              <w:rPr>
                <w:rFonts w:cs="Arial"/>
                <w:color w:val="0D0D0D" w:themeColor="text1" w:themeTint="F2"/>
              </w:rPr>
              <w:t xml:space="preserve">žen, přesto zůstávají mužské výdělky stále znatelně rozrůzněnější (0,80) než ženské (0,59). Tyto rozdíly jsou odrazem především výraznějšího předstihu mužských výdělků v profesích s vysokými kvalifikačními nároky (manažeři, specialisté). Za snížením mzdové diferenciace stálo primárně opakované </w:t>
            </w:r>
            <w:r w:rsidRPr="00360DE3">
              <w:rPr>
                <w:rFonts w:cs="Arial"/>
                <w:color w:val="0D0D0D" w:themeColor="text1" w:themeTint="F2"/>
              </w:rPr>
              <w:lastRenderedPageBreak/>
              <w:t>navyšování hranice minimální mzdy (s výraznějším sekundárním dopadem na pásma zaručené mzdy).</w:t>
            </w:r>
          </w:p>
          <w:p w:rsidR="005D3386" w:rsidRPr="00360DE3" w:rsidRDefault="005D3386" w:rsidP="005D3386">
            <w:pPr>
              <w:spacing w:after="0"/>
              <w:rPr>
                <w:b/>
              </w:rPr>
            </w:pPr>
          </w:p>
        </w:tc>
      </w:tr>
      <w:tr w:rsidR="005D3386" w:rsidRPr="00360DE3" w:rsidTr="00360DE3">
        <w:trPr>
          <w:trHeight w:val="429"/>
        </w:trPr>
        <w:tc>
          <w:tcPr>
            <w:tcW w:w="1976" w:type="dxa"/>
          </w:tcPr>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6836CB" w:rsidRDefault="005D3386" w:rsidP="005D3386">
            <w:pPr>
              <w:spacing w:after="0"/>
              <w:rPr>
                <w:b/>
              </w:rPr>
            </w:pPr>
            <w:r w:rsidRPr="00360DE3">
              <w:rPr>
                <w:b/>
              </w:rPr>
              <w:t xml:space="preserve">Graf </w:t>
            </w:r>
            <w:proofErr w:type="gramStart"/>
            <w:r w:rsidRPr="00360DE3">
              <w:rPr>
                <w:b/>
              </w:rPr>
              <w:t>5.3.2  Průměrná</w:t>
            </w:r>
            <w:proofErr w:type="gramEnd"/>
            <w:r w:rsidRPr="00360DE3">
              <w:rPr>
                <w:b/>
              </w:rPr>
              <w:t xml:space="preserve"> hrubá měsíční mzda dle věku a pohlaví v roce 2017</w:t>
            </w:r>
          </w:p>
          <w:p w:rsidR="005D3386" w:rsidRPr="00360DE3" w:rsidRDefault="005D3386" w:rsidP="005D3386">
            <w:pPr>
              <w:spacing w:after="0"/>
            </w:pPr>
            <w:r w:rsidRPr="00360DE3">
              <w:t xml:space="preserve">(v korunách) </w:t>
            </w:r>
            <w:r w:rsidRPr="00360DE3">
              <w:rPr>
                <w:b/>
              </w:rPr>
              <w:t>a její růst mezi roky 2012 a 2017</w:t>
            </w:r>
            <w:r w:rsidRPr="00360DE3">
              <w:t xml:space="preserve"> (úroveň 2012 = 1)</w:t>
            </w:r>
          </w:p>
        </w:tc>
      </w:tr>
      <w:tr w:rsidR="005D3386" w:rsidRPr="00360DE3" w:rsidTr="00360DE3">
        <w:trPr>
          <w:trHeight w:val="429"/>
        </w:trPr>
        <w:tc>
          <w:tcPr>
            <w:tcW w:w="1976" w:type="dxa"/>
          </w:tcPr>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0"/>
            </w:pPr>
            <w:r w:rsidRPr="00360DE3">
              <w:rPr>
                <w:noProof/>
              </w:rPr>
              <w:drawing>
                <wp:inline distT="0" distB="0" distL="0" distR="0">
                  <wp:extent cx="4701170" cy="3616657"/>
                  <wp:effectExtent l="19050" t="0" r="4180" b="0"/>
                  <wp:docPr id="29"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r w:rsidR="005D3386" w:rsidRPr="00360DE3" w:rsidTr="00360DE3">
        <w:trPr>
          <w:trHeight w:val="429"/>
        </w:trPr>
        <w:tc>
          <w:tcPr>
            <w:tcW w:w="1976" w:type="dxa"/>
          </w:tcPr>
          <w:p w:rsidR="005D3386" w:rsidRPr="00360DE3" w:rsidRDefault="005D3386" w:rsidP="005D3386">
            <w:pPr>
              <w:pStyle w:val="Marginlie"/>
              <w:rPr>
                <w:spacing w:val="0"/>
              </w:rPr>
            </w:pP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0"/>
            </w:pPr>
            <w:r w:rsidRPr="00360DE3">
              <w:rPr>
                <w:rFonts w:cs="Arial"/>
                <w:sz w:val="14"/>
                <w:szCs w:val="14"/>
              </w:rPr>
              <w:t>Zdroj: MPSV a ČSÚ (Strukturální mzdová statistika)</w:t>
            </w:r>
          </w:p>
        </w:tc>
      </w:tr>
      <w:tr w:rsidR="005D3386" w:rsidRPr="00360DE3" w:rsidTr="00360DE3">
        <w:trPr>
          <w:trHeight w:val="145"/>
        </w:trPr>
        <w:tc>
          <w:tcPr>
            <w:tcW w:w="1976" w:type="dxa"/>
          </w:tcPr>
          <w:p w:rsidR="005D3386" w:rsidRPr="00360DE3" w:rsidRDefault="005D3386" w:rsidP="005D3386">
            <w:pPr>
              <w:pStyle w:val="Marginlie"/>
              <w:rPr>
                <w:spacing w:val="0"/>
              </w:rPr>
            </w:pPr>
            <w:r w:rsidRPr="00360DE3">
              <w:rPr>
                <w:spacing w:val="0"/>
              </w:rPr>
              <w:t>Relativně vysoké rozdíly mužských a ženských výdělků přetrvaly. Větších diferencí dosahovaly v rámci EU již jen v Estonsku.</w:t>
            </w:r>
          </w:p>
        </w:tc>
        <w:tc>
          <w:tcPr>
            <w:tcW w:w="277" w:type="dxa"/>
          </w:tcPr>
          <w:p w:rsidR="005D3386" w:rsidRPr="00360DE3" w:rsidRDefault="005D3386" w:rsidP="005D3386">
            <w:pPr>
              <w:pStyle w:val="Textpoznpodarou"/>
              <w:jc w:val="both"/>
            </w:pPr>
          </w:p>
        </w:tc>
        <w:tc>
          <w:tcPr>
            <w:tcW w:w="7391" w:type="dxa"/>
          </w:tcPr>
          <w:p w:rsidR="005D3386" w:rsidRPr="0026207F" w:rsidRDefault="005D3386" w:rsidP="005D3386">
            <w:pPr>
              <w:rPr>
                <w:spacing w:val="-2"/>
              </w:rPr>
            </w:pPr>
            <w:r w:rsidRPr="0026207F">
              <w:rPr>
                <w:spacing w:val="-2"/>
              </w:rPr>
              <w:t xml:space="preserve">Ženy dosahovaly v roce 2017 jen 79,3 % průměrné mzdy mužů, o pět let dříve 77,9 %. Obdobné proporce v případě mzdového mediánu, jenž rozděluje zaměstnance dle výše příjmů na dvě stejně početné skupiny, činily 84,4 % a 84,7 %. Na postavení Česka jako země ve skupině evropských států s nejvyššími rozdíly mezd mezi muži a ženami se ani v období silného ekonomického růstu prakticky nic nezměnilo. V roce 2016 činila hodnota </w:t>
            </w:r>
            <w:proofErr w:type="spellStart"/>
            <w:r w:rsidRPr="0026207F">
              <w:rPr>
                <w:spacing w:val="-2"/>
              </w:rPr>
              <w:t>tzv</w:t>
            </w:r>
            <w:proofErr w:type="spellEnd"/>
            <w:r w:rsidRPr="0026207F">
              <w:rPr>
                <w:spacing w:val="-2"/>
              </w:rPr>
              <w:t xml:space="preserve"> </w:t>
            </w:r>
            <w:proofErr w:type="spellStart"/>
            <w:r w:rsidRPr="0026207F">
              <w:rPr>
                <w:spacing w:val="-2"/>
              </w:rPr>
              <w:t>gender</w:t>
            </w:r>
            <w:proofErr w:type="spellEnd"/>
            <w:r w:rsidRPr="0026207F">
              <w:rPr>
                <w:spacing w:val="-2"/>
              </w:rPr>
              <w:t xml:space="preserve"> </w:t>
            </w:r>
            <w:proofErr w:type="spellStart"/>
            <w:r w:rsidRPr="0026207F">
              <w:rPr>
                <w:spacing w:val="-2"/>
              </w:rPr>
              <w:t>pay</w:t>
            </w:r>
            <w:proofErr w:type="spellEnd"/>
            <w:r w:rsidRPr="0026207F">
              <w:rPr>
                <w:spacing w:val="-2"/>
              </w:rPr>
              <w:t xml:space="preserve"> gap</w:t>
            </w:r>
            <w:r w:rsidRPr="0026207F">
              <w:rPr>
                <w:rStyle w:val="Znakapoznpodarou"/>
                <w:spacing w:val="-2"/>
              </w:rPr>
              <w:footnoteReference w:id="25"/>
            </w:r>
            <w:r w:rsidRPr="0026207F">
              <w:rPr>
                <w:spacing w:val="-2"/>
              </w:rPr>
              <w:t xml:space="preserve"> v Česku 21, 8 %</w:t>
            </w:r>
            <w:r w:rsidR="0026207F" w:rsidRPr="0026207F">
              <w:rPr>
                <w:spacing w:val="-2"/>
              </w:rPr>
              <w:t xml:space="preserve">. </w:t>
            </w:r>
            <w:r w:rsidRPr="0026207F">
              <w:rPr>
                <w:spacing w:val="-2"/>
              </w:rPr>
              <w:t xml:space="preserve">V letech 2013 až 2016 docílilo </w:t>
            </w:r>
            <w:r w:rsidR="0026207F" w:rsidRPr="0026207F">
              <w:rPr>
                <w:spacing w:val="-2"/>
              </w:rPr>
              <w:t xml:space="preserve">ze </w:t>
            </w:r>
            <w:r w:rsidRPr="0026207F">
              <w:rPr>
                <w:spacing w:val="-2"/>
              </w:rPr>
              <w:t>zemí států EU vyšších rozdílů jen Estonsko.</w:t>
            </w:r>
          </w:p>
        </w:tc>
      </w:tr>
      <w:tr w:rsidR="005D3386" w:rsidRPr="00360DE3" w:rsidTr="00360DE3">
        <w:trPr>
          <w:trHeight w:val="145"/>
        </w:trPr>
        <w:tc>
          <w:tcPr>
            <w:tcW w:w="1976" w:type="dxa"/>
          </w:tcPr>
          <w:p w:rsidR="005D3386" w:rsidRPr="00360DE3" w:rsidRDefault="005D3386" w:rsidP="005D3386">
            <w:pPr>
              <w:pStyle w:val="Marginlie"/>
              <w:rPr>
                <w:spacing w:val="0"/>
              </w:rPr>
            </w:pPr>
            <w:r w:rsidRPr="00360DE3">
              <w:rPr>
                <w:spacing w:val="0"/>
              </w:rPr>
              <w:t>Největší rozdíly mužských a žen ženských výdělků v ČR z pohledu věku stále přetrvávají ve skupině 35 až 49 let.</w:t>
            </w:r>
          </w:p>
        </w:tc>
        <w:tc>
          <w:tcPr>
            <w:tcW w:w="277" w:type="dxa"/>
          </w:tcPr>
          <w:p w:rsidR="005D3386" w:rsidRPr="00360DE3" w:rsidRDefault="005D3386" w:rsidP="005D3386">
            <w:pPr>
              <w:pStyle w:val="Textpoznpodarou"/>
              <w:jc w:val="both"/>
            </w:pPr>
          </w:p>
        </w:tc>
        <w:tc>
          <w:tcPr>
            <w:tcW w:w="7391" w:type="dxa"/>
          </w:tcPr>
          <w:p w:rsidR="005D3386" w:rsidRPr="00360DE3" w:rsidRDefault="005D3386" w:rsidP="005D3386">
            <w:pPr>
              <w:spacing w:after="200"/>
            </w:pPr>
            <w:r w:rsidRPr="00360DE3">
              <w:t>Nicméně značné rozdíly ve výdělcích dle pohlaví panovaly v roce 2016 i v nejvyspělejších ekonomikách Unie (Německo, Rakousko, Velká Británie). K nepříznivému postavení ČR přispívají značné výdělkové diference mezi pohlavími v kvartérním sektoru služeb (finančnictví, informační a komunikační činnosti) a rovně ž ve veřejných službách (zejména ve školství a zdravotnictví). Z pohledu věku působí obdobně skupina 35-49 let (kde značné rozdíly ve výdělcích dle pohlaví souvisí s obtížnější situací žen s malými dětmi na pracovním trhu). V letech 2016 i 2017 se vlivem celkové ekonomické situace a sílícího nedostatku potenciálních pracovníků postavení této věkové kategorie mírně zlepšilo, což bylo více patrné na růstu průměrné mzdy (méně pak na mzdě mediánové).</w:t>
            </w:r>
          </w:p>
        </w:tc>
      </w:tr>
      <w:tr w:rsidR="00360DE3" w:rsidRPr="00360DE3" w:rsidTr="00360DE3">
        <w:trPr>
          <w:trHeight w:val="145"/>
        </w:trPr>
        <w:tc>
          <w:tcPr>
            <w:tcW w:w="1976" w:type="dxa"/>
          </w:tcPr>
          <w:p w:rsidR="00360DE3" w:rsidRPr="00360DE3" w:rsidRDefault="00360DE3" w:rsidP="00360DE3">
            <w:pPr>
              <w:pStyle w:val="Marginlie"/>
              <w:rPr>
                <w:spacing w:val="0"/>
              </w:rPr>
            </w:pPr>
            <w:r w:rsidRPr="00360DE3">
              <w:rPr>
                <w:spacing w:val="0"/>
              </w:rPr>
              <w:t xml:space="preserve">Nejvyšším tepem rostly mzdy pracovníkům </w:t>
            </w:r>
            <w:r w:rsidRPr="00360DE3">
              <w:rPr>
                <w:spacing w:val="0"/>
              </w:rPr>
              <w:lastRenderedPageBreak/>
              <w:t xml:space="preserve">s nejnižším vzděláním. </w:t>
            </w:r>
          </w:p>
        </w:tc>
        <w:tc>
          <w:tcPr>
            <w:tcW w:w="277" w:type="dxa"/>
          </w:tcPr>
          <w:p w:rsidR="00360DE3" w:rsidRPr="00360DE3" w:rsidRDefault="00360DE3" w:rsidP="00F162B3">
            <w:pPr>
              <w:pStyle w:val="Textpoznpodarou"/>
              <w:jc w:val="both"/>
            </w:pPr>
          </w:p>
        </w:tc>
        <w:tc>
          <w:tcPr>
            <w:tcW w:w="7391" w:type="dxa"/>
          </w:tcPr>
          <w:p w:rsidR="00360DE3" w:rsidRPr="00360DE3" w:rsidRDefault="00360DE3" w:rsidP="00360DE3">
            <w:r w:rsidRPr="00360DE3">
              <w:t xml:space="preserve">S rostoucím vzděláním zaměstnanců se zvyšuje nejen úroveň jejich výdělků, ale i mzdová variabilita. Přestože v letech 2016 i 2017 rostly meziročně relativně </w:t>
            </w:r>
            <w:r w:rsidRPr="00360DE3">
              <w:lastRenderedPageBreak/>
              <w:t>nejvíce (průměrné i mediánové) výdělky osob se základním vzděláním, citelné rozdíly mezi hlavními vzdělanostními skupinami přetrvaly. Loni převyšovaly průměrné výdělky vysokoškoláků výdělky osob se základním (či neukončeným) vzděláním 2,39krát (u mužů), resp. 2,07 (u žen).</w:t>
            </w:r>
          </w:p>
        </w:tc>
      </w:tr>
      <w:tr w:rsidR="00360DE3" w:rsidRPr="00360DE3" w:rsidTr="00360DE3">
        <w:trPr>
          <w:trHeight w:val="429"/>
        </w:trPr>
        <w:tc>
          <w:tcPr>
            <w:tcW w:w="1976" w:type="dxa"/>
          </w:tcPr>
          <w:p w:rsidR="00360DE3" w:rsidRPr="00360DE3" w:rsidRDefault="00360DE3" w:rsidP="005D3386">
            <w:pPr>
              <w:pStyle w:val="Marginlie"/>
              <w:rPr>
                <w:spacing w:val="0"/>
              </w:rPr>
            </w:pPr>
          </w:p>
        </w:tc>
        <w:tc>
          <w:tcPr>
            <w:tcW w:w="277" w:type="dxa"/>
          </w:tcPr>
          <w:p w:rsidR="00360DE3" w:rsidRPr="00360DE3" w:rsidRDefault="00360DE3" w:rsidP="005D3386">
            <w:pPr>
              <w:pStyle w:val="Textpoznpodarou"/>
              <w:jc w:val="both"/>
            </w:pPr>
          </w:p>
        </w:tc>
        <w:tc>
          <w:tcPr>
            <w:tcW w:w="7391" w:type="dxa"/>
          </w:tcPr>
          <w:p w:rsidR="00360DE3" w:rsidRPr="00360DE3" w:rsidRDefault="00360DE3" w:rsidP="005D3386">
            <w:pPr>
              <w:spacing w:after="0"/>
            </w:pPr>
            <w:r w:rsidRPr="00360DE3">
              <w:rPr>
                <w:b/>
              </w:rPr>
              <w:t xml:space="preserve">Graf </w:t>
            </w:r>
            <w:proofErr w:type="gramStart"/>
            <w:r w:rsidRPr="00360DE3">
              <w:rPr>
                <w:b/>
              </w:rPr>
              <w:t>5.3.3  Průměrné</w:t>
            </w:r>
            <w:proofErr w:type="gramEnd"/>
            <w:r w:rsidRPr="00360DE3">
              <w:rPr>
                <w:b/>
              </w:rPr>
              <w:t xml:space="preserve"> hrubé měsíční mzdy v odvětvích dle vzdělání </w:t>
            </w:r>
            <w:r w:rsidRPr="00360DE3">
              <w:t>(v tis. korun)</w:t>
            </w:r>
            <w:r w:rsidRPr="00360DE3">
              <w:rPr>
                <w:b/>
              </w:rPr>
              <w:t xml:space="preserve"> a poměr mezd zaměstnanců s vysokoškolským a základním vzděláním</w:t>
            </w:r>
          </w:p>
        </w:tc>
      </w:tr>
      <w:tr w:rsidR="00360DE3" w:rsidRPr="00360DE3" w:rsidTr="00360DE3">
        <w:trPr>
          <w:trHeight w:val="429"/>
        </w:trPr>
        <w:tc>
          <w:tcPr>
            <w:tcW w:w="1976" w:type="dxa"/>
          </w:tcPr>
          <w:p w:rsidR="00360DE3" w:rsidRPr="00360DE3" w:rsidRDefault="00360DE3" w:rsidP="005D3386">
            <w:pPr>
              <w:pStyle w:val="Marginlie"/>
              <w:rPr>
                <w:spacing w:val="0"/>
              </w:rPr>
            </w:pPr>
          </w:p>
        </w:tc>
        <w:tc>
          <w:tcPr>
            <w:tcW w:w="277" w:type="dxa"/>
          </w:tcPr>
          <w:p w:rsidR="00360DE3" w:rsidRPr="00360DE3" w:rsidRDefault="00360DE3" w:rsidP="005D3386">
            <w:pPr>
              <w:pStyle w:val="Textpoznpodarou"/>
              <w:jc w:val="both"/>
            </w:pPr>
          </w:p>
        </w:tc>
        <w:tc>
          <w:tcPr>
            <w:tcW w:w="7391" w:type="dxa"/>
          </w:tcPr>
          <w:p w:rsidR="00360DE3" w:rsidRPr="00360DE3" w:rsidRDefault="00360DE3" w:rsidP="005D3386">
            <w:pPr>
              <w:spacing w:after="0"/>
            </w:pPr>
            <w:r w:rsidRPr="00360DE3">
              <w:rPr>
                <w:noProof/>
              </w:rPr>
              <w:drawing>
                <wp:inline distT="0" distB="0" distL="0" distR="0">
                  <wp:extent cx="4714875" cy="3724275"/>
                  <wp:effectExtent l="38100" t="0" r="0" b="0"/>
                  <wp:docPr id="38"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r>
      <w:tr w:rsidR="00360DE3" w:rsidRPr="00360DE3" w:rsidTr="00360DE3">
        <w:trPr>
          <w:trHeight w:val="429"/>
        </w:trPr>
        <w:tc>
          <w:tcPr>
            <w:tcW w:w="1976" w:type="dxa"/>
          </w:tcPr>
          <w:p w:rsidR="00360DE3" w:rsidRPr="00360DE3" w:rsidRDefault="00360DE3" w:rsidP="005D3386">
            <w:pPr>
              <w:pStyle w:val="Marginlie"/>
              <w:rPr>
                <w:spacing w:val="0"/>
              </w:rPr>
            </w:pPr>
          </w:p>
        </w:tc>
        <w:tc>
          <w:tcPr>
            <w:tcW w:w="277" w:type="dxa"/>
          </w:tcPr>
          <w:p w:rsidR="00360DE3" w:rsidRPr="00360DE3" w:rsidRDefault="00360DE3" w:rsidP="005D3386">
            <w:pPr>
              <w:pStyle w:val="Textpoznpodarou"/>
              <w:jc w:val="both"/>
            </w:pPr>
          </w:p>
        </w:tc>
        <w:tc>
          <w:tcPr>
            <w:tcW w:w="7391" w:type="dxa"/>
          </w:tcPr>
          <w:p w:rsidR="00360DE3" w:rsidRPr="00360DE3" w:rsidRDefault="00360DE3" w:rsidP="005D3386">
            <w:pPr>
              <w:spacing w:after="0"/>
              <w:rPr>
                <w:rFonts w:cs="Arial"/>
                <w:sz w:val="14"/>
                <w:szCs w:val="14"/>
              </w:rPr>
            </w:pPr>
            <w:r w:rsidRPr="00360DE3">
              <w:rPr>
                <w:rFonts w:cs="Arial"/>
                <w:sz w:val="14"/>
                <w:szCs w:val="14"/>
              </w:rPr>
              <w:t xml:space="preserve">Pozn.. </w:t>
            </w:r>
            <w:proofErr w:type="gramStart"/>
            <w:r w:rsidRPr="00360DE3">
              <w:rPr>
                <w:rFonts w:cs="Arial"/>
                <w:sz w:val="14"/>
                <w:szCs w:val="14"/>
              </w:rPr>
              <w:t>za</w:t>
            </w:r>
            <w:proofErr w:type="gramEnd"/>
            <w:r w:rsidRPr="00360DE3">
              <w:rPr>
                <w:rFonts w:cs="Arial"/>
                <w:sz w:val="14"/>
                <w:szCs w:val="14"/>
              </w:rPr>
              <w:t xml:space="preserve"> odvětvové sekce I,J a M není z důvodu snížené vypovídací schopnosti uvedena mzda za zaměstnance se základním (popř. neukončeným) vzděláním. Ze stejného důvodu absentují údaje za osoby s vyšším odborným a bakalářským vzděláním u sekcí A i L. </w:t>
            </w:r>
          </w:p>
          <w:p w:rsidR="00360DE3" w:rsidRPr="00360DE3" w:rsidRDefault="00360DE3" w:rsidP="005D3386">
            <w:pPr>
              <w:spacing w:after="200"/>
            </w:pPr>
            <w:r w:rsidRPr="00360DE3">
              <w:rPr>
                <w:rFonts w:cs="Arial"/>
                <w:sz w:val="14"/>
                <w:szCs w:val="14"/>
              </w:rPr>
              <w:t>Zdroj: MPSV a ČSÚ (Strukturální mzdová statistika)</w:t>
            </w:r>
          </w:p>
        </w:tc>
      </w:tr>
      <w:tr w:rsidR="00360DE3" w:rsidRPr="00360DE3" w:rsidTr="00360DE3">
        <w:trPr>
          <w:trHeight w:val="145"/>
        </w:trPr>
        <w:tc>
          <w:tcPr>
            <w:tcW w:w="1976" w:type="dxa"/>
          </w:tcPr>
          <w:p w:rsidR="00360DE3" w:rsidRPr="00360DE3" w:rsidRDefault="00360DE3" w:rsidP="00360DE3">
            <w:pPr>
              <w:pStyle w:val="Marginlie"/>
              <w:rPr>
                <w:spacing w:val="0"/>
              </w:rPr>
            </w:pPr>
            <w:r w:rsidRPr="00360DE3">
              <w:rPr>
                <w:spacing w:val="0"/>
              </w:rPr>
              <w:t xml:space="preserve">Energetika a veřejné služby se vyznačovaly největšími </w:t>
            </w:r>
            <w:r w:rsidR="00336E03">
              <w:rPr>
                <w:spacing w:val="0"/>
              </w:rPr>
              <w:t>relativními mzdovými rozdíly po</w:t>
            </w:r>
            <w:r w:rsidRPr="00360DE3">
              <w:rPr>
                <w:spacing w:val="0"/>
              </w:rPr>
              <w:t xml:space="preserve">dle vzdělání. </w:t>
            </w:r>
          </w:p>
          <w:p w:rsidR="00360DE3" w:rsidRPr="00360DE3" w:rsidRDefault="00360DE3" w:rsidP="005D3386">
            <w:pPr>
              <w:pStyle w:val="Marginlie"/>
              <w:rPr>
                <w:spacing w:val="0"/>
              </w:rPr>
            </w:pPr>
          </w:p>
        </w:tc>
        <w:tc>
          <w:tcPr>
            <w:tcW w:w="277" w:type="dxa"/>
          </w:tcPr>
          <w:p w:rsidR="00360DE3" w:rsidRPr="00360DE3" w:rsidRDefault="00360DE3" w:rsidP="005D3386">
            <w:pPr>
              <w:pStyle w:val="Textpoznpodarou"/>
              <w:jc w:val="both"/>
            </w:pPr>
          </w:p>
        </w:tc>
        <w:tc>
          <w:tcPr>
            <w:tcW w:w="7391" w:type="dxa"/>
          </w:tcPr>
          <w:p w:rsidR="00360DE3" w:rsidRPr="00360DE3" w:rsidRDefault="00360DE3" w:rsidP="005D3386">
            <w:r w:rsidRPr="00360DE3">
              <w:t>Na úrovni hlavních odvětví lze registroval největší „převis“ v energetice a veřejných službách (především v odvětví veřejné správy, ob</w:t>
            </w:r>
            <w:r w:rsidR="00DF7AD4">
              <w:t>rany a sociálního zabezpečení a</w:t>
            </w:r>
            <w:r w:rsidR="00DF7AD4" w:rsidRPr="00360DE3">
              <w:t> </w:t>
            </w:r>
            <w:r w:rsidRPr="00360DE3">
              <w:t>také ve zdravotnictví). Poměrně značnou rozrůzněnost mezd dle vzdělání lze nalézt i v odvětvích s nižší hladinou celkových průměrných výdělků (obchod, doprava a skladování). Zatímco v těžbě a dobývání je výraznější mzdová diferenciace z velké části odrazem excentrického postavení vysokoškoláků, v energetice či informačních a komunikačních činnostech k ní rovnoměrněji přispívají i další vzdělanostní skupiny. Nejméně kvalifikovaní pracovníci v těžebním průmyslu pobírali loni v průměru podobnou mzdu jako vysokoškoláci pracující v činnostech v oblasti nemovitostí, administrativních a podpůrných činnostech či v ubytování, stravování a pohostinství.</w:t>
            </w:r>
          </w:p>
        </w:tc>
      </w:tr>
      <w:tr w:rsidR="00A51F19" w:rsidRPr="00360DE3" w:rsidTr="00360DE3">
        <w:trPr>
          <w:trHeight w:val="145"/>
        </w:trPr>
        <w:tc>
          <w:tcPr>
            <w:tcW w:w="1976" w:type="dxa"/>
          </w:tcPr>
          <w:p w:rsidR="00A51F19" w:rsidRPr="00360DE3" w:rsidRDefault="00A51F19" w:rsidP="00A51F19">
            <w:pPr>
              <w:pStyle w:val="Marginlie"/>
              <w:rPr>
                <w:spacing w:val="0"/>
              </w:rPr>
            </w:pPr>
            <w:r w:rsidRPr="00360DE3">
              <w:rPr>
                <w:spacing w:val="0"/>
              </w:rPr>
              <w:t xml:space="preserve">Z pohledu hlavních kvalifikačních tříd rostla loni mediánová mzda nejvyšším tempem pracovníkům ve službách a prodeji. Pokračoval i svižný růst výdělků zaměstnanců </w:t>
            </w:r>
            <w:r w:rsidRPr="00360DE3">
              <w:rPr>
                <w:spacing w:val="0"/>
              </w:rPr>
              <w:lastRenderedPageBreak/>
              <w:t>v ozbrojených silách.</w:t>
            </w:r>
          </w:p>
        </w:tc>
        <w:tc>
          <w:tcPr>
            <w:tcW w:w="277" w:type="dxa"/>
          </w:tcPr>
          <w:p w:rsidR="00A51F19" w:rsidRPr="00360DE3" w:rsidRDefault="00A51F19" w:rsidP="00F162B3">
            <w:pPr>
              <w:pStyle w:val="Textpoznpodarou"/>
              <w:jc w:val="both"/>
            </w:pPr>
          </w:p>
        </w:tc>
        <w:tc>
          <w:tcPr>
            <w:tcW w:w="7391" w:type="dxa"/>
          </w:tcPr>
          <w:p w:rsidR="00A51F19" w:rsidRPr="00360DE3" w:rsidRDefault="00A51F19" w:rsidP="0061249B">
            <w:pPr>
              <w:spacing w:after="220"/>
            </w:pPr>
            <w:r w:rsidRPr="00360DE3">
              <w:t xml:space="preserve">Jestliže v letech 2014 až 2016 docílily nejvyššího tempa růstu výdělků (v rámci hlavních kvalifikačních tříd) zaměstnanci v ozbrojených silách, vloni převzala tuto štafetu váhově mnohem významnější kategorie pracovníků ve službách a prodeji (mzdový medián zde meziročně posílil o více než desetinu). Svižný (zhruba 8%) nárůst si připsali i početné kategorie řemeslníků a opravářů, resp. obsluhy strojů a zařízení (obě skupiny soustřeďují více než 30 % všech zaměstnanců v celé </w:t>
            </w:r>
            <w:r w:rsidRPr="00360DE3">
              <w:lastRenderedPageBreak/>
              <w:t>ekonomice, u mužů dokonce 44 %)</w:t>
            </w:r>
            <w:r w:rsidRPr="00360DE3">
              <w:rPr>
                <w:rStyle w:val="Znakapoznpodarou"/>
              </w:rPr>
              <w:footnoteReference w:id="26"/>
            </w:r>
            <w:r w:rsidRPr="00360DE3">
              <w:t>. Dynamický růst poptávky po manuálních pracovnících spolu s efektem navýšením minimální mzdy se promítl také ve výdělcích pomocných a nekvalifikovaných pracovníků (+8,1 %)</w:t>
            </w:r>
            <w:r w:rsidRPr="00360DE3">
              <w:rPr>
                <w:rStyle w:val="Znakapoznpodarou"/>
              </w:rPr>
              <w:footnoteReference w:id="27"/>
            </w:r>
            <w:r w:rsidRPr="00360DE3">
              <w:t>. Ve skupinách zaměstnání s nejvyššími kvalifikačními nároky</w:t>
            </w:r>
            <w:r w:rsidRPr="00360DE3">
              <w:rPr>
                <w:rStyle w:val="Znakapoznpodarou"/>
              </w:rPr>
              <w:footnoteReference w:id="28"/>
            </w:r>
            <w:r w:rsidRPr="00360DE3">
              <w:t xml:space="preserve"> (zákonodárci a řídící pracovníci, specialisté, techničtí a odborní pracovníci) osciloval růst mzdového mediánu kolem 7,5 % (relativně nejvíce si polepšili specialisté a odborní pracovníci ve zdravotnictví a dále odborní pracovníci v oblasti práva, kultury a sportu).</w:t>
            </w:r>
          </w:p>
        </w:tc>
      </w:tr>
      <w:tr w:rsidR="00A51F19" w:rsidRPr="00360DE3" w:rsidTr="00360DE3">
        <w:trPr>
          <w:trHeight w:val="429"/>
        </w:trPr>
        <w:tc>
          <w:tcPr>
            <w:tcW w:w="1976" w:type="dxa"/>
          </w:tcPr>
          <w:p w:rsidR="00A51F19" w:rsidRPr="00360DE3" w:rsidRDefault="00A51F19" w:rsidP="005D3386">
            <w:pPr>
              <w:pStyle w:val="Marginlie"/>
              <w:rPr>
                <w:spacing w:val="0"/>
              </w:rPr>
            </w:pP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spacing w:after="0"/>
            </w:pPr>
            <w:r w:rsidRPr="00360DE3">
              <w:rPr>
                <w:b/>
              </w:rPr>
              <w:t xml:space="preserve">Graf 5.3.4.  Mediány hrubých měsíčních mezd dle hlavních tříd CZ-ISCO </w:t>
            </w:r>
            <w:r w:rsidRPr="00360DE3">
              <w:t>(meziročně, v %)</w:t>
            </w:r>
            <w:r w:rsidRPr="00360DE3">
              <w:rPr>
                <w:b/>
              </w:rPr>
              <w:t xml:space="preserve"> a poměr mediánových mezd mužů a žen</w:t>
            </w:r>
            <w:r w:rsidRPr="00360DE3">
              <w:t xml:space="preserve"> (mzda mužů = 1)</w:t>
            </w:r>
          </w:p>
        </w:tc>
      </w:tr>
      <w:tr w:rsidR="00A51F19" w:rsidRPr="00360DE3" w:rsidTr="00360DE3">
        <w:trPr>
          <w:trHeight w:val="429"/>
        </w:trPr>
        <w:tc>
          <w:tcPr>
            <w:tcW w:w="1976" w:type="dxa"/>
          </w:tcPr>
          <w:p w:rsidR="00A51F19" w:rsidRPr="00360DE3" w:rsidRDefault="00A51F19" w:rsidP="005D3386">
            <w:pPr>
              <w:pStyle w:val="Marginlie"/>
              <w:rPr>
                <w:spacing w:val="0"/>
              </w:rPr>
            </w:pP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spacing w:after="0"/>
            </w:pPr>
            <w:r w:rsidRPr="00360DE3">
              <w:rPr>
                <w:noProof/>
              </w:rPr>
              <w:drawing>
                <wp:inline distT="0" distB="0" distL="0" distR="0">
                  <wp:extent cx="4672149" cy="3699164"/>
                  <wp:effectExtent l="19050" t="0" r="14151" b="0"/>
                  <wp:docPr id="4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tc>
      </w:tr>
      <w:tr w:rsidR="00A51F19" w:rsidRPr="00360DE3" w:rsidTr="00360DE3">
        <w:trPr>
          <w:trHeight w:val="429"/>
        </w:trPr>
        <w:tc>
          <w:tcPr>
            <w:tcW w:w="1976" w:type="dxa"/>
          </w:tcPr>
          <w:p w:rsidR="00A51F19" w:rsidRPr="00360DE3" w:rsidRDefault="00A51F19" w:rsidP="0061249B">
            <w:pPr>
              <w:pStyle w:val="Marginlie"/>
              <w:spacing w:after="200"/>
              <w:rPr>
                <w:spacing w:val="0"/>
              </w:rPr>
            </w:pPr>
          </w:p>
        </w:tc>
        <w:tc>
          <w:tcPr>
            <w:tcW w:w="277" w:type="dxa"/>
          </w:tcPr>
          <w:p w:rsidR="00A51F19" w:rsidRPr="00360DE3" w:rsidRDefault="00A51F19" w:rsidP="0061249B">
            <w:pPr>
              <w:pStyle w:val="Textpoznpodarou"/>
              <w:spacing w:after="200"/>
              <w:jc w:val="both"/>
            </w:pPr>
          </w:p>
        </w:tc>
        <w:tc>
          <w:tcPr>
            <w:tcW w:w="7391" w:type="dxa"/>
          </w:tcPr>
          <w:p w:rsidR="00A51F19" w:rsidRPr="00360DE3" w:rsidRDefault="00A51F19" w:rsidP="0061249B">
            <w:pPr>
              <w:spacing w:after="200"/>
            </w:pPr>
            <w:r w:rsidRPr="00360DE3">
              <w:rPr>
                <w:rFonts w:cs="Arial"/>
                <w:sz w:val="14"/>
                <w:szCs w:val="14"/>
              </w:rPr>
              <w:t>Zdroj: MPSV a ČSÚ (Strukturální mzdová statistika)</w:t>
            </w:r>
          </w:p>
        </w:tc>
      </w:tr>
      <w:tr w:rsidR="00A51F19" w:rsidRPr="00360DE3" w:rsidTr="00360DE3">
        <w:trPr>
          <w:trHeight w:val="429"/>
        </w:trPr>
        <w:tc>
          <w:tcPr>
            <w:tcW w:w="1976" w:type="dxa"/>
          </w:tcPr>
          <w:p w:rsidR="0026743D" w:rsidRPr="00360DE3" w:rsidRDefault="00A51F19" w:rsidP="005D3386">
            <w:pPr>
              <w:pStyle w:val="Marginlie"/>
              <w:rPr>
                <w:spacing w:val="0"/>
              </w:rPr>
            </w:pPr>
            <w:r w:rsidRPr="00360DE3">
              <w:rPr>
                <w:spacing w:val="0"/>
              </w:rPr>
              <w:t>Poměr výdělků vedoucích a řídících pracovníků a pomocných či nekvalifikovaných zaměstnanců se postupně snižoval.</w:t>
            </w:r>
          </w:p>
        </w:tc>
        <w:tc>
          <w:tcPr>
            <w:tcW w:w="277" w:type="dxa"/>
          </w:tcPr>
          <w:p w:rsidR="00A51F19" w:rsidRPr="00360DE3" w:rsidRDefault="00A51F19" w:rsidP="005D3386">
            <w:pPr>
              <w:pStyle w:val="Textpoznpodarou"/>
              <w:jc w:val="both"/>
            </w:pPr>
          </w:p>
        </w:tc>
        <w:tc>
          <w:tcPr>
            <w:tcW w:w="7391" w:type="dxa"/>
          </w:tcPr>
          <w:p w:rsidR="00A51F19" w:rsidRPr="00360DE3" w:rsidRDefault="00A51F19" w:rsidP="0061249B">
            <w:pPr>
              <w:spacing w:after="0"/>
            </w:pPr>
            <w:r w:rsidRPr="00360DE3">
              <w:t xml:space="preserve">Navzdory relativně slabší dynamice v posledních letech (patrné spíše než na tempech mediánové mzdy na tempech průměrné mzdy) si stále s výrazným odstupem udržují nejvyšší úroveň mezd v ekonomice zákonodárci a řídící pracovníci. Loni pobírali 2,89krát více než pomocní a nekvalifikovaní pracovníci (při vyjádření ve formě mediánové mzdy), resp. 3,56krát více (na průměrné mzdě). V roce 2015 činily obdobné relace 3,03, resp. 3,98. Variabilita mezd uvnitř jednotlivých kvalifikačních tříd klesla úměrně s náročností zaměstnání, resp. výši mzdy. Určitou anomálii </w:t>
            </w:r>
            <w:proofErr w:type="gramStart"/>
            <w:r w:rsidRPr="00360DE3">
              <w:t>představovaly</w:t>
            </w:r>
            <w:proofErr w:type="gramEnd"/>
            <w:r w:rsidRPr="00360DE3">
              <w:t xml:space="preserve"> jen výdělky v kategorii pracovníci ve službách a prodeji (zvýšená variabilita doprovázená výrazně podprůměrnou mzdovou úrovní) a také u zaměstnanců v ozbrojených silách (nízká variabilita při výrazněji nadprůměrné mzdové úrovni). Dlouhodobým specifikem posledně zmíněné kategorii je také vyšší mzdová úroveň žen než mužů (jež patrně odráží odlišnou vzdělanostní i věkovou skladbu a též velmi nízkou absolutní četnost žen). </w:t>
            </w:r>
          </w:p>
        </w:tc>
      </w:tr>
      <w:tr w:rsidR="00A51F19" w:rsidRPr="00360DE3" w:rsidTr="00360DE3">
        <w:trPr>
          <w:trHeight w:val="429"/>
        </w:trPr>
        <w:tc>
          <w:tcPr>
            <w:tcW w:w="1976" w:type="dxa"/>
          </w:tcPr>
          <w:p w:rsidR="00A51F19" w:rsidRPr="00360DE3" w:rsidRDefault="00A51F19" w:rsidP="005D3386">
            <w:pPr>
              <w:pStyle w:val="Marginlie"/>
              <w:rPr>
                <w:spacing w:val="0"/>
              </w:rPr>
            </w:pP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spacing w:after="0"/>
            </w:pPr>
            <w:r w:rsidRPr="00360DE3">
              <w:rPr>
                <w:b/>
              </w:rPr>
              <w:t xml:space="preserve">Graf </w:t>
            </w:r>
            <w:proofErr w:type="gramStart"/>
            <w:r w:rsidRPr="00360DE3">
              <w:rPr>
                <w:b/>
              </w:rPr>
              <w:t>5.3.5  Průměrné</w:t>
            </w:r>
            <w:proofErr w:type="gramEnd"/>
            <w:r w:rsidRPr="00360DE3">
              <w:rPr>
                <w:b/>
              </w:rPr>
              <w:t xml:space="preserve"> mzdy v krajích dle hlavních tříd zaměstnání</w:t>
            </w:r>
            <w:r w:rsidRPr="00360DE3">
              <w:t xml:space="preserve"> </w:t>
            </w:r>
          </w:p>
          <w:p w:rsidR="00A51F19" w:rsidRPr="00360DE3" w:rsidRDefault="00A51F19" w:rsidP="005D3386">
            <w:pPr>
              <w:spacing w:after="0"/>
            </w:pPr>
            <w:r w:rsidRPr="00360DE3">
              <w:t xml:space="preserve">(mzda v dané třídě zaměstnání v ČR = 100, srovnání let 2012 a 2017 </w:t>
            </w:r>
          </w:p>
        </w:tc>
      </w:tr>
      <w:tr w:rsidR="00A51F19" w:rsidRPr="00360DE3" w:rsidTr="00360DE3">
        <w:trPr>
          <w:trHeight w:val="429"/>
        </w:trPr>
        <w:tc>
          <w:tcPr>
            <w:tcW w:w="1976" w:type="dxa"/>
          </w:tcPr>
          <w:p w:rsidR="00A51F19" w:rsidRPr="00360DE3" w:rsidRDefault="00A51F19" w:rsidP="005D3386">
            <w:pPr>
              <w:pStyle w:val="Marginlie"/>
              <w:rPr>
                <w:spacing w:val="0"/>
              </w:rPr>
            </w:pP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spacing w:after="0"/>
            </w:pPr>
            <w:r w:rsidRPr="00360DE3">
              <w:rPr>
                <w:noProof/>
              </w:rPr>
              <w:drawing>
                <wp:inline distT="0" distB="0" distL="0" distR="0">
                  <wp:extent cx="4633912" cy="3661480"/>
                  <wp:effectExtent l="19050" t="0" r="0" b="0"/>
                  <wp:docPr id="42"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c>
      </w:tr>
      <w:tr w:rsidR="00A51F19" w:rsidRPr="00360DE3" w:rsidTr="00360DE3">
        <w:trPr>
          <w:trHeight w:val="429"/>
        </w:trPr>
        <w:tc>
          <w:tcPr>
            <w:tcW w:w="1976" w:type="dxa"/>
          </w:tcPr>
          <w:p w:rsidR="00A51F19" w:rsidRPr="00360DE3" w:rsidRDefault="00A51F19" w:rsidP="005D3386">
            <w:pPr>
              <w:pStyle w:val="Marginlie"/>
              <w:rPr>
                <w:spacing w:val="0"/>
              </w:rPr>
            </w:pP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spacing w:after="0"/>
              <w:rPr>
                <w:rFonts w:cs="Arial"/>
                <w:sz w:val="14"/>
                <w:szCs w:val="14"/>
              </w:rPr>
            </w:pPr>
            <w:r w:rsidRPr="00360DE3">
              <w:rPr>
                <w:rFonts w:cs="Arial"/>
                <w:sz w:val="14"/>
                <w:szCs w:val="14"/>
              </w:rPr>
              <w:t>Pozn.:Vzhledem k nízké spolehlivosti údajů v regionálním členění nejsou uvedeny třídy: Kvalifikovaní pracovníci v zemědělství, lesnictví a rybářství a dále také Zaměstnanci v ozbrojených složkách.</w:t>
            </w:r>
          </w:p>
          <w:p w:rsidR="00A51F19" w:rsidRPr="00360DE3" w:rsidRDefault="00A51F19" w:rsidP="005D3386">
            <w:r w:rsidRPr="00360DE3">
              <w:rPr>
                <w:rFonts w:cs="Arial"/>
                <w:sz w:val="14"/>
                <w:szCs w:val="14"/>
              </w:rPr>
              <w:t>Zdroj: MPSV a ČSÚ (Strukturální mzdová statistika)</w:t>
            </w:r>
          </w:p>
        </w:tc>
      </w:tr>
      <w:tr w:rsidR="00A51F19" w:rsidRPr="00360DE3" w:rsidTr="00360DE3">
        <w:trPr>
          <w:trHeight w:val="145"/>
        </w:trPr>
        <w:tc>
          <w:tcPr>
            <w:tcW w:w="1976" w:type="dxa"/>
          </w:tcPr>
          <w:p w:rsidR="00A51F19" w:rsidRPr="00360DE3" w:rsidRDefault="00A51F19" w:rsidP="005D3386">
            <w:pPr>
              <w:pStyle w:val="Marginlie"/>
              <w:rPr>
                <w:spacing w:val="0"/>
              </w:rPr>
            </w:pPr>
            <w:r w:rsidRPr="00360DE3">
              <w:rPr>
                <w:spacing w:val="0"/>
              </w:rPr>
              <w:t>Převis Prahy nad ostatními regiony z pohledu výše mezd se zmenšoval. Rozdíly mezi ostatními kraji se výrazněji neměnily.</w:t>
            </w: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rPr>
                <w:rFonts w:cs="Arial"/>
                <w:color w:val="0D0D0D" w:themeColor="text1" w:themeTint="F2"/>
              </w:rPr>
            </w:pPr>
            <w:r w:rsidRPr="00360DE3">
              <w:rPr>
                <w:rFonts w:cs="Arial"/>
                <w:color w:val="0D0D0D" w:themeColor="text1" w:themeTint="F2"/>
              </w:rPr>
              <w:t>V roce 2017 převyšovala mzda v Praze průměrno</w:t>
            </w:r>
            <w:r w:rsidR="006836CB">
              <w:rPr>
                <w:rFonts w:cs="Arial"/>
                <w:color w:val="0D0D0D" w:themeColor="text1" w:themeTint="F2"/>
              </w:rPr>
              <w:t>u mzdu na v celé ekonomice o</w:t>
            </w:r>
            <w:r w:rsidR="006836CB" w:rsidRPr="00360DE3">
              <w:rPr>
                <w:rFonts w:cs="Arial"/>
                <w:color w:val="0D0D0D" w:themeColor="text1" w:themeTint="F2"/>
              </w:rPr>
              <w:t> </w:t>
            </w:r>
            <w:r w:rsidR="006836CB">
              <w:rPr>
                <w:rFonts w:cs="Arial"/>
                <w:color w:val="0D0D0D" w:themeColor="text1" w:themeTint="F2"/>
              </w:rPr>
              <w:t>28</w:t>
            </w:r>
            <w:r w:rsidR="006836CB" w:rsidRPr="00360DE3">
              <w:rPr>
                <w:rFonts w:cs="Arial"/>
                <w:color w:val="0D0D0D" w:themeColor="text1" w:themeTint="F2"/>
              </w:rPr>
              <w:t> </w:t>
            </w:r>
            <w:r w:rsidRPr="00360DE3">
              <w:rPr>
                <w:rFonts w:cs="Arial"/>
                <w:color w:val="0D0D0D" w:themeColor="text1" w:themeTint="F2"/>
              </w:rPr>
              <w:t>%, v případě mediánu o 19 %. Z ostatních regionů platilo totéž jen pro Středočeský kraj (u průměrné mzdy), popř. ještě doplněný krajem Plzeňským (u mediánové mzdy).  Převis Prahy nad národní úrovní se v posledních letech snížil – v roce 2012 dosahoval u průměrné mzdy 36 % (resp. 24 % u mediánové mzdy). Rozdíly mezi mimopražským i kraji se za posledních pět let výrazněji nezměnily. Nejnižší mzdová úroveň přetrvává na Karlovarsku (87 % národní úrovně v roce 2017, resp. 83 % před pěti lety). V pořadí regionů si mírně polepšil Plzeňský kraj, slabší mzdovou dynamiku naopak vedle Prahy vykázal také kraj Moravskoslezský.</w:t>
            </w:r>
          </w:p>
        </w:tc>
      </w:tr>
      <w:tr w:rsidR="00A51F19" w:rsidRPr="00360DE3" w:rsidTr="00360DE3">
        <w:trPr>
          <w:trHeight w:val="145"/>
        </w:trPr>
        <w:tc>
          <w:tcPr>
            <w:tcW w:w="1976" w:type="dxa"/>
          </w:tcPr>
          <w:p w:rsidR="00A51F19" w:rsidRPr="00360DE3" w:rsidRDefault="00A51F19" w:rsidP="005D3386">
            <w:pPr>
              <w:pStyle w:val="Marginlie"/>
              <w:rPr>
                <w:spacing w:val="0"/>
              </w:rPr>
            </w:pPr>
            <w:r w:rsidRPr="00360DE3">
              <w:rPr>
                <w:spacing w:val="0"/>
              </w:rPr>
              <w:t xml:space="preserve">Mzdová dominace Prahy nad ostatními regiony se snižovala úměrně s kvalifikačními nároky v zaměstnání. Vedoucí postavení ztrácela </w:t>
            </w:r>
            <w:r w:rsidR="0026743D">
              <w:rPr>
                <w:spacing w:val="0"/>
              </w:rPr>
              <w:t>u</w:t>
            </w:r>
            <w:r w:rsidR="0026743D" w:rsidRPr="00360DE3">
              <w:rPr>
                <w:spacing w:val="0"/>
              </w:rPr>
              <w:t> </w:t>
            </w:r>
            <w:r w:rsidRPr="00360DE3">
              <w:rPr>
                <w:spacing w:val="0"/>
              </w:rPr>
              <w:t>manuálních činností.</w:t>
            </w:r>
          </w:p>
        </w:tc>
        <w:tc>
          <w:tcPr>
            <w:tcW w:w="277" w:type="dxa"/>
          </w:tcPr>
          <w:p w:rsidR="00A51F19" w:rsidRPr="00360DE3" w:rsidRDefault="00A51F19" w:rsidP="005D3386">
            <w:pPr>
              <w:pStyle w:val="Textpoznpodarou"/>
              <w:jc w:val="both"/>
            </w:pPr>
          </w:p>
        </w:tc>
        <w:tc>
          <w:tcPr>
            <w:tcW w:w="7391" w:type="dxa"/>
          </w:tcPr>
          <w:p w:rsidR="00A51F19" w:rsidRPr="00360DE3" w:rsidRDefault="00A51F19" w:rsidP="005D3386">
            <w:pPr>
              <w:spacing w:after="0"/>
              <w:rPr>
                <w:rFonts w:cs="Arial"/>
                <w:color w:val="0D0D0D" w:themeColor="text1" w:themeTint="F2"/>
              </w:rPr>
            </w:pPr>
            <w:r w:rsidRPr="00360DE3">
              <w:rPr>
                <w:rFonts w:cs="Arial"/>
                <w:color w:val="0D0D0D" w:themeColor="text1" w:themeTint="F2"/>
              </w:rPr>
              <w:t xml:space="preserve">V rámci hlavních tříd zaměstnání dosahovala </w:t>
            </w:r>
            <w:r w:rsidR="006836CB">
              <w:rPr>
                <w:rFonts w:cs="Arial"/>
                <w:color w:val="0D0D0D" w:themeColor="text1" w:themeTint="F2"/>
              </w:rPr>
              <w:t>loni Praha největší dominance u</w:t>
            </w:r>
            <w:r w:rsidR="006836CB" w:rsidRPr="00360DE3">
              <w:rPr>
                <w:rFonts w:cs="Arial"/>
                <w:color w:val="0D0D0D" w:themeColor="text1" w:themeTint="F2"/>
              </w:rPr>
              <w:t> </w:t>
            </w:r>
            <w:r w:rsidRPr="00360DE3">
              <w:rPr>
                <w:rFonts w:cs="Arial"/>
                <w:color w:val="0D0D0D" w:themeColor="text1" w:themeTint="F2"/>
              </w:rPr>
              <w:t xml:space="preserve">řídících pracovníků, u nichž průměrná hrubá měsíční mzda v metropoli (85 tis. korun) byla oproti Karlovarskému kraji vyšší o 78 %. Výsostné postavení Prahy panovalo také u specialistů, naopak v kvalifikovaných manuálních profesích ji pokořil Středočeský kraj (kde lze předpokládat dobré uplatnění těchto pracovníků v automobilovém průmyslu a na něj navázaných oborech). Průměrné mzdy pomocných a nekvalifikovaných pracovníků v Praze se dokonce nacházely pod celorepublikovým průměrem této třídy. Nejméně kvalifikovaní pracovníci na Plzeňsku si tak vydělali o osminu více než v Praze (absolutně šlo ale jen o 2,3 tis. korun měsíčně). Nejnižší </w:t>
            </w:r>
            <w:proofErr w:type="spellStart"/>
            <w:r w:rsidRPr="00360DE3">
              <w:rPr>
                <w:rFonts w:cs="Arial"/>
                <w:color w:val="0D0D0D" w:themeColor="text1" w:themeTint="F2"/>
              </w:rPr>
              <w:t>mezikrajské</w:t>
            </w:r>
            <w:proofErr w:type="spellEnd"/>
            <w:r w:rsidRPr="00360DE3">
              <w:rPr>
                <w:rFonts w:cs="Arial"/>
                <w:color w:val="0D0D0D" w:themeColor="text1" w:themeTint="F2"/>
              </w:rPr>
              <w:t xml:space="preserve"> disparity dlouhodobě přetrvávají </w:t>
            </w:r>
            <w:r w:rsidR="0026207F">
              <w:rPr>
                <w:rFonts w:cs="Arial"/>
                <w:color w:val="0D0D0D" w:themeColor="text1" w:themeTint="F2"/>
              </w:rPr>
              <w:t xml:space="preserve">v </w:t>
            </w:r>
            <w:r w:rsidRPr="00360DE3">
              <w:rPr>
                <w:rFonts w:cs="Arial"/>
                <w:color w:val="0D0D0D" w:themeColor="text1" w:themeTint="F2"/>
              </w:rPr>
              <w:t>kategorii obsluha strojů a zařízení (od 24,0 tis. na Pardubicku po 27,6 tis. ve Středočeském kraji).</w:t>
            </w:r>
          </w:p>
        </w:tc>
      </w:tr>
    </w:tbl>
    <w:p w:rsidR="005D3386" w:rsidRPr="00360DE3" w:rsidRDefault="005D3386" w:rsidP="005D3386">
      <w:pPr>
        <w:rPr>
          <w:sz w:val="2"/>
          <w:szCs w:val="2"/>
        </w:rPr>
      </w:pPr>
    </w:p>
    <w:p w:rsidR="00C466D2" w:rsidRPr="00360DE3" w:rsidRDefault="00C466D2" w:rsidP="00C466D2">
      <w:pPr>
        <w:rPr>
          <w:rFonts w:eastAsia="MS Gothic"/>
          <w:color w:val="71818C"/>
          <w:sz w:val="32"/>
          <w:szCs w:val="28"/>
        </w:rPr>
      </w:pPr>
      <w:r w:rsidRPr="00360DE3">
        <w:br w:type="page"/>
      </w:r>
    </w:p>
    <w:p w:rsidR="00141782" w:rsidRPr="00360DE3" w:rsidRDefault="00141782" w:rsidP="00141782">
      <w:pPr>
        <w:pStyle w:val="Nadpis1"/>
        <w:rPr>
          <w:lang w:eastAsia="en-US"/>
        </w:rPr>
      </w:pPr>
      <w:bookmarkStart w:id="19" w:name="_Toc527639474"/>
      <w:r w:rsidRPr="00360DE3">
        <w:rPr>
          <w:lang w:eastAsia="en-US"/>
        </w:rPr>
        <w:lastRenderedPageBreak/>
        <w:t>Hlavní institucionální sektory ekonomiky</w:t>
      </w:r>
      <w:bookmarkEnd w:id="19"/>
    </w:p>
    <w:p w:rsidR="00141782" w:rsidRPr="00360DE3" w:rsidRDefault="00E212C9" w:rsidP="00141782">
      <w:pPr>
        <w:pStyle w:val="Nadpis1"/>
        <w:rPr>
          <w:lang w:eastAsia="en-US"/>
        </w:rPr>
      </w:pPr>
      <w:bookmarkStart w:id="20" w:name="_Toc527639475"/>
      <w:r w:rsidRPr="00360DE3">
        <w:rPr>
          <w:lang w:eastAsia="en-US"/>
        </w:rPr>
        <w:t>6</w:t>
      </w:r>
      <w:r w:rsidR="00141782" w:rsidRPr="00360DE3">
        <w:rPr>
          <w:lang w:eastAsia="en-US"/>
        </w:rPr>
        <w:t>. Nefinanční podniky</w:t>
      </w:r>
      <w:bookmarkEnd w:id="20"/>
    </w:p>
    <w:tbl>
      <w:tblPr>
        <w:tblW w:w="9644" w:type="dxa"/>
        <w:tblInd w:w="-15" w:type="dxa"/>
        <w:tblLayout w:type="fixed"/>
        <w:tblCellMar>
          <w:left w:w="0" w:type="dxa"/>
          <w:right w:w="0" w:type="dxa"/>
        </w:tblCellMar>
        <w:tblLook w:val="00A0"/>
      </w:tblPr>
      <w:tblGrid>
        <w:gridCol w:w="1976"/>
        <w:gridCol w:w="277"/>
        <w:gridCol w:w="7391"/>
      </w:tblGrid>
      <w:tr w:rsidR="009C03C8" w:rsidRPr="00157A87" w:rsidTr="00DF7AD4">
        <w:trPr>
          <w:trHeight w:val="145"/>
        </w:trPr>
        <w:tc>
          <w:tcPr>
            <w:tcW w:w="1976" w:type="dxa"/>
          </w:tcPr>
          <w:p w:rsidR="009C03C8" w:rsidRPr="00157A87" w:rsidRDefault="009C03C8" w:rsidP="00DF7AD4">
            <w:pPr>
              <w:pStyle w:val="Marginlie"/>
            </w:pPr>
            <w:r>
              <w:t>Váha sektoru nefinančních podniků na hrubé přidané hodnotě v celé ekonomice po roce 2010 plynule narůstala.</w:t>
            </w:r>
          </w:p>
        </w:tc>
        <w:tc>
          <w:tcPr>
            <w:tcW w:w="277" w:type="dxa"/>
          </w:tcPr>
          <w:p w:rsidR="009C03C8" w:rsidRPr="00157A87" w:rsidRDefault="009C03C8" w:rsidP="00DF7AD4">
            <w:pPr>
              <w:pStyle w:val="Textpoznpodarou"/>
              <w:jc w:val="both"/>
              <w:rPr>
                <w:spacing w:val="-4"/>
              </w:rPr>
            </w:pPr>
          </w:p>
        </w:tc>
        <w:tc>
          <w:tcPr>
            <w:tcW w:w="7391" w:type="dxa"/>
          </w:tcPr>
          <w:p w:rsidR="009C03C8" w:rsidRPr="00E972A9" w:rsidRDefault="009C03C8" w:rsidP="00DF7AD4">
            <w:pPr>
              <w:rPr>
                <w:rFonts w:cs="Arial"/>
                <w:spacing w:val="-4"/>
                <w:szCs w:val="20"/>
              </w:rPr>
            </w:pPr>
            <w:r w:rsidRPr="00E972A9">
              <w:rPr>
                <w:rFonts w:cs="Arial"/>
                <w:spacing w:val="-4"/>
                <w:szCs w:val="20"/>
              </w:rPr>
              <w:t>Nefinanční podniky tvoří v Česku podobně jako v ostatních vyspělých státech páteř celé ekonomiky, neboť prostupují drtivou většinou odvětví</w:t>
            </w:r>
            <w:r w:rsidRPr="00E04F27">
              <w:rPr>
                <w:rStyle w:val="Znakapoznpodarou"/>
                <w:rFonts w:cs="Arial"/>
                <w:spacing w:val="-4"/>
                <w:szCs w:val="20"/>
              </w:rPr>
              <w:footnoteReference w:id="29"/>
            </w:r>
            <w:r w:rsidRPr="00E04F27">
              <w:rPr>
                <w:rFonts w:cs="Arial"/>
                <w:spacing w:val="-4"/>
                <w:szCs w:val="20"/>
                <w:vertAlign w:val="superscript"/>
              </w:rPr>
              <w:t>.</w:t>
            </w:r>
            <w:r w:rsidRPr="00E972A9">
              <w:rPr>
                <w:rFonts w:cs="Arial"/>
                <w:spacing w:val="-4"/>
                <w:szCs w:val="20"/>
              </w:rPr>
              <w:t xml:space="preserve"> Sehrávají klíčovou roli v oblasti produkce, investic či zaměstnanosti. V roce 2017 se tento sektor podílel na hrubé přidané hodnotě (HPH) v národním hospodářství rekordními 62,7 %. Po </w:t>
            </w:r>
            <w:proofErr w:type="gramStart"/>
            <w:r w:rsidRPr="00E972A9">
              <w:rPr>
                <w:rFonts w:cs="Arial"/>
                <w:spacing w:val="-4"/>
                <w:szCs w:val="20"/>
              </w:rPr>
              <w:t>roce  2010</w:t>
            </w:r>
            <w:proofErr w:type="gramEnd"/>
            <w:r w:rsidRPr="00E972A9">
              <w:rPr>
                <w:rFonts w:cs="Arial"/>
                <w:spacing w:val="-4"/>
                <w:szCs w:val="20"/>
              </w:rPr>
              <w:t xml:space="preserve"> jeho váha plynule narůstá </w:t>
            </w:r>
            <w:r w:rsidR="0026743D">
              <w:rPr>
                <w:rFonts w:cs="Arial"/>
                <w:spacing w:val="-4"/>
                <w:szCs w:val="20"/>
              </w:rPr>
              <w:t>(na úkor všech ostatních sektorů</w:t>
            </w:r>
            <w:r w:rsidRPr="00E972A9">
              <w:rPr>
                <w:rFonts w:cs="Arial"/>
                <w:spacing w:val="-4"/>
                <w:szCs w:val="20"/>
              </w:rPr>
              <w:t xml:space="preserve">, především domácností). Působení nefinančních podniků má </w:t>
            </w:r>
            <w:proofErr w:type="spellStart"/>
            <w:r w:rsidRPr="00E972A9">
              <w:rPr>
                <w:rFonts w:cs="Arial"/>
                <w:spacing w:val="-4"/>
                <w:szCs w:val="20"/>
              </w:rPr>
              <w:t>procyklický</w:t>
            </w:r>
            <w:proofErr w:type="spellEnd"/>
            <w:r w:rsidRPr="00E972A9">
              <w:rPr>
                <w:rFonts w:cs="Arial"/>
                <w:spacing w:val="-4"/>
                <w:szCs w:val="20"/>
              </w:rPr>
              <w:t xml:space="preserve"> charakter, což souvisí se skutečností, že téměř polovina jeho HPH pochází z průmyslu (výrazně exportně orientovaného) a další osminu z oborů na něj těsněji navázaných (doprava a skladování, stavebnictví). Citlivost nefinančních podniků na vývoj zahraniční poptávky nepřímo dokládá i vysoký podíl HPH vytvořené v tomto sektoru v subjektech pod zahraniční kontrolou (v roce 2016 již 48 %, v samotném průmyslu 60 %).</w:t>
            </w:r>
          </w:p>
        </w:tc>
      </w:tr>
      <w:tr w:rsidR="009C03C8" w:rsidRPr="00894C66" w:rsidTr="00DF7AD4">
        <w:tc>
          <w:tcPr>
            <w:tcW w:w="1976" w:type="dxa"/>
            <w:vMerge w:val="restart"/>
          </w:tcPr>
          <w:p w:rsidR="009C03C8" w:rsidRDefault="009C03C8" w:rsidP="00DF7AD4">
            <w:pPr>
              <w:pStyle w:val="Marginlie"/>
            </w:pPr>
          </w:p>
        </w:tc>
        <w:tc>
          <w:tcPr>
            <w:tcW w:w="277" w:type="dxa"/>
            <w:vMerge w:val="restart"/>
          </w:tcPr>
          <w:p w:rsidR="009C03C8" w:rsidRPr="005E4483" w:rsidRDefault="009C03C8" w:rsidP="00DF7AD4">
            <w:pPr>
              <w:pStyle w:val="Textpoznpodarou"/>
              <w:jc w:val="both"/>
              <w:rPr>
                <w:spacing w:val="-4"/>
              </w:rPr>
            </w:pPr>
          </w:p>
        </w:tc>
        <w:tc>
          <w:tcPr>
            <w:tcW w:w="7391" w:type="dxa"/>
          </w:tcPr>
          <w:p w:rsidR="009C03C8" w:rsidRPr="006C7614" w:rsidRDefault="009C03C8" w:rsidP="00DF7AD4">
            <w:pPr>
              <w:spacing w:after="0"/>
              <w:rPr>
                <w:b/>
              </w:rPr>
            </w:pPr>
            <w:r>
              <w:rPr>
                <w:b/>
              </w:rPr>
              <w:t xml:space="preserve">Graf </w:t>
            </w:r>
            <w:proofErr w:type="gramStart"/>
            <w:r>
              <w:rPr>
                <w:b/>
              </w:rPr>
              <w:t xml:space="preserve">6.1  </w:t>
            </w:r>
            <w:r w:rsidRPr="006C7614">
              <w:rPr>
                <w:b/>
                <w:bCs/>
              </w:rPr>
              <w:t>Základní</w:t>
            </w:r>
            <w:proofErr w:type="gramEnd"/>
            <w:r w:rsidRPr="006C7614">
              <w:rPr>
                <w:b/>
                <w:bCs/>
              </w:rPr>
              <w:t xml:space="preserve"> ukazatele </w:t>
            </w:r>
            <w:r>
              <w:rPr>
                <w:b/>
                <w:bCs/>
              </w:rPr>
              <w:t xml:space="preserve">sektoru nefinančních podniků </w:t>
            </w:r>
          </w:p>
          <w:p w:rsidR="009C03C8" w:rsidRPr="004454DC" w:rsidRDefault="009C03C8" w:rsidP="00DF7AD4">
            <w:pPr>
              <w:spacing w:after="0"/>
              <w:rPr>
                <w:b/>
              </w:rPr>
            </w:pPr>
            <w:r w:rsidRPr="00CE22E1">
              <w:rPr>
                <w:b/>
                <w:noProof/>
              </w:rPr>
              <w:drawing>
                <wp:inline distT="0" distB="0" distL="0" distR="0">
                  <wp:extent cx="4641850" cy="3657600"/>
                  <wp:effectExtent l="19050" t="0" r="6350" b="0"/>
                  <wp:docPr id="4"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c>
      </w:tr>
      <w:tr w:rsidR="009C03C8" w:rsidRPr="00894C66" w:rsidTr="00DF7AD4">
        <w:trPr>
          <w:trHeight w:val="284"/>
        </w:trPr>
        <w:tc>
          <w:tcPr>
            <w:tcW w:w="1976" w:type="dxa"/>
            <w:vMerge/>
          </w:tcPr>
          <w:p w:rsidR="009C03C8" w:rsidRDefault="009C03C8" w:rsidP="00DF7AD4">
            <w:pPr>
              <w:pStyle w:val="Marginlie"/>
            </w:pPr>
          </w:p>
        </w:tc>
        <w:tc>
          <w:tcPr>
            <w:tcW w:w="277" w:type="dxa"/>
            <w:vMerge/>
          </w:tcPr>
          <w:p w:rsidR="009C03C8" w:rsidRPr="005E4483" w:rsidRDefault="009C03C8" w:rsidP="00DF7AD4">
            <w:pPr>
              <w:pStyle w:val="Textpoznpodarou"/>
              <w:jc w:val="both"/>
              <w:rPr>
                <w:spacing w:val="-4"/>
              </w:rPr>
            </w:pPr>
          </w:p>
        </w:tc>
        <w:tc>
          <w:tcPr>
            <w:tcW w:w="7391" w:type="dxa"/>
          </w:tcPr>
          <w:p w:rsidR="009C03C8" w:rsidRPr="00B75F8F" w:rsidRDefault="009C03C8" w:rsidP="00DF7AD4">
            <w:pPr>
              <w:spacing w:after="0" w:line="240" w:lineRule="auto"/>
              <w:rPr>
                <w:sz w:val="14"/>
                <w:szCs w:val="14"/>
              </w:rPr>
            </w:pPr>
            <w:r w:rsidRPr="00B75F8F">
              <w:rPr>
                <w:sz w:val="14"/>
                <w:szCs w:val="14"/>
              </w:rPr>
              <w:t xml:space="preserve">Poznámky k výpočtu relativních ukazatelů: </w:t>
            </w:r>
          </w:p>
          <w:p w:rsidR="009C03C8" w:rsidRPr="00B75F8F" w:rsidRDefault="009C03C8" w:rsidP="00DF7AD4">
            <w:pPr>
              <w:spacing w:after="0" w:line="240" w:lineRule="auto"/>
              <w:rPr>
                <w:sz w:val="14"/>
                <w:szCs w:val="14"/>
              </w:rPr>
            </w:pPr>
            <w:r w:rsidRPr="00B75F8F">
              <w:rPr>
                <w:sz w:val="14"/>
                <w:szCs w:val="14"/>
              </w:rPr>
              <w:t>Míra zisku = hrubý provozní přebytek / hrubá přidaná hodnota * 100</w:t>
            </w:r>
          </w:p>
          <w:p w:rsidR="009C03C8" w:rsidRPr="00B75F8F" w:rsidRDefault="009C03C8" w:rsidP="00DF7AD4">
            <w:pPr>
              <w:spacing w:after="0" w:line="240" w:lineRule="auto"/>
              <w:rPr>
                <w:sz w:val="14"/>
                <w:szCs w:val="14"/>
              </w:rPr>
            </w:pPr>
            <w:r w:rsidRPr="00B75F8F">
              <w:rPr>
                <w:sz w:val="14"/>
                <w:szCs w:val="14"/>
              </w:rPr>
              <w:t>Míra investic = hrubá tvorba fixního kapitálu / hrubá přidaná hodnota * 100</w:t>
            </w:r>
          </w:p>
          <w:p w:rsidR="009C03C8" w:rsidRPr="00B75F8F" w:rsidRDefault="009C03C8" w:rsidP="00DF7AD4">
            <w:pPr>
              <w:spacing w:after="0" w:line="240" w:lineRule="auto"/>
              <w:rPr>
                <w:sz w:val="14"/>
                <w:szCs w:val="14"/>
              </w:rPr>
            </w:pPr>
            <w:r w:rsidRPr="00B75F8F">
              <w:rPr>
                <w:sz w:val="14"/>
                <w:szCs w:val="14"/>
              </w:rPr>
              <w:t>Míra samofinancování (užší pojetí) = hrubé úspory / hrubá tvorba fixního kapitálu *100</w:t>
            </w:r>
          </w:p>
          <w:p w:rsidR="009C03C8" w:rsidRPr="00D209A6" w:rsidRDefault="009C03C8" w:rsidP="00DF7AD4">
            <w:pPr>
              <w:spacing w:after="0" w:line="240" w:lineRule="auto"/>
              <w:rPr>
                <w:sz w:val="14"/>
                <w:szCs w:val="14"/>
              </w:rPr>
            </w:pPr>
            <w:r w:rsidRPr="00B75F8F">
              <w:rPr>
                <w:sz w:val="14"/>
                <w:szCs w:val="14"/>
              </w:rPr>
              <w:t>Míra samofinancování (širší pojetí) = (hrubé úspory + saldo kapitálových transferů) / (hrubá tvorba kapitálu+čisté přírůstky půdy a nehmotných aktiv) * 100</w:t>
            </w:r>
          </w:p>
          <w:p w:rsidR="009C03C8" w:rsidRPr="00444E6D" w:rsidRDefault="009C03C8" w:rsidP="009C03C8">
            <w:pPr>
              <w:pStyle w:val="Zhlav"/>
              <w:spacing w:after="240" w:line="276" w:lineRule="auto"/>
              <w:jc w:val="both"/>
              <w:rPr>
                <w:rFonts w:cs="Arial"/>
                <w:sz w:val="14"/>
                <w:szCs w:val="14"/>
                <w:lang w:eastAsia="cs-CZ"/>
              </w:rPr>
            </w:pPr>
            <w:r w:rsidRPr="00B75F8F">
              <w:rPr>
                <w:rFonts w:cs="Arial"/>
                <w:sz w:val="14"/>
                <w:szCs w:val="14"/>
                <w:lang w:eastAsia="cs-CZ"/>
              </w:rPr>
              <w:t>Zdroj: ČSÚ (národní účty)</w:t>
            </w:r>
            <w:r w:rsidRPr="00B75F8F">
              <w:rPr>
                <w:rFonts w:cs="Arial"/>
                <w:szCs w:val="16"/>
                <w:lang w:eastAsia="cs-CZ"/>
              </w:rPr>
              <w:t xml:space="preserve"> </w:t>
            </w:r>
          </w:p>
        </w:tc>
      </w:tr>
      <w:tr w:rsidR="009C03C8" w:rsidRPr="00894C66" w:rsidTr="00DF7AD4">
        <w:trPr>
          <w:trHeight w:val="145"/>
        </w:trPr>
        <w:tc>
          <w:tcPr>
            <w:tcW w:w="1976" w:type="dxa"/>
          </w:tcPr>
          <w:p w:rsidR="009C03C8" w:rsidRDefault="009C03C8" w:rsidP="00DF7AD4">
            <w:pPr>
              <w:pStyle w:val="Marginlie"/>
            </w:pPr>
            <w:r>
              <w:t>Růstové tempo zaměstnanosti v nefinančních podnicích sláblo, přesto bylo vyšší než v celé ekonomice.</w:t>
            </w:r>
          </w:p>
          <w:p w:rsidR="009C03C8" w:rsidRDefault="009C03C8" w:rsidP="00DF7AD4">
            <w:pPr>
              <w:pStyle w:val="Marginlie"/>
            </w:pPr>
          </w:p>
          <w:p w:rsidR="009C03C8" w:rsidRDefault="009C03C8" w:rsidP="00DF7AD4">
            <w:pPr>
              <w:pStyle w:val="Marginlie"/>
            </w:pPr>
          </w:p>
          <w:p w:rsidR="009C03C8" w:rsidRDefault="009C03C8" w:rsidP="00DF7AD4">
            <w:pPr>
              <w:pStyle w:val="Marginlie"/>
            </w:pPr>
          </w:p>
          <w:p w:rsidR="009C03C8" w:rsidRDefault="009C03C8" w:rsidP="00DF7AD4">
            <w:pPr>
              <w:pStyle w:val="Marginlie"/>
            </w:pPr>
          </w:p>
          <w:p w:rsidR="009C03C8" w:rsidRDefault="009C03C8" w:rsidP="00DF7AD4">
            <w:pPr>
              <w:pStyle w:val="Marginlie"/>
            </w:pPr>
            <w:r>
              <w:t>Náklady práce jsou relativně nejvíce zatíženy soukromé podniky s převahou národního kapitálu, nejméně veřejné nefinanční podniky.</w:t>
            </w:r>
          </w:p>
        </w:tc>
        <w:tc>
          <w:tcPr>
            <w:tcW w:w="277" w:type="dxa"/>
          </w:tcPr>
          <w:p w:rsidR="009C03C8" w:rsidRPr="005E4483" w:rsidRDefault="009C03C8" w:rsidP="00DF7AD4">
            <w:pPr>
              <w:pStyle w:val="Textpoznpodarou"/>
              <w:jc w:val="both"/>
              <w:rPr>
                <w:spacing w:val="-4"/>
              </w:rPr>
            </w:pPr>
          </w:p>
        </w:tc>
        <w:tc>
          <w:tcPr>
            <w:tcW w:w="7391" w:type="dxa"/>
          </w:tcPr>
          <w:p w:rsidR="009C03C8" w:rsidRPr="00E972A9" w:rsidRDefault="009C03C8" w:rsidP="009C03C8">
            <w:pPr>
              <w:rPr>
                <w:rFonts w:cs="Arial"/>
                <w:spacing w:val="-4"/>
                <w:szCs w:val="20"/>
              </w:rPr>
            </w:pPr>
            <w:r w:rsidRPr="00E972A9">
              <w:rPr>
                <w:rFonts w:cs="Arial"/>
                <w:spacing w:val="-4"/>
                <w:szCs w:val="20"/>
              </w:rPr>
              <w:t>V sektoru nefinančních podniků loni pracovalo 3,183 mil. lidí (po přepočtu na plné úvazky)</w:t>
            </w:r>
            <w:r w:rsidRPr="00E04F27">
              <w:rPr>
                <w:rStyle w:val="Znakapoznpodarou"/>
                <w:rFonts w:cs="Arial"/>
                <w:spacing w:val="-4"/>
                <w:szCs w:val="20"/>
              </w:rPr>
              <w:footnoteReference w:id="30"/>
            </w:r>
            <w:r w:rsidRPr="00E972A9">
              <w:rPr>
                <w:rFonts w:cs="Arial"/>
                <w:spacing w:val="-4"/>
                <w:szCs w:val="20"/>
              </w:rPr>
              <w:t xml:space="preserve">. Na zaměstnanosti v celé ekonomice se podílel 60,6 % (v případě zaměstnanců byl tento podíl ještě o zhruba 10 p. </w:t>
            </w:r>
            <w:proofErr w:type="spellStart"/>
            <w:r w:rsidRPr="00E972A9">
              <w:rPr>
                <w:rFonts w:cs="Arial"/>
                <w:spacing w:val="-4"/>
                <w:szCs w:val="20"/>
              </w:rPr>
              <w:t>b</w:t>
            </w:r>
            <w:proofErr w:type="spellEnd"/>
            <w:r w:rsidRPr="00E972A9">
              <w:rPr>
                <w:rFonts w:cs="Arial"/>
                <w:spacing w:val="-4"/>
                <w:szCs w:val="20"/>
              </w:rPr>
              <w:t xml:space="preserve">. </w:t>
            </w:r>
            <w:proofErr w:type="gramStart"/>
            <w:r w:rsidRPr="00E972A9">
              <w:rPr>
                <w:rFonts w:cs="Arial"/>
                <w:spacing w:val="-4"/>
                <w:szCs w:val="20"/>
              </w:rPr>
              <w:t>vyšší</w:t>
            </w:r>
            <w:proofErr w:type="gramEnd"/>
            <w:r w:rsidRPr="00E972A9">
              <w:rPr>
                <w:rFonts w:cs="Arial"/>
                <w:spacing w:val="-4"/>
                <w:szCs w:val="20"/>
              </w:rPr>
              <w:t>). Přestože meziroční přírůstek pracovníků byl loni v podnicích nejslabší</w:t>
            </w:r>
            <w:r w:rsidR="00DF7AD4" w:rsidRPr="00E972A9">
              <w:rPr>
                <w:rFonts w:cs="Arial"/>
                <w:spacing w:val="-4"/>
                <w:szCs w:val="20"/>
              </w:rPr>
              <w:t xml:space="preserve"> za posledních čtyři roky (+1,7 </w:t>
            </w:r>
            <w:r w:rsidRPr="00E972A9">
              <w:rPr>
                <w:rFonts w:cs="Arial"/>
                <w:spacing w:val="-4"/>
                <w:szCs w:val="20"/>
              </w:rPr>
              <w:t xml:space="preserve">%), </w:t>
            </w:r>
            <w:r w:rsidRPr="00E972A9">
              <w:rPr>
                <w:rFonts w:cs="Arial"/>
                <w:spacing w:val="-4"/>
                <w:szCs w:val="20"/>
              </w:rPr>
              <w:lastRenderedPageBreak/>
              <w:t xml:space="preserve">stále šlo o silnější tempo než v národním hospodářství (+1,2 %). Zvolnění růstového tempa nevypovídá ani tak o snížení vysoké důvěry podnikové sféry v ekonomiku, jako spíše o vyčerpání velké části rezerv potenciální pracovní síly na tuzemském trhu. Sílící napětí na pracovním trhu vedlo v letech 2016 a 2017 k akceleraci růstu průměrných mezd.  Nominální růst výdajů na mzdy a platy se loni rovnal 8,4 % (v roce 2016 dosáhl 6,0 %). Výdělky v nefinančních podnicích tak rostly nejvyšším tempem za posledních devět let. Pro podniky ale takový vývoj znamenal zátěž. Z vytvořené hrubé přidané hodnoty putovalo loni na náhrady zaměstnancům (vyjadřující celkové náklady práce) 51,6 %. Tento podíl rostl již druhým rokem v řadě. Z podrobnějšího pohledu plyne, že dlouhodobě jsou v Česku náklady práce nejvíce zatíženy soukromé podniky s převahou národního kapitálu, nejméně pak veřejné nefinanční podniky. I přes celkově vyšší hladinu průměrných mezd v podnicích pod zahraniční kontrolou směřuje na náhrady zaměstnancům jen menší část HPH (ve prospěch provozního přebytku). Tyto podniky si tak udržují vysokou míru zisku (ta v roce 2016 činila ve všech nefinančních podnicích 50,5 %, v podnicích pod zahraniční kontrolou 53,1 %). </w:t>
            </w:r>
          </w:p>
        </w:tc>
      </w:tr>
      <w:tr w:rsidR="009C03C8" w:rsidRPr="004454DC" w:rsidTr="00DF7AD4">
        <w:trPr>
          <w:trHeight w:val="170"/>
        </w:trPr>
        <w:tc>
          <w:tcPr>
            <w:tcW w:w="1976" w:type="dxa"/>
          </w:tcPr>
          <w:p w:rsidR="009C03C8" w:rsidRDefault="009C03C8" w:rsidP="00DF7AD4">
            <w:pPr>
              <w:pStyle w:val="Marginlie"/>
            </w:pPr>
          </w:p>
        </w:tc>
        <w:tc>
          <w:tcPr>
            <w:tcW w:w="277" w:type="dxa"/>
          </w:tcPr>
          <w:p w:rsidR="009C03C8" w:rsidRPr="005E4483" w:rsidRDefault="009C03C8" w:rsidP="00DF7AD4">
            <w:pPr>
              <w:pStyle w:val="Textpoznpodarou"/>
              <w:jc w:val="both"/>
              <w:rPr>
                <w:spacing w:val="-4"/>
              </w:rPr>
            </w:pPr>
          </w:p>
        </w:tc>
        <w:tc>
          <w:tcPr>
            <w:tcW w:w="7391" w:type="dxa"/>
          </w:tcPr>
          <w:p w:rsidR="009C03C8" w:rsidRPr="005673A4" w:rsidRDefault="009C03C8" w:rsidP="00DF7AD4">
            <w:pPr>
              <w:spacing w:after="0"/>
              <w:rPr>
                <w:rFonts w:cs="Arial"/>
                <w:spacing w:val="-2"/>
                <w:szCs w:val="20"/>
              </w:rPr>
            </w:pPr>
            <w:r>
              <w:rPr>
                <w:rFonts w:cs="Arial"/>
                <w:b/>
                <w:spacing w:val="-2"/>
                <w:szCs w:val="20"/>
              </w:rPr>
              <w:t xml:space="preserve">Graf </w:t>
            </w:r>
            <w:proofErr w:type="gramStart"/>
            <w:r>
              <w:rPr>
                <w:rFonts w:cs="Arial"/>
                <w:b/>
                <w:spacing w:val="-2"/>
                <w:szCs w:val="20"/>
              </w:rPr>
              <w:t>6.2</w:t>
            </w:r>
            <w:r w:rsidRPr="005673A4">
              <w:rPr>
                <w:rFonts w:cs="Arial"/>
                <w:b/>
                <w:spacing w:val="-2"/>
                <w:szCs w:val="20"/>
              </w:rPr>
              <w:t xml:space="preserve">  </w:t>
            </w:r>
            <w:r>
              <w:rPr>
                <w:rFonts w:cs="Arial"/>
                <w:b/>
                <w:spacing w:val="-2"/>
                <w:szCs w:val="20"/>
              </w:rPr>
              <w:t>Náklady</w:t>
            </w:r>
            <w:proofErr w:type="gramEnd"/>
            <w:r>
              <w:rPr>
                <w:rFonts w:cs="Arial"/>
                <w:b/>
                <w:spacing w:val="-2"/>
                <w:szCs w:val="20"/>
              </w:rPr>
              <w:t xml:space="preserve"> práce nefinančních podniků a jejich </w:t>
            </w:r>
            <w:proofErr w:type="spellStart"/>
            <w:r>
              <w:rPr>
                <w:rFonts w:cs="Arial"/>
                <w:b/>
                <w:spacing w:val="-2"/>
                <w:szCs w:val="20"/>
              </w:rPr>
              <w:t>subsektorů</w:t>
            </w:r>
            <w:proofErr w:type="spellEnd"/>
          </w:p>
          <w:p w:rsidR="009C03C8" w:rsidRPr="00D6151E" w:rsidRDefault="009C03C8" w:rsidP="00DF7AD4">
            <w:pPr>
              <w:spacing w:after="0"/>
            </w:pPr>
            <w:r w:rsidRPr="002A4D16">
              <w:rPr>
                <w:noProof/>
              </w:rPr>
              <w:drawing>
                <wp:inline distT="0" distB="0" distL="0" distR="0">
                  <wp:extent cx="4641850" cy="3676650"/>
                  <wp:effectExtent l="19050" t="0" r="6350" b="0"/>
                  <wp:docPr id="5"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c>
      </w:tr>
      <w:tr w:rsidR="009C03C8" w:rsidRPr="00444E6D" w:rsidTr="00DF7AD4">
        <w:trPr>
          <w:trHeight w:val="170"/>
        </w:trPr>
        <w:tc>
          <w:tcPr>
            <w:tcW w:w="1976" w:type="dxa"/>
          </w:tcPr>
          <w:p w:rsidR="009C03C8" w:rsidRDefault="009C03C8" w:rsidP="00DF7AD4">
            <w:pPr>
              <w:pStyle w:val="Marginlie"/>
            </w:pPr>
          </w:p>
        </w:tc>
        <w:tc>
          <w:tcPr>
            <w:tcW w:w="277" w:type="dxa"/>
          </w:tcPr>
          <w:p w:rsidR="009C03C8" w:rsidRPr="005E4483" w:rsidRDefault="009C03C8" w:rsidP="00DF7AD4">
            <w:pPr>
              <w:pStyle w:val="Textpoznpodarou"/>
              <w:jc w:val="both"/>
              <w:rPr>
                <w:spacing w:val="-4"/>
              </w:rPr>
            </w:pPr>
          </w:p>
        </w:tc>
        <w:tc>
          <w:tcPr>
            <w:tcW w:w="7391" w:type="dxa"/>
          </w:tcPr>
          <w:p w:rsidR="009C03C8" w:rsidRPr="00D6151E" w:rsidRDefault="009C03C8" w:rsidP="009C03C8">
            <w:r>
              <w:rPr>
                <w:rFonts w:cs="Arial"/>
                <w:sz w:val="14"/>
                <w:szCs w:val="14"/>
              </w:rPr>
              <w:t>Zdroj: ČSÚ (národní účty)</w:t>
            </w:r>
          </w:p>
        </w:tc>
      </w:tr>
      <w:tr w:rsidR="009C03C8" w:rsidRPr="00C07CE0" w:rsidTr="00DF7AD4">
        <w:trPr>
          <w:trHeight w:val="170"/>
        </w:trPr>
        <w:tc>
          <w:tcPr>
            <w:tcW w:w="1976" w:type="dxa"/>
          </w:tcPr>
          <w:p w:rsidR="009C03C8" w:rsidRDefault="009C03C8" w:rsidP="00DF7AD4">
            <w:pPr>
              <w:pStyle w:val="Marginlie"/>
            </w:pPr>
            <w:r>
              <w:t>Míra zisku podniků se poprvé po třech letech snížila pod 50 %, Výrazně se lišila mezi odvětvími.</w:t>
            </w:r>
          </w:p>
        </w:tc>
        <w:tc>
          <w:tcPr>
            <w:tcW w:w="277" w:type="dxa"/>
          </w:tcPr>
          <w:p w:rsidR="009C03C8" w:rsidRPr="00891CBB" w:rsidRDefault="009C03C8" w:rsidP="00DF7AD4">
            <w:pPr>
              <w:pStyle w:val="Textpoznpodarou"/>
              <w:jc w:val="both"/>
              <w:rPr>
                <w:spacing w:val="-4"/>
              </w:rPr>
            </w:pPr>
          </w:p>
        </w:tc>
        <w:tc>
          <w:tcPr>
            <w:tcW w:w="7391" w:type="dxa"/>
          </w:tcPr>
          <w:p w:rsidR="009C03C8" w:rsidRPr="00E972A9" w:rsidRDefault="009C03C8" w:rsidP="00DF7AD4">
            <w:pPr>
              <w:rPr>
                <w:rFonts w:cs="Arial"/>
                <w:spacing w:val="-4"/>
                <w:szCs w:val="20"/>
              </w:rPr>
            </w:pPr>
            <w:r w:rsidRPr="00E972A9">
              <w:rPr>
                <w:rFonts w:cs="Arial"/>
                <w:spacing w:val="-4"/>
                <w:szCs w:val="20"/>
              </w:rPr>
              <w:t>Míra zisku nefinančních podniků klesla loni poprvé po třech letech pod 50 % Neudržitelnost vysokých hodnot z období 2014 až 2015 (kdy se blížila 52 % a atakovala úroveň z vrcholu konjunktury minulé dekády) byla patrná nejen ve světle sílících nákladů na pracovní sílu, ale i z časově omezeného působení režimu řízeného oslabení české koruny (jež měla krátkodobě pozitivní vliv na zisky exportérů). Míra zisku se lišila podle odvětví. Vysokou úroveň si dlouhodobě udržují podniky v zemědělství, lesnictví a rybářství, energetice, činnostech v oblasti nemovitostí, informačních a komunikačních činnostech a také v kulturních, zábavních a rekreačních činnostech. Na opačném konci spektra se nacházely podniky v ubytování, stravování a pohostinství a také nepočetně zastoupené podniky ve veřejných službách.</w:t>
            </w:r>
          </w:p>
        </w:tc>
      </w:tr>
      <w:tr w:rsidR="009C03C8" w:rsidRPr="00BB5E91" w:rsidTr="00DF7AD4">
        <w:trPr>
          <w:trHeight w:val="170"/>
        </w:trPr>
        <w:tc>
          <w:tcPr>
            <w:tcW w:w="1976" w:type="dxa"/>
          </w:tcPr>
          <w:p w:rsidR="009C03C8" w:rsidRDefault="009C03C8" w:rsidP="00DF7AD4">
            <w:pPr>
              <w:pStyle w:val="Marginlie"/>
            </w:pPr>
            <w:r>
              <w:t xml:space="preserve">Míra zisku nefinančních podniků v Irsku byla více než dvojnásobná oproti těm </w:t>
            </w:r>
            <w:r>
              <w:lastRenderedPageBreak/>
              <w:t>ve Francii, Velké Británii či Slovinsku.</w:t>
            </w:r>
          </w:p>
        </w:tc>
        <w:tc>
          <w:tcPr>
            <w:tcW w:w="277" w:type="dxa"/>
          </w:tcPr>
          <w:p w:rsidR="009C03C8" w:rsidRPr="005E4483" w:rsidRDefault="009C03C8" w:rsidP="00DF7AD4">
            <w:pPr>
              <w:pStyle w:val="Textpoznpodarou"/>
              <w:jc w:val="both"/>
              <w:rPr>
                <w:spacing w:val="-4"/>
              </w:rPr>
            </w:pPr>
          </w:p>
        </w:tc>
        <w:tc>
          <w:tcPr>
            <w:tcW w:w="7391" w:type="dxa"/>
          </w:tcPr>
          <w:p w:rsidR="009C03C8" w:rsidRPr="00E972A9" w:rsidRDefault="009C03C8" w:rsidP="009C03C8">
            <w:pPr>
              <w:rPr>
                <w:rFonts w:cs="Arial"/>
                <w:spacing w:val="-4"/>
                <w:szCs w:val="20"/>
              </w:rPr>
            </w:pPr>
            <w:r w:rsidRPr="00E972A9">
              <w:rPr>
                <w:rFonts w:cs="Arial"/>
                <w:spacing w:val="-4"/>
                <w:szCs w:val="20"/>
              </w:rPr>
              <w:t xml:space="preserve">Rozdílná odvětvová skladba společně s celkovou kondicí ekonomiky představují významné faktory stojící v pozadí rozdílů v míře zisku nefinančních podniků napříč </w:t>
            </w:r>
            <w:r w:rsidRPr="00E972A9">
              <w:rPr>
                <w:rFonts w:cs="Arial"/>
                <w:spacing w:val="-4"/>
                <w:szCs w:val="20"/>
              </w:rPr>
              <w:lastRenderedPageBreak/>
              <w:t xml:space="preserve">státy EU. Největší ziskovosti dosáhly podniky v Irsku, kde podíl hrubého provozního přebytku na přidané hodnotě v roce 2016 činil 72 %. S větším odstupem následovaly Malta, Rumunsko a Řecko. Česko se řadilo na pátou pozici a dosáhlo nejvyššího umístění po roce 2008.  Jen v těsném závěsu za ČR (o 1 až 2 p. </w:t>
            </w:r>
            <w:proofErr w:type="spellStart"/>
            <w:r w:rsidRPr="00E972A9">
              <w:rPr>
                <w:rFonts w:cs="Arial"/>
                <w:spacing w:val="-4"/>
                <w:szCs w:val="20"/>
              </w:rPr>
              <w:t>b</w:t>
            </w:r>
            <w:proofErr w:type="spellEnd"/>
            <w:r w:rsidRPr="00E972A9">
              <w:rPr>
                <w:rFonts w:cs="Arial"/>
                <w:spacing w:val="-4"/>
                <w:szCs w:val="20"/>
              </w:rPr>
              <w:t xml:space="preserve">.) figurovaly ostatní státy </w:t>
            </w:r>
            <w:proofErr w:type="spellStart"/>
            <w:r w:rsidRPr="00E972A9">
              <w:rPr>
                <w:rFonts w:cs="Arial"/>
                <w:spacing w:val="-4"/>
                <w:szCs w:val="20"/>
              </w:rPr>
              <w:t>Visegradského</w:t>
            </w:r>
            <w:proofErr w:type="spellEnd"/>
            <w:r w:rsidRPr="00E972A9">
              <w:rPr>
                <w:rFonts w:cs="Arial"/>
                <w:spacing w:val="-4"/>
                <w:szCs w:val="20"/>
              </w:rPr>
              <w:t xml:space="preserve"> uskupení. Z novějších členských států měly nejhorší postavení Kypr (38 %) a Slovinsko (35 %), z největších ekonomik Unie pak Velká Británie (35 %) a Francie (32 %).</w:t>
            </w:r>
          </w:p>
        </w:tc>
      </w:tr>
      <w:tr w:rsidR="009C03C8" w:rsidRPr="00D6151E" w:rsidTr="00DF7AD4">
        <w:trPr>
          <w:trHeight w:val="170"/>
        </w:trPr>
        <w:tc>
          <w:tcPr>
            <w:tcW w:w="1976" w:type="dxa"/>
          </w:tcPr>
          <w:p w:rsidR="009C03C8" w:rsidRDefault="009C03C8" w:rsidP="00DF7AD4">
            <w:pPr>
              <w:pStyle w:val="Marginlie"/>
            </w:pPr>
          </w:p>
        </w:tc>
        <w:tc>
          <w:tcPr>
            <w:tcW w:w="277" w:type="dxa"/>
          </w:tcPr>
          <w:p w:rsidR="009C03C8" w:rsidRPr="005E4483" w:rsidRDefault="009C03C8" w:rsidP="00DF7AD4">
            <w:pPr>
              <w:pStyle w:val="Textpoznpodarou"/>
              <w:jc w:val="both"/>
              <w:rPr>
                <w:spacing w:val="-4"/>
              </w:rPr>
            </w:pPr>
          </w:p>
        </w:tc>
        <w:tc>
          <w:tcPr>
            <w:tcW w:w="7391" w:type="dxa"/>
          </w:tcPr>
          <w:p w:rsidR="009C03C8" w:rsidRDefault="009C03C8" w:rsidP="00DF7AD4">
            <w:pPr>
              <w:spacing w:after="0"/>
              <w:jc w:val="left"/>
            </w:pPr>
            <w:r>
              <w:rPr>
                <w:b/>
              </w:rPr>
              <w:t xml:space="preserve">Graf </w:t>
            </w:r>
            <w:proofErr w:type="gramStart"/>
            <w:r>
              <w:rPr>
                <w:b/>
              </w:rPr>
              <w:t xml:space="preserve">6.3 </w:t>
            </w:r>
            <w:r w:rsidRPr="00D3312A">
              <w:rPr>
                <w:b/>
              </w:rPr>
              <w:t xml:space="preserve"> </w:t>
            </w:r>
            <w:r>
              <w:rPr>
                <w:b/>
              </w:rPr>
              <w:t>Přijaté</w:t>
            </w:r>
            <w:proofErr w:type="gramEnd"/>
            <w:r>
              <w:rPr>
                <w:b/>
              </w:rPr>
              <w:t xml:space="preserve"> (+) a vyplacené (-)</w:t>
            </w:r>
            <w:r>
              <w:t xml:space="preserve"> </w:t>
            </w:r>
            <w:r w:rsidRPr="0021330F">
              <w:rPr>
                <w:b/>
              </w:rPr>
              <w:t>druhy vlas</w:t>
            </w:r>
            <w:r>
              <w:rPr>
                <w:b/>
              </w:rPr>
              <w:t xml:space="preserve">tnických důchodů </w:t>
            </w:r>
            <w:proofErr w:type="spellStart"/>
            <w:r>
              <w:rPr>
                <w:b/>
              </w:rPr>
              <w:t>nef</w:t>
            </w:r>
            <w:proofErr w:type="spellEnd"/>
            <w:r>
              <w:rPr>
                <w:b/>
              </w:rPr>
              <w:t>.</w:t>
            </w:r>
            <w:r w:rsidRPr="0021330F">
              <w:rPr>
                <w:b/>
              </w:rPr>
              <w:t xml:space="preserve"> podniky celkem a saldo vlastnických důchodů</w:t>
            </w:r>
            <w:r>
              <w:t xml:space="preserve"> </w:t>
            </w:r>
            <w:r w:rsidRPr="0021330F">
              <w:rPr>
                <w:b/>
              </w:rPr>
              <w:t xml:space="preserve">celkem a dle </w:t>
            </w:r>
            <w:proofErr w:type="spellStart"/>
            <w:r w:rsidRPr="0021330F">
              <w:rPr>
                <w:b/>
              </w:rPr>
              <w:t>subsektorů</w:t>
            </w:r>
            <w:proofErr w:type="spellEnd"/>
            <w:r w:rsidRPr="0021330F">
              <w:rPr>
                <w:b/>
              </w:rPr>
              <w:t xml:space="preserve"> </w:t>
            </w:r>
            <w:r w:rsidRPr="0021330F">
              <w:t>(v mld. korun)</w:t>
            </w:r>
          </w:p>
          <w:p w:rsidR="009C03C8" w:rsidRPr="00B62688" w:rsidRDefault="009C03C8" w:rsidP="00DF7AD4">
            <w:pPr>
              <w:spacing w:after="0"/>
              <w:rPr>
                <w:rFonts w:cs="Arial"/>
                <w:spacing w:val="-2"/>
                <w:szCs w:val="20"/>
              </w:rPr>
            </w:pPr>
            <w:r w:rsidRPr="0021330F">
              <w:rPr>
                <w:rFonts w:cs="Arial"/>
                <w:noProof/>
                <w:spacing w:val="-2"/>
                <w:szCs w:val="20"/>
              </w:rPr>
              <w:drawing>
                <wp:inline distT="0" distB="0" distL="0" distR="0">
                  <wp:extent cx="4695825" cy="3752850"/>
                  <wp:effectExtent l="0" t="0" r="0" b="0"/>
                  <wp:docPr id="6"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r>
      <w:tr w:rsidR="009C03C8" w:rsidRPr="00D6151E" w:rsidTr="00DF7AD4">
        <w:trPr>
          <w:trHeight w:val="170"/>
        </w:trPr>
        <w:tc>
          <w:tcPr>
            <w:tcW w:w="1976" w:type="dxa"/>
          </w:tcPr>
          <w:p w:rsidR="009C03C8" w:rsidRDefault="009C03C8" w:rsidP="00DF7AD4">
            <w:pPr>
              <w:pStyle w:val="Marginlie"/>
              <w:spacing w:line="240" w:lineRule="auto"/>
            </w:pPr>
          </w:p>
        </w:tc>
        <w:tc>
          <w:tcPr>
            <w:tcW w:w="277" w:type="dxa"/>
          </w:tcPr>
          <w:p w:rsidR="009C03C8" w:rsidRPr="005E4483" w:rsidRDefault="009C03C8" w:rsidP="00DF7AD4">
            <w:pPr>
              <w:pStyle w:val="Textpoznpodarou"/>
              <w:jc w:val="both"/>
              <w:rPr>
                <w:spacing w:val="-4"/>
              </w:rPr>
            </w:pPr>
          </w:p>
        </w:tc>
        <w:tc>
          <w:tcPr>
            <w:tcW w:w="7391" w:type="dxa"/>
          </w:tcPr>
          <w:p w:rsidR="009C03C8" w:rsidRPr="00A7195D" w:rsidRDefault="009C03C8" w:rsidP="00DF7AD4">
            <w:pPr>
              <w:spacing w:after="0" w:line="240" w:lineRule="auto"/>
              <w:rPr>
                <w:rFonts w:cs="Arial"/>
                <w:spacing w:val="-4"/>
                <w:sz w:val="14"/>
                <w:szCs w:val="14"/>
              </w:rPr>
            </w:pPr>
            <w:r w:rsidRPr="00A7195D">
              <w:rPr>
                <w:rFonts w:cs="Arial"/>
                <w:spacing w:val="-4"/>
                <w:sz w:val="14"/>
                <w:szCs w:val="14"/>
              </w:rPr>
              <w:t>Poznámka. U jednotlivých druhů vlastnických důchodů jsou uvedeny kódy v souladu s mezinárodním standardem ESA 2010.</w:t>
            </w:r>
          </w:p>
          <w:p w:rsidR="009C03C8" w:rsidRPr="00A7195D" w:rsidRDefault="009C03C8" w:rsidP="009C03C8">
            <w:pPr>
              <w:rPr>
                <w:rFonts w:cs="Arial"/>
                <w:spacing w:val="-2"/>
                <w:sz w:val="14"/>
                <w:szCs w:val="14"/>
              </w:rPr>
            </w:pPr>
            <w:r w:rsidRPr="00A7195D">
              <w:rPr>
                <w:rFonts w:cs="Arial"/>
                <w:spacing w:val="-2"/>
                <w:sz w:val="14"/>
                <w:szCs w:val="14"/>
              </w:rPr>
              <w:t>Zdroj: ČSÚ (národní účty)</w:t>
            </w:r>
          </w:p>
        </w:tc>
      </w:tr>
      <w:tr w:rsidR="009C03C8" w:rsidRPr="00D6151E" w:rsidTr="00DF7AD4">
        <w:trPr>
          <w:trHeight w:val="170"/>
        </w:trPr>
        <w:tc>
          <w:tcPr>
            <w:tcW w:w="1976" w:type="dxa"/>
          </w:tcPr>
          <w:p w:rsidR="009C03C8" w:rsidRDefault="009C03C8" w:rsidP="00DF7AD4">
            <w:pPr>
              <w:pStyle w:val="Marginlie"/>
            </w:pPr>
            <w:r>
              <w:t>Výše odlivu vlastnických důchodů ze sektoru nefinančních podniků se meziročně v úhrnu nezměnila. Jeho struktura ano:…</w:t>
            </w:r>
          </w:p>
          <w:p w:rsidR="009C03C8" w:rsidRDefault="009C03C8" w:rsidP="00DF7AD4">
            <w:pPr>
              <w:pStyle w:val="Marginlie"/>
            </w:pPr>
          </w:p>
          <w:p w:rsidR="009C03C8" w:rsidRDefault="009C03C8" w:rsidP="00DF7AD4">
            <w:pPr>
              <w:pStyle w:val="Marginlie"/>
            </w:pPr>
          </w:p>
          <w:p w:rsidR="009C03C8" w:rsidRDefault="009C03C8" w:rsidP="00DF7AD4">
            <w:pPr>
              <w:pStyle w:val="Marginlie"/>
            </w:pPr>
          </w:p>
          <w:p w:rsidR="009C03C8" w:rsidRDefault="009C03C8" w:rsidP="00DF7AD4">
            <w:pPr>
              <w:pStyle w:val="Marginlie"/>
            </w:pPr>
            <w:r>
              <w:t>…úrokové saldo bylo vyrovnané, odliv dividend se snížil ve prospěch reinvestovaných zisků.</w:t>
            </w:r>
          </w:p>
          <w:p w:rsidR="009C03C8" w:rsidRDefault="009C03C8" w:rsidP="00DF7AD4">
            <w:pPr>
              <w:pStyle w:val="Marginlie"/>
            </w:pPr>
          </w:p>
          <w:p w:rsidR="009C03C8" w:rsidRDefault="009C03C8" w:rsidP="00DF7AD4">
            <w:pPr>
              <w:pStyle w:val="Marginlie"/>
            </w:pPr>
          </w:p>
          <w:p w:rsidR="009C03C8" w:rsidRPr="00FE39A1" w:rsidRDefault="009C03C8" w:rsidP="00DF7AD4">
            <w:pPr>
              <w:pStyle w:val="Marginlie"/>
            </w:pPr>
          </w:p>
        </w:tc>
        <w:tc>
          <w:tcPr>
            <w:tcW w:w="277" w:type="dxa"/>
          </w:tcPr>
          <w:p w:rsidR="009C03C8" w:rsidRPr="005E4483" w:rsidRDefault="009C03C8" w:rsidP="00DF7AD4">
            <w:pPr>
              <w:pStyle w:val="Textpoznpodarou"/>
              <w:jc w:val="both"/>
              <w:rPr>
                <w:spacing w:val="-4"/>
              </w:rPr>
            </w:pPr>
          </w:p>
        </w:tc>
        <w:tc>
          <w:tcPr>
            <w:tcW w:w="7391" w:type="dxa"/>
          </w:tcPr>
          <w:p w:rsidR="009C03C8" w:rsidRPr="009C03C8" w:rsidRDefault="009C03C8" w:rsidP="00DF7AD4">
            <w:pPr>
              <w:keepNext/>
              <w:keepLines/>
              <w:contextualSpacing/>
              <w:outlineLvl w:val="0"/>
              <w:rPr>
                <w:rFonts w:cs="Arial"/>
                <w:szCs w:val="20"/>
              </w:rPr>
            </w:pPr>
            <w:r w:rsidRPr="009C03C8">
              <w:rPr>
                <w:rFonts w:cs="Arial"/>
                <w:szCs w:val="20"/>
              </w:rPr>
              <w:t>Vytvořený zisk sektoru nefinančních podniků se dále rozpouští v prvotních důchodech. Souhrnné saldo všech druhů vlastnických důchodů v tomto sektoru dosáhlo loni -508,6 mld. korun a ve srovnání s rokem 2016 se prakticky nezměnilo. Na úrovni hlavních druhů vlastnických důchodů lze vidět pozitivní tendence. Úrokové saldo (jako rozdíl mezi přijatými a zaplacenými úroky) bylo loni poprvé v historii ČR prakticky vyrovnané. Ještě v roce 2014 přitom činil deficit 40 mld. korun. Pro nefinanční podniky v ČR tak jejich zadluženost nepředstavovala vážnější problém. Čistý odliv rozdělovaných důchodů společností (v drtivě většině formou dividend) ze sektoru nefinančních podniků činil 368 mld. korun a meziročně se snížil o desetinu</w:t>
            </w:r>
            <w:r w:rsidRPr="009C03C8">
              <w:rPr>
                <w:rStyle w:val="Znakapoznpodarou"/>
                <w:rFonts w:cs="Arial"/>
                <w:szCs w:val="20"/>
              </w:rPr>
              <w:footnoteReference w:id="31"/>
            </w:r>
            <w:r w:rsidRPr="009C03C8">
              <w:rPr>
                <w:rFonts w:cs="Arial"/>
                <w:szCs w:val="20"/>
              </w:rPr>
              <w:t>. Objem přijatých dividend mírně vzrostl (ze 73 na 80 mld. korun), opačný tok přestavoval pokles ze 478 mld. (rok 2016) na 446 mld. (rok 2017). Oproti tomu negativní saldo z reinvestovaných zisků z přímých zahraničních investic vzrostlo ve stejném období z 89 mld. korun na 132 mld. Tyto navýšené prostředky mohou sloužit pro další rozvoj podniků v tuzemsku.</w:t>
            </w:r>
          </w:p>
          <w:p w:rsidR="009C03C8" w:rsidRPr="009C03C8" w:rsidRDefault="009C03C8" w:rsidP="00DF7AD4">
            <w:pPr>
              <w:keepNext/>
              <w:keepLines/>
              <w:contextualSpacing/>
              <w:outlineLvl w:val="0"/>
              <w:rPr>
                <w:rFonts w:cs="Arial"/>
                <w:szCs w:val="20"/>
              </w:rPr>
            </w:pPr>
          </w:p>
        </w:tc>
      </w:tr>
      <w:tr w:rsidR="009C03C8" w:rsidRPr="00D6151E" w:rsidTr="00DF7AD4">
        <w:trPr>
          <w:trHeight w:val="170"/>
        </w:trPr>
        <w:tc>
          <w:tcPr>
            <w:tcW w:w="1976" w:type="dxa"/>
          </w:tcPr>
          <w:p w:rsidR="009C03C8" w:rsidRDefault="009C03C8" w:rsidP="00DF7AD4">
            <w:pPr>
              <w:pStyle w:val="Marginlie"/>
            </w:pPr>
            <w:r>
              <w:lastRenderedPageBreak/>
              <w:t>Pokles míry úspor se zastavil, míra investic ale klesla na nové minimum.</w:t>
            </w:r>
          </w:p>
          <w:p w:rsidR="009C03C8" w:rsidRDefault="009C03C8" w:rsidP="00DF7AD4">
            <w:pPr>
              <w:pStyle w:val="Marginlie"/>
            </w:pPr>
          </w:p>
          <w:p w:rsidR="009C03C8" w:rsidRDefault="009C03C8" w:rsidP="00DF7AD4">
            <w:pPr>
              <w:pStyle w:val="Marginlie"/>
            </w:pPr>
          </w:p>
          <w:p w:rsidR="009C03C8" w:rsidRDefault="009C03C8" w:rsidP="00DF7AD4">
            <w:pPr>
              <w:pStyle w:val="Marginlie"/>
            </w:pPr>
          </w:p>
          <w:p w:rsidR="009C03C8" w:rsidRDefault="009C03C8" w:rsidP="00DF7AD4">
            <w:pPr>
              <w:pStyle w:val="Marginlie"/>
            </w:pPr>
            <w:r>
              <w:t>Tempo růstu objemu bankovních úvěrů nefinančním podnikům se po roce 2016 postupně snižovalo.</w:t>
            </w:r>
          </w:p>
          <w:p w:rsidR="009C03C8" w:rsidRDefault="009C03C8" w:rsidP="00DF7AD4">
            <w:pPr>
              <w:pStyle w:val="Marginlie"/>
            </w:pPr>
          </w:p>
        </w:tc>
        <w:tc>
          <w:tcPr>
            <w:tcW w:w="277" w:type="dxa"/>
          </w:tcPr>
          <w:p w:rsidR="009C03C8" w:rsidRPr="005E4483" w:rsidRDefault="009C03C8" w:rsidP="00DF7AD4">
            <w:pPr>
              <w:pStyle w:val="Textpoznpodarou"/>
              <w:jc w:val="both"/>
              <w:rPr>
                <w:spacing w:val="-4"/>
              </w:rPr>
            </w:pPr>
          </w:p>
        </w:tc>
        <w:tc>
          <w:tcPr>
            <w:tcW w:w="7391" w:type="dxa"/>
          </w:tcPr>
          <w:p w:rsidR="009C03C8" w:rsidRPr="00E972A9" w:rsidRDefault="009C03C8" w:rsidP="00DF7AD4">
            <w:pPr>
              <w:spacing w:after="220"/>
              <w:rPr>
                <w:rFonts w:cs="Arial"/>
                <w:spacing w:val="-2"/>
                <w:szCs w:val="20"/>
              </w:rPr>
            </w:pPr>
            <w:r w:rsidRPr="00E972A9">
              <w:rPr>
                <w:rFonts w:cs="Arial"/>
                <w:spacing w:val="-2"/>
                <w:szCs w:val="20"/>
              </w:rPr>
              <w:t>Solidní hospodářské výsledky (meziroční růst hrubého provozní přebytku o necelá 4 %) i zastavení dalšího prohlubování čistého odlivu vlastnických důchodů vedly mj. k růstu hrubých úspor (+7,8 %). Míra úspor dosáhla 26,0 %</w:t>
            </w:r>
            <w:r w:rsidRPr="00E04F27">
              <w:rPr>
                <w:rStyle w:val="Znakapoznpodarou"/>
                <w:rFonts w:cs="Arial"/>
                <w:spacing w:val="-2"/>
                <w:szCs w:val="20"/>
              </w:rPr>
              <w:footnoteReference w:id="32"/>
            </w:r>
            <w:r w:rsidRPr="00E04F27">
              <w:rPr>
                <w:rFonts w:cs="Arial"/>
                <w:spacing w:val="-2"/>
                <w:szCs w:val="20"/>
                <w:vertAlign w:val="superscript"/>
              </w:rPr>
              <w:t>,</w:t>
            </w:r>
            <w:r w:rsidRPr="00E972A9">
              <w:rPr>
                <w:rFonts w:cs="Arial"/>
                <w:spacing w:val="-2"/>
                <w:szCs w:val="20"/>
              </w:rPr>
              <w:t xml:space="preserve"> její pokles z roku 2016 se tak loni již neopakoval. Nefinanční podniky si tak vytvořily větší prostor pro případnou investiční „expanzi“. Nicméně investice (prostřednictvím tvorby hrubého fixního kapitálu)</w:t>
            </w:r>
            <w:r w:rsidRPr="00E04F27">
              <w:rPr>
                <w:rStyle w:val="Znakapoznpodarou"/>
                <w:rFonts w:cs="Arial"/>
                <w:spacing w:val="-2"/>
                <w:szCs w:val="20"/>
              </w:rPr>
              <w:footnoteReference w:id="33"/>
            </w:r>
            <w:r w:rsidRPr="00E972A9">
              <w:rPr>
                <w:rFonts w:cs="Arial"/>
                <w:spacing w:val="-2"/>
                <w:szCs w:val="20"/>
              </w:rPr>
              <w:t xml:space="preserve"> loni vzrostly o mírných 3,4 %. Míra investic dosáhla 28,1 % a meziročně se snížila o 0,8 p. </w:t>
            </w:r>
            <w:proofErr w:type="spellStart"/>
            <w:r w:rsidRPr="00E972A9">
              <w:rPr>
                <w:rFonts w:cs="Arial"/>
                <w:spacing w:val="-2"/>
                <w:szCs w:val="20"/>
              </w:rPr>
              <w:t>b</w:t>
            </w:r>
            <w:proofErr w:type="spellEnd"/>
            <w:r w:rsidRPr="00E972A9">
              <w:rPr>
                <w:rFonts w:cs="Arial"/>
                <w:spacing w:val="-2"/>
                <w:szCs w:val="20"/>
              </w:rPr>
              <w:t xml:space="preserve">. Míra samofinancování vzrostla a blížila se 90 %. Tlak na krytí investiční potřeby formou např. bankovních půjček se tak snížil. To koresponduje i s údaji České národní banky. Zatímco v roce 2016 vzrostl objem klientských úvěrů nefinančním podnikům meziročně o 6,6 %, loni tempo oslabilo na 4,9 % a za prvních osm měsíců roku 2018 činilo 3,3 %. V souvislosti s pokračujícím hospodářským růstem </w:t>
            </w:r>
            <w:r w:rsidR="0026743D">
              <w:rPr>
                <w:rFonts w:cs="Arial"/>
                <w:spacing w:val="-2"/>
                <w:szCs w:val="20"/>
              </w:rPr>
              <w:t xml:space="preserve">se </w:t>
            </w:r>
            <w:r w:rsidRPr="00E972A9">
              <w:rPr>
                <w:rFonts w:cs="Arial"/>
                <w:spacing w:val="-2"/>
                <w:szCs w:val="20"/>
              </w:rPr>
              <w:t>také zlepšovala platební morálka podniků. Podíl tzv. nevýkonných úvěrů klesl na počátku roku 2018 p</w:t>
            </w:r>
            <w:r w:rsidR="0026743D">
              <w:rPr>
                <w:rFonts w:cs="Arial"/>
                <w:spacing w:val="-2"/>
                <w:szCs w:val="20"/>
              </w:rPr>
              <w:t>od 4 % (nejníže od září 2008).</w:t>
            </w:r>
          </w:p>
        </w:tc>
      </w:tr>
      <w:tr w:rsidR="009C03C8" w:rsidRPr="00D6151E" w:rsidTr="00DF7AD4">
        <w:trPr>
          <w:trHeight w:val="170"/>
        </w:trPr>
        <w:tc>
          <w:tcPr>
            <w:tcW w:w="1976" w:type="dxa"/>
          </w:tcPr>
          <w:p w:rsidR="009C03C8" w:rsidRDefault="009C03C8" w:rsidP="00DF7AD4">
            <w:pPr>
              <w:pStyle w:val="Marginlie"/>
            </w:pPr>
          </w:p>
        </w:tc>
        <w:tc>
          <w:tcPr>
            <w:tcW w:w="277" w:type="dxa"/>
          </w:tcPr>
          <w:p w:rsidR="009C03C8" w:rsidRPr="005E4483" w:rsidRDefault="009C03C8" w:rsidP="00DF7AD4">
            <w:pPr>
              <w:pStyle w:val="Textpoznpodarou"/>
              <w:jc w:val="both"/>
              <w:rPr>
                <w:spacing w:val="-4"/>
              </w:rPr>
            </w:pPr>
          </w:p>
        </w:tc>
        <w:tc>
          <w:tcPr>
            <w:tcW w:w="7391" w:type="dxa"/>
          </w:tcPr>
          <w:p w:rsidR="009C03C8" w:rsidRDefault="009C03C8" w:rsidP="00DF7AD4">
            <w:pPr>
              <w:spacing w:after="0"/>
              <w:rPr>
                <w:rFonts w:cs="Arial"/>
                <w:spacing w:val="-2"/>
                <w:szCs w:val="20"/>
              </w:rPr>
            </w:pPr>
            <w:r>
              <w:rPr>
                <w:rFonts w:cs="Arial"/>
                <w:b/>
                <w:spacing w:val="-2"/>
                <w:szCs w:val="20"/>
              </w:rPr>
              <w:t xml:space="preserve">Graf </w:t>
            </w:r>
            <w:proofErr w:type="gramStart"/>
            <w:r>
              <w:rPr>
                <w:rFonts w:cs="Arial"/>
                <w:b/>
                <w:spacing w:val="-2"/>
                <w:szCs w:val="20"/>
              </w:rPr>
              <w:t>6.4  Míra</w:t>
            </w:r>
            <w:proofErr w:type="gramEnd"/>
            <w:r>
              <w:rPr>
                <w:rFonts w:cs="Arial"/>
                <w:b/>
                <w:spacing w:val="-2"/>
                <w:szCs w:val="20"/>
              </w:rPr>
              <w:t xml:space="preserve"> investic nefinančních</w:t>
            </w:r>
            <w:r w:rsidRPr="00B43EB7">
              <w:rPr>
                <w:rFonts w:cs="Arial"/>
                <w:b/>
                <w:spacing w:val="-2"/>
                <w:szCs w:val="20"/>
              </w:rPr>
              <w:t xml:space="preserve"> podnik</w:t>
            </w:r>
            <w:r>
              <w:rPr>
                <w:rFonts w:cs="Arial"/>
                <w:b/>
                <w:spacing w:val="-2"/>
                <w:szCs w:val="20"/>
              </w:rPr>
              <w:t>ů</w:t>
            </w:r>
            <w:r w:rsidRPr="00B43EB7">
              <w:rPr>
                <w:rFonts w:cs="Arial"/>
                <w:spacing w:val="-2"/>
                <w:szCs w:val="20"/>
              </w:rPr>
              <w:t xml:space="preserve"> </w:t>
            </w:r>
            <w:r>
              <w:rPr>
                <w:rFonts w:cs="Arial"/>
                <w:b/>
                <w:spacing w:val="-2"/>
                <w:szCs w:val="20"/>
              </w:rPr>
              <w:t xml:space="preserve">celkem ve vybraných evropských státech </w:t>
            </w:r>
            <w:r w:rsidRPr="00B43EB7">
              <w:rPr>
                <w:rFonts w:cs="Arial"/>
                <w:spacing w:val="-2"/>
                <w:szCs w:val="20"/>
              </w:rPr>
              <w:t>(v %)</w:t>
            </w:r>
          </w:p>
          <w:p w:rsidR="009C03C8" w:rsidRPr="00B43EB7" w:rsidRDefault="009C03C8" w:rsidP="00DF7AD4">
            <w:pPr>
              <w:spacing w:after="0"/>
              <w:rPr>
                <w:rFonts w:cs="Arial"/>
                <w:spacing w:val="-2"/>
                <w:sz w:val="14"/>
                <w:szCs w:val="14"/>
              </w:rPr>
            </w:pPr>
            <w:r w:rsidRPr="009A34EC">
              <w:rPr>
                <w:rFonts w:cs="Arial"/>
                <w:noProof/>
                <w:spacing w:val="-2"/>
                <w:sz w:val="14"/>
                <w:szCs w:val="14"/>
              </w:rPr>
              <w:drawing>
                <wp:inline distT="0" distB="0" distL="0" distR="0">
                  <wp:extent cx="4632463" cy="3442915"/>
                  <wp:effectExtent l="19050" t="0" r="0" b="0"/>
                  <wp:docPr id="30"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tc>
      </w:tr>
      <w:tr w:rsidR="009C03C8" w:rsidRPr="00D6151E" w:rsidTr="00DF7AD4">
        <w:trPr>
          <w:trHeight w:val="170"/>
        </w:trPr>
        <w:tc>
          <w:tcPr>
            <w:tcW w:w="1976" w:type="dxa"/>
          </w:tcPr>
          <w:p w:rsidR="009C03C8" w:rsidRDefault="009C03C8" w:rsidP="00DF7AD4">
            <w:pPr>
              <w:pStyle w:val="Marginlie"/>
            </w:pPr>
          </w:p>
        </w:tc>
        <w:tc>
          <w:tcPr>
            <w:tcW w:w="277" w:type="dxa"/>
          </w:tcPr>
          <w:p w:rsidR="009C03C8" w:rsidRPr="005E4483" w:rsidRDefault="009C03C8" w:rsidP="00DF7AD4">
            <w:pPr>
              <w:pStyle w:val="Textpoznpodarou"/>
              <w:jc w:val="both"/>
              <w:rPr>
                <w:spacing w:val="-4"/>
              </w:rPr>
            </w:pPr>
          </w:p>
        </w:tc>
        <w:tc>
          <w:tcPr>
            <w:tcW w:w="7391" w:type="dxa"/>
          </w:tcPr>
          <w:p w:rsidR="009C03C8" w:rsidRPr="00D6151E" w:rsidRDefault="009C03C8" w:rsidP="00E972A9">
            <w:pPr>
              <w:spacing w:after="200"/>
              <w:rPr>
                <w:rFonts w:cs="Arial"/>
                <w:sz w:val="14"/>
                <w:szCs w:val="14"/>
              </w:rPr>
            </w:pPr>
            <w:r>
              <w:rPr>
                <w:rFonts w:cs="Arial"/>
                <w:sz w:val="14"/>
                <w:szCs w:val="14"/>
              </w:rPr>
              <w:t>*Míra zisku se vztahuje jen k nefinančním podnikům, nezahrnuje tedy všechny ekonomické subjekty působící v příslušném odvětví. U popisů jednotlivých průmyslových oddílů či sekcí je v závorce uveden příslušný kód dle klasifikace CZ-NACE.                                                                                                               Zdroj: ČSÚ (národní účty)</w:t>
            </w:r>
          </w:p>
        </w:tc>
      </w:tr>
      <w:tr w:rsidR="009C03C8" w:rsidRPr="00D6151E" w:rsidTr="00DF7AD4">
        <w:trPr>
          <w:trHeight w:val="170"/>
        </w:trPr>
        <w:tc>
          <w:tcPr>
            <w:tcW w:w="1976" w:type="dxa"/>
          </w:tcPr>
          <w:p w:rsidR="009C03C8" w:rsidRDefault="009C03C8" w:rsidP="00DF7AD4">
            <w:pPr>
              <w:pStyle w:val="Marginlie"/>
            </w:pPr>
            <w:r>
              <w:t>V míře investic nefinančních podniků okupovalo Česko v EU, na rozdíl od většiny novějších členských států, čelní místo.</w:t>
            </w:r>
          </w:p>
        </w:tc>
        <w:tc>
          <w:tcPr>
            <w:tcW w:w="277" w:type="dxa"/>
          </w:tcPr>
          <w:p w:rsidR="009C03C8" w:rsidRPr="005E4483" w:rsidRDefault="009C03C8" w:rsidP="00DF7AD4">
            <w:pPr>
              <w:pStyle w:val="Textpoznpodarou"/>
              <w:jc w:val="both"/>
              <w:rPr>
                <w:spacing w:val="-4"/>
              </w:rPr>
            </w:pPr>
          </w:p>
        </w:tc>
        <w:tc>
          <w:tcPr>
            <w:tcW w:w="7391" w:type="dxa"/>
          </w:tcPr>
          <w:p w:rsidR="009C03C8" w:rsidRPr="00E972A9" w:rsidRDefault="009C03C8" w:rsidP="00E972A9">
            <w:pPr>
              <w:spacing w:after="0"/>
              <w:rPr>
                <w:rFonts w:cs="Arial"/>
                <w:spacing w:val="-2"/>
                <w:szCs w:val="20"/>
              </w:rPr>
            </w:pPr>
            <w:r w:rsidRPr="00E972A9">
              <w:rPr>
                <w:rFonts w:cs="Arial"/>
                <w:spacing w:val="-2"/>
                <w:szCs w:val="20"/>
              </w:rPr>
              <w:t xml:space="preserve">Přestože míra investic nefinančních podniků klesla vloni na minimum v historii samostatné ČR, stále se nacházela o více než 6 p. </w:t>
            </w:r>
            <w:proofErr w:type="spellStart"/>
            <w:r w:rsidRPr="00E972A9">
              <w:rPr>
                <w:rFonts w:cs="Arial"/>
                <w:spacing w:val="-2"/>
                <w:szCs w:val="20"/>
              </w:rPr>
              <w:t>b</w:t>
            </w:r>
            <w:proofErr w:type="spellEnd"/>
            <w:r w:rsidRPr="00E972A9">
              <w:rPr>
                <w:rFonts w:cs="Arial"/>
                <w:spacing w:val="-2"/>
                <w:szCs w:val="20"/>
              </w:rPr>
              <w:t xml:space="preserve">. </w:t>
            </w:r>
            <w:proofErr w:type="gramStart"/>
            <w:r w:rsidRPr="00E972A9">
              <w:rPr>
                <w:rFonts w:cs="Arial"/>
                <w:spacing w:val="-2"/>
                <w:szCs w:val="20"/>
              </w:rPr>
              <w:t>výše</w:t>
            </w:r>
            <w:proofErr w:type="gramEnd"/>
            <w:r w:rsidRPr="00E972A9">
              <w:rPr>
                <w:rFonts w:cs="Arial"/>
                <w:spacing w:val="-2"/>
                <w:szCs w:val="20"/>
              </w:rPr>
              <w:t xml:space="preserve"> než v EU, resp. </w:t>
            </w:r>
            <w:proofErr w:type="spellStart"/>
            <w:r w:rsidRPr="00E972A9">
              <w:rPr>
                <w:rFonts w:cs="Arial"/>
                <w:spacing w:val="-2"/>
                <w:szCs w:val="20"/>
              </w:rPr>
              <w:t>Eurozóně</w:t>
            </w:r>
            <w:proofErr w:type="spellEnd"/>
            <w:r w:rsidRPr="00E972A9">
              <w:rPr>
                <w:rFonts w:cs="Arial"/>
                <w:spacing w:val="-2"/>
                <w:szCs w:val="20"/>
              </w:rPr>
              <w:t>. Z dosažitelných údajů za členské státy Unie</w:t>
            </w:r>
            <w:r w:rsidRPr="00E972A9">
              <w:rPr>
                <w:rStyle w:val="Znakapoznpodarou"/>
                <w:rFonts w:cs="Arial"/>
                <w:spacing w:val="-2"/>
                <w:szCs w:val="20"/>
              </w:rPr>
              <w:footnoteReference w:id="34"/>
            </w:r>
            <w:r w:rsidRPr="00E972A9">
              <w:rPr>
                <w:rFonts w:cs="Arial"/>
                <w:spacing w:val="-2"/>
                <w:szCs w:val="20"/>
              </w:rPr>
              <w:t xml:space="preserve"> za rok 2016 vyplynulo, že vyšší míru investic než Česko vykázalo jen Irsko (38,5 %). V těsném závěsu dále následovaly Slovensko, Švédsko a Španělsko (v rozmezí 27 až 28 %). Z novějších členských států Unie ze střední a východní Evropy, u nichž lze s ohledem k dlouhodobé </w:t>
            </w:r>
            <w:proofErr w:type="spellStart"/>
            <w:r w:rsidRPr="00E972A9">
              <w:rPr>
                <w:rFonts w:cs="Arial"/>
                <w:spacing w:val="-2"/>
                <w:szCs w:val="20"/>
              </w:rPr>
              <w:t>podkapitalizovanosti</w:t>
            </w:r>
            <w:proofErr w:type="spellEnd"/>
            <w:r w:rsidRPr="00E972A9">
              <w:rPr>
                <w:rFonts w:cs="Arial"/>
                <w:spacing w:val="-2"/>
                <w:szCs w:val="20"/>
              </w:rPr>
              <w:t xml:space="preserve"> ekonomiky i přílivu zahraničních investorů očekávat silnější investiční aktivitu v podnikové sféře, se tento předpoklad potvrdil jen v Rumunsku a Bulharsku. Naopak v Pobaltských státech, Polsku či Slovinsku míra investic nefinančních podniků průměrné úrovně EU nedosahovala.  </w:t>
            </w:r>
          </w:p>
        </w:tc>
      </w:tr>
      <w:tr w:rsidR="009C03C8" w:rsidRPr="00D6151E" w:rsidTr="00DF7AD4">
        <w:trPr>
          <w:trHeight w:val="170"/>
        </w:trPr>
        <w:tc>
          <w:tcPr>
            <w:tcW w:w="1976" w:type="dxa"/>
          </w:tcPr>
          <w:p w:rsidR="009C03C8" w:rsidRDefault="009C03C8" w:rsidP="00DF7AD4">
            <w:pPr>
              <w:pStyle w:val="Marginlie"/>
            </w:pPr>
            <w:r>
              <w:lastRenderedPageBreak/>
              <w:t>Nejsilnější investiční aktivitu v ČR mezi podniky mají podniky veřejné.</w:t>
            </w:r>
          </w:p>
        </w:tc>
        <w:tc>
          <w:tcPr>
            <w:tcW w:w="277" w:type="dxa"/>
          </w:tcPr>
          <w:p w:rsidR="009C03C8" w:rsidRPr="005E4483" w:rsidRDefault="009C03C8" w:rsidP="00DF7AD4">
            <w:pPr>
              <w:pStyle w:val="Textpoznpodarou"/>
              <w:jc w:val="both"/>
              <w:rPr>
                <w:spacing w:val="-4"/>
              </w:rPr>
            </w:pPr>
          </w:p>
        </w:tc>
        <w:tc>
          <w:tcPr>
            <w:tcW w:w="7391" w:type="dxa"/>
          </w:tcPr>
          <w:p w:rsidR="009C03C8" w:rsidRPr="009C03C8" w:rsidRDefault="009C03C8" w:rsidP="009C03C8">
            <w:pPr>
              <w:rPr>
                <w:rFonts w:cs="Arial"/>
                <w:szCs w:val="20"/>
              </w:rPr>
            </w:pPr>
            <w:r w:rsidRPr="009C03C8">
              <w:rPr>
                <w:rFonts w:cs="Arial"/>
                <w:szCs w:val="20"/>
              </w:rPr>
              <w:t>V rámci podnikové sféry v ČR dosahují dlouhodobě nejsilnější investiční aktivity veřejné nefinanční podniky</w:t>
            </w:r>
            <w:r w:rsidRPr="009C03C8">
              <w:rPr>
                <w:rStyle w:val="Znakapoznpodarou"/>
                <w:rFonts w:cs="Arial"/>
                <w:szCs w:val="20"/>
              </w:rPr>
              <w:footnoteReference w:id="35"/>
            </w:r>
            <w:r w:rsidRPr="009C03C8">
              <w:rPr>
                <w:rFonts w:cs="Arial"/>
                <w:szCs w:val="20"/>
              </w:rPr>
              <w:t xml:space="preserve">. Počínaje rokem 2010 klesla míra investic v podnicích pod zahraniční kontrolou pod úroveň soukromých národních podniků. </w:t>
            </w:r>
          </w:p>
        </w:tc>
      </w:tr>
      <w:tr w:rsidR="009C03C8" w:rsidRPr="00D6151E" w:rsidTr="00DF7AD4">
        <w:trPr>
          <w:trHeight w:val="170"/>
        </w:trPr>
        <w:tc>
          <w:tcPr>
            <w:tcW w:w="1976" w:type="dxa"/>
          </w:tcPr>
          <w:p w:rsidR="009C03C8" w:rsidRDefault="009C03C8" w:rsidP="00DF7AD4">
            <w:pPr>
              <w:pStyle w:val="Marginlie"/>
            </w:pPr>
          </w:p>
        </w:tc>
        <w:tc>
          <w:tcPr>
            <w:tcW w:w="277" w:type="dxa"/>
          </w:tcPr>
          <w:p w:rsidR="009C03C8" w:rsidRPr="005E4483" w:rsidRDefault="009C03C8" w:rsidP="00DF7AD4">
            <w:pPr>
              <w:pStyle w:val="Textpoznpodarou"/>
              <w:jc w:val="both"/>
              <w:rPr>
                <w:spacing w:val="-4"/>
              </w:rPr>
            </w:pPr>
          </w:p>
        </w:tc>
        <w:tc>
          <w:tcPr>
            <w:tcW w:w="7391" w:type="dxa"/>
          </w:tcPr>
          <w:p w:rsidR="004E02EB" w:rsidRDefault="009C03C8" w:rsidP="00DF7AD4">
            <w:pPr>
              <w:spacing w:after="0"/>
              <w:jc w:val="left"/>
              <w:rPr>
                <w:rFonts w:cs="Arial"/>
                <w:b/>
                <w:szCs w:val="20"/>
              </w:rPr>
            </w:pPr>
            <w:r w:rsidRPr="00C43FCE">
              <w:rPr>
                <w:rFonts w:cs="Arial"/>
                <w:b/>
                <w:szCs w:val="20"/>
              </w:rPr>
              <w:t xml:space="preserve">Graf </w:t>
            </w:r>
            <w:proofErr w:type="gramStart"/>
            <w:r w:rsidRPr="00C43FCE">
              <w:rPr>
                <w:rFonts w:cs="Arial"/>
                <w:b/>
                <w:szCs w:val="20"/>
              </w:rPr>
              <w:t>6.5  Poskytnuté</w:t>
            </w:r>
            <w:proofErr w:type="gramEnd"/>
            <w:r w:rsidRPr="00C43FCE">
              <w:rPr>
                <w:rFonts w:cs="Arial"/>
                <w:b/>
                <w:szCs w:val="20"/>
              </w:rPr>
              <w:t xml:space="preserve"> bankovní úvěry nefinančním podnikům </w:t>
            </w:r>
          </w:p>
          <w:p w:rsidR="009C03C8" w:rsidRPr="00C43FCE" w:rsidRDefault="009C03C8" w:rsidP="00DF7AD4">
            <w:pPr>
              <w:spacing w:after="0"/>
              <w:jc w:val="left"/>
              <w:rPr>
                <w:rFonts w:cs="Arial"/>
                <w:szCs w:val="20"/>
              </w:rPr>
            </w:pPr>
            <w:r w:rsidRPr="00C43FCE">
              <w:rPr>
                <w:rFonts w:cs="Arial"/>
                <w:szCs w:val="20"/>
              </w:rPr>
              <w:t>(meziroční změna v %)</w:t>
            </w:r>
            <w:r w:rsidRPr="00C43FCE">
              <w:rPr>
                <w:rFonts w:cs="Arial"/>
                <w:b/>
                <w:szCs w:val="20"/>
              </w:rPr>
              <w:t xml:space="preserve"> a podíl nevýkonných úvěrů </w:t>
            </w:r>
            <w:r w:rsidRPr="00C43FCE">
              <w:rPr>
                <w:rFonts w:cs="Arial"/>
                <w:szCs w:val="20"/>
              </w:rPr>
              <w:t>(v %)</w:t>
            </w:r>
          </w:p>
          <w:p w:rsidR="009C03C8" w:rsidRPr="007424A8" w:rsidRDefault="009C03C8" w:rsidP="00DF7AD4">
            <w:pPr>
              <w:spacing w:after="0"/>
              <w:rPr>
                <w:rFonts w:cs="Arial"/>
                <w:szCs w:val="20"/>
              </w:rPr>
            </w:pPr>
            <w:r w:rsidRPr="00BC5AC5">
              <w:rPr>
                <w:rFonts w:cs="Arial"/>
                <w:noProof/>
                <w:szCs w:val="20"/>
              </w:rPr>
              <w:drawing>
                <wp:inline distT="0" distB="0" distL="0" distR="0">
                  <wp:extent cx="4707172" cy="3371353"/>
                  <wp:effectExtent l="0" t="0" r="0" b="0"/>
                  <wp:docPr id="3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tc>
      </w:tr>
      <w:tr w:rsidR="009C03C8" w:rsidRPr="00D6151E" w:rsidTr="00DF7AD4">
        <w:trPr>
          <w:trHeight w:val="170"/>
        </w:trPr>
        <w:tc>
          <w:tcPr>
            <w:tcW w:w="1976" w:type="dxa"/>
          </w:tcPr>
          <w:p w:rsidR="009C03C8" w:rsidRDefault="009C03C8" w:rsidP="00DF7AD4">
            <w:pPr>
              <w:pStyle w:val="Marginlie"/>
            </w:pPr>
          </w:p>
        </w:tc>
        <w:tc>
          <w:tcPr>
            <w:tcW w:w="277" w:type="dxa"/>
          </w:tcPr>
          <w:p w:rsidR="009C03C8" w:rsidRPr="005E4483" w:rsidRDefault="009C03C8" w:rsidP="00DF7AD4">
            <w:pPr>
              <w:pStyle w:val="Textpoznpodarou"/>
              <w:jc w:val="both"/>
              <w:rPr>
                <w:spacing w:val="-4"/>
              </w:rPr>
            </w:pPr>
          </w:p>
        </w:tc>
        <w:tc>
          <w:tcPr>
            <w:tcW w:w="7391" w:type="dxa"/>
          </w:tcPr>
          <w:p w:rsidR="009C03C8" w:rsidRPr="00D6151E" w:rsidRDefault="009C03C8" w:rsidP="00E972A9">
            <w:pPr>
              <w:spacing w:after="100"/>
              <w:rPr>
                <w:rFonts w:cs="Arial"/>
                <w:sz w:val="14"/>
                <w:szCs w:val="14"/>
              </w:rPr>
            </w:pPr>
            <w:r>
              <w:rPr>
                <w:rFonts w:cs="Arial"/>
                <w:sz w:val="14"/>
                <w:szCs w:val="14"/>
              </w:rPr>
              <w:t xml:space="preserve"> Zdroj: Česká národní banka</w:t>
            </w:r>
          </w:p>
        </w:tc>
      </w:tr>
      <w:tr w:rsidR="009C03C8" w:rsidRPr="007424A8" w:rsidTr="00DF7AD4">
        <w:trPr>
          <w:trHeight w:val="170"/>
        </w:trPr>
        <w:tc>
          <w:tcPr>
            <w:tcW w:w="1976" w:type="dxa"/>
          </w:tcPr>
          <w:p w:rsidR="009C03C8" w:rsidRDefault="009C03C8" w:rsidP="00DF7AD4">
            <w:pPr>
              <w:pStyle w:val="Marginlie"/>
            </w:pPr>
          </w:p>
        </w:tc>
        <w:tc>
          <w:tcPr>
            <w:tcW w:w="277" w:type="dxa"/>
          </w:tcPr>
          <w:p w:rsidR="009C03C8" w:rsidRPr="005E4483" w:rsidRDefault="009C03C8" w:rsidP="00DF7AD4">
            <w:pPr>
              <w:pStyle w:val="Textpoznpodarou"/>
              <w:jc w:val="both"/>
              <w:rPr>
                <w:spacing w:val="-4"/>
              </w:rPr>
            </w:pPr>
          </w:p>
        </w:tc>
        <w:tc>
          <w:tcPr>
            <w:tcW w:w="7391" w:type="dxa"/>
          </w:tcPr>
          <w:p w:rsidR="009C03C8" w:rsidRPr="00CD181A" w:rsidRDefault="009C03C8" w:rsidP="00DF7AD4">
            <w:pPr>
              <w:pStyle w:val="Textpoznpodarou"/>
              <w:rPr>
                <w:b/>
                <w:lang w:eastAsia="en-US"/>
              </w:rPr>
            </w:pPr>
            <w:r w:rsidRPr="00C43FCE">
              <w:rPr>
                <w:rFonts w:cs="Arial"/>
                <w:b/>
              </w:rPr>
              <w:t xml:space="preserve">Graf </w:t>
            </w:r>
            <w:proofErr w:type="gramStart"/>
            <w:r w:rsidRPr="00C43FCE">
              <w:rPr>
                <w:rFonts w:cs="Arial"/>
                <w:b/>
              </w:rPr>
              <w:t>6</w:t>
            </w:r>
            <w:r>
              <w:rPr>
                <w:rFonts w:cs="Arial"/>
                <w:b/>
              </w:rPr>
              <w:t>.6</w:t>
            </w:r>
            <w:r w:rsidRPr="00C43FCE">
              <w:rPr>
                <w:rFonts w:cs="Arial"/>
                <w:b/>
              </w:rPr>
              <w:t xml:space="preserve">  </w:t>
            </w:r>
            <w:r>
              <w:rPr>
                <w:b/>
                <w:lang w:eastAsia="en-US"/>
              </w:rPr>
              <w:t>Konsolidovaný</w:t>
            </w:r>
            <w:proofErr w:type="gramEnd"/>
            <w:r>
              <w:rPr>
                <w:b/>
                <w:lang w:eastAsia="en-US"/>
              </w:rPr>
              <w:t xml:space="preserve"> dluh nefinančních podniků* ve vybraných evropských zemích v roce 2017 </w:t>
            </w:r>
            <w:r>
              <w:rPr>
                <w:lang w:eastAsia="en-US"/>
              </w:rPr>
              <w:t>(v %</w:t>
            </w:r>
            <w:r w:rsidRPr="008A4447">
              <w:rPr>
                <w:lang w:eastAsia="en-US"/>
              </w:rPr>
              <w:t xml:space="preserve"> HDP)</w:t>
            </w:r>
          </w:p>
          <w:p w:rsidR="009C03C8" w:rsidRPr="007424A8" w:rsidRDefault="009C03C8" w:rsidP="00DF7AD4">
            <w:pPr>
              <w:spacing w:after="0"/>
              <w:rPr>
                <w:rFonts w:cs="Arial"/>
                <w:szCs w:val="20"/>
              </w:rPr>
            </w:pPr>
            <w:r w:rsidRPr="000A7A24">
              <w:rPr>
                <w:rFonts w:cs="Arial"/>
                <w:noProof/>
                <w:szCs w:val="20"/>
              </w:rPr>
              <w:drawing>
                <wp:inline distT="0" distB="0" distL="0" distR="0">
                  <wp:extent cx="4731026" cy="3387256"/>
                  <wp:effectExtent l="0" t="0" r="0" b="0"/>
                  <wp:docPr id="32"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tc>
      </w:tr>
      <w:tr w:rsidR="009C03C8" w:rsidRPr="00D6151E" w:rsidTr="00DF7AD4">
        <w:trPr>
          <w:trHeight w:val="170"/>
        </w:trPr>
        <w:tc>
          <w:tcPr>
            <w:tcW w:w="1976" w:type="dxa"/>
          </w:tcPr>
          <w:p w:rsidR="009C03C8" w:rsidRDefault="009C03C8" w:rsidP="00DF7AD4">
            <w:pPr>
              <w:pStyle w:val="Marginlie"/>
            </w:pPr>
          </w:p>
        </w:tc>
        <w:tc>
          <w:tcPr>
            <w:tcW w:w="277" w:type="dxa"/>
          </w:tcPr>
          <w:p w:rsidR="009C03C8" w:rsidRPr="005E4483" w:rsidRDefault="009C03C8" w:rsidP="00DF7AD4">
            <w:pPr>
              <w:pStyle w:val="Textpoznpodarou"/>
              <w:jc w:val="both"/>
              <w:rPr>
                <w:spacing w:val="-4"/>
              </w:rPr>
            </w:pPr>
          </w:p>
        </w:tc>
        <w:tc>
          <w:tcPr>
            <w:tcW w:w="7391" w:type="dxa"/>
          </w:tcPr>
          <w:p w:rsidR="009C03C8" w:rsidRPr="00E972A9" w:rsidRDefault="009C03C8" w:rsidP="00E972A9">
            <w:pPr>
              <w:pStyle w:val="Textpoznpodarou"/>
              <w:jc w:val="both"/>
              <w:rPr>
                <w:sz w:val="14"/>
                <w:szCs w:val="14"/>
                <w:lang w:eastAsia="en-US"/>
              </w:rPr>
            </w:pPr>
            <w:r w:rsidRPr="00CD181A">
              <w:rPr>
                <w:sz w:val="14"/>
                <w:szCs w:val="14"/>
                <w:lang w:eastAsia="en-US"/>
              </w:rPr>
              <w:t>*Pozn.: Součet vybraných finančních pasív v konečné rozvaze: Dluhové cenné papíry (</w:t>
            </w:r>
            <w:proofErr w:type="gramStart"/>
            <w:r w:rsidRPr="00CD181A">
              <w:rPr>
                <w:sz w:val="14"/>
                <w:szCs w:val="14"/>
                <w:lang w:eastAsia="en-US"/>
              </w:rPr>
              <w:t>AF.3), Půjčky</w:t>
            </w:r>
            <w:proofErr w:type="gramEnd"/>
            <w:r w:rsidRPr="00CD181A">
              <w:rPr>
                <w:sz w:val="14"/>
                <w:szCs w:val="14"/>
                <w:lang w:eastAsia="en-US"/>
              </w:rPr>
              <w:t xml:space="preserve"> (AF.4), Ostatní závazky (AF.8)</w:t>
            </w:r>
            <w:r>
              <w:rPr>
                <w:sz w:val="14"/>
                <w:szCs w:val="14"/>
                <w:lang w:eastAsia="en-US"/>
              </w:rPr>
              <w:t xml:space="preserve">. Za Lucembursko, EU28 a uskupení </w:t>
            </w:r>
            <w:proofErr w:type="spellStart"/>
            <w:r>
              <w:rPr>
                <w:sz w:val="14"/>
                <w:szCs w:val="14"/>
                <w:lang w:eastAsia="en-US"/>
              </w:rPr>
              <w:t>Eurozóny</w:t>
            </w:r>
            <w:proofErr w:type="spellEnd"/>
            <w:r>
              <w:rPr>
                <w:sz w:val="14"/>
                <w:szCs w:val="14"/>
                <w:lang w:eastAsia="en-US"/>
              </w:rPr>
              <w:t xml:space="preserve"> uveden rok 2016.</w:t>
            </w:r>
            <w:r w:rsidR="00E972A9">
              <w:rPr>
                <w:sz w:val="14"/>
                <w:szCs w:val="14"/>
                <w:lang w:eastAsia="en-US"/>
              </w:rPr>
              <w:t xml:space="preserve">                                    </w:t>
            </w:r>
            <w:r w:rsidRPr="00CD181A">
              <w:rPr>
                <w:rFonts w:cs="Arial"/>
                <w:sz w:val="14"/>
                <w:szCs w:val="14"/>
              </w:rPr>
              <w:t xml:space="preserve">Zdroj: </w:t>
            </w:r>
            <w:proofErr w:type="spellStart"/>
            <w:r w:rsidRPr="00CD181A">
              <w:rPr>
                <w:rFonts w:cs="Arial"/>
                <w:sz w:val="14"/>
                <w:szCs w:val="14"/>
              </w:rPr>
              <w:t>Eurostat</w:t>
            </w:r>
            <w:proofErr w:type="spellEnd"/>
          </w:p>
        </w:tc>
      </w:tr>
    </w:tbl>
    <w:p w:rsidR="00C96D08" w:rsidRPr="00360DE3" w:rsidRDefault="00E212C9" w:rsidP="00C96D08">
      <w:pPr>
        <w:pStyle w:val="Nadpis11"/>
      </w:pPr>
      <w:bookmarkStart w:id="21" w:name="_Toc527639476"/>
      <w:r w:rsidRPr="00360DE3">
        <w:rPr>
          <w:lang w:eastAsia="en-US"/>
        </w:rPr>
        <w:lastRenderedPageBreak/>
        <w:t>7</w:t>
      </w:r>
      <w:r w:rsidR="00141782" w:rsidRPr="00360DE3">
        <w:rPr>
          <w:lang w:eastAsia="en-US"/>
        </w:rPr>
        <w:t>. Finanční instituce</w:t>
      </w:r>
      <w:bookmarkEnd w:id="21"/>
      <w:r w:rsidR="00C96D08" w:rsidRPr="00360DE3">
        <w:t xml:space="preserve"> </w:t>
      </w:r>
    </w:p>
    <w:tbl>
      <w:tblPr>
        <w:tblW w:w="9644" w:type="dxa"/>
        <w:tblInd w:w="-15" w:type="dxa"/>
        <w:tblCellMar>
          <w:left w:w="0" w:type="dxa"/>
          <w:right w:w="0" w:type="dxa"/>
        </w:tblCellMar>
        <w:tblLook w:val="00A0"/>
      </w:tblPr>
      <w:tblGrid>
        <w:gridCol w:w="1909"/>
        <w:gridCol w:w="264"/>
        <w:gridCol w:w="7471"/>
      </w:tblGrid>
      <w:tr w:rsidR="00C96D08" w:rsidRPr="00360DE3" w:rsidTr="002B213A">
        <w:trPr>
          <w:trHeight w:val="145"/>
        </w:trPr>
        <w:tc>
          <w:tcPr>
            <w:tcW w:w="1909" w:type="dxa"/>
            <w:shd w:val="clear" w:color="auto" w:fill="auto"/>
          </w:tcPr>
          <w:p w:rsidR="00C96D08" w:rsidRPr="00360DE3" w:rsidRDefault="00C96D08" w:rsidP="002B213A">
            <w:pPr>
              <w:pStyle w:val="Marginlie"/>
              <w:rPr>
                <w:spacing w:val="0"/>
              </w:rPr>
            </w:pPr>
            <w:r w:rsidRPr="00360DE3">
              <w:rPr>
                <w:spacing w:val="0"/>
              </w:rPr>
              <w:t>Ziskovost v sektoru finančních institucí meziročně vzrostla.</w:t>
            </w:r>
          </w:p>
        </w:tc>
        <w:tc>
          <w:tcPr>
            <w:tcW w:w="264" w:type="dxa"/>
            <w:shd w:val="clear" w:color="auto" w:fill="auto"/>
          </w:tcPr>
          <w:p w:rsidR="00C96D08" w:rsidRPr="00360DE3" w:rsidRDefault="00C96D08" w:rsidP="002B213A">
            <w:pPr>
              <w:pStyle w:val="Textpoznpodarou1"/>
              <w:jc w:val="both"/>
            </w:pPr>
          </w:p>
        </w:tc>
        <w:tc>
          <w:tcPr>
            <w:tcW w:w="7471" w:type="dxa"/>
            <w:shd w:val="clear" w:color="auto" w:fill="auto"/>
          </w:tcPr>
          <w:p w:rsidR="00C96D08" w:rsidRPr="00360DE3" w:rsidRDefault="00C96D08" w:rsidP="002B213A">
            <w:r w:rsidRPr="00360DE3">
              <w:t>Hrubý provozní přebytek sektoru finančních institucí</w:t>
            </w:r>
            <w:r w:rsidRPr="00360DE3">
              <w:rPr>
                <w:rStyle w:val="Znakapoznpodarou"/>
              </w:rPr>
              <w:footnoteReference w:id="36"/>
            </w:r>
            <w:r w:rsidRPr="00360DE3">
              <w:t xml:space="preserve"> loni dosáhl 107,3 mld. korun (v běžných cenách). Jde o nejvyšší hodnotu v dostupné časové řadě a poprvé se podařilo překonat úroveň roku 2010. Meziročně se h</w:t>
            </w:r>
            <w:r w:rsidR="00DF7AD4">
              <w:t>rubý provozní přebytek zvýšil o</w:t>
            </w:r>
            <w:r w:rsidR="00DF7AD4" w:rsidRPr="00360DE3">
              <w:t> </w:t>
            </w:r>
            <w:r w:rsidRPr="00360DE3">
              <w:t>2,5 mld. korun. Na rozdíl od zbytku ekonomiky ve finančním sektoru neprobíhal nárůst zaměstnanosti, ani se výrazněji nezvyšovaly průměrné mzdy. Celkový objem vyplacených náhrad zaměstnancům tak meziročně stagnoval (dosáhl 62,3 mld. korun a meziročně se snížil o 73,0 milionů), což se projevilo zvýšením výsledné ziskovosti sektoru. Míra zisku</w:t>
            </w:r>
            <w:r w:rsidRPr="00360DE3">
              <w:rPr>
                <w:rStyle w:val="Znakapoznpodarou"/>
              </w:rPr>
              <w:footnoteReference w:id="37"/>
            </w:r>
            <w:r w:rsidRPr="00360DE3">
              <w:t xml:space="preserve"> loni dosáhla 61,3 %, což je o 0,5 p. </w:t>
            </w:r>
            <w:proofErr w:type="spellStart"/>
            <w:r w:rsidRPr="00360DE3">
              <w:t>b</w:t>
            </w:r>
            <w:proofErr w:type="spellEnd"/>
            <w:r w:rsidRPr="00360DE3">
              <w:t xml:space="preserve">. </w:t>
            </w:r>
            <w:proofErr w:type="gramStart"/>
            <w:r w:rsidRPr="00360DE3">
              <w:t>více</w:t>
            </w:r>
            <w:proofErr w:type="gramEnd"/>
            <w:r w:rsidRPr="00360DE3">
              <w:t xml:space="preserve"> než v roce 2016. </w:t>
            </w:r>
          </w:p>
        </w:tc>
      </w:tr>
      <w:tr w:rsidR="00C96D08" w:rsidRPr="00360DE3" w:rsidTr="002B213A">
        <w:tc>
          <w:tcPr>
            <w:tcW w:w="1909" w:type="dxa"/>
            <w:vMerge w:val="restart"/>
            <w:shd w:val="clear" w:color="auto" w:fill="auto"/>
          </w:tcPr>
          <w:p w:rsidR="00C96D08" w:rsidRPr="00360DE3" w:rsidRDefault="00C96D08" w:rsidP="002B213A">
            <w:pPr>
              <w:pStyle w:val="Marginlie"/>
              <w:rPr>
                <w:spacing w:val="0"/>
              </w:rPr>
            </w:pPr>
          </w:p>
        </w:tc>
        <w:tc>
          <w:tcPr>
            <w:tcW w:w="264" w:type="dxa"/>
            <w:vMerge w:val="restart"/>
            <w:shd w:val="clear" w:color="auto" w:fill="auto"/>
          </w:tcPr>
          <w:p w:rsidR="00C96D08" w:rsidRPr="00360DE3" w:rsidRDefault="00C96D08" w:rsidP="002B213A">
            <w:pPr>
              <w:pStyle w:val="Textpoznpodarou1"/>
              <w:jc w:val="both"/>
            </w:pPr>
          </w:p>
        </w:tc>
        <w:tc>
          <w:tcPr>
            <w:tcW w:w="7471" w:type="dxa"/>
            <w:shd w:val="clear" w:color="auto" w:fill="auto"/>
          </w:tcPr>
          <w:p w:rsidR="004E02EB" w:rsidRDefault="00C96D08" w:rsidP="001D198A">
            <w:pPr>
              <w:spacing w:after="0"/>
              <w:rPr>
                <w:b/>
              </w:rPr>
            </w:pPr>
            <w:r w:rsidRPr="00360DE3">
              <w:rPr>
                <w:b/>
              </w:rPr>
              <w:t xml:space="preserve">Graf č. </w:t>
            </w:r>
            <w:proofErr w:type="gramStart"/>
            <w:r w:rsidR="001D198A" w:rsidRPr="00360DE3">
              <w:rPr>
                <w:b/>
              </w:rPr>
              <w:t>7.1</w:t>
            </w:r>
            <w:r w:rsidRPr="00360DE3">
              <w:rPr>
                <w:b/>
              </w:rPr>
              <w:t xml:space="preserve">  Hrubá</w:t>
            </w:r>
            <w:proofErr w:type="gramEnd"/>
            <w:r w:rsidRPr="00360DE3">
              <w:rPr>
                <w:b/>
              </w:rPr>
              <w:t xml:space="preserve"> přidaná hodnota vybraných finančních institucí </w:t>
            </w:r>
          </w:p>
          <w:p w:rsidR="00C96D08" w:rsidRPr="00360DE3" w:rsidRDefault="00C96D08" w:rsidP="001D198A">
            <w:pPr>
              <w:spacing w:after="0"/>
              <w:rPr>
                <w:b/>
              </w:rPr>
            </w:pPr>
            <w:r w:rsidRPr="00360DE3">
              <w:t>(meziroční změna v mld. korun)</w:t>
            </w:r>
          </w:p>
        </w:tc>
      </w:tr>
      <w:tr w:rsidR="00C96D08" w:rsidRPr="00360DE3" w:rsidTr="002B213A">
        <w:trPr>
          <w:trHeight w:val="170"/>
        </w:trPr>
        <w:tc>
          <w:tcPr>
            <w:tcW w:w="1909" w:type="dxa"/>
            <w:vMerge/>
            <w:shd w:val="clear" w:color="auto" w:fill="auto"/>
          </w:tcPr>
          <w:p w:rsidR="00C96D08" w:rsidRPr="00360DE3" w:rsidRDefault="00C96D08" w:rsidP="002B213A">
            <w:pPr>
              <w:pStyle w:val="Marginlie"/>
              <w:rPr>
                <w:spacing w:val="0"/>
              </w:rPr>
            </w:pPr>
          </w:p>
        </w:tc>
        <w:tc>
          <w:tcPr>
            <w:tcW w:w="264" w:type="dxa"/>
            <w:vMerge/>
            <w:shd w:val="clear" w:color="auto" w:fill="auto"/>
          </w:tcPr>
          <w:p w:rsidR="00C96D08" w:rsidRPr="00360DE3" w:rsidRDefault="00C96D08" w:rsidP="002B213A">
            <w:pPr>
              <w:pStyle w:val="Textpoznpodarou1"/>
              <w:jc w:val="both"/>
            </w:pPr>
          </w:p>
        </w:tc>
        <w:tc>
          <w:tcPr>
            <w:tcW w:w="7471" w:type="dxa"/>
            <w:shd w:val="clear" w:color="auto" w:fill="auto"/>
          </w:tcPr>
          <w:p w:rsidR="00C96D08" w:rsidRPr="00360DE3" w:rsidRDefault="00C96D08" w:rsidP="002B213A">
            <w:pPr>
              <w:spacing w:after="0"/>
            </w:pPr>
            <w:r w:rsidRPr="00360DE3">
              <w:rPr>
                <w:noProof/>
              </w:rPr>
              <w:drawing>
                <wp:inline distT="0" distB="0" distL="0" distR="0">
                  <wp:extent cx="4737600" cy="3553200"/>
                  <wp:effectExtent l="0" t="0" r="0" b="0"/>
                  <wp:docPr id="2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tc>
      </w:tr>
      <w:tr w:rsidR="00C96D08" w:rsidRPr="00360DE3" w:rsidTr="002B213A">
        <w:trPr>
          <w:trHeight w:val="170"/>
        </w:trPr>
        <w:tc>
          <w:tcPr>
            <w:tcW w:w="1909" w:type="dxa"/>
            <w:vMerge/>
            <w:shd w:val="clear" w:color="auto" w:fill="auto"/>
          </w:tcPr>
          <w:p w:rsidR="00C96D08" w:rsidRPr="00360DE3" w:rsidRDefault="00C96D08" w:rsidP="002B213A">
            <w:pPr>
              <w:pStyle w:val="Marginlie"/>
              <w:rPr>
                <w:spacing w:val="0"/>
              </w:rPr>
            </w:pPr>
          </w:p>
        </w:tc>
        <w:tc>
          <w:tcPr>
            <w:tcW w:w="264" w:type="dxa"/>
            <w:vMerge/>
            <w:shd w:val="clear" w:color="auto" w:fill="auto"/>
          </w:tcPr>
          <w:p w:rsidR="00C96D08" w:rsidRPr="00360DE3" w:rsidRDefault="00C96D08" w:rsidP="002B213A">
            <w:pPr>
              <w:pStyle w:val="Textpoznpodarou1"/>
              <w:jc w:val="both"/>
            </w:pPr>
          </w:p>
        </w:tc>
        <w:tc>
          <w:tcPr>
            <w:tcW w:w="7471" w:type="dxa"/>
            <w:shd w:val="clear" w:color="auto" w:fill="auto"/>
          </w:tcPr>
          <w:p w:rsidR="00C96D08" w:rsidRPr="00360DE3" w:rsidRDefault="00C96D08" w:rsidP="002B213A">
            <w:pPr>
              <w:rPr>
                <w:sz w:val="14"/>
                <w:szCs w:val="14"/>
              </w:rPr>
            </w:pPr>
            <w:r w:rsidRPr="00360DE3">
              <w:rPr>
                <w:sz w:val="14"/>
                <w:szCs w:val="14"/>
              </w:rPr>
              <w:t>Zdroj: ČSÚ</w:t>
            </w:r>
          </w:p>
        </w:tc>
      </w:tr>
      <w:tr w:rsidR="00C96D08" w:rsidRPr="00360DE3" w:rsidTr="002B213A">
        <w:trPr>
          <w:trHeight w:val="145"/>
        </w:trPr>
        <w:tc>
          <w:tcPr>
            <w:tcW w:w="1909" w:type="dxa"/>
            <w:shd w:val="clear" w:color="auto" w:fill="auto"/>
          </w:tcPr>
          <w:p w:rsidR="00C96D08" w:rsidRPr="00360DE3" w:rsidRDefault="00C96D08" w:rsidP="002B213A">
            <w:pPr>
              <w:pStyle w:val="Marginlie"/>
              <w:rPr>
                <w:spacing w:val="0"/>
              </w:rPr>
            </w:pPr>
            <w:r w:rsidRPr="00360DE3">
              <w:rPr>
                <w:spacing w:val="0"/>
              </w:rPr>
              <w:t>Růst hrubé přidané hodnoty v sektoru finančních institucí zaostával za zbytkem ekonomiky a zejména nefinančními podniky.</w:t>
            </w:r>
          </w:p>
        </w:tc>
        <w:tc>
          <w:tcPr>
            <w:tcW w:w="264" w:type="dxa"/>
            <w:shd w:val="clear" w:color="auto" w:fill="auto"/>
          </w:tcPr>
          <w:p w:rsidR="00C96D08" w:rsidRPr="00360DE3" w:rsidRDefault="00C96D08" w:rsidP="002B213A">
            <w:pPr>
              <w:pStyle w:val="Textpoznpodarou1"/>
              <w:jc w:val="both"/>
            </w:pPr>
          </w:p>
        </w:tc>
        <w:tc>
          <w:tcPr>
            <w:tcW w:w="7471" w:type="dxa"/>
            <w:shd w:val="clear" w:color="auto" w:fill="auto"/>
          </w:tcPr>
          <w:p w:rsidR="00C96D08" w:rsidRPr="00360DE3" w:rsidRDefault="00C96D08" w:rsidP="002B213A">
            <w:r w:rsidRPr="00360DE3">
              <w:t xml:space="preserve">Samotná hrubá přidaná hodnota (HPH) finančních institucí loni dosáhla 174,9 mld. korun a meziročně se zvýšila o 2,6 mld. Celkově se sektor podílel na hrubé přidané hodnotě národního hospodářství 3,9 %, což je nejméně od roku 2007. Recese, která přišla po roce 2008, postihla zejména sektor nefinančních podniků a až do roku 2010 nepřerušila prudký růst HPH finančních institucí. Podíl finančního sektoru na HPH tak rostl (vrcholu dosáhl v roce 2010, v posledních čtyřech letech klesal s tím, jak nová konjunktura podpořila nefinanční podniky). Zároveň růstová dynamika HPH finančních institucí v posledních čtyřech letech zaostávala za zbytkem ekonomiky. Stagnující ziskovost by mohla stimulovat vyšší investiční aktivita v sektoru. Výdaje na tvorbu hrubého fixního kapitálu zde v loňském roce nominálně narostly o 5,4 mld. korun (14,9 %). Tento výsledek navazuje na </w:t>
            </w:r>
            <w:r w:rsidRPr="00360DE3">
              <w:lastRenderedPageBreak/>
              <w:t>předchozí dva roky, kdy meziroční přírůstky rovněž dosahovaly dvouciferného tempa. Přímým následkem bylo rychlé zvýšení míry investic</w:t>
            </w:r>
            <w:r w:rsidRPr="00360DE3">
              <w:rPr>
                <w:rStyle w:val="Znakapoznpodarou"/>
              </w:rPr>
              <w:footnoteReference w:id="38"/>
            </w:r>
            <w:r w:rsidRPr="00360DE3">
              <w:t xml:space="preserve"> v sektoru. Ta loni dosáhla 23,8 % (meziroční nárůst o 1,8 p. </w:t>
            </w:r>
            <w:proofErr w:type="spellStart"/>
            <w:r w:rsidRPr="00360DE3">
              <w:t>b</w:t>
            </w:r>
            <w:proofErr w:type="spellEnd"/>
            <w:r w:rsidRPr="00360DE3">
              <w:t xml:space="preserve">., nárůst od roku 2014 o 7,3 p. </w:t>
            </w:r>
            <w:proofErr w:type="spellStart"/>
            <w:r w:rsidRPr="00360DE3">
              <w:t>b</w:t>
            </w:r>
            <w:proofErr w:type="spellEnd"/>
            <w:r w:rsidRPr="00360DE3">
              <w:t>.). Investice finančních institucí jsou převážně zaměřeny na počítačové a softwarové vybavení. Elektronizace bankovnictví a finančnictví pak může mít přímý dopad ve formě poklesu počtu pracovníků v sektoru.</w:t>
            </w:r>
          </w:p>
        </w:tc>
      </w:tr>
      <w:tr w:rsidR="00C96D08" w:rsidRPr="00360DE3" w:rsidTr="002B213A">
        <w:trPr>
          <w:trHeight w:val="145"/>
        </w:trPr>
        <w:tc>
          <w:tcPr>
            <w:tcW w:w="1909" w:type="dxa"/>
            <w:shd w:val="clear" w:color="auto" w:fill="auto"/>
          </w:tcPr>
          <w:p w:rsidR="00C96D08" w:rsidRPr="00360DE3" w:rsidRDefault="00C96D08" w:rsidP="00C466D2">
            <w:pPr>
              <w:pStyle w:val="Marginlie"/>
              <w:rPr>
                <w:spacing w:val="0"/>
              </w:rPr>
            </w:pPr>
            <w:r w:rsidRPr="00360DE3">
              <w:rPr>
                <w:spacing w:val="0"/>
              </w:rPr>
              <w:lastRenderedPageBreak/>
              <w:t>Loni u finančních institucí klesala zaměstnanost,</w:t>
            </w:r>
            <w:r w:rsidR="00C466D2" w:rsidRPr="00360DE3">
              <w:rPr>
                <w:spacing w:val="0"/>
              </w:rPr>
              <w:t xml:space="preserve"> což společně s mírným růstem průměrné mzdy v sektoru vedlo ke stagnaci objemu vyplacených mzdových prostředků.</w:t>
            </w:r>
          </w:p>
        </w:tc>
        <w:tc>
          <w:tcPr>
            <w:tcW w:w="264" w:type="dxa"/>
            <w:shd w:val="clear" w:color="auto" w:fill="auto"/>
          </w:tcPr>
          <w:p w:rsidR="00C96D08" w:rsidRPr="00360DE3" w:rsidRDefault="00C96D08" w:rsidP="002B213A">
            <w:pPr>
              <w:pStyle w:val="Textpoznpodarou1"/>
              <w:jc w:val="both"/>
            </w:pPr>
          </w:p>
        </w:tc>
        <w:tc>
          <w:tcPr>
            <w:tcW w:w="7471" w:type="dxa"/>
            <w:shd w:val="clear" w:color="auto" w:fill="auto"/>
          </w:tcPr>
          <w:p w:rsidR="00C96D08" w:rsidRPr="00D52BE2" w:rsidRDefault="00C96D08" w:rsidP="00C466D2">
            <w:pPr>
              <w:rPr>
                <w:spacing w:val="-2"/>
              </w:rPr>
            </w:pPr>
            <w:r w:rsidRPr="00D52BE2">
              <w:rPr>
                <w:spacing w:val="-2"/>
              </w:rPr>
              <w:t>Celková zaměstnanost</w:t>
            </w:r>
            <w:r w:rsidRPr="00D52BE2">
              <w:rPr>
                <w:rStyle w:val="Znakapoznpodarou"/>
                <w:spacing w:val="-2"/>
              </w:rPr>
              <w:footnoteReference w:id="39"/>
            </w:r>
            <w:r w:rsidRPr="00D52BE2">
              <w:rPr>
                <w:spacing w:val="-2"/>
              </w:rPr>
              <w:t xml:space="preserve"> v sektoru finančních institucí v posledních šesti letech kolísala mezi 72 a 74 tis. osob. V loňském roce zde bylo zaměstnáno 71,5 tis. osob, což znamená meziroční pokles o 2,4 tis. (-3,2 %). Finanční sektor se podílel na celkové zaměstnanosti 1,4 %. To je stejn</w:t>
            </w:r>
            <w:r w:rsidR="00C466D2" w:rsidRPr="00D52BE2">
              <w:rPr>
                <w:spacing w:val="-2"/>
              </w:rPr>
              <w:t>ě</w:t>
            </w:r>
            <w:r w:rsidRPr="00D52BE2">
              <w:rPr>
                <w:spacing w:val="-2"/>
              </w:rPr>
              <w:t xml:space="preserve"> jako v roce 20</w:t>
            </w:r>
            <w:r w:rsidR="00DF7AD4" w:rsidRPr="00D52BE2">
              <w:rPr>
                <w:spacing w:val="-2"/>
              </w:rPr>
              <w:t>16. Vývoj zaměstnanosti u </w:t>
            </w:r>
            <w:r w:rsidRPr="00D52BE2">
              <w:rPr>
                <w:spacing w:val="-2"/>
              </w:rPr>
              <w:t>finančních institucí byl v protikladu jak s celou ekonomikou, kde se celková zaměstnanost zvyšovala o 1,2 %, tak se sektorem</w:t>
            </w:r>
            <w:r w:rsidR="00DF7AD4" w:rsidRPr="00D52BE2">
              <w:rPr>
                <w:spacing w:val="-2"/>
              </w:rPr>
              <w:t xml:space="preserve"> nefinančních podniků (nárůst o </w:t>
            </w:r>
            <w:r w:rsidRPr="00D52BE2">
              <w:rPr>
                <w:spacing w:val="-2"/>
              </w:rPr>
              <w:t>1,7</w:t>
            </w:r>
            <w:r w:rsidR="00D52BE2" w:rsidRPr="00360DE3">
              <w:t> </w:t>
            </w:r>
            <w:r w:rsidRPr="00D52BE2">
              <w:rPr>
                <w:spacing w:val="-2"/>
              </w:rPr>
              <w:t>%).</w:t>
            </w:r>
            <w:r w:rsidR="00C466D2" w:rsidRPr="00D52BE2">
              <w:rPr>
                <w:spacing w:val="-2"/>
              </w:rPr>
              <w:t xml:space="preserve"> Objem vyplacených mezd a platů ve finančních institucích loni dosá</w:t>
            </w:r>
            <w:r w:rsidR="00DF7AD4" w:rsidRPr="00D52BE2">
              <w:rPr>
                <w:spacing w:val="-2"/>
              </w:rPr>
              <w:t>hl 47,1 </w:t>
            </w:r>
            <w:r w:rsidR="00C466D2" w:rsidRPr="00D52BE2">
              <w:rPr>
                <w:spacing w:val="-2"/>
              </w:rPr>
              <w:t>mld. korun. Meziroční navýšení dosáhlo jen</w:t>
            </w:r>
            <w:r w:rsidR="00DF7AD4" w:rsidRPr="00D52BE2">
              <w:rPr>
                <w:spacing w:val="-2"/>
              </w:rPr>
              <w:t xml:space="preserve"> 0,2 mld. korun (0,5 %). Mzdy a </w:t>
            </w:r>
            <w:r w:rsidR="00C466D2" w:rsidRPr="00D52BE2">
              <w:rPr>
                <w:spacing w:val="-2"/>
              </w:rPr>
              <w:t xml:space="preserve">platy ve finančním sektoru tvořily 3,0 % z celkového vyplaceného objemu v ekonomice. Tento ukazatel meziročně poklesl o 0,2 p. </w:t>
            </w:r>
            <w:proofErr w:type="spellStart"/>
            <w:r w:rsidR="00C466D2" w:rsidRPr="00D52BE2">
              <w:rPr>
                <w:spacing w:val="-2"/>
              </w:rPr>
              <w:t>b</w:t>
            </w:r>
            <w:proofErr w:type="spellEnd"/>
            <w:r w:rsidR="00C466D2" w:rsidRPr="00D52BE2">
              <w:rPr>
                <w:spacing w:val="-2"/>
              </w:rPr>
              <w:t>. Průměrná mzda ve finančním sektoru je značně vyšší než u nefinančních podniků (1,4 % zaměstnanců v ekonomice plyne 3,0</w:t>
            </w:r>
            <w:r w:rsidR="00D52BE2" w:rsidRPr="00360DE3">
              <w:t> </w:t>
            </w:r>
            <w:r w:rsidR="00C466D2" w:rsidRPr="00D52BE2">
              <w:rPr>
                <w:spacing w:val="-2"/>
              </w:rPr>
              <w:t>% mzdových prostředků), její růst však loni zaostával za celkovým průměrem v ekonomice. To potvrzuje hodnota průměrné mzdy ve finančnictví a pojišťovnictví (CZ-NACE K), která loni činila 51 928 korun</w:t>
            </w:r>
            <w:r w:rsidR="00C466D2" w:rsidRPr="00D52BE2">
              <w:rPr>
                <w:rStyle w:val="Znakapoznpodarou"/>
                <w:rFonts w:eastAsia="MS Gothic"/>
                <w:spacing w:val="-2"/>
              </w:rPr>
              <w:footnoteReference w:id="40"/>
            </w:r>
            <w:r w:rsidR="00C466D2" w:rsidRPr="00D52BE2">
              <w:rPr>
                <w:spacing w:val="-2"/>
              </w:rPr>
              <w:t xml:space="preserve"> (druhá nejvyšší průměrná mzda v ekonomice), její meziroční navýšení však dosáhlo jen 3,6 %.</w:t>
            </w:r>
          </w:p>
        </w:tc>
      </w:tr>
      <w:tr w:rsidR="00C96D08" w:rsidRPr="00360DE3" w:rsidTr="002B213A">
        <w:trPr>
          <w:trHeight w:val="212"/>
        </w:trPr>
        <w:tc>
          <w:tcPr>
            <w:tcW w:w="1909" w:type="dxa"/>
            <w:shd w:val="clear" w:color="auto" w:fill="auto"/>
          </w:tcPr>
          <w:p w:rsidR="00C96D08" w:rsidRPr="00360DE3" w:rsidRDefault="00C96D08" w:rsidP="002B213A">
            <w:pPr>
              <w:pStyle w:val="Marginlie"/>
              <w:spacing w:after="240"/>
              <w:rPr>
                <w:spacing w:val="0"/>
              </w:rPr>
            </w:pPr>
            <w:r w:rsidRPr="00360DE3">
              <w:rPr>
                <w:spacing w:val="0"/>
              </w:rPr>
              <w:t>V měnové oblasti došlo k několika významným změnám.</w:t>
            </w:r>
          </w:p>
        </w:tc>
        <w:tc>
          <w:tcPr>
            <w:tcW w:w="264" w:type="dxa"/>
            <w:shd w:val="clear" w:color="auto" w:fill="auto"/>
          </w:tcPr>
          <w:p w:rsidR="00C96D08" w:rsidRPr="00360DE3" w:rsidRDefault="00C96D08" w:rsidP="002B213A">
            <w:pPr>
              <w:pStyle w:val="Textpoznpodarou1"/>
              <w:spacing w:after="240"/>
              <w:jc w:val="both"/>
            </w:pPr>
          </w:p>
        </w:tc>
        <w:tc>
          <w:tcPr>
            <w:tcW w:w="7471" w:type="dxa"/>
            <w:shd w:val="clear" w:color="auto" w:fill="auto"/>
          </w:tcPr>
          <w:p w:rsidR="00C96D08" w:rsidRPr="00360DE3" w:rsidRDefault="00C96D08" w:rsidP="002B213A">
            <w:r w:rsidRPr="00360DE3">
              <w:t>V loňském roce došlo k několika významným změnám měnových podmínek, které se následně promítaly do činností finančního sektoru. Tou nejvýznamnější bylo ukončení kurzových intervencí a následný přechod do standardního režimu měnové politiky</w:t>
            </w:r>
            <w:r w:rsidRPr="00360DE3">
              <w:rPr>
                <w:rStyle w:val="Znakapoznpodarou"/>
              </w:rPr>
              <w:footnoteReference w:id="41"/>
            </w:r>
            <w:r w:rsidRPr="00360DE3">
              <w:t xml:space="preserve">. Od listopadu 2012 až do srpna 2017 setrvávaly </w:t>
            </w:r>
            <w:proofErr w:type="spellStart"/>
            <w:r w:rsidRPr="00360DE3">
              <w:t>měnověpolitické</w:t>
            </w:r>
            <w:proofErr w:type="spellEnd"/>
            <w:r w:rsidRPr="00360DE3">
              <w:t xml:space="preserve"> sazby na technické nule. Na počátku srpna byla navýšena </w:t>
            </w:r>
            <w:proofErr w:type="spellStart"/>
            <w:r w:rsidR="00D52BE2">
              <w:t>repo</w:t>
            </w:r>
            <w:proofErr w:type="spellEnd"/>
            <w:r w:rsidR="00D52BE2">
              <w:t xml:space="preserve"> sazba z 0,05 % na 0,25 % a</w:t>
            </w:r>
            <w:r w:rsidR="00D52BE2" w:rsidRPr="00360DE3">
              <w:t> </w:t>
            </w:r>
            <w:r w:rsidRPr="00360DE3">
              <w:t xml:space="preserve">lombardní sazba z 0,25 % na 0,50 %. Další posun nastal v listopadu. Obě sazby byly zdvojnásobeny. Zvýšení sazeb proběhlo poprvé od roku 2008. V návaznosti na diskuze o stabilitě finančního systému se ČNB rozhodla k aplikaci několika nástrojů tzv. </w:t>
            </w:r>
            <w:proofErr w:type="spellStart"/>
            <w:r w:rsidRPr="00360DE3">
              <w:t>makroobezřetnostní</w:t>
            </w:r>
            <w:proofErr w:type="spellEnd"/>
            <w:r w:rsidRPr="00360DE3">
              <w:t xml:space="preserve"> politiky. Nejviditelnější změnou bylo zpřísnění doporučení týkajících se poskytování hypotečních úvěrů. Šlo především o omezení výše poměru půjčované částky vůči hodnotě nemovitosti. Méně viditelnou změnou bylo zvýšení sazby kapitálové rezervy pro některé banky. Vzhledem k vrcholícímu hospodářskému cyklu bylo na konci roku 2017 vyhlášeno i zvýšení sazby </w:t>
            </w:r>
            <w:proofErr w:type="spellStart"/>
            <w:r w:rsidRPr="00360DE3">
              <w:t>proticyklické</w:t>
            </w:r>
            <w:proofErr w:type="spellEnd"/>
            <w:r w:rsidRPr="00360DE3">
              <w:t xml:space="preserve"> kapitálové rezervy s platností od 1. 7. 2018 (z 0,5 % na 1,0 %, další zvýšení na 1,25 % od 1. 1. 2019).</w:t>
            </w:r>
          </w:p>
        </w:tc>
      </w:tr>
      <w:tr w:rsidR="00C96D08" w:rsidRPr="00360DE3" w:rsidTr="002B213A">
        <w:trPr>
          <w:trHeight w:val="145"/>
        </w:trPr>
        <w:tc>
          <w:tcPr>
            <w:tcW w:w="1909" w:type="dxa"/>
            <w:shd w:val="clear" w:color="auto" w:fill="auto"/>
          </w:tcPr>
          <w:p w:rsidR="00C96D08" w:rsidRPr="00360DE3" w:rsidRDefault="00C96D08" w:rsidP="002B213A">
            <w:pPr>
              <w:pStyle w:val="Marginlie"/>
              <w:spacing w:after="240"/>
              <w:rPr>
                <w:spacing w:val="0"/>
              </w:rPr>
            </w:pPr>
          </w:p>
        </w:tc>
        <w:tc>
          <w:tcPr>
            <w:tcW w:w="264" w:type="dxa"/>
            <w:shd w:val="clear" w:color="auto" w:fill="auto"/>
          </w:tcPr>
          <w:p w:rsidR="00C96D08" w:rsidRPr="00360DE3" w:rsidRDefault="00C96D08" w:rsidP="002B213A">
            <w:pPr>
              <w:pStyle w:val="Textpoznpodarou1"/>
              <w:jc w:val="both"/>
            </w:pPr>
          </w:p>
        </w:tc>
        <w:tc>
          <w:tcPr>
            <w:tcW w:w="7471" w:type="dxa"/>
            <w:shd w:val="clear" w:color="auto" w:fill="auto"/>
          </w:tcPr>
          <w:p w:rsidR="00C96D08" w:rsidRPr="00360DE3" w:rsidRDefault="00C96D08" w:rsidP="002B213A">
            <w:pPr>
              <w:spacing w:after="0"/>
            </w:pPr>
            <w:r w:rsidRPr="00360DE3">
              <w:t xml:space="preserve">Na zvýšení </w:t>
            </w:r>
            <w:proofErr w:type="spellStart"/>
            <w:r w:rsidRPr="00360DE3">
              <w:t>měnověpolitických</w:t>
            </w:r>
            <w:proofErr w:type="spellEnd"/>
            <w:r w:rsidRPr="00360DE3">
              <w:t xml:space="preserve"> sazeb reagovaly i úrokové sazby mezibankovního trhu, které se držely na minimálních hodnotách několik předchozích let. Ke konci roku tak tříměsíční sazba PRIBOR dosahovala 0,75 % (meziroční nárůst o 0,47 p. </w:t>
            </w:r>
            <w:proofErr w:type="spellStart"/>
            <w:r w:rsidRPr="00360DE3">
              <w:t>b</w:t>
            </w:r>
            <w:proofErr w:type="spellEnd"/>
            <w:r w:rsidRPr="00360DE3">
              <w:t xml:space="preserve">.) a roční PRIBOR činil 0,96 % (+0,51 p. </w:t>
            </w:r>
            <w:proofErr w:type="spellStart"/>
            <w:r w:rsidRPr="00360DE3">
              <w:t>b</w:t>
            </w:r>
            <w:proofErr w:type="spellEnd"/>
            <w:r w:rsidRPr="00360DE3">
              <w:t>.). Zvýšení mezibankovních sazeb však loni nepocítili klienti z řad domácností ani podniků na svých účtech, kde úročení setrvávalo na minimálních hodnotách. U půjček k jistým posunům docházelo. Mírně se zvyšovaly úrokové sazby na hypotečních úvěrech, zdražily i půjčky pro podniky. Naopak u spotřebních úvěrů pro domácnosti úročení klesalo a poprvé se tak dostalo pod hranici 10 %.</w:t>
            </w:r>
          </w:p>
        </w:tc>
      </w:tr>
    </w:tbl>
    <w:p w:rsidR="00141782" w:rsidRPr="00360DE3" w:rsidRDefault="00E212C9" w:rsidP="00141782">
      <w:pPr>
        <w:pStyle w:val="Nadpis1"/>
        <w:rPr>
          <w:lang w:eastAsia="en-US"/>
        </w:rPr>
      </w:pPr>
      <w:bookmarkStart w:id="22" w:name="_Toc527639477"/>
      <w:r w:rsidRPr="00360DE3">
        <w:rPr>
          <w:lang w:eastAsia="en-US"/>
        </w:rPr>
        <w:lastRenderedPageBreak/>
        <w:t>8</w:t>
      </w:r>
      <w:r w:rsidR="00141782" w:rsidRPr="00360DE3">
        <w:rPr>
          <w:lang w:eastAsia="en-US"/>
        </w:rPr>
        <w:t>. Domácnosti</w:t>
      </w:r>
      <w:bookmarkEnd w:id="22"/>
    </w:p>
    <w:p w:rsidR="00C96D08" w:rsidRPr="00360DE3" w:rsidRDefault="00E212C9" w:rsidP="00433C0C">
      <w:pPr>
        <w:pStyle w:val="Nadpis2"/>
      </w:pPr>
      <w:bookmarkStart w:id="23" w:name="_Toc527639478"/>
      <w:r w:rsidRPr="00360DE3">
        <w:t>8</w:t>
      </w:r>
      <w:r w:rsidR="00C96D08" w:rsidRPr="00360DE3">
        <w:t>.1 Příjmy domácností</w:t>
      </w:r>
      <w:bookmarkEnd w:id="23"/>
    </w:p>
    <w:tbl>
      <w:tblPr>
        <w:tblW w:w="9644" w:type="dxa"/>
        <w:tblInd w:w="-15" w:type="dxa"/>
        <w:tblLayout w:type="fixed"/>
        <w:tblCellMar>
          <w:left w:w="0" w:type="dxa"/>
          <w:right w:w="0" w:type="dxa"/>
        </w:tblCellMar>
        <w:tblLook w:val="00A0"/>
      </w:tblPr>
      <w:tblGrid>
        <w:gridCol w:w="1976"/>
        <w:gridCol w:w="277"/>
        <w:gridCol w:w="7391"/>
      </w:tblGrid>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t>Příjmy domácností loni rostly poměrně silně. Na rozdíl od minulých let se na jejich reálném navýšení výrazněji projevoval růst cenové hladiny</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C466D2">
            <w:r w:rsidRPr="00360DE3">
              <w:t xml:space="preserve">Domácnosti </w:t>
            </w:r>
            <w:r w:rsidR="00C466D2" w:rsidRPr="00360DE3">
              <w:t>loni</w:t>
            </w:r>
            <w:r w:rsidRPr="00360DE3">
              <w:t xml:space="preserve"> čerpaly z rostoucího výkonu ekonomiky i ze souvisejícího pnutí na trhu práce. Výše hrubého disponibilního důchodu (HDD) domácností dosáhla 2 575,3 mld. korun a meziročně se zvýšila o 100,9 mld. (4,1 %). V porovnání s lety 2014–2016 se výrazněji zvětšil rozdíl mezi reálným a nominálním růstem HDD. V uvedeném období mezera nepřekonala 1,0 p. </w:t>
            </w:r>
            <w:proofErr w:type="spellStart"/>
            <w:r w:rsidRPr="00360DE3">
              <w:t>b</w:t>
            </w:r>
            <w:proofErr w:type="spellEnd"/>
            <w:r w:rsidRPr="00360DE3">
              <w:t>. (v</w:t>
            </w:r>
            <w:r w:rsidR="00C466D2" w:rsidRPr="00360DE3">
              <w:t> </w:t>
            </w:r>
            <w:r w:rsidRPr="00360DE3">
              <w:t xml:space="preserve">roce 2015 to bylo jen 0,2 p. </w:t>
            </w:r>
            <w:proofErr w:type="spellStart"/>
            <w:r w:rsidRPr="00360DE3">
              <w:t>b</w:t>
            </w:r>
            <w:proofErr w:type="spellEnd"/>
            <w:r w:rsidRPr="00360DE3">
              <w:t xml:space="preserve">.), a tak se i nižší zvýšení příjmů přímo promítalo do reálně kupní síly domácností. Loni se po očištění o cenové vlivy růst HDD zredukoval na o 2,4 p. </w:t>
            </w:r>
            <w:proofErr w:type="spellStart"/>
            <w:r w:rsidRPr="00360DE3">
              <w:t>b</w:t>
            </w:r>
            <w:proofErr w:type="spellEnd"/>
            <w:r w:rsidRPr="00360DE3">
              <w:t xml:space="preserve">. </w:t>
            </w:r>
            <w:proofErr w:type="gramStart"/>
            <w:r w:rsidRPr="00360DE3">
              <w:t>na</w:t>
            </w:r>
            <w:proofErr w:type="gramEnd"/>
            <w:r w:rsidRPr="00360DE3">
              <w:t xml:space="preserve"> 1,7 %</w:t>
            </w:r>
            <w:r w:rsidRPr="00360DE3">
              <w:rPr>
                <w:rStyle w:val="Znakapoznpodarou"/>
              </w:rPr>
              <w:footnoteReference w:id="42"/>
            </w:r>
            <w:r w:rsidRPr="00360DE3">
              <w:t xml:space="preserve">. To je </w:t>
            </w:r>
            <w:r w:rsidR="00C466D2" w:rsidRPr="00360DE3">
              <w:t>nejméně</w:t>
            </w:r>
            <w:r w:rsidRPr="00360DE3">
              <w:t xml:space="preserve"> za poslední čtyři roky. Na p</w:t>
            </w:r>
            <w:r w:rsidR="00D52BE2">
              <w:t>říjmy domácností lze pohlížet i</w:t>
            </w:r>
            <w:r w:rsidR="00D52BE2" w:rsidRPr="00360DE3">
              <w:t> </w:t>
            </w:r>
            <w:r w:rsidRPr="00360DE3">
              <w:t>prostřednictvím hrubého upraveného disponibi</w:t>
            </w:r>
            <w:r w:rsidR="00D52BE2">
              <w:t>lního důchodu, který obsahuje i</w:t>
            </w:r>
            <w:r w:rsidR="00D52BE2" w:rsidRPr="00360DE3">
              <w:t> </w:t>
            </w:r>
            <w:r w:rsidRPr="00360DE3">
              <w:t xml:space="preserve">naturální sociální transfery. Jeho úroveň se loni zvýšila o 4,8 %, samotná hodnota naturálních sociálních transferů pak o 8,2 % (nejvíce od roku 2003). Na zrychlení tempa se promítlo výrazné zvýšení mezd pracovníků veřejného sektoru, které se pak projevilo na hodnotě poskytnutých služeb. </w:t>
            </w:r>
          </w:p>
        </w:tc>
      </w:tr>
      <w:tr w:rsidR="00C96D08" w:rsidRPr="00360DE3" w:rsidTr="002B213A">
        <w:tc>
          <w:tcPr>
            <w:tcW w:w="1976" w:type="dxa"/>
            <w:vMerge w:val="restart"/>
          </w:tcPr>
          <w:p w:rsidR="00C96D08" w:rsidRPr="00360DE3" w:rsidRDefault="00C96D08" w:rsidP="002B213A">
            <w:pPr>
              <w:pStyle w:val="Marginlie"/>
              <w:rPr>
                <w:spacing w:val="0"/>
              </w:rPr>
            </w:pPr>
          </w:p>
        </w:tc>
        <w:tc>
          <w:tcPr>
            <w:tcW w:w="277" w:type="dxa"/>
            <w:vMerge w:val="restart"/>
          </w:tcPr>
          <w:p w:rsidR="00C96D08" w:rsidRPr="00360DE3" w:rsidRDefault="00C96D08" w:rsidP="002B213A">
            <w:pPr>
              <w:pStyle w:val="Textpoznpodarou"/>
              <w:jc w:val="both"/>
            </w:pPr>
          </w:p>
        </w:tc>
        <w:tc>
          <w:tcPr>
            <w:tcW w:w="7391" w:type="dxa"/>
          </w:tcPr>
          <w:p w:rsidR="00C96D08" w:rsidRPr="00360DE3" w:rsidRDefault="00C96D08" w:rsidP="001D198A">
            <w:pPr>
              <w:spacing w:after="0"/>
              <w:rPr>
                <w:b/>
              </w:rPr>
            </w:pPr>
            <w:r w:rsidRPr="00360DE3">
              <w:rPr>
                <w:b/>
              </w:rPr>
              <w:t xml:space="preserve">Graf č. </w:t>
            </w:r>
            <w:proofErr w:type="gramStart"/>
            <w:r w:rsidR="001D198A" w:rsidRPr="00360DE3">
              <w:rPr>
                <w:b/>
              </w:rPr>
              <w:t>8.1.1</w:t>
            </w:r>
            <w:r w:rsidRPr="00360DE3">
              <w:rPr>
                <w:b/>
              </w:rPr>
              <w:t xml:space="preserve">  Hrubý</w:t>
            </w:r>
            <w:proofErr w:type="gramEnd"/>
            <w:r w:rsidRPr="00360DE3">
              <w:rPr>
                <w:b/>
              </w:rPr>
              <w:t xml:space="preserve"> disponibilní důchod a mzdy a platy </w:t>
            </w:r>
            <w:r w:rsidRPr="00360DE3">
              <w:t>(meziroční růst v %)</w:t>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spacing w:after="0"/>
            </w:pPr>
            <w:r w:rsidRPr="00360DE3">
              <w:rPr>
                <w:noProof/>
              </w:rPr>
              <w:drawing>
                <wp:inline distT="0" distB="0" distL="0" distR="0">
                  <wp:extent cx="4733925" cy="3552825"/>
                  <wp:effectExtent l="0" t="0" r="0" b="0"/>
                  <wp:docPr id="22"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rPr>
                <w:sz w:val="14"/>
                <w:szCs w:val="14"/>
              </w:rPr>
            </w:pPr>
            <w:r w:rsidRPr="00360DE3">
              <w:rPr>
                <w:sz w:val="14"/>
                <w:szCs w:val="14"/>
              </w:rPr>
              <w:t>Zdroj: CSÚ</w:t>
            </w:r>
          </w:p>
        </w:tc>
      </w:tr>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t>Růst mezd a platů byl hlavním faktorem zvyšování disponibilních příjmů domácností.</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2B213A">
            <w:r w:rsidRPr="00360DE3">
              <w:t>Největší částí HDD domácností jsou náhrady zaměstnancům. Ty sestávají ze samotných mezd a platů a sociálních příspěvků placených zaměstnavateli a loni dosáhly 2 126,4 mld. korun. Objem samotných vyplacených mezd a platů se nominálně zvýšil o 8,2 %. V reálném vyjádření tato úroveň byla 5,7 %, což je společně s reálným růstem z roku 2005 nejvyšší hodnota za dostupnou časovou řadu. Ve směru růstu HDD působily i hrubý provozní přebytek a hrubý smíšený důchod. Jejich příspěvek byl však nejnižší za poslední čtyři roky. Důvodem je jen mírný nárůst objemu hrubých smíšených důchodů (zachycují příjmy z podnikání drobných p</w:t>
            </w:r>
            <w:r w:rsidR="00C60191" w:rsidRPr="00360DE3">
              <w:t>odnikatelů zařazených do sektoru</w:t>
            </w:r>
            <w:r w:rsidRPr="00360DE3">
              <w:t xml:space="preserve"> domá</w:t>
            </w:r>
            <w:r w:rsidR="00D52BE2">
              <w:t>cností). Ten loni vzrostl o</w:t>
            </w:r>
            <w:r w:rsidR="00D52BE2" w:rsidRPr="00360DE3">
              <w:t> </w:t>
            </w:r>
            <w:r w:rsidR="00D52BE2">
              <w:t>2,3</w:t>
            </w:r>
            <w:r w:rsidR="00D52BE2" w:rsidRPr="00360DE3">
              <w:t> </w:t>
            </w:r>
            <w:r w:rsidRPr="00360DE3">
              <w:t xml:space="preserve">mld. korun, což je nejméně za poslední čtyři roky. Meziročně se totiž téměř </w:t>
            </w:r>
            <w:r w:rsidRPr="00360DE3">
              <w:lastRenderedPageBreak/>
              <w:t xml:space="preserve">nezměnil počet osob samostatně výdělečně činných a růst zaměstnanosti se projevil výhradně na počtu zaměstnanců. Naopak hrubý provozní přebytek (zachycuje hodnotu produkce domácností pro vlastní spotřebu a rovněž imputované nájemné a poskytování služeb bydlení) se zvýšil o 15,3 mld. korun (7,1 %), což je nejvíce od roku 2008. Jeho výrazný nárůst pravděpodobně odrážel prudký růst cen nemovitostí zachycený v imputovaném nájemném.  </w:t>
            </w:r>
          </w:p>
        </w:tc>
      </w:tr>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lastRenderedPageBreak/>
              <w:t>Kladné saldo důchodů z vlastnictví loni pokleslo.</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2B213A">
            <w:r w:rsidRPr="00360DE3">
              <w:t>Důchody z vlastnictví v českém prostředí nejsou velkou položkou HDD domácností. Celková hodnota těchto příjmů se v minulém roce snížila o 10,1 mld. korun a dosáhla 165,0 mld. Na druhé straně důchody z vlastnictví, které domácnosti musely vyplácet, se mírně zvýšily, což ve výsledku vedlo ke snížení salda důchodů z vlastnictví o 11,3 mld. korun. To</w:t>
            </w:r>
            <w:r w:rsidR="00D52BE2">
              <w:t xml:space="preserve"> je první pokles od roku 2012 a</w:t>
            </w:r>
            <w:r w:rsidR="00D52BE2" w:rsidRPr="00360DE3">
              <w:t> </w:t>
            </w:r>
            <w:r w:rsidRPr="00360DE3">
              <w:t>větší než v krizových letech 2009 a 2010. Důvodem snížení příjmů z vlastnictví byla opětovná redukce položky úroky o 2,5 mld. (navzdory loňskému zlomu ve vývoji úrokových sazeb čtvrtá v řadě). Dalším byl výrazný nárůst výše reinvestovaných zisků v roce 2016. Loňský návrat na obvyklou úroveň pak znamenal meziroční propad o 21,9 mld. korun. Naopak hodnota rozdělovaných důchodů společností domácnostem se loni zvýšila o 12,8 mld.</w:t>
            </w:r>
          </w:p>
        </w:tc>
      </w:tr>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t>Příznivý vývoj ekonomiky vedl k navyšování objemu odvedených daní i sociálních příspěvků. Výsledkem bylo snížení kladného salda druhotného rozdělení.</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2B213A">
            <w:r w:rsidRPr="00360DE3">
              <w:t>Kladné saldo druhotného rozdělení v roce 2017 meziročně pokleslo o 27,8 mld. korun. Tato položka zahrnuje především různé sociální příspěvky a na druhé straně odvedené daně. Podobně jako v předchozím roce se projevil úspěšný vývoj ekonomiky, zejména vyšší objem odvedených daní z důchodů a jmění (nárůst o 22,2 mld. korun). Díky prudkému růstu mezd se výrazně navýšily i odvedené sociální příspěvky (o 60,7 mld.). Sociální příspěvky a dávky vyplacené domácnostem loni činily 623,4 mld. korun a zvyšovaly se (zejména kvůli valorizaci důchodů). Narostly o 17,4 mld. korun, což je více než v roce 2016. Ostatní běžné transfery dosáhly 244,0 mld. korun a zvýšily se o 27,5 mld. korun.</w:t>
            </w:r>
          </w:p>
        </w:tc>
      </w:tr>
      <w:tr w:rsidR="00C96D08" w:rsidRPr="00360DE3" w:rsidTr="002B213A">
        <w:trPr>
          <w:trHeight w:val="170"/>
        </w:trPr>
        <w:tc>
          <w:tcPr>
            <w:tcW w:w="1976" w:type="dxa"/>
            <w:vMerge w:val="restart"/>
          </w:tcPr>
          <w:p w:rsidR="00C96D08" w:rsidRPr="00360DE3" w:rsidRDefault="00C96D08" w:rsidP="002B213A">
            <w:pPr>
              <w:pStyle w:val="Marginlie"/>
              <w:rPr>
                <w:spacing w:val="0"/>
              </w:rPr>
            </w:pPr>
          </w:p>
        </w:tc>
        <w:tc>
          <w:tcPr>
            <w:tcW w:w="277" w:type="dxa"/>
            <w:vMerge w:val="restart"/>
          </w:tcPr>
          <w:p w:rsidR="00C96D08" w:rsidRPr="00360DE3" w:rsidRDefault="00C96D08" w:rsidP="002B213A">
            <w:pPr>
              <w:pStyle w:val="Textpoznpodarou"/>
              <w:jc w:val="both"/>
            </w:pPr>
          </w:p>
        </w:tc>
        <w:tc>
          <w:tcPr>
            <w:tcW w:w="7391" w:type="dxa"/>
          </w:tcPr>
          <w:p w:rsidR="004E02EB" w:rsidRDefault="00C96D08" w:rsidP="001D198A">
            <w:pPr>
              <w:spacing w:after="0"/>
            </w:pPr>
            <w:r w:rsidRPr="00360DE3">
              <w:rPr>
                <w:b/>
              </w:rPr>
              <w:t xml:space="preserve">Graf č. </w:t>
            </w:r>
            <w:proofErr w:type="gramStart"/>
            <w:r w:rsidR="001D198A" w:rsidRPr="00360DE3">
              <w:rPr>
                <w:b/>
              </w:rPr>
              <w:t>8.1.2</w:t>
            </w:r>
            <w:r w:rsidRPr="00360DE3">
              <w:rPr>
                <w:b/>
              </w:rPr>
              <w:t xml:space="preserve">  Hrubý</w:t>
            </w:r>
            <w:proofErr w:type="gramEnd"/>
            <w:r w:rsidRPr="00360DE3">
              <w:rPr>
                <w:b/>
              </w:rPr>
              <w:t xml:space="preserve"> disponibilní důchod domácností</w:t>
            </w:r>
            <w:r w:rsidRPr="00360DE3">
              <w:t xml:space="preserve"> </w:t>
            </w:r>
          </w:p>
          <w:p w:rsidR="00C96D08" w:rsidRPr="00360DE3" w:rsidRDefault="00C96D08" w:rsidP="001D198A">
            <w:pPr>
              <w:spacing w:after="0"/>
              <w:rPr>
                <w:b/>
              </w:rPr>
            </w:pPr>
            <w:r w:rsidRPr="00360DE3">
              <w:t>(meziroční změna v mld. korun.)</w:t>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spacing w:after="0"/>
            </w:pPr>
            <w:r w:rsidRPr="00360DE3">
              <w:rPr>
                <w:noProof/>
              </w:rPr>
              <w:drawing>
                <wp:inline distT="0" distB="0" distL="0" distR="0">
                  <wp:extent cx="4743450" cy="3556000"/>
                  <wp:effectExtent l="19050" t="0" r="0" b="0"/>
                  <wp:docPr id="23"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rPr>
                <w:sz w:val="14"/>
                <w:szCs w:val="14"/>
              </w:rPr>
            </w:pPr>
            <w:r w:rsidRPr="00360DE3">
              <w:rPr>
                <w:sz w:val="14"/>
                <w:szCs w:val="14"/>
              </w:rPr>
              <w:t>Zdroj: ČSÚ</w:t>
            </w:r>
          </w:p>
        </w:tc>
      </w:tr>
    </w:tbl>
    <w:p w:rsidR="00C96D08" w:rsidRPr="00360DE3" w:rsidRDefault="00E212C9" w:rsidP="00433C0C">
      <w:pPr>
        <w:pStyle w:val="Nadpis2"/>
      </w:pPr>
      <w:bookmarkStart w:id="24" w:name="_Toc527639479"/>
      <w:r w:rsidRPr="00360DE3">
        <w:lastRenderedPageBreak/>
        <w:t>8</w:t>
      </w:r>
      <w:r w:rsidR="00C96D08" w:rsidRPr="00360DE3">
        <w:t>.2 Výdaje domácností</w:t>
      </w:r>
      <w:bookmarkEnd w:id="24"/>
    </w:p>
    <w:tbl>
      <w:tblPr>
        <w:tblW w:w="9644" w:type="dxa"/>
        <w:tblInd w:w="-15" w:type="dxa"/>
        <w:tblLayout w:type="fixed"/>
        <w:tblCellMar>
          <w:left w:w="0" w:type="dxa"/>
          <w:right w:w="0" w:type="dxa"/>
        </w:tblCellMar>
        <w:tblLook w:val="00A0"/>
      </w:tblPr>
      <w:tblGrid>
        <w:gridCol w:w="1976"/>
        <w:gridCol w:w="277"/>
        <w:gridCol w:w="7391"/>
      </w:tblGrid>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t>Výdaje domácností na spotřebu rostly loni rychleji než disponibilní příjmy. To vedlo ke snížení míry úspor.</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1D463E">
            <w:r w:rsidRPr="00360DE3">
              <w:t xml:space="preserve">Výdaje domácností na konečnou spotřebu v běžných cenách v roce 2017 dosáhly 2 362,1 mld. korun. Reálně se spotřební výdaje domácností zvýšily o 4,3 %, což byla nejvyšší hodnota od roku 2003. Domácnostem totiž nahrával vysoký růst výdělků a stále poměrně mírný růst cenové hladiny. Období konjunktury v letech 2005–2007, se kterým bývá současná ekonomická situace srovnávána, bylo doprovázeno nižší reálnou dynamikou spotřeby domácností. Zároveň v minulém roce rostly spotřební výdaje rychleji, než výše disponibilního příjmu domácností. Výsledkem bylo snížení míry úspor na 9,4 % (11,6 % v roce 2016), což byla nejnižší hodnota od roku 1994. Naopak míra investic se zvýšila na 9,3 % (nejvyšší od roku 2010). Srovnání se zbytkem Evropské unie (dostupné jen do roku 2016) ukazuje, že mírou úspor se Česko v roce 2016 řadilo přibližně doprostřed žebříčku a mírně nad průměr celé unie. Loňský pokles by však domácí ekonomiku měl posunout do podprůměru (podle dostupných </w:t>
            </w:r>
            <w:r w:rsidR="001D463E" w:rsidRPr="00360DE3">
              <w:t>údajů</w:t>
            </w:r>
            <w:r w:rsidRPr="00360DE3">
              <w:t xml:space="preserve"> byla míra úspor v EU těsně pod 10 %). Míra úspor má mezi evropskými zeměmi poměrně velký rozptyl. V roce 2016 se pohybovala od -2,3 % na Kypru až na 20,4 % v Lucembursku. </w:t>
            </w:r>
          </w:p>
        </w:tc>
      </w:tr>
      <w:tr w:rsidR="00C96D08" w:rsidRPr="00360DE3" w:rsidTr="002B213A">
        <w:tc>
          <w:tcPr>
            <w:tcW w:w="1976" w:type="dxa"/>
            <w:vMerge w:val="restart"/>
          </w:tcPr>
          <w:p w:rsidR="00C96D08" w:rsidRPr="00360DE3" w:rsidRDefault="00C96D08" w:rsidP="002B213A">
            <w:pPr>
              <w:pStyle w:val="Marginlie"/>
              <w:rPr>
                <w:spacing w:val="0"/>
              </w:rPr>
            </w:pPr>
          </w:p>
        </w:tc>
        <w:tc>
          <w:tcPr>
            <w:tcW w:w="277" w:type="dxa"/>
            <w:vMerge w:val="restart"/>
          </w:tcPr>
          <w:p w:rsidR="00C96D08" w:rsidRPr="00360DE3" w:rsidRDefault="00C96D08" w:rsidP="002B213A">
            <w:pPr>
              <w:pStyle w:val="Textpoznpodarou"/>
              <w:jc w:val="both"/>
            </w:pPr>
          </w:p>
        </w:tc>
        <w:tc>
          <w:tcPr>
            <w:tcW w:w="7391" w:type="dxa"/>
          </w:tcPr>
          <w:p w:rsidR="00C96D08" w:rsidRPr="00360DE3" w:rsidRDefault="00C96D08" w:rsidP="001D198A">
            <w:pPr>
              <w:spacing w:after="0"/>
              <w:rPr>
                <w:b/>
              </w:rPr>
            </w:pPr>
            <w:r w:rsidRPr="00360DE3">
              <w:rPr>
                <w:b/>
              </w:rPr>
              <w:t xml:space="preserve">Graf </w:t>
            </w:r>
            <w:r w:rsidR="001D198A" w:rsidRPr="00360DE3">
              <w:rPr>
                <w:b/>
              </w:rPr>
              <w:t>8.2.1</w:t>
            </w:r>
            <w:r w:rsidRPr="00360DE3">
              <w:rPr>
                <w:b/>
              </w:rPr>
              <w:t xml:space="preserve"> Příspěvky jednotlivých složek spotřeby domácností k celkovému meziročnímu růstu </w:t>
            </w:r>
            <w:r w:rsidRPr="00360DE3">
              <w:t xml:space="preserve">(objemové indexy, příspěvky v p. </w:t>
            </w:r>
            <w:proofErr w:type="spellStart"/>
            <w:r w:rsidRPr="00360DE3">
              <w:t>b</w:t>
            </w:r>
            <w:proofErr w:type="spellEnd"/>
            <w:r w:rsidRPr="00360DE3">
              <w:t>., růst v %)</w:t>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spacing w:after="0"/>
            </w:pPr>
            <w:r w:rsidRPr="00360DE3">
              <w:rPr>
                <w:noProof/>
              </w:rPr>
              <w:drawing>
                <wp:inline distT="0" distB="0" distL="0" distR="0">
                  <wp:extent cx="4737600" cy="3553200"/>
                  <wp:effectExtent l="0" t="0" r="0" b="0"/>
                  <wp:docPr id="24"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rPr>
                <w:sz w:val="14"/>
                <w:szCs w:val="14"/>
              </w:rPr>
            </w:pPr>
            <w:r w:rsidRPr="00360DE3">
              <w:rPr>
                <w:sz w:val="14"/>
                <w:szCs w:val="14"/>
              </w:rPr>
              <w:t>Zdroj: ČSÚ</w:t>
            </w:r>
          </w:p>
        </w:tc>
      </w:tr>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t>Domácnosti si ve zvýšené míře pořizovaly trvanlivé statky, ale rovněž služby.</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2B213A">
            <w:r w:rsidRPr="00360DE3">
              <w:t>Celkový růst výdajů na spotřebu byl podpořen silnou dynamikou všech jejích složek. Domácnosti měly poměrně pozitivní očekávání budoucího ekonomického vývoje, což vedlo ke zrychlení růstu výdajů na trvanlivé</w:t>
            </w:r>
            <w:r w:rsidRPr="00360DE3">
              <w:rPr>
                <w:rStyle w:val="Znakapoznpodarou"/>
              </w:rPr>
              <w:footnoteReference w:id="43"/>
            </w:r>
            <w:r w:rsidRPr="00360DE3">
              <w:t xml:space="preserve"> statky. Výdaje na zboží dlouhodobé spotřeby vzrostly o 9,0 %</w:t>
            </w:r>
            <w:r w:rsidRPr="00360DE3">
              <w:rPr>
                <w:rStyle w:val="Znakapoznpodarou"/>
              </w:rPr>
              <w:footnoteReference w:id="44"/>
            </w:r>
            <w:r w:rsidRPr="00360DE3">
              <w:t xml:space="preserve">, u střednědobé spotřeby se tempo výrazně zvýšilo z 5,4 % v roce 2016 na loňských 10,0 %. Jde o mimořádně vysoký údaj, který značně přesahuje stejná čísla za období 2005-2007. Tento posun také stál za </w:t>
            </w:r>
            <w:r w:rsidRPr="00360DE3">
              <w:lastRenderedPageBreak/>
              <w:t>zrychlením celkové dynamiky. Růst spotřeby netrvanlivých statků</w:t>
            </w:r>
            <w:r w:rsidRPr="00360DE3">
              <w:rPr>
                <w:rStyle w:val="Znakapoznpodarou"/>
              </w:rPr>
              <w:footnoteReference w:id="45"/>
            </w:r>
            <w:r w:rsidRPr="00360DE3">
              <w:t xml:space="preserve">, který obvykle bývá v čase vyhlazený a mírnější, se udržel na tempu předchozího roku a dosáhl 3,1 %. Rostoucí chuť domácností utrácet se však projevila na tempu výdajů na služby, které dosáhlo 3,5 % (nejvíce od roku 2008).  </w:t>
            </w:r>
          </w:p>
        </w:tc>
      </w:tr>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lastRenderedPageBreak/>
              <w:t>Vzhledem k vrcholu hospodářského cyklu se výdaje domácností více soustředily na zbytné statky.</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2B213A">
            <w:r w:rsidRPr="00360DE3">
              <w:t xml:space="preserve">Účelová struktura spotřebních výdajů domácností je v čase poměrně stálá, její krátkodobé fluktuace však výrazně souvisí s ekonomickým cyklem. Vzhledem k probíhajícímu vrcholu konjunktury se loni výrazněji zvyšovaly výdaje domácnosti na tzv. zbytné statky. Asi nejmarkantnější bylo zrychlení reálného růstu výdajů na oblečení a obuv na 13,2 % (6,7 %). Pokračovalo poměrně silné zvyšování výdajů na rekreaci, kulturu a sport (6,4 %). Zvýšená míra cestovního ruchu pomohla rovněž stravování a ubytování (5,1 %), kde zaznamenaly výrazný růst především výdaje na ubytovací služby (8,9 %). </w:t>
            </w:r>
          </w:p>
        </w:tc>
      </w:tr>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t>Loni zesílil růst výdajů na bydlení a energie.</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2B213A">
            <w:r w:rsidRPr="00360DE3">
              <w:t>Z výdajů, které domácnosti nemohou ve větší míře omezit, se nejvýrazněji projevovalo bydlení, voda, energie a paliva. Jde o největší položku výdajů domácností a obvykle je její dynamika velmi mírná. Loni však výdaje na bydlení a energie vzrostly o 3,0 %. Projevil se totiž 9,3% nárůst výdajů na nájemné z bytu, stejně jako zvýšené náklady na běžnou údržbu a opravy bytu (11,6 %). Již čtvrtým rokem pokračoval silný růst výdajů na dopravu (7,4 %). Projevily se hlavně nákupy dopravních prostředků, které se zvýšily o 10,1 % (jde o třetí dvojciferný růst v řadě). Tempo růstu výdajů na potraviny a nealkoholické nápoje se mírně zpomalilo a dosáhlo 3,4 % (5,1 % v roce 2016 bylo pro tuto spotřební položku netypicky vysoké). Domácnosti v roce 2017 rovně</w:t>
            </w:r>
            <w:r w:rsidR="00D52BE2">
              <w:t>ž obdržely a spotřebovaly 556,8</w:t>
            </w:r>
            <w:r w:rsidR="00D52BE2" w:rsidRPr="00360DE3">
              <w:t> </w:t>
            </w:r>
            <w:r w:rsidRPr="00360DE3">
              <w:t>mld. korun ve formě naturálních sociálních transferů</w:t>
            </w:r>
            <w:r w:rsidRPr="00360DE3">
              <w:rPr>
                <w:rStyle w:val="Znakapoznpodarou"/>
              </w:rPr>
              <w:footnoteReference w:id="46"/>
            </w:r>
            <w:r w:rsidRPr="00360DE3">
              <w:t xml:space="preserve">. Z toho 72,2 % tvořila netržní produkce vládních institucí a neziskových institucí sloužících domácnostem (NISD) a 27,8 % tržní produkce nakoupená vládními institucemi a NISD.  </w:t>
            </w:r>
          </w:p>
        </w:tc>
      </w:tr>
      <w:tr w:rsidR="00C96D08" w:rsidRPr="00360DE3" w:rsidTr="002B213A">
        <w:trPr>
          <w:trHeight w:val="170"/>
        </w:trPr>
        <w:tc>
          <w:tcPr>
            <w:tcW w:w="1976" w:type="dxa"/>
          </w:tcPr>
          <w:p w:rsidR="00C96D08" w:rsidRPr="00360DE3" w:rsidRDefault="00C96D08" w:rsidP="002B213A">
            <w:pPr>
              <w:pStyle w:val="Marginlie"/>
              <w:rPr>
                <w:spacing w:val="0"/>
              </w:rPr>
            </w:pPr>
            <w:r w:rsidRPr="00360DE3">
              <w:rPr>
                <w:spacing w:val="0"/>
              </w:rPr>
              <w:t>V roce 2017 se zvýšila míra investic domácností.</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2B213A">
            <w:r w:rsidRPr="00360DE3">
              <w:t xml:space="preserve">Výdaje na tvorbu hrubého fixního kapitálu domácností v roce 2017 dosáhly 235,3 mld. korun a nominálně se zvýšily o 6,0 %. To je však o 4,4 p. </w:t>
            </w:r>
            <w:proofErr w:type="spellStart"/>
            <w:r w:rsidRPr="00360DE3">
              <w:t>b</w:t>
            </w:r>
            <w:proofErr w:type="spellEnd"/>
            <w:r w:rsidRPr="00360DE3">
              <w:t xml:space="preserve">. </w:t>
            </w:r>
            <w:proofErr w:type="gramStart"/>
            <w:r w:rsidRPr="00360DE3">
              <w:t>nižší</w:t>
            </w:r>
            <w:proofErr w:type="gramEnd"/>
            <w:r w:rsidRPr="00360DE3">
              <w:t xml:space="preserve"> tempo než v roce 2016. Loňské tempo však překročilo růst příjmů domácností a tak došlo ke zvýšení míry investic na 9,3 %. To Česko posouvá do mírného nadprůměru mezi evropskými zeměmi. Průměr EU činil v roce 2016 7,8 %, loni mírně překročila 8 %. Zároveň je pro evropské země míra investic rozptýlená méně než výše zmiňovaná míra úspor. Nejvyšší úrovně dosáhla v Nizozemí (11,2 %) a nejnižší v Lotyšsku (4,5 %).     </w:t>
            </w:r>
          </w:p>
        </w:tc>
      </w:tr>
      <w:tr w:rsidR="00C96D08" w:rsidRPr="00360DE3" w:rsidTr="002B213A">
        <w:trPr>
          <w:trHeight w:val="170"/>
        </w:trPr>
        <w:tc>
          <w:tcPr>
            <w:tcW w:w="1976" w:type="dxa"/>
          </w:tcPr>
          <w:p w:rsidR="00C96D08" w:rsidRPr="00360DE3" w:rsidRDefault="00C96D08" w:rsidP="002B213A">
            <w:pPr>
              <w:pStyle w:val="Marginlie"/>
              <w:rPr>
                <w:spacing w:val="0"/>
              </w:rPr>
            </w:pPr>
            <w:r w:rsidRPr="00360DE3">
              <w:rPr>
                <w:spacing w:val="0"/>
              </w:rPr>
              <w:t>Oproti roku 2016 však růst investiční aktivity poklesl, což zčásti korespondovalo s nižší dynamikou na hypotečním trhu.</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C466D2">
            <w:r w:rsidRPr="00360DE3">
              <w:t xml:space="preserve">Domácnosti investují </w:t>
            </w:r>
            <w:r w:rsidR="00C466D2" w:rsidRPr="00360DE3">
              <w:t>hlavně</w:t>
            </w:r>
            <w:r w:rsidRPr="00360DE3">
              <w:t xml:space="preserve"> do obydlí (více než 75 % jejich investiční aktivity). Ostatní investiční položky, které se objevují u sektoru domácností, jsou výsledkem investic podnikatelů zařazených do sektoru domácností. Ti investují hlavně do strojů a zařízení a dopravních prostředků. Propojení současného vývoje investiční aktivity domácností s trhem nemovitostí nahráv</w:t>
            </w:r>
            <w:r w:rsidR="00D52BE2">
              <w:t>á i podobná dynamika investic a</w:t>
            </w:r>
            <w:r w:rsidR="00D52BE2" w:rsidRPr="00360DE3">
              <w:t> </w:t>
            </w:r>
            <w:r w:rsidRPr="00360DE3">
              <w:t>poptávky po hypotečních úvěrech. Podle údajů Č</w:t>
            </w:r>
            <w:r w:rsidR="00C466D2" w:rsidRPr="00360DE3">
              <w:t>NB</w:t>
            </w:r>
            <w:r w:rsidRPr="00360DE3">
              <w:t xml:space="preserve"> v roce 2017 došlo ke zlomu v poskytování nových hypotečních úvěrů. V druhé polovině roku meziročně klesal objem nově poskytnutých hypotečních úvěrů (celkově byl objem nových </w:t>
            </w:r>
            <w:proofErr w:type="spellStart"/>
            <w:r w:rsidRPr="00360DE3">
              <w:t>hyp</w:t>
            </w:r>
            <w:proofErr w:type="spellEnd"/>
            <w:r w:rsidRPr="00360DE3">
              <w:t>. úvěru loni o 1,5 % nižší než v roce 2016) a rovněž počet nových úvěrových smluv. Celkem bylo vydáno o 19,0 tisíc nových smluv méně než v roce 2016 (9,0 %). Tento vývoj rovněž dokládá rostoucí průměrnou výši poskytnutých úvěrů.</w:t>
            </w:r>
          </w:p>
        </w:tc>
      </w:tr>
    </w:tbl>
    <w:p w:rsidR="00C96D08" w:rsidRPr="00360DE3" w:rsidRDefault="00E212C9" w:rsidP="00C96D08">
      <w:pPr>
        <w:pStyle w:val="Nadpis1"/>
      </w:pPr>
      <w:bookmarkStart w:id="25" w:name="_Toc527639480"/>
      <w:r w:rsidRPr="00360DE3">
        <w:lastRenderedPageBreak/>
        <w:t>9</w:t>
      </w:r>
      <w:r w:rsidR="00C96D08" w:rsidRPr="00360DE3">
        <w:t>. Hospodaření vládních institucí</w:t>
      </w:r>
      <w:bookmarkEnd w:id="25"/>
    </w:p>
    <w:tbl>
      <w:tblPr>
        <w:tblW w:w="9644" w:type="dxa"/>
        <w:tblInd w:w="-15" w:type="dxa"/>
        <w:tblLayout w:type="fixed"/>
        <w:tblCellMar>
          <w:left w:w="0" w:type="dxa"/>
          <w:right w:w="0" w:type="dxa"/>
        </w:tblCellMar>
        <w:tblLook w:val="00A0"/>
      </w:tblPr>
      <w:tblGrid>
        <w:gridCol w:w="1976"/>
        <w:gridCol w:w="277"/>
        <w:gridCol w:w="7391"/>
      </w:tblGrid>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t>Hospodaření sektoru vládních institucí bylo loni přebytkové.</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2B213A">
            <w:r w:rsidRPr="00360DE3">
              <w:t xml:space="preserve">Hospodaření vládních institucí loni podruhé v řadě dosáhlo přebytku, který překonal předchozí kladné saldo z roku 2016 o 46,0 mld. korun a dosáhl 80,6 mld. Na rozdíl od roku 2016, kdy k přebytku přispělo hlavně snížení celkových výdajů, se o příznivý výsledek loni zasloužily hlavně výrazně vyšší příjmy, jejichž růst loni zrychlil. Značně se zvýšil i relativní přebytek. Celkově dosáhla výše přebytku vůči HDP 1,6 % (o rok dříve 0,7 %), čímž se ČR zařadila na třetí příčku v rámci Evropské unie.     </w:t>
            </w:r>
          </w:p>
        </w:tc>
      </w:tr>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t>Příznivý ekonomický vývoj umožnil snížení deficitů v EU.</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2B213A">
            <w:r w:rsidRPr="00360DE3">
              <w:t xml:space="preserve">Příznivý ekonomický vývoj se odehrával i ve zbytku EU, což ve většině zemí vedlo k poklesu relativních i absolutních deficitů (případně zvýšení přebytků). Celkový deficit vládních institucí zemí EU loni činil 146,6 mld. eur a meziročně se zmírnil o 95,2 mld. Relativní deficit se </w:t>
            </w:r>
            <w:proofErr w:type="gramStart"/>
            <w:r w:rsidRPr="00360DE3">
              <w:t>snížil z 1,6</w:t>
            </w:r>
            <w:proofErr w:type="gramEnd"/>
            <w:r w:rsidRPr="00360DE3">
              <w:t xml:space="preserve"> % HDP Unie v roce 2016 na loňské 1,0 %. Přebytku hospodaření loni dosáhlo 13 států (v roce 2016 to bylo 11). Nejvyšší relativní přebytek měla Malta (3,9 % HDP), kde rovněž došlo k nejmarkantnějšímu meziročnímu zvýšení (o 2,9 p. </w:t>
            </w:r>
            <w:proofErr w:type="spellStart"/>
            <w:r w:rsidRPr="00360DE3">
              <w:t>b</w:t>
            </w:r>
            <w:proofErr w:type="spellEnd"/>
            <w:r w:rsidRPr="00360DE3">
              <w:t xml:space="preserve">.).  Na druhém místě byl </w:t>
            </w:r>
            <w:proofErr w:type="gramStart"/>
            <w:r w:rsidRPr="00360DE3">
              <w:t>Kypr s 1,8</w:t>
            </w:r>
            <w:proofErr w:type="gramEnd"/>
            <w:r w:rsidRPr="00360DE3">
              <w:t xml:space="preserve"> % a třetí nejvyšší relativní přebytek mělo Česko (zlepšení o dvě příčky). Většina zemí EU měla deficitní financování, i tak se u mnoha zemí salda redukovala. Tříprocentní hranici Maastrichtského kritéria těsně překročilo jen Španělsko (deficit 3,1 % HDP), na hranici bylo Portugalsko (3,0 %, jedna ze čtyř zemí, kde došlo k meziročnímu zhoršení) a třetí nejvyšší relativní deficit mělo Rumunsko (2,9 %).  </w:t>
            </w:r>
          </w:p>
        </w:tc>
      </w:tr>
      <w:tr w:rsidR="00C96D08" w:rsidRPr="00360DE3" w:rsidTr="002B213A">
        <w:tc>
          <w:tcPr>
            <w:tcW w:w="1976" w:type="dxa"/>
            <w:vMerge w:val="restart"/>
          </w:tcPr>
          <w:p w:rsidR="00C96D08" w:rsidRPr="00360DE3" w:rsidRDefault="00C96D08" w:rsidP="002B213A">
            <w:pPr>
              <w:pStyle w:val="Marginlie"/>
              <w:rPr>
                <w:spacing w:val="0"/>
              </w:rPr>
            </w:pPr>
          </w:p>
        </w:tc>
        <w:tc>
          <w:tcPr>
            <w:tcW w:w="277" w:type="dxa"/>
            <w:vMerge w:val="restart"/>
          </w:tcPr>
          <w:p w:rsidR="00C96D08" w:rsidRPr="00360DE3" w:rsidRDefault="00C96D08" w:rsidP="002B213A">
            <w:pPr>
              <w:pStyle w:val="Textpoznpodarou"/>
              <w:jc w:val="both"/>
            </w:pPr>
          </w:p>
        </w:tc>
        <w:tc>
          <w:tcPr>
            <w:tcW w:w="7391" w:type="dxa"/>
          </w:tcPr>
          <w:p w:rsidR="004E02EB" w:rsidRDefault="00C96D08" w:rsidP="001D198A">
            <w:pPr>
              <w:spacing w:after="0"/>
              <w:rPr>
                <w:lang w:eastAsia="en-US"/>
              </w:rPr>
            </w:pPr>
            <w:r w:rsidRPr="00360DE3">
              <w:rPr>
                <w:b/>
              </w:rPr>
              <w:t xml:space="preserve">Graf č. </w:t>
            </w:r>
            <w:proofErr w:type="gramStart"/>
            <w:r w:rsidR="001D198A" w:rsidRPr="00360DE3">
              <w:rPr>
                <w:b/>
              </w:rPr>
              <w:t>9.1</w:t>
            </w:r>
            <w:r w:rsidRPr="00360DE3">
              <w:rPr>
                <w:b/>
              </w:rPr>
              <w:t xml:space="preserve">  </w:t>
            </w:r>
            <w:r w:rsidRPr="00360DE3">
              <w:rPr>
                <w:b/>
                <w:lang w:eastAsia="en-US"/>
              </w:rPr>
              <w:t>Čisté</w:t>
            </w:r>
            <w:proofErr w:type="gramEnd"/>
            <w:r w:rsidRPr="00360DE3">
              <w:rPr>
                <w:b/>
                <w:lang w:eastAsia="en-US"/>
              </w:rPr>
              <w:t xml:space="preserve"> půjčky/výpůjčky sektoru vládních institucí</w:t>
            </w:r>
            <w:r w:rsidRPr="00360DE3">
              <w:rPr>
                <w:lang w:eastAsia="en-US"/>
              </w:rPr>
              <w:t xml:space="preserve"> </w:t>
            </w:r>
          </w:p>
          <w:p w:rsidR="00C96D08" w:rsidRPr="00360DE3" w:rsidRDefault="00C96D08" w:rsidP="001D198A">
            <w:pPr>
              <w:spacing w:after="0"/>
              <w:rPr>
                <w:b/>
              </w:rPr>
            </w:pPr>
            <w:r w:rsidRPr="00360DE3">
              <w:rPr>
                <w:lang w:eastAsia="en-US"/>
              </w:rPr>
              <w:t>(v % HDP, z údajů v běžných cenách)</w:t>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spacing w:after="0"/>
            </w:pPr>
            <w:r w:rsidRPr="00360DE3">
              <w:rPr>
                <w:noProof/>
              </w:rPr>
              <w:drawing>
                <wp:inline distT="0" distB="0" distL="0" distR="0">
                  <wp:extent cx="4737600" cy="3553200"/>
                  <wp:effectExtent l="0" t="0" r="0" b="0"/>
                  <wp:docPr id="25"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rPr>
                <w:sz w:val="14"/>
                <w:szCs w:val="14"/>
              </w:rPr>
            </w:pPr>
            <w:r w:rsidRPr="00360DE3">
              <w:rPr>
                <w:sz w:val="14"/>
                <w:szCs w:val="14"/>
              </w:rPr>
              <w:t xml:space="preserve">Zdroj: </w:t>
            </w:r>
            <w:proofErr w:type="spellStart"/>
            <w:r w:rsidRPr="00360DE3">
              <w:rPr>
                <w:sz w:val="14"/>
                <w:szCs w:val="14"/>
              </w:rPr>
              <w:t>Eurostat</w:t>
            </w:r>
            <w:proofErr w:type="spellEnd"/>
          </w:p>
        </w:tc>
      </w:tr>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t>Přebytku bylo dosaženo především díky silně rostoucím příjmům.</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2B213A">
            <w:r w:rsidRPr="00360DE3">
              <w:t xml:space="preserve">Jak již bylo zmíněno výše, díky výraznému hospodářskému růstu se zvýšily i příjmy vládních institucí. Ty byly rozhodujícím faktorem pro výsledek jejich hospodaření. Celkově příjmy dosáhly 2 042,5 mld. korun a meziročně se zvýšily o 125,3 mld. korun (6,5 %). Příznivý ekonomický vývoj se přímo odrážel v příjmech z daní, jejichž růst v porovnání s rokem 2016 zrychlil. Objem přijatých daní z výroby </w:t>
            </w:r>
            <w:r w:rsidRPr="00360DE3">
              <w:lastRenderedPageBreak/>
              <w:t>a dovozu vzrostl o 7,3 %, z toho u daní z produktů to bylo 7,1 % a ostatních daní z výroby 11,0 %. Objem daní typu DPH se zvýšil o 9,5 %. Výrazný růst mezd se dál projevoval na výši daní z příjmů i sociálních příspěvků. Přijaté běžné daně z důchodů a jmění tak vzrostly o 7,9 % a čisté sociální příspěvky o 8,0 %. Na straně příjmů výrazně klesaly jen důchody z vlastn</w:t>
            </w:r>
            <w:r w:rsidR="00D52BE2">
              <w:t>ictví a úroky. Mírně poklesla i</w:t>
            </w:r>
            <w:r w:rsidR="00D52BE2" w:rsidRPr="00360DE3">
              <w:t> </w:t>
            </w:r>
            <w:r w:rsidRPr="00360DE3">
              <w:t>hodnota přijatých kapitálových transferů, která se propadla již v roce 2016 (jde především o dotační prostředky z EU).</w:t>
            </w:r>
          </w:p>
        </w:tc>
      </w:tr>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lastRenderedPageBreak/>
              <w:t>Výdaje rovněž rostly. Výrazným faktorem byly náhrady zaměstnancům odrážející růst mezd a platů.</w:t>
            </w:r>
          </w:p>
        </w:tc>
        <w:tc>
          <w:tcPr>
            <w:tcW w:w="277" w:type="dxa"/>
          </w:tcPr>
          <w:p w:rsidR="00C96D08" w:rsidRPr="00360DE3" w:rsidRDefault="00C96D08" w:rsidP="002B213A">
            <w:pPr>
              <w:pStyle w:val="Textpoznpodarou"/>
              <w:jc w:val="both"/>
            </w:pPr>
          </w:p>
        </w:tc>
        <w:tc>
          <w:tcPr>
            <w:tcW w:w="7391" w:type="dxa"/>
          </w:tcPr>
          <w:p w:rsidR="00C96D08" w:rsidRPr="00D52BE2" w:rsidRDefault="00C96D08" w:rsidP="002B213A">
            <w:pPr>
              <w:rPr>
                <w:spacing w:val="-2"/>
              </w:rPr>
            </w:pPr>
            <w:r w:rsidRPr="00D52BE2">
              <w:rPr>
                <w:spacing w:val="-2"/>
              </w:rPr>
              <w:t>Rostly i celkové výdaje vládních institucí. Ty dosáhly 1 961,8 mld. korun a meziročně se zvýšily o 79,3 mld. (4,2 %). Neopakovala se tak redukce z roku 2016, která přispěla k tehdejšímu přebytku. Výdaje vládního sektoru byly poznamenány výrazným růstem mezd a platů, který se následně přímo promítal do náhrad zaměstnancům tohoto sektoru, které vzrostly o 10,2 %. Hodnota naturálních sociálních transferů (tržní produkce nakoupené vládními institucemi a netržní produkce samotných vládních institucí) vzrostla o 3,9 %, což bylo rychlejší tempo než u hodnoty samotných sociálních dávek (2,8 %). Jde mimo jiné o důsledek vyšších nákladů na pracovní sílu. Mírně vzrostl objem vyplacených dotací (3,2 %). Naopak pokračoval výrazný pokles hodnoty vyplacených důchodů z vlastnictví (-14,3 %). V porovnání s rokem 2016 došlo k výraznému zvýšení investičních výdajů. Celkově hodnota výdajů na tvorbu hrubého kapitálu vzrostla o 10,7 %, to však nestačilo na kompenzaci propadu z předchozího roku (-34,5 %). Kapitálové výdaje nepřekonaly úroveň let 2014 a 2015.</w:t>
            </w:r>
          </w:p>
        </w:tc>
      </w:tr>
      <w:tr w:rsidR="00C96D08" w:rsidRPr="00360DE3" w:rsidTr="002B213A">
        <w:trPr>
          <w:trHeight w:val="170"/>
        </w:trPr>
        <w:tc>
          <w:tcPr>
            <w:tcW w:w="1976" w:type="dxa"/>
            <w:vMerge w:val="restart"/>
          </w:tcPr>
          <w:p w:rsidR="00C96D08" w:rsidRPr="00360DE3" w:rsidRDefault="00C96D08" w:rsidP="002B213A">
            <w:pPr>
              <w:pStyle w:val="Marginlie"/>
              <w:rPr>
                <w:spacing w:val="0"/>
              </w:rPr>
            </w:pPr>
          </w:p>
        </w:tc>
        <w:tc>
          <w:tcPr>
            <w:tcW w:w="277" w:type="dxa"/>
            <w:vMerge w:val="restart"/>
          </w:tcPr>
          <w:p w:rsidR="00C96D08" w:rsidRPr="00360DE3" w:rsidRDefault="00C96D08" w:rsidP="002B213A">
            <w:pPr>
              <w:pStyle w:val="Textpoznpodarou"/>
              <w:jc w:val="both"/>
            </w:pPr>
          </w:p>
        </w:tc>
        <w:tc>
          <w:tcPr>
            <w:tcW w:w="7391" w:type="dxa"/>
          </w:tcPr>
          <w:p w:rsidR="00C96D08" w:rsidRPr="00360DE3" w:rsidRDefault="00C96D08" w:rsidP="001D198A">
            <w:pPr>
              <w:spacing w:after="0"/>
            </w:pPr>
            <w:r w:rsidRPr="00360DE3">
              <w:rPr>
                <w:b/>
              </w:rPr>
              <w:t xml:space="preserve">Graf č. </w:t>
            </w:r>
            <w:proofErr w:type="gramStart"/>
            <w:r w:rsidR="001D198A" w:rsidRPr="00360DE3">
              <w:rPr>
                <w:b/>
              </w:rPr>
              <w:t>9.2</w:t>
            </w:r>
            <w:r w:rsidRPr="00360DE3">
              <w:t xml:space="preserve">  </w:t>
            </w:r>
            <w:r w:rsidRPr="00360DE3">
              <w:rPr>
                <w:b/>
                <w:lang w:eastAsia="en-US"/>
              </w:rPr>
              <w:t>Příjmy</w:t>
            </w:r>
            <w:proofErr w:type="gramEnd"/>
            <w:r w:rsidRPr="00360DE3">
              <w:rPr>
                <w:b/>
                <w:lang w:eastAsia="en-US"/>
              </w:rPr>
              <w:t xml:space="preserve">, výdaje </w:t>
            </w:r>
            <w:r w:rsidRPr="00360DE3">
              <w:rPr>
                <w:lang w:eastAsia="en-US"/>
              </w:rPr>
              <w:t>(levá osa)</w:t>
            </w:r>
            <w:r w:rsidRPr="00360DE3">
              <w:rPr>
                <w:b/>
                <w:lang w:eastAsia="en-US"/>
              </w:rPr>
              <w:t xml:space="preserve"> a čisté půjčky/výpůjčky </w:t>
            </w:r>
            <w:r w:rsidRPr="00360DE3">
              <w:rPr>
                <w:lang w:eastAsia="en-US"/>
              </w:rPr>
              <w:t xml:space="preserve">(pravá osa) </w:t>
            </w:r>
            <w:r w:rsidRPr="00360DE3">
              <w:rPr>
                <w:b/>
                <w:lang w:eastAsia="en-US"/>
              </w:rPr>
              <w:t xml:space="preserve">vládních institucí </w:t>
            </w:r>
            <w:r w:rsidRPr="00360DE3">
              <w:rPr>
                <w:lang w:eastAsia="en-US"/>
              </w:rPr>
              <w:t>(v mld. korun)</w:t>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spacing w:after="0"/>
            </w:pPr>
            <w:r w:rsidRPr="00360DE3">
              <w:rPr>
                <w:noProof/>
              </w:rPr>
              <w:drawing>
                <wp:inline distT="0" distB="0" distL="0" distR="0">
                  <wp:extent cx="4737600" cy="3553200"/>
                  <wp:effectExtent l="0" t="0" r="5850" b="0"/>
                  <wp:docPr id="26"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rPr>
                <w:sz w:val="14"/>
                <w:szCs w:val="14"/>
              </w:rPr>
            </w:pPr>
            <w:r w:rsidRPr="00360DE3">
              <w:rPr>
                <w:sz w:val="14"/>
                <w:szCs w:val="14"/>
              </w:rPr>
              <w:t>Zdroj: ČSÚ</w:t>
            </w:r>
          </w:p>
        </w:tc>
      </w:tr>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t xml:space="preserve">Přebytku hospodaření dosáhly všechny </w:t>
            </w:r>
            <w:proofErr w:type="spellStart"/>
            <w:r w:rsidRPr="00360DE3">
              <w:rPr>
                <w:spacing w:val="0"/>
              </w:rPr>
              <w:t>subsektory</w:t>
            </w:r>
            <w:proofErr w:type="spellEnd"/>
            <w:r w:rsidRPr="00360DE3">
              <w:rPr>
                <w:spacing w:val="0"/>
              </w:rPr>
              <w:t>.</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2B213A">
            <w:r w:rsidRPr="00360DE3">
              <w:t xml:space="preserve">V loňském roce se na přebytku podílely všechny </w:t>
            </w:r>
            <w:proofErr w:type="spellStart"/>
            <w:r w:rsidRPr="00360DE3">
              <w:t>subsektory</w:t>
            </w:r>
            <w:proofErr w:type="spellEnd"/>
            <w:r w:rsidRPr="00360DE3">
              <w:t xml:space="preserve"> vládních institucí. Přebytku 30,1 mld. korun dosáhly i obvykle deficitní ústřední vládní instituce, u nichž došlo k nárůstu příjmů o 88,2 mld. korun (6,4 %). Ústřední vládní instituce jsou většinovým příjemcem výnosů z daní, které příjmovou stránku salda ovlivnily nejsilněji. Výdaje tohoto </w:t>
            </w:r>
            <w:proofErr w:type="spellStart"/>
            <w:r w:rsidRPr="00360DE3">
              <w:t>subsektoru</w:t>
            </w:r>
            <w:proofErr w:type="spellEnd"/>
            <w:r w:rsidRPr="00360DE3">
              <w:t xml:space="preserve"> přitom rostly po</w:t>
            </w:r>
            <w:r w:rsidR="00D52BE2">
              <w:t>maleji než v celém sektoru (2,7</w:t>
            </w:r>
            <w:r w:rsidR="00D52BE2" w:rsidRPr="00360DE3">
              <w:t> </w:t>
            </w:r>
            <w:r w:rsidRPr="00360DE3">
              <w:t xml:space="preserve">%). Tohoto výsledku bylo dosaženo i kvůli prakticky nezměněné úrovni </w:t>
            </w:r>
            <w:r w:rsidRPr="00360DE3">
              <w:lastRenderedPageBreak/>
              <w:t>kapitálových výdajů, které se oproti roku 2016 zvýšily jen o 0,4 %. Místní vládní instituce dosahují přebytků již delší dobu, ten loňský se však meziročně snížil o 7,2 mld. korun. V roce 2017 jejich příjmy vzrostly o 41,1 mld. korun (7,7 %) i díky silnému růstu daňových výnosů (daně z výroby a dovozu o 9,9 %, daně typu DPH o 11,6 %). Výdaje u místních vládních institucí s</w:t>
            </w:r>
            <w:r w:rsidR="00D52BE2">
              <w:t>e navýšily poměrně razantně – o</w:t>
            </w:r>
            <w:r w:rsidR="00D52BE2" w:rsidRPr="00360DE3">
              <w:t> </w:t>
            </w:r>
            <w:r w:rsidRPr="00360DE3">
              <w:t xml:space="preserve">10,0 %. Zahrnují především náhrady zaměstnancům (růst o 10,3 %) a také kapitálové výdaje, které po propadu v roce 2016 zaznamenaly růst o 26,1 % (jejich úroveň však nepřekonala rok 2015 ani 2014). </w:t>
            </w:r>
            <w:proofErr w:type="spellStart"/>
            <w:r w:rsidRPr="00360DE3">
              <w:t>Subsektor</w:t>
            </w:r>
            <w:proofErr w:type="spellEnd"/>
            <w:r w:rsidRPr="00360DE3">
              <w:t xml:space="preserve"> fondů sociálního zabezpečení</w:t>
            </w:r>
            <w:r w:rsidRPr="00360DE3">
              <w:rPr>
                <w:rStyle w:val="Znakapoznpodarou"/>
              </w:rPr>
              <w:footnoteReference w:id="47"/>
            </w:r>
            <w:r w:rsidRPr="00360DE3">
              <w:t xml:space="preserve"> těžil z růstu objemu vybraných sociálních příspěvků, který byl navázán na růst mezd a platů. Příjmy se tak zvýšily o 6,4 %. Růst výdajů zrychlil na 5,3 %, ale i tak dosáhl </w:t>
            </w:r>
            <w:proofErr w:type="spellStart"/>
            <w:r w:rsidRPr="00360DE3">
              <w:t>subsektor</w:t>
            </w:r>
            <w:proofErr w:type="spellEnd"/>
            <w:r w:rsidRPr="00360DE3">
              <w:t xml:space="preserve"> nejvyššího přebytku od roku 2008 (8,0 mld.)</w:t>
            </w:r>
            <w:r w:rsidR="006C33B2">
              <w:t>, a to již potřetí v řadě.</w:t>
            </w:r>
          </w:p>
        </w:tc>
      </w:tr>
      <w:tr w:rsidR="00C96D08" w:rsidRPr="00360DE3" w:rsidTr="002B213A">
        <w:trPr>
          <w:trHeight w:val="170"/>
        </w:trPr>
        <w:tc>
          <w:tcPr>
            <w:tcW w:w="1976" w:type="dxa"/>
            <w:vMerge w:val="restart"/>
          </w:tcPr>
          <w:p w:rsidR="00C96D08" w:rsidRPr="00360DE3" w:rsidRDefault="00C96D08" w:rsidP="002B213A">
            <w:pPr>
              <w:pStyle w:val="Marginlie"/>
              <w:rPr>
                <w:spacing w:val="0"/>
              </w:rPr>
            </w:pPr>
          </w:p>
        </w:tc>
        <w:tc>
          <w:tcPr>
            <w:tcW w:w="277" w:type="dxa"/>
            <w:vMerge w:val="restart"/>
          </w:tcPr>
          <w:p w:rsidR="00C96D08" w:rsidRPr="00360DE3" w:rsidRDefault="00C96D08" w:rsidP="002B213A">
            <w:pPr>
              <w:pStyle w:val="Textpoznpodarou"/>
              <w:jc w:val="both"/>
            </w:pPr>
          </w:p>
        </w:tc>
        <w:tc>
          <w:tcPr>
            <w:tcW w:w="7391" w:type="dxa"/>
          </w:tcPr>
          <w:p w:rsidR="00C96D08" w:rsidRPr="004225C6" w:rsidRDefault="00C96D08" w:rsidP="004E02EB">
            <w:pPr>
              <w:spacing w:after="0"/>
              <w:rPr>
                <w:spacing w:val="-3"/>
              </w:rPr>
            </w:pPr>
            <w:r w:rsidRPr="004225C6">
              <w:rPr>
                <w:b/>
                <w:spacing w:val="-3"/>
              </w:rPr>
              <w:t xml:space="preserve">Graf č. </w:t>
            </w:r>
            <w:proofErr w:type="gramStart"/>
            <w:r w:rsidR="001D198A" w:rsidRPr="004225C6">
              <w:rPr>
                <w:b/>
                <w:spacing w:val="-3"/>
              </w:rPr>
              <w:t>9.3</w:t>
            </w:r>
            <w:r w:rsidRPr="004225C6">
              <w:rPr>
                <w:spacing w:val="-3"/>
              </w:rPr>
              <w:t xml:space="preserve">  </w:t>
            </w:r>
            <w:r w:rsidRPr="004225C6">
              <w:rPr>
                <w:b/>
                <w:spacing w:val="-3"/>
                <w:lang w:eastAsia="en-US"/>
              </w:rPr>
              <w:t>Čisté</w:t>
            </w:r>
            <w:proofErr w:type="gramEnd"/>
            <w:r w:rsidRPr="004225C6">
              <w:rPr>
                <w:b/>
                <w:spacing w:val="-3"/>
                <w:lang w:eastAsia="en-US"/>
              </w:rPr>
              <w:t xml:space="preserve"> půjčky(+)/výpůjčky(-) vládních institucí v členění na </w:t>
            </w:r>
            <w:proofErr w:type="spellStart"/>
            <w:r w:rsidRPr="004225C6">
              <w:rPr>
                <w:b/>
                <w:spacing w:val="-3"/>
                <w:lang w:eastAsia="en-US"/>
              </w:rPr>
              <w:t>subsektory</w:t>
            </w:r>
            <w:proofErr w:type="spellEnd"/>
            <w:r w:rsidRPr="004225C6">
              <w:rPr>
                <w:b/>
                <w:spacing w:val="-3"/>
                <w:lang w:eastAsia="en-US"/>
              </w:rPr>
              <w:t xml:space="preserve"> </w:t>
            </w:r>
            <w:r w:rsidRPr="004225C6">
              <w:rPr>
                <w:spacing w:val="-3"/>
                <w:lang w:eastAsia="en-US"/>
              </w:rPr>
              <w:t>(v mld. korun, běžné ceny)</w:t>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spacing w:after="0"/>
            </w:pPr>
            <w:r w:rsidRPr="00360DE3">
              <w:rPr>
                <w:noProof/>
              </w:rPr>
              <w:drawing>
                <wp:inline distT="0" distB="0" distL="0" distR="0">
                  <wp:extent cx="4740294" cy="3623941"/>
                  <wp:effectExtent l="0" t="0" r="0" b="0"/>
                  <wp:docPr id="27"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rPr>
                <w:sz w:val="14"/>
                <w:szCs w:val="14"/>
              </w:rPr>
            </w:pPr>
            <w:r w:rsidRPr="00360DE3">
              <w:rPr>
                <w:sz w:val="14"/>
                <w:szCs w:val="14"/>
              </w:rPr>
              <w:t>Zdroj: ČSÚ</w:t>
            </w:r>
          </w:p>
        </w:tc>
      </w:tr>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t>Celkový dluh se mírně snížil, během roku však výrazně kolísal.</w:t>
            </w:r>
          </w:p>
        </w:tc>
        <w:tc>
          <w:tcPr>
            <w:tcW w:w="277" w:type="dxa"/>
          </w:tcPr>
          <w:p w:rsidR="00C96D08" w:rsidRPr="00360DE3" w:rsidRDefault="00C96D08" w:rsidP="002B213A">
            <w:pPr>
              <w:pStyle w:val="Textpoznpodarou"/>
              <w:jc w:val="both"/>
            </w:pPr>
          </w:p>
        </w:tc>
        <w:tc>
          <w:tcPr>
            <w:tcW w:w="7391" w:type="dxa"/>
          </w:tcPr>
          <w:p w:rsidR="00C96D08" w:rsidRDefault="00C96D08" w:rsidP="002B213A">
            <w:r w:rsidRPr="00360DE3">
              <w:t xml:space="preserve">Celkový dluh sektoru vládních institucí k 31. 12. 2017 činil 1 749,1 mld. korun. Nominální dluh setrval na úrovni minulého roku, když se meziročně snížil o 5,7 mld. korun. Vývoj v průběhu roku měl výraznější dynamiku. V první polovině roku totiž výrazně narůstal (od konce roku 2016 do 30. 6. 2017 dohromady o 168,7 mld. korun). Drtivá většina z tohoto nárůstu měla formu krátkodobých dluhových cenných papírů (143,4 mld.). Ve 3. čtvrtletí pak úroveň dluhu klesla o 184,2 mld. korun (z toho pokles u krátkodobých dluhopisů činil 147,9 mld.). Tento vývoj ukazuje na pravděpodobnou snahu využít nízkých úrokových sazeb na dluhopisovém trhu na počátku roku v kombinaci se specifickou situací končící intervence ČNB. Na konci roku 2017 byl podíl krátkodobých dluhových cenných papírů na celkovém dluhu vyšší než v roce 2016. </w:t>
            </w:r>
          </w:p>
          <w:p w:rsidR="00007BEF" w:rsidRPr="00360DE3" w:rsidRDefault="00007BEF" w:rsidP="00007BEF">
            <w:pPr>
              <w:spacing w:after="0"/>
            </w:pPr>
          </w:p>
        </w:tc>
      </w:tr>
      <w:tr w:rsidR="00C96D08" w:rsidRPr="00360DE3" w:rsidTr="002B213A">
        <w:trPr>
          <w:trHeight w:val="145"/>
        </w:trPr>
        <w:tc>
          <w:tcPr>
            <w:tcW w:w="1976" w:type="dxa"/>
          </w:tcPr>
          <w:p w:rsidR="00C96D08" w:rsidRPr="00360DE3" w:rsidRDefault="00C96D08" w:rsidP="002B213A">
            <w:pPr>
              <w:pStyle w:val="Marginlie"/>
              <w:rPr>
                <w:spacing w:val="0"/>
              </w:rPr>
            </w:pPr>
            <w:r w:rsidRPr="00360DE3">
              <w:rPr>
                <w:spacing w:val="0"/>
              </w:rPr>
              <w:lastRenderedPageBreak/>
              <w:t>Díky výraznému hospodářskému růstu se relativní dluh většiny zemí EU snižoval.</w:t>
            </w:r>
          </w:p>
        </w:tc>
        <w:tc>
          <w:tcPr>
            <w:tcW w:w="277" w:type="dxa"/>
          </w:tcPr>
          <w:p w:rsidR="00C96D08" w:rsidRPr="00360DE3" w:rsidRDefault="00C96D08" w:rsidP="002B213A">
            <w:pPr>
              <w:pStyle w:val="Textpoznpodarou"/>
              <w:jc w:val="both"/>
            </w:pPr>
          </w:p>
        </w:tc>
        <w:tc>
          <w:tcPr>
            <w:tcW w:w="7391" w:type="dxa"/>
          </w:tcPr>
          <w:p w:rsidR="00C96D08" w:rsidRPr="00360DE3" w:rsidRDefault="00C96D08" w:rsidP="002B213A">
            <w:r w:rsidRPr="00360DE3">
              <w:t>Podíl dluhu na HDP (relativní dluh) ke konci roku 20</w:t>
            </w:r>
            <w:r w:rsidR="004225C6">
              <w:t>17 činil 34,6 %, což bylo o</w:t>
            </w:r>
            <w:r w:rsidR="004225C6" w:rsidRPr="00360DE3">
              <w:t> </w:t>
            </w:r>
            <w:r w:rsidR="004225C6">
              <w:t>2,2</w:t>
            </w:r>
            <w:r w:rsidR="004225C6" w:rsidRPr="00360DE3">
              <w:t> </w:t>
            </w:r>
            <w:r w:rsidRPr="00360DE3">
              <w:t xml:space="preserve">p. </w:t>
            </w:r>
            <w:proofErr w:type="spellStart"/>
            <w:r w:rsidRPr="00360DE3">
              <w:t>b</w:t>
            </w:r>
            <w:proofErr w:type="spellEnd"/>
            <w:r w:rsidRPr="00360DE3">
              <w:t xml:space="preserve">. </w:t>
            </w:r>
            <w:proofErr w:type="gramStart"/>
            <w:r w:rsidRPr="00360DE3">
              <w:t>méně</w:t>
            </w:r>
            <w:proofErr w:type="gramEnd"/>
            <w:r w:rsidRPr="00360DE3">
              <w:t xml:space="preserve"> než v roce 2016. Relativní dluh Česka se snížil počtvrté v řadě. Česko dosáhlo čtvrtého nejnižšího relativního dluhu mezi státy EU. Relativní dluh se loni snižoval téměř ve všech zemích unie. Napomohl tomu zejména silný hospodářský růst, protože v absolutním vyjádření dluh (v eurech) ve většině zemí rostl. Nejnižšího relativního dluhu dlouhodobě dosahuje Estonsko (9,0 % HDP v roce 2017). Druhé Lucembursko mělo dluh vůči HDP 23,0 % a šlo o jednu ze dvou zemí, kde relativní dluh vzrostl. V Bulharsku relativní dluh činil 25,4 %. Na opačném konci mezinárodního srovnání jsou státy jižní Evropy. Řecké relativní zadlužení se mírně snížilo na 178,6 % HDP, Itálie dosáhla 131,8 % a Portugalsku se podařilo snížit relativní dluh o 4,2 p. </w:t>
            </w:r>
            <w:proofErr w:type="spellStart"/>
            <w:r w:rsidRPr="00360DE3">
              <w:t>b</w:t>
            </w:r>
            <w:proofErr w:type="spellEnd"/>
            <w:r w:rsidRPr="00360DE3">
              <w:t xml:space="preserve">. </w:t>
            </w:r>
            <w:proofErr w:type="gramStart"/>
            <w:r w:rsidRPr="00360DE3">
              <w:t>na</w:t>
            </w:r>
            <w:proofErr w:type="gramEnd"/>
            <w:r w:rsidRPr="00360DE3">
              <w:t xml:space="preserve"> 125,7 % HDP. Více než celého HDP země dosáhl</w:t>
            </w:r>
            <w:r w:rsidR="004225C6">
              <w:t xml:space="preserve"> ještě dluh Belgie (103,1 %).</w:t>
            </w:r>
          </w:p>
        </w:tc>
      </w:tr>
      <w:tr w:rsidR="00C96D08" w:rsidRPr="00360DE3" w:rsidTr="002B213A">
        <w:trPr>
          <w:trHeight w:val="170"/>
        </w:trPr>
        <w:tc>
          <w:tcPr>
            <w:tcW w:w="1976" w:type="dxa"/>
            <w:vMerge w:val="restart"/>
          </w:tcPr>
          <w:p w:rsidR="00C96D08" w:rsidRPr="00360DE3" w:rsidRDefault="00C96D08" w:rsidP="002B213A">
            <w:pPr>
              <w:pStyle w:val="Marginlie"/>
              <w:rPr>
                <w:spacing w:val="0"/>
              </w:rPr>
            </w:pPr>
          </w:p>
        </w:tc>
        <w:tc>
          <w:tcPr>
            <w:tcW w:w="277" w:type="dxa"/>
            <w:vMerge w:val="restart"/>
          </w:tcPr>
          <w:p w:rsidR="00C96D08" w:rsidRPr="00360DE3" w:rsidRDefault="00C96D08" w:rsidP="002B213A">
            <w:pPr>
              <w:pStyle w:val="Textpoznpodarou"/>
              <w:jc w:val="both"/>
            </w:pPr>
          </w:p>
        </w:tc>
        <w:tc>
          <w:tcPr>
            <w:tcW w:w="7391" w:type="dxa"/>
          </w:tcPr>
          <w:p w:rsidR="003B4331" w:rsidRDefault="00C96D08" w:rsidP="001D198A">
            <w:pPr>
              <w:spacing w:after="0"/>
              <w:rPr>
                <w:b/>
                <w:lang w:eastAsia="en-US"/>
              </w:rPr>
            </w:pPr>
            <w:r w:rsidRPr="00360DE3">
              <w:rPr>
                <w:b/>
                <w:lang w:eastAsia="en-US"/>
              </w:rPr>
              <w:t xml:space="preserve">Graf č. </w:t>
            </w:r>
            <w:proofErr w:type="gramStart"/>
            <w:r w:rsidR="001D198A" w:rsidRPr="00360DE3">
              <w:rPr>
                <w:b/>
                <w:lang w:eastAsia="en-US"/>
              </w:rPr>
              <w:t>9.4</w:t>
            </w:r>
            <w:r w:rsidRPr="00360DE3">
              <w:rPr>
                <w:b/>
                <w:lang w:eastAsia="en-US"/>
              </w:rPr>
              <w:t xml:space="preserve">  Hrubý</w:t>
            </w:r>
            <w:proofErr w:type="gramEnd"/>
            <w:r w:rsidRPr="00360DE3">
              <w:rPr>
                <w:b/>
                <w:lang w:eastAsia="en-US"/>
              </w:rPr>
              <w:t xml:space="preserve"> konsolidovaný dluh sektoru vládních institucí </w:t>
            </w:r>
          </w:p>
          <w:p w:rsidR="00C96D08" w:rsidRPr="00360DE3" w:rsidRDefault="00C96D08" w:rsidP="001D198A">
            <w:pPr>
              <w:spacing w:after="0"/>
              <w:rPr>
                <w:b/>
              </w:rPr>
            </w:pPr>
            <w:r w:rsidRPr="00360DE3">
              <w:rPr>
                <w:lang w:eastAsia="en-US"/>
              </w:rPr>
              <w:t>(v mld. korun, běžné ceny)</w:t>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spacing w:after="0"/>
            </w:pPr>
            <w:r w:rsidRPr="00360DE3">
              <w:rPr>
                <w:noProof/>
              </w:rPr>
              <w:drawing>
                <wp:inline distT="0" distB="0" distL="0" distR="0">
                  <wp:extent cx="4737600" cy="3553200"/>
                  <wp:effectExtent l="0" t="0" r="0" b="0"/>
                  <wp:docPr id="28"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r w:rsidR="00C96D08" w:rsidRPr="00360DE3" w:rsidTr="002B213A">
        <w:trPr>
          <w:trHeight w:val="170"/>
        </w:trPr>
        <w:tc>
          <w:tcPr>
            <w:tcW w:w="1976" w:type="dxa"/>
            <w:vMerge/>
          </w:tcPr>
          <w:p w:rsidR="00C96D08" w:rsidRPr="00360DE3" w:rsidRDefault="00C96D08" w:rsidP="002B213A">
            <w:pPr>
              <w:pStyle w:val="Marginlie"/>
              <w:rPr>
                <w:spacing w:val="0"/>
              </w:rPr>
            </w:pPr>
          </w:p>
        </w:tc>
        <w:tc>
          <w:tcPr>
            <w:tcW w:w="277" w:type="dxa"/>
            <w:vMerge/>
          </w:tcPr>
          <w:p w:rsidR="00C96D08" w:rsidRPr="00360DE3" w:rsidRDefault="00C96D08" w:rsidP="002B213A">
            <w:pPr>
              <w:pStyle w:val="Textpoznpodarou"/>
              <w:jc w:val="both"/>
            </w:pPr>
          </w:p>
        </w:tc>
        <w:tc>
          <w:tcPr>
            <w:tcW w:w="7391" w:type="dxa"/>
          </w:tcPr>
          <w:p w:rsidR="00C96D08" w:rsidRPr="00360DE3" w:rsidRDefault="00C96D08" w:rsidP="002B213A">
            <w:pPr>
              <w:rPr>
                <w:sz w:val="14"/>
                <w:szCs w:val="14"/>
              </w:rPr>
            </w:pPr>
            <w:r w:rsidRPr="00360DE3">
              <w:rPr>
                <w:sz w:val="14"/>
                <w:szCs w:val="14"/>
              </w:rPr>
              <w:t>Zdroj: ČSÚ</w:t>
            </w:r>
          </w:p>
        </w:tc>
      </w:tr>
    </w:tbl>
    <w:p w:rsidR="00C466D2" w:rsidRPr="00360DE3" w:rsidRDefault="00C466D2" w:rsidP="00C466D2">
      <w:pPr>
        <w:rPr>
          <w:rFonts w:eastAsia="MS Gothic"/>
          <w:color w:val="71818C"/>
          <w:sz w:val="32"/>
          <w:szCs w:val="28"/>
          <w:lang w:eastAsia="en-US"/>
        </w:rPr>
      </w:pPr>
      <w:r w:rsidRPr="00360DE3">
        <w:rPr>
          <w:lang w:eastAsia="en-US"/>
        </w:rPr>
        <w:br w:type="page"/>
      </w:r>
    </w:p>
    <w:p w:rsidR="00141782" w:rsidRPr="00360DE3" w:rsidRDefault="00E212C9" w:rsidP="00141782">
      <w:pPr>
        <w:pStyle w:val="Nadpis1"/>
        <w:rPr>
          <w:lang w:eastAsia="en-US"/>
        </w:rPr>
      </w:pPr>
      <w:bookmarkStart w:id="26" w:name="_Toc527639481"/>
      <w:r w:rsidRPr="00360DE3">
        <w:rPr>
          <w:lang w:eastAsia="en-US"/>
        </w:rPr>
        <w:lastRenderedPageBreak/>
        <w:t>V</w:t>
      </w:r>
      <w:r w:rsidR="00141782" w:rsidRPr="00360DE3">
        <w:rPr>
          <w:lang w:eastAsia="en-US"/>
        </w:rPr>
        <w:t>ybraná odvětví ekonomiky</w:t>
      </w:r>
      <w:bookmarkEnd w:id="26"/>
    </w:p>
    <w:p w:rsidR="00C466D2" w:rsidRPr="00360DE3" w:rsidRDefault="00141782" w:rsidP="00141782">
      <w:pPr>
        <w:pStyle w:val="Nadpis1"/>
        <w:rPr>
          <w:lang w:eastAsia="en-US"/>
        </w:rPr>
      </w:pPr>
      <w:bookmarkStart w:id="27" w:name="_Toc527639482"/>
      <w:r w:rsidRPr="00360DE3">
        <w:rPr>
          <w:lang w:eastAsia="en-US"/>
        </w:rPr>
        <w:t>1</w:t>
      </w:r>
      <w:r w:rsidR="00E212C9" w:rsidRPr="00360DE3">
        <w:rPr>
          <w:lang w:eastAsia="en-US"/>
        </w:rPr>
        <w:t>0</w:t>
      </w:r>
      <w:r w:rsidRPr="00360DE3">
        <w:rPr>
          <w:lang w:eastAsia="en-US"/>
        </w:rPr>
        <w:t>. Zemědělství, lesnictví a rybářství</w:t>
      </w:r>
      <w:bookmarkEnd w:id="27"/>
    </w:p>
    <w:tbl>
      <w:tblPr>
        <w:tblW w:w="9644" w:type="dxa"/>
        <w:tblInd w:w="-15" w:type="dxa"/>
        <w:tblLayout w:type="fixed"/>
        <w:tblCellMar>
          <w:left w:w="0" w:type="dxa"/>
          <w:right w:w="0" w:type="dxa"/>
        </w:tblCellMar>
        <w:tblLook w:val="00A0"/>
      </w:tblPr>
      <w:tblGrid>
        <w:gridCol w:w="1976"/>
        <w:gridCol w:w="277"/>
        <w:gridCol w:w="7391"/>
      </w:tblGrid>
      <w:tr w:rsidR="004C5FBF" w:rsidRPr="00360DE3" w:rsidTr="004C5FBF">
        <w:trPr>
          <w:trHeight w:val="145"/>
        </w:trPr>
        <w:tc>
          <w:tcPr>
            <w:tcW w:w="1976" w:type="dxa"/>
          </w:tcPr>
          <w:p w:rsidR="004C5FBF" w:rsidRPr="00360DE3" w:rsidRDefault="004C5FBF" w:rsidP="001A0D6B">
            <w:pPr>
              <w:pStyle w:val="Marginlie"/>
              <w:rPr>
                <w:spacing w:val="0"/>
              </w:rPr>
            </w:pPr>
            <w:r w:rsidRPr="00360DE3">
              <w:rPr>
                <w:spacing w:val="0"/>
              </w:rPr>
              <w:t>Růst hrubé přidané hodnoty v odvětví zemědělství, lesnictví a rybářství se vloni zastavil. Souviselo to především se slabšími výsledky rostlinné produkce.</w:t>
            </w:r>
          </w:p>
        </w:tc>
        <w:tc>
          <w:tcPr>
            <w:tcW w:w="277" w:type="dxa"/>
          </w:tcPr>
          <w:p w:rsidR="004C5FBF" w:rsidRPr="00360DE3" w:rsidRDefault="004C5FBF" w:rsidP="004C5FBF">
            <w:pPr>
              <w:pStyle w:val="Textpoznpodarou"/>
              <w:jc w:val="both"/>
            </w:pPr>
          </w:p>
        </w:tc>
        <w:tc>
          <w:tcPr>
            <w:tcW w:w="7391" w:type="dxa"/>
          </w:tcPr>
          <w:p w:rsidR="004C5FBF" w:rsidRPr="00360DE3" w:rsidRDefault="004C5FBF" w:rsidP="001A0D6B">
            <w:r w:rsidRPr="00360DE3">
              <w:t>Svižný růst výkonu primárního sektoru</w:t>
            </w:r>
            <w:r w:rsidRPr="00360DE3">
              <w:rPr>
                <w:rStyle w:val="Znakapoznpodarou"/>
              </w:rPr>
              <w:footnoteReference w:id="48"/>
            </w:r>
            <w:r w:rsidRPr="00360DE3">
              <w:t xml:space="preserve"> tažený v letech 2014 až 2016 především velmi dobrou úrodou základních plodin se vloni již neopakoval. Hrubá přidaná hodnota (HPH)</w:t>
            </w:r>
            <w:r w:rsidRPr="00360DE3">
              <w:rPr>
                <w:rStyle w:val="Znakapoznpodarou"/>
              </w:rPr>
              <w:footnoteReference w:id="49"/>
            </w:r>
            <w:r w:rsidRPr="00360DE3">
              <w:t xml:space="preserve"> se meziročně snížila o rovná 3 %, nejvíce po roce 2010. K tomuto výsledku přispěly všechny dílčí odvětví primárního sektoru vyjma lesnictví a těžby dřeva, kde naopak výkony vzrostly. Slabší loňská úroda spolu se sílícími mzdovými náklady napříč celým sektorem se odrazily v ziskovosti podniků. Podíl hrubého provozního přebytku nefinančních podniků v zemědělství, lesnictví a rybářství na jimi vytvořené HPH se meziročně snížil o 4 p. </w:t>
            </w:r>
            <w:proofErr w:type="spellStart"/>
            <w:r w:rsidRPr="00360DE3">
              <w:t>b</w:t>
            </w:r>
            <w:proofErr w:type="spellEnd"/>
            <w:r w:rsidRPr="00360DE3">
              <w:t>. (na 75 %)</w:t>
            </w:r>
            <w:r w:rsidRPr="00360DE3">
              <w:rPr>
                <w:rStyle w:val="Znakapoznpodarou"/>
              </w:rPr>
              <w:footnoteReference w:id="50"/>
            </w:r>
            <w:r w:rsidRPr="00360DE3">
              <w:t xml:space="preserve">. I tak šlo ale o třetí nejlepší výsledek v novodobé historii. </w:t>
            </w:r>
          </w:p>
        </w:tc>
      </w:tr>
      <w:tr w:rsidR="001A0D6B" w:rsidRPr="00360DE3" w:rsidTr="004C5FBF">
        <w:trPr>
          <w:trHeight w:val="145"/>
        </w:trPr>
        <w:tc>
          <w:tcPr>
            <w:tcW w:w="1976" w:type="dxa"/>
          </w:tcPr>
          <w:p w:rsidR="001A0D6B" w:rsidRPr="00360DE3" w:rsidRDefault="001A0D6B" w:rsidP="001A0D6B">
            <w:pPr>
              <w:pStyle w:val="Marginlie"/>
              <w:rPr>
                <w:spacing w:val="0"/>
              </w:rPr>
            </w:pPr>
            <w:r w:rsidRPr="00360DE3">
              <w:rPr>
                <w:spacing w:val="0"/>
              </w:rPr>
              <w:t xml:space="preserve">Míra </w:t>
            </w:r>
            <w:r>
              <w:rPr>
                <w:spacing w:val="0"/>
              </w:rPr>
              <w:t>investice</w:t>
            </w:r>
            <w:r w:rsidRPr="00360DE3">
              <w:rPr>
                <w:spacing w:val="0"/>
              </w:rPr>
              <w:t xml:space="preserve"> podniků v primárním sektoru </w:t>
            </w:r>
            <w:r>
              <w:rPr>
                <w:spacing w:val="0"/>
              </w:rPr>
              <w:t>stagnovala</w:t>
            </w:r>
            <w:r w:rsidRPr="00360DE3">
              <w:rPr>
                <w:spacing w:val="0"/>
              </w:rPr>
              <w:t xml:space="preserve">, nadále ale zůstávala </w:t>
            </w:r>
            <w:r>
              <w:rPr>
                <w:spacing w:val="0"/>
              </w:rPr>
              <w:t>nad průměrem národního hospodářství</w:t>
            </w:r>
            <w:r w:rsidRPr="00360DE3">
              <w:rPr>
                <w:spacing w:val="0"/>
              </w:rPr>
              <w:t>.</w:t>
            </w:r>
          </w:p>
          <w:p w:rsidR="001A0D6B" w:rsidRPr="00360DE3" w:rsidRDefault="001A0D6B" w:rsidP="004C5FBF">
            <w:pPr>
              <w:pStyle w:val="Marginlie"/>
              <w:rPr>
                <w:spacing w:val="0"/>
              </w:rPr>
            </w:pPr>
          </w:p>
        </w:tc>
        <w:tc>
          <w:tcPr>
            <w:tcW w:w="277" w:type="dxa"/>
          </w:tcPr>
          <w:p w:rsidR="001A0D6B" w:rsidRPr="00360DE3" w:rsidRDefault="001A0D6B" w:rsidP="004C5FBF">
            <w:pPr>
              <w:pStyle w:val="Textpoznpodarou"/>
              <w:jc w:val="both"/>
            </w:pPr>
          </w:p>
        </w:tc>
        <w:tc>
          <w:tcPr>
            <w:tcW w:w="7391" w:type="dxa"/>
          </w:tcPr>
          <w:p w:rsidR="001A0D6B" w:rsidRPr="00360DE3" w:rsidRDefault="001A0D6B" w:rsidP="004C5FBF">
            <w:r w:rsidRPr="00360DE3">
              <w:t>Míra investic v primárním sektoru ve srovnání s rokem 2016 stagnovala. Podíl tvorby hrubého fixního kapitálu (THFK) na HPH činil 40 % (v celém národním hospodářství 28 %). Míra investiční aktivity má na rozdíl od většiny ostatních odvětví ekonomiky dlouhodobě spíše rostoucí trend</w:t>
            </w:r>
            <w:r w:rsidRPr="00360DE3">
              <w:rPr>
                <w:rStyle w:val="Znakapoznpodarou"/>
              </w:rPr>
              <w:footnoteReference w:id="51"/>
            </w:r>
            <w:r w:rsidRPr="00360DE3">
              <w:t>. Více než dvě třetiny nových investic směřovalo loni do strojů a zařízení, necelá čtvrtina do budov a staveb. Ve srovnání s celou ekonomikou se ve struktuře investic primárního sektoru více uplatňují dopravní prostředky, ostatní stoje a zařízení (kromě prostředků na ICT) a vzhledem k charakteru výrobního procesu logicky i pěstované biologické zdroje (hospodářská zvířata, stromy, ostatní plodiny). Negativně vyznívá dlouhodobě nízký podíl investic orientovaných na produkty duševního vlastnictví (v roce 2017 šlo jen o 1,6 % z THFK)</w:t>
            </w:r>
            <w:r w:rsidRPr="00360DE3">
              <w:rPr>
                <w:rStyle w:val="Znakapoznpodarou"/>
              </w:rPr>
              <w:footnoteReference w:id="52"/>
            </w:r>
            <w:r w:rsidRPr="00360DE3">
              <w:t>.</w:t>
            </w:r>
          </w:p>
        </w:tc>
      </w:tr>
      <w:tr w:rsidR="004C5FBF" w:rsidRPr="00360DE3" w:rsidTr="004C5FBF">
        <w:trPr>
          <w:trHeight w:val="145"/>
        </w:trPr>
        <w:tc>
          <w:tcPr>
            <w:tcW w:w="1976" w:type="dxa"/>
          </w:tcPr>
          <w:p w:rsidR="004C5FBF" w:rsidRPr="00360DE3" w:rsidRDefault="004C5FBF" w:rsidP="004C5FBF">
            <w:pPr>
              <w:pStyle w:val="Marginlie"/>
              <w:rPr>
                <w:spacing w:val="0"/>
              </w:rPr>
            </w:pPr>
            <w:r w:rsidRPr="00360DE3">
              <w:rPr>
                <w:spacing w:val="0"/>
              </w:rPr>
              <w:t>Míra investic v primárním sektoru převyšovala v Česku úroveň EU o více než čtvrtinu.</w:t>
            </w:r>
          </w:p>
        </w:tc>
        <w:tc>
          <w:tcPr>
            <w:tcW w:w="277" w:type="dxa"/>
          </w:tcPr>
          <w:p w:rsidR="004C5FBF" w:rsidRPr="00360DE3" w:rsidRDefault="004C5FBF" w:rsidP="004C5FBF">
            <w:pPr>
              <w:pStyle w:val="Textpoznpodarou"/>
              <w:jc w:val="both"/>
            </w:pPr>
          </w:p>
        </w:tc>
        <w:tc>
          <w:tcPr>
            <w:tcW w:w="7391" w:type="dxa"/>
          </w:tcPr>
          <w:p w:rsidR="004C5FBF" w:rsidRPr="00360DE3" w:rsidRDefault="004C5FBF" w:rsidP="004C5FBF">
            <w:pPr>
              <w:spacing w:after="200"/>
            </w:pPr>
            <w:r w:rsidRPr="00360DE3">
              <w:t xml:space="preserve">Míra investic v primárním sektoru dlouhodobě zůstává, podobně jako ve většině ostatních segmentů ekonomiky, v Česku nad úrovní EU (kde v roce činila 31 %). Relativně nejvíce bylo investováno v některých starších členských státech se silným zastoupením zemědělské živočišné produkce a významnou dotační podporou (např. v Dánsku, Belgii, Velké Británii, Německu či Rakousku). </w:t>
            </w:r>
          </w:p>
        </w:tc>
      </w:tr>
      <w:tr w:rsidR="004C5FBF" w:rsidRPr="00360DE3" w:rsidTr="004C5FBF">
        <w:trPr>
          <w:trHeight w:val="145"/>
        </w:trPr>
        <w:tc>
          <w:tcPr>
            <w:tcW w:w="1976" w:type="dxa"/>
          </w:tcPr>
          <w:p w:rsidR="004C5FBF" w:rsidRPr="00360DE3" w:rsidRDefault="004C5FBF" w:rsidP="004C5FBF">
            <w:pPr>
              <w:pStyle w:val="Marginlie"/>
              <w:rPr>
                <w:spacing w:val="0"/>
              </w:rPr>
            </w:pPr>
            <w:r w:rsidRPr="00360DE3">
              <w:rPr>
                <w:spacing w:val="0"/>
              </w:rPr>
              <w:t>Zaměstnanost v primárním sektoru zůstala stabilizovaná. Výše průměrných výdělků i produktivita práce setrvaly výrazněji pod úrovní celé ekonomiky.</w:t>
            </w:r>
          </w:p>
        </w:tc>
        <w:tc>
          <w:tcPr>
            <w:tcW w:w="277" w:type="dxa"/>
          </w:tcPr>
          <w:p w:rsidR="004C5FBF" w:rsidRPr="00360DE3" w:rsidRDefault="004C5FBF" w:rsidP="004C5FBF">
            <w:pPr>
              <w:pStyle w:val="Textpoznpodarou"/>
              <w:jc w:val="both"/>
            </w:pPr>
          </w:p>
        </w:tc>
        <w:tc>
          <w:tcPr>
            <w:tcW w:w="7391" w:type="dxa"/>
          </w:tcPr>
          <w:p w:rsidR="004C5FBF" w:rsidRPr="00360DE3" w:rsidRDefault="004C5FBF" w:rsidP="004C5FBF">
            <w:r w:rsidRPr="00360DE3">
              <w:t>Celková zaměstnanost</w:t>
            </w:r>
            <w:r w:rsidRPr="00360DE3">
              <w:rPr>
                <w:rStyle w:val="Znakapoznpodarou"/>
              </w:rPr>
              <w:footnoteReference w:id="53"/>
            </w:r>
            <w:r w:rsidRPr="00360DE3">
              <w:t xml:space="preserve"> v zemědělství, lesnictví a rybářství je po roce 2010 stabilizovaná. Meziročně loni pracovníků mírně přibylo (o 0,6 %) zásluhou vyššího počtu </w:t>
            </w:r>
            <w:proofErr w:type="spellStart"/>
            <w:r w:rsidRPr="00360DE3">
              <w:t>sebezaměstnaných</w:t>
            </w:r>
            <w:proofErr w:type="spellEnd"/>
            <w:r w:rsidRPr="00360DE3">
              <w:t xml:space="preserve"> v zemědělství i nárůstu četnosti zaměstnanců v lesnictví a těžbě dřeva. Spíše než celková četnost pracovníků zůstává problémem jejich věkové složení</w:t>
            </w:r>
            <w:r w:rsidRPr="00360DE3">
              <w:rPr>
                <w:rStyle w:val="Znakapoznpodarou"/>
              </w:rPr>
              <w:footnoteReference w:id="54"/>
            </w:r>
            <w:r w:rsidRPr="00360DE3">
              <w:t>. Průměrné hrubé výdělky</w:t>
            </w:r>
            <w:r w:rsidRPr="00360DE3">
              <w:rPr>
                <w:rStyle w:val="Znakapoznpodarou"/>
              </w:rPr>
              <w:footnoteReference w:id="55"/>
            </w:r>
            <w:r w:rsidRPr="00360DE3">
              <w:t xml:space="preserve"> vzrostly o 5,0 % (a již třetím rokem v řadě za tempem v celé ekonomice zaostaly). Jejich loňská měsíční výše (23,5 tis. korun) byla o pětinu pod úrovní národního hospodářství. V rámci celého odvětví dosáhli mírně příznivějšího postavení zaměstnanci </w:t>
            </w:r>
            <w:r w:rsidR="00093E53">
              <w:t>v lesnictví a těžbě dřeva (27,3</w:t>
            </w:r>
            <w:r w:rsidR="00093E53" w:rsidRPr="00360DE3">
              <w:rPr>
                <w:color w:val="0D0D0D" w:themeColor="text1" w:themeTint="F2"/>
              </w:rPr>
              <w:t> </w:t>
            </w:r>
            <w:r w:rsidRPr="00360DE3">
              <w:t xml:space="preserve">tis. korun). Toto dílčí odvětví také jako jediné z primárního sektoru </w:t>
            </w:r>
            <w:r w:rsidRPr="00360DE3">
              <w:lastRenderedPageBreak/>
              <w:t>dlouhodobě vykazuje vyšší hodinovou produktivitu práce – v roce 2017 o čtvrtinu nad úrovní celé ekonomiky</w:t>
            </w:r>
            <w:r w:rsidRPr="00360DE3">
              <w:rPr>
                <w:rStyle w:val="Znakapoznpodarou"/>
              </w:rPr>
              <w:footnoteReference w:id="56"/>
            </w:r>
            <w:r w:rsidRPr="00360DE3">
              <w:t>.</w:t>
            </w:r>
          </w:p>
        </w:tc>
      </w:tr>
      <w:tr w:rsidR="004C5FBF" w:rsidRPr="00360DE3" w:rsidTr="004C5FBF">
        <w:tc>
          <w:tcPr>
            <w:tcW w:w="1976" w:type="dxa"/>
            <w:vMerge w:val="restart"/>
          </w:tcPr>
          <w:p w:rsidR="004C5FBF" w:rsidRPr="00360DE3" w:rsidRDefault="004C5FBF" w:rsidP="004C5FBF">
            <w:pPr>
              <w:pStyle w:val="Marginlie"/>
              <w:rPr>
                <w:spacing w:val="0"/>
              </w:rPr>
            </w:pPr>
          </w:p>
        </w:tc>
        <w:tc>
          <w:tcPr>
            <w:tcW w:w="277" w:type="dxa"/>
            <w:vMerge w:val="restart"/>
          </w:tcPr>
          <w:p w:rsidR="004C5FBF" w:rsidRPr="00360DE3" w:rsidRDefault="004C5FBF" w:rsidP="004C5FBF">
            <w:pPr>
              <w:pStyle w:val="Textpoznpodarou"/>
              <w:jc w:val="both"/>
            </w:pPr>
          </w:p>
        </w:tc>
        <w:tc>
          <w:tcPr>
            <w:tcW w:w="7391" w:type="dxa"/>
          </w:tcPr>
          <w:p w:rsidR="004C5FBF" w:rsidRPr="00360DE3" w:rsidRDefault="004C5FBF" w:rsidP="004C5FBF">
            <w:pPr>
              <w:spacing w:after="0"/>
              <w:rPr>
                <w:b/>
              </w:rPr>
            </w:pPr>
            <w:r w:rsidRPr="00360DE3">
              <w:rPr>
                <w:b/>
              </w:rPr>
              <w:t xml:space="preserve">Graf </w:t>
            </w:r>
            <w:proofErr w:type="gramStart"/>
            <w:r w:rsidRPr="00360DE3">
              <w:rPr>
                <w:b/>
              </w:rPr>
              <w:t xml:space="preserve">10.1  </w:t>
            </w:r>
            <w:r w:rsidRPr="00360DE3">
              <w:rPr>
                <w:b/>
                <w:bCs/>
              </w:rPr>
              <w:t>Základní</w:t>
            </w:r>
            <w:proofErr w:type="gramEnd"/>
            <w:r w:rsidRPr="00360DE3">
              <w:rPr>
                <w:b/>
                <w:bCs/>
              </w:rPr>
              <w:t xml:space="preserve"> ukazatele odvětví zemědělství, lesnictví a rybářství</w:t>
            </w:r>
          </w:p>
          <w:p w:rsidR="004C5FBF" w:rsidRPr="00360DE3" w:rsidRDefault="004C5FBF" w:rsidP="004C5FBF">
            <w:pPr>
              <w:spacing w:after="0"/>
              <w:rPr>
                <w:b/>
              </w:rPr>
            </w:pPr>
            <w:r w:rsidRPr="00360DE3">
              <w:rPr>
                <w:b/>
                <w:noProof/>
              </w:rPr>
              <w:drawing>
                <wp:inline distT="0" distB="0" distL="0" distR="0">
                  <wp:extent cx="4641576" cy="3553200"/>
                  <wp:effectExtent l="19050" t="0" r="6624" b="0"/>
                  <wp:docPr id="9"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c>
      </w:tr>
      <w:tr w:rsidR="004C5FBF" w:rsidRPr="00360DE3" w:rsidTr="004C5FBF">
        <w:trPr>
          <w:trHeight w:val="284"/>
        </w:trPr>
        <w:tc>
          <w:tcPr>
            <w:tcW w:w="1976" w:type="dxa"/>
            <w:vMerge/>
          </w:tcPr>
          <w:p w:rsidR="004C5FBF" w:rsidRPr="00360DE3" w:rsidRDefault="004C5FBF" w:rsidP="004C5FBF">
            <w:pPr>
              <w:pStyle w:val="Marginlie"/>
              <w:rPr>
                <w:spacing w:val="0"/>
              </w:rPr>
            </w:pPr>
          </w:p>
        </w:tc>
        <w:tc>
          <w:tcPr>
            <w:tcW w:w="277" w:type="dxa"/>
            <w:vMerge/>
          </w:tcPr>
          <w:p w:rsidR="004C5FBF" w:rsidRPr="00360DE3" w:rsidRDefault="004C5FBF" w:rsidP="004C5FBF">
            <w:pPr>
              <w:pStyle w:val="Textpoznpodarou"/>
              <w:jc w:val="both"/>
            </w:pPr>
          </w:p>
        </w:tc>
        <w:tc>
          <w:tcPr>
            <w:tcW w:w="7391" w:type="dxa"/>
          </w:tcPr>
          <w:p w:rsidR="004C5FBF" w:rsidRPr="00360DE3" w:rsidRDefault="004C5FBF" w:rsidP="001A0D6B">
            <w:pPr>
              <w:pStyle w:val="Zhlav"/>
              <w:spacing w:before="40" w:after="240" w:line="240" w:lineRule="auto"/>
              <w:rPr>
                <w:rFonts w:cs="Arial"/>
                <w:sz w:val="14"/>
                <w:szCs w:val="14"/>
                <w:lang w:eastAsia="cs-CZ"/>
              </w:rPr>
            </w:pPr>
            <w:r w:rsidRPr="00360DE3">
              <w:rPr>
                <w:rFonts w:cs="Arial"/>
                <w:sz w:val="14"/>
                <w:szCs w:val="14"/>
                <w:lang w:eastAsia="cs-CZ"/>
              </w:rPr>
              <w:t xml:space="preserve">*Do reálného vyjádření převedeno deflátorem výdajů na konečnou spotřebu domácností.      Zdroj: ČSÚ (národní účty) </w:t>
            </w:r>
          </w:p>
        </w:tc>
      </w:tr>
      <w:tr w:rsidR="004C5FBF" w:rsidRPr="00360DE3" w:rsidTr="004C5FBF">
        <w:trPr>
          <w:trHeight w:val="170"/>
        </w:trPr>
        <w:tc>
          <w:tcPr>
            <w:tcW w:w="1976" w:type="dxa"/>
          </w:tcPr>
          <w:p w:rsidR="004C5FBF" w:rsidRPr="00360DE3" w:rsidRDefault="004C5FBF" w:rsidP="004C5FBF">
            <w:pPr>
              <w:pStyle w:val="Marginlie"/>
              <w:rPr>
                <w:spacing w:val="0"/>
              </w:rPr>
            </w:pPr>
            <w:r w:rsidRPr="00360DE3">
              <w:rPr>
                <w:spacing w:val="0"/>
              </w:rPr>
              <w:t>Podíl primárního sektoru na celkové zaměstnanosti byl v Česku v rámci skupiny novějších členských států EU druhý nejnižší</w:t>
            </w:r>
          </w:p>
        </w:tc>
        <w:tc>
          <w:tcPr>
            <w:tcW w:w="277" w:type="dxa"/>
          </w:tcPr>
          <w:p w:rsidR="004C5FBF" w:rsidRPr="00360DE3" w:rsidRDefault="004C5FBF" w:rsidP="004C5FBF">
            <w:pPr>
              <w:pStyle w:val="Textpoznpodarou"/>
              <w:jc w:val="both"/>
            </w:pPr>
          </w:p>
        </w:tc>
        <w:tc>
          <w:tcPr>
            <w:tcW w:w="7391" w:type="dxa"/>
          </w:tcPr>
          <w:p w:rsidR="004C5FBF" w:rsidRPr="00360DE3" w:rsidRDefault="004C5FBF" w:rsidP="004C5FBF">
            <w:pPr>
              <w:spacing w:after="200"/>
              <w:rPr>
                <w:color w:val="0D0D0D"/>
              </w:rPr>
            </w:pPr>
            <w:r w:rsidRPr="00360DE3">
              <w:rPr>
                <w:color w:val="0D0D0D"/>
              </w:rPr>
              <w:t>Role primárního sektoru v celé ekonomice optikou zaměstnanosti i HPH se ve starších i</w:t>
            </w:r>
            <w:r w:rsidRPr="00360DE3">
              <w:t> </w:t>
            </w:r>
            <w:r w:rsidRPr="00360DE3">
              <w:rPr>
                <w:color w:val="0D0D0D"/>
              </w:rPr>
              <w:t>novějších členských zemích EU dlouhodobě snižuje. V ČR (stejně jako na Slovensku) zaměstnával v roce 2017 jen 3,0 % všech pracovníků, šlo po Maltě (1,5 %) o druhý nejnižší podíl mezi novějšími členskými státy EU a také desátý nejnižší v celé Unii (již vévodilo Rumunsko s 24 % a</w:t>
            </w:r>
            <w:r w:rsidRPr="00360DE3">
              <w:t> </w:t>
            </w:r>
            <w:r w:rsidRPr="00360DE3">
              <w:rPr>
                <w:color w:val="0D0D0D"/>
              </w:rPr>
              <w:t>Bulharsko s 19 % a</w:t>
            </w:r>
            <w:r w:rsidR="00093E53" w:rsidRPr="00360DE3">
              <w:rPr>
                <w:color w:val="0D0D0D" w:themeColor="text1" w:themeTint="F2"/>
              </w:rPr>
              <w:t> </w:t>
            </w:r>
            <w:r w:rsidRPr="00360DE3">
              <w:rPr>
                <w:color w:val="0D0D0D"/>
              </w:rPr>
              <w:t>s odstupem Řecko s 11 %). Na HPH se v roce 2017 primární sektor v Česku podílel 2,3 %, podobně jako v Polsku (kde ale zaměstnával plnou desetinu všech pracovníků). Vyšší podíl na přidané hodnotě nežli na zaměstnanosti byl (ze zemí EU a ESVO) zaznamenán jen na Islandu a Slovensku.</w:t>
            </w:r>
          </w:p>
        </w:tc>
      </w:tr>
      <w:tr w:rsidR="004C5FBF" w:rsidRPr="00360DE3" w:rsidTr="004C5FBF">
        <w:trPr>
          <w:trHeight w:val="170"/>
        </w:trPr>
        <w:tc>
          <w:tcPr>
            <w:tcW w:w="1976" w:type="dxa"/>
          </w:tcPr>
          <w:p w:rsidR="004C5FBF" w:rsidRPr="00360DE3" w:rsidRDefault="004C5FBF" w:rsidP="004C5FBF">
            <w:pPr>
              <w:pStyle w:val="Marginlie"/>
              <w:rPr>
                <w:spacing w:val="0"/>
              </w:rPr>
            </w:pPr>
            <w:r w:rsidRPr="00360DE3">
              <w:rPr>
                <w:spacing w:val="0"/>
              </w:rPr>
              <w:t>V Česku dlouhodobě posiluje váhově dominantní rostlinné produkce nad živočišnou výrobou.</w:t>
            </w:r>
          </w:p>
          <w:p w:rsidR="004C5FBF" w:rsidRPr="00360DE3" w:rsidRDefault="004C5FBF" w:rsidP="004C5FBF">
            <w:pPr>
              <w:pStyle w:val="Marginlie"/>
              <w:rPr>
                <w:spacing w:val="0"/>
              </w:rPr>
            </w:pPr>
          </w:p>
          <w:p w:rsidR="004C5FBF" w:rsidRPr="00360DE3" w:rsidRDefault="004C5FBF" w:rsidP="004C5FBF">
            <w:pPr>
              <w:pStyle w:val="Marginlie"/>
              <w:rPr>
                <w:spacing w:val="0"/>
              </w:rPr>
            </w:pPr>
          </w:p>
          <w:p w:rsidR="004C5FBF" w:rsidRPr="00360DE3" w:rsidRDefault="004C5FBF" w:rsidP="004C5FBF">
            <w:pPr>
              <w:pStyle w:val="Marginlie"/>
              <w:rPr>
                <w:spacing w:val="0"/>
              </w:rPr>
            </w:pPr>
            <w:r w:rsidRPr="00360DE3">
              <w:rPr>
                <w:spacing w:val="0"/>
              </w:rPr>
              <w:t>Produkce celého zemědělského odvětví meziročně klesla. Slabší úroda se prolínala drtivou většinou oblastí rostlinné produkce.</w:t>
            </w:r>
          </w:p>
        </w:tc>
        <w:tc>
          <w:tcPr>
            <w:tcW w:w="277" w:type="dxa"/>
          </w:tcPr>
          <w:p w:rsidR="004C5FBF" w:rsidRPr="00360DE3" w:rsidRDefault="004C5FBF" w:rsidP="004C5FBF">
            <w:pPr>
              <w:pStyle w:val="Textpoznpodarou"/>
              <w:jc w:val="both"/>
            </w:pPr>
          </w:p>
        </w:tc>
        <w:tc>
          <w:tcPr>
            <w:tcW w:w="7391" w:type="dxa"/>
          </w:tcPr>
          <w:p w:rsidR="004C5FBF" w:rsidRPr="00360DE3" w:rsidRDefault="004C5FBF" w:rsidP="004C5FBF">
            <w:r w:rsidRPr="00360DE3">
              <w:t>Detailnější strukturální pohled na vývoj výkonů v rozhodující částí primárního sektoru ekonomiky poskytuje souhrnný zemědělský účet</w:t>
            </w:r>
            <w:r w:rsidRPr="00360DE3">
              <w:rPr>
                <w:rStyle w:val="Znakapoznpodarou"/>
              </w:rPr>
              <w:footnoteReference w:id="57"/>
            </w:r>
            <w:r w:rsidRPr="00360DE3">
              <w:t>. Z něj plyne, že počínaje rokem 2004, kdy Česko vstoupilo do EU, převažuje rostlinná produkce nad živočišnou</w:t>
            </w:r>
            <w:r w:rsidRPr="00360DE3">
              <w:rPr>
                <w:rStyle w:val="Znakapoznpodarou"/>
              </w:rPr>
              <w:footnoteReference w:id="58"/>
            </w:r>
            <w:r w:rsidRPr="00360DE3">
              <w:t xml:space="preserve"> a tento trend spíše posiluje. Nejvyšší váhy (60 %) dosáhla rostlinná produkce v roce 2016, když se projevil vliv velmi</w:t>
            </w:r>
            <w:r w:rsidR="00093E53">
              <w:t xml:space="preserve"> dobré úrody (hlavně obilovin i</w:t>
            </w:r>
            <w:r w:rsidR="00093E53" w:rsidRPr="00360DE3">
              <w:rPr>
                <w:color w:val="0D0D0D" w:themeColor="text1" w:themeTint="F2"/>
              </w:rPr>
              <w:t> </w:t>
            </w:r>
            <w:r w:rsidRPr="00360DE3">
              <w:t xml:space="preserve">technických plodin). Loni podíl rostlinné produkce na výkonu celého zemědělského odvětví klesl na 55,6 %. </w:t>
            </w:r>
            <w:r w:rsidR="00007BEF">
              <w:rPr>
                <w:rFonts w:cs="Arial"/>
                <w:szCs w:val="20"/>
              </w:rPr>
              <w:t>P</w:t>
            </w:r>
            <w:r w:rsidRPr="00360DE3">
              <w:rPr>
                <w:rFonts w:cs="Arial"/>
                <w:szCs w:val="20"/>
              </w:rPr>
              <w:t>rodukce celého zemědělského odvětví (</w:t>
            </w:r>
            <w:r w:rsidRPr="00360DE3">
              <w:rPr>
                <w:szCs w:val="20"/>
              </w:rPr>
              <w:t>v</w:t>
            </w:r>
            <w:r w:rsidR="00007BEF">
              <w:rPr>
                <w:rFonts w:cs="Arial"/>
                <w:szCs w:val="20"/>
              </w:rPr>
              <w:t>yjádřená</w:t>
            </w:r>
            <w:r w:rsidRPr="00360DE3">
              <w:rPr>
                <w:rFonts w:cs="Arial"/>
                <w:szCs w:val="20"/>
              </w:rPr>
              <w:t xml:space="preserve"> ve stálých cenách roku 2000) se loni nacházel</w:t>
            </w:r>
            <w:r w:rsidR="00007BEF">
              <w:rPr>
                <w:rFonts w:cs="Arial"/>
                <w:szCs w:val="20"/>
              </w:rPr>
              <w:t>a</w:t>
            </w:r>
            <w:r w:rsidRPr="00360DE3">
              <w:rPr>
                <w:rFonts w:cs="Arial"/>
                <w:szCs w:val="20"/>
              </w:rPr>
              <w:t xml:space="preserve"> fakticky na úrovni roku 2015, ve srovnání s rokem 2016 se ale o téměř 6 % snížil</w:t>
            </w:r>
            <w:r w:rsidR="00007BEF">
              <w:rPr>
                <w:rFonts w:cs="Arial"/>
                <w:szCs w:val="20"/>
              </w:rPr>
              <w:t>a (z</w:t>
            </w:r>
            <w:r w:rsidRPr="00360DE3">
              <w:rPr>
                <w:rFonts w:cs="Arial"/>
                <w:szCs w:val="20"/>
              </w:rPr>
              <w:t xml:space="preserve"> toho v samotné rostlinné produkci o desetinu). Stála za tím nižší produkce ve váhově dominantní </w:t>
            </w:r>
            <w:r w:rsidRPr="00360DE3">
              <w:rPr>
                <w:rFonts w:cs="Arial"/>
                <w:szCs w:val="20"/>
              </w:rPr>
              <w:lastRenderedPageBreak/>
              <w:t xml:space="preserve">skupině obilovin (meziročně o bezmála sedminu), s poklesem se ale potýkaly téměř všechny hlavní skupiny rostlinné produkce. Slabší sklizeň byla loni výsledkem hlavně nižších hektarových výnosů, neboť z významnějších plodin klesla citelněji produkční plocha jen u jednoletých </w:t>
            </w:r>
            <w:r w:rsidR="00007BEF">
              <w:rPr>
                <w:rFonts w:cs="Arial"/>
                <w:szCs w:val="20"/>
              </w:rPr>
              <w:t>pícnin, triticale a máku (mezi 8</w:t>
            </w:r>
            <w:r w:rsidRPr="00360DE3">
              <w:t> </w:t>
            </w:r>
            <w:r w:rsidRPr="00360DE3">
              <w:rPr>
                <w:rFonts w:cs="Arial"/>
                <w:szCs w:val="20"/>
              </w:rPr>
              <w:t>a</w:t>
            </w:r>
            <w:r w:rsidRPr="00360DE3">
              <w:t> </w:t>
            </w:r>
            <w:r w:rsidR="00007BEF">
              <w:rPr>
                <w:rFonts w:cs="Arial"/>
                <w:szCs w:val="20"/>
              </w:rPr>
              <w:t>9</w:t>
            </w:r>
            <w:r w:rsidRPr="00360DE3">
              <w:t> </w:t>
            </w:r>
            <w:r w:rsidRPr="00360DE3">
              <w:rPr>
                <w:rFonts w:cs="Arial"/>
                <w:szCs w:val="20"/>
              </w:rPr>
              <w:t>%). Meziroční srovnání úrody je ale ovlivněno výjimečně příznivým rokem 2016</w:t>
            </w:r>
            <w:r w:rsidRPr="00360DE3">
              <w:rPr>
                <w:rStyle w:val="Znakapoznpodarou"/>
                <w:rFonts w:cs="Arial"/>
                <w:szCs w:val="20"/>
              </w:rPr>
              <w:footnoteReference w:id="59"/>
            </w:r>
            <w:r w:rsidRPr="00360DE3">
              <w:rPr>
                <w:rFonts w:cs="Arial"/>
                <w:szCs w:val="20"/>
              </w:rPr>
              <w:t>. Nicméně i ve srovnání s desetiletým průměrem (za období 2008 až 2017) loňská sklizeň zaostala, a to zejména u obilovin (o 5,0 %)</w:t>
            </w:r>
            <w:r w:rsidRPr="00360DE3">
              <w:rPr>
                <w:rStyle w:val="Znakapoznpodarou"/>
                <w:rFonts w:cs="Arial"/>
                <w:szCs w:val="20"/>
              </w:rPr>
              <w:footnoteReference w:id="60"/>
            </w:r>
            <w:r w:rsidRPr="00360DE3">
              <w:rPr>
                <w:rFonts w:cs="Arial"/>
                <w:szCs w:val="20"/>
              </w:rPr>
              <w:t xml:space="preserve"> a olejnin (4,6 %). Zatímco u obilovin byl pokles sklizní proti dlouhodobému průměru ovlivněn výhradně nižší produkční plochou, u olejnin naopak snížením výnosů (při mírném růstu produkční plochy o 1,1 %)</w:t>
            </w:r>
            <w:r w:rsidRPr="00360DE3">
              <w:rPr>
                <w:rStyle w:val="Znakapoznpodarou"/>
                <w:rFonts w:cs="Arial"/>
                <w:szCs w:val="20"/>
              </w:rPr>
              <w:footnoteReference w:id="61"/>
            </w:r>
            <w:r w:rsidRPr="00360DE3">
              <w:rPr>
                <w:rFonts w:cs="Arial"/>
                <w:szCs w:val="20"/>
              </w:rPr>
              <w:t xml:space="preserve">. </w:t>
            </w:r>
            <w:r w:rsidRPr="00360DE3">
              <w:t xml:space="preserve"> </w:t>
            </w:r>
          </w:p>
        </w:tc>
      </w:tr>
      <w:tr w:rsidR="004C5FBF" w:rsidRPr="00360DE3" w:rsidTr="004C5FBF">
        <w:tc>
          <w:tcPr>
            <w:tcW w:w="1976" w:type="dxa"/>
            <w:vMerge w:val="restart"/>
          </w:tcPr>
          <w:p w:rsidR="004C5FBF" w:rsidRPr="00360DE3" w:rsidRDefault="004C5FBF" w:rsidP="004C5FBF">
            <w:pPr>
              <w:pStyle w:val="Marginlie"/>
              <w:rPr>
                <w:spacing w:val="0"/>
              </w:rPr>
            </w:pPr>
          </w:p>
        </w:tc>
        <w:tc>
          <w:tcPr>
            <w:tcW w:w="277" w:type="dxa"/>
            <w:vMerge w:val="restart"/>
          </w:tcPr>
          <w:p w:rsidR="004C5FBF" w:rsidRPr="00360DE3" w:rsidRDefault="004C5FBF" w:rsidP="004C5FBF">
            <w:pPr>
              <w:pStyle w:val="Textpoznpodarou"/>
              <w:jc w:val="both"/>
            </w:pPr>
          </w:p>
        </w:tc>
        <w:tc>
          <w:tcPr>
            <w:tcW w:w="7391" w:type="dxa"/>
          </w:tcPr>
          <w:p w:rsidR="004C5FBF" w:rsidRPr="00360DE3" w:rsidRDefault="004C5FBF" w:rsidP="004C5FBF">
            <w:pPr>
              <w:spacing w:after="0" w:line="240" w:lineRule="auto"/>
              <w:rPr>
                <w:b/>
              </w:rPr>
            </w:pPr>
            <w:r w:rsidRPr="00360DE3">
              <w:rPr>
                <w:b/>
              </w:rPr>
              <w:t>Graf 10.2  Produkce v </w:t>
            </w:r>
            <w:proofErr w:type="gramStart"/>
            <w:r w:rsidRPr="00360DE3">
              <w:rPr>
                <w:b/>
              </w:rPr>
              <w:t>zemědělského</w:t>
            </w:r>
            <w:proofErr w:type="gramEnd"/>
            <w:r w:rsidRPr="00360DE3">
              <w:rPr>
                <w:b/>
              </w:rPr>
              <w:t xml:space="preserve"> odvětví</w:t>
            </w:r>
          </w:p>
          <w:p w:rsidR="004C5FBF" w:rsidRPr="00360DE3" w:rsidRDefault="004C5FBF" w:rsidP="004C5FBF">
            <w:pPr>
              <w:spacing w:after="0"/>
              <w:rPr>
                <w:b/>
              </w:rPr>
            </w:pPr>
            <w:r w:rsidRPr="00360DE3">
              <w:t>(objemový index, úroveň roku 2000=100)*</w:t>
            </w:r>
          </w:p>
          <w:p w:rsidR="004C5FBF" w:rsidRPr="00360DE3" w:rsidRDefault="004C5FBF" w:rsidP="004C5FBF">
            <w:pPr>
              <w:spacing w:after="0"/>
              <w:rPr>
                <w:b/>
              </w:rPr>
            </w:pPr>
            <w:r w:rsidRPr="00360DE3">
              <w:rPr>
                <w:b/>
                <w:noProof/>
              </w:rPr>
              <w:drawing>
                <wp:inline distT="0" distB="0" distL="0" distR="0">
                  <wp:extent cx="4641499" cy="3357349"/>
                  <wp:effectExtent l="19050" t="0" r="6701" b="0"/>
                  <wp:docPr id="37"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r>
      <w:tr w:rsidR="004C5FBF" w:rsidRPr="00360DE3" w:rsidTr="004C5FBF">
        <w:trPr>
          <w:trHeight w:val="284"/>
        </w:trPr>
        <w:tc>
          <w:tcPr>
            <w:tcW w:w="1976" w:type="dxa"/>
            <w:vMerge/>
          </w:tcPr>
          <w:p w:rsidR="004C5FBF" w:rsidRPr="00360DE3" w:rsidRDefault="004C5FBF" w:rsidP="004C5FBF">
            <w:pPr>
              <w:pStyle w:val="Marginlie"/>
              <w:rPr>
                <w:spacing w:val="0"/>
              </w:rPr>
            </w:pPr>
          </w:p>
        </w:tc>
        <w:tc>
          <w:tcPr>
            <w:tcW w:w="277" w:type="dxa"/>
            <w:vMerge/>
          </w:tcPr>
          <w:p w:rsidR="004C5FBF" w:rsidRPr="00360DE3" w:rsidRDefault="004C5FBF" w:rsidP="004C5FBF">
            <w:pPr>
              <w:pStyle w:val="Textpoznpodarou"/>
              <w:jc w:val="both"/>
            </w:pPr>
          </w:p>
        </w:tc>
        <w:tc>
          <w:tcPr>
            <w:tcW w:w="7391" w:type="dxa"/>
          </w:tcPr>
          <w:p w:rsidR="004C5FBF" w:rsidRPr="00360DE3" w:rsidRDefault="004C5FBF" w:rsidP="004C5FBF">
            <w:pPr>
              <w:pStyle w:val="Zhlav"/>
              <w:spacing w:before="40" w:line="240" w:lineRule="auto"/>
              <w:rPr>
                <w:rFonts w:cs="Arial"/>
                <w:sz w:val="14"/>
                <w:szCs w:val="14"/>
                <w:lang w:eastAsia="cs-CZ"/>
              </w:rPr>
            </w:pPr>
            <w:r w:rsidRPr="00360DE3">
              <w:rPr>
                <w:rFonts w:cs="Arial"/>
                <w:sz w:val="14"/>
                <w:szCs w:val="14"/>
                <w:lang w:eastAsia="cs-CZ"/>
              </w:rPr>
              <w:t>*Údaje ve stálých cenách roku 2000, Data za rok 2017 jsou předběžná.</w:t>
            </w:r>
          </w:p>
          <w:p w:rsidR="004C5FBF" w:rsidRPr="00360DE3" w:rsidRDefault="004C5FBF" w:rsidP="004C5FBF">
            <w:pPr>
              <w:pStyle w:val="Zhlav"/>
              <w:spacing w:before="40" w:after="240" w:line="240" w:lineRule="auto"/>
              <w:rPr>
                <w:rFonts w:cs="Arial"/>
                <w:sz w:val="14"/>
                <w:szCs w:val="14"/>
                <w:lang w:eastAsia="cs-CZ"/>
              </w:rPr>
            </w:pPr>
            <w:r w:rsidRPr="00360DE3">
              <w:rPr>
                <w:rFonts w:cs="Arial"/>
                <w:sz w:val="14"/>
                <w:szCs w:val="14"/>
                <w:lang w:eastAsia="cs-CZ"/>
              </w:rPr>
              <w:t>Zdroj: ČSÚ (souhrnný zemědělský účet)</w:t>
            </w:r>
          </w:p>
        </w:tc>
      </w:tr>
      <w:tr w:rsidR="004C5FBF" w:rsidRPr="00360DE3" w:rsidTr="004C5FBF">
        <w:tc>
          <w:tcPr>
            <w:tcW w:w="1976" w:type="dxa"/>
          </w:tcPr>
          <w:p w:rsidR="004C5FBF" w:rsidRPr="00360DE3" w:rsidRDefault="004C5FBF" w:rsidP="004C5FBF">
            <w:pPr>
              <w:pStyle w:val="Marginlie"/>
              <w:rPr>
                <w:spacing w:val="0"/>
              </w:rPr>
            </w:pPr>
            <w:r w:rsidRPr="00360DE3">
              <w:rPr>
                <w:spacing w:val="0"/>
              </w:rPr>
              <w:t xml:space="preserve">Úrodu ovoce loni poznamenaly opakované jarní mrazy. Objem produkce zeleniny se meziročně výrazně nezměnil. </w:t>
            </w:r>
          </w:p>
        </w:tc>
        <w:tc>
          <w:tcPr>
            <w:tcW w:w="277" w:type="dxa"/>
          </w:tcPr>
          <w:p w:rsidR="004C5FBF" w:rsidRPr="00360DE3" w:rsidRDefault="004C5FBF" w:rsidP="004C5FBF">
            <w:pPr>
              <w:pStyle w:val="Textpoznpodarou"/>
              <w:jc w:val="both"/>
            </w:pPr>
          </w:p>
        </w:tc>
        <w:tc>
          <w:tcPr>
            <w:tcW w:w="7391" w:type="dxa"/>
          </w:tcPr>
          <w:p w:rsidR="003F3890" w:rsidRPr="00666D91" w:rsidRDefault="004C5FBF" w:rsidP="00C6152B">
            <w:pPr>
              <w:spacing w:after="220"/>
              <w:rPr>
                <w:spacing w:val="-2"/>
              </w:rPr>
            </w:pPr>
            <w:r w:rsidRPr="00666D91">
              <w:rPr>
                <w:rFonts w:cs="Arial"/>
                <w:spacing w:val="-2"/>
                <w:szCs w:val="20"/>
              </w:rPr>
              <w:t>Výrazněji se nedařilo ovocnářství, kde loňskou sklizeň poznamenaly opakované mrazy v jarním období (duben, květen). Meziroční propad sklizní měl plošný charakter, lepší úrody dosáhli jen pěstitelé broskví a meruněk (jejich sklizeň v roce 2016 byla ale vůbec nejslabší v novodobé historii). Ve výrazně dominantním segmentu ovocnářství – produkci jablek – se loni sk</w:t>
            </w:r>
            <w:r w:rsidR="00093E53" w:rsidRPr="00666D91">
              <w:rPr>
                <w:rFonts w:cs="Arial"/>
                <w:spacing w:val="-2"/>
                <w:szCs w:val="20"/>
              </w:rPr>
              <w:t>lizeň snížila proti roku 2016 o</w:t>
            </w:r>
            <w:r w:rsidR="004225C6" w:rsidRPr="00666D91">
              <w:rPr>
                <w:rFonts w:cs="Arial"/>
                <w:spacing w:val="-2"/>
                <w:szCs w:val="20"/>
              </w:rPr>
              <w:t> </w:t>
            </w:r>
            <w:r w:rsidR="00666D91">
              <w:rPr>
                <w:rFonts w:cs="Arial"/>
                <w:spacing w:val="-2"/>
                <w:szCs w:val="20"/>
              </w:rPr>
              <w:t>16</w:t>
            </w:r>
            <w:r w:rsidR="00666D91" w:rsidRPr="00666D91">
              <w:rPr>
                <w:rFonts w:cs="Arial"/>
                <w:spacing w:val="-2"/>
                <w:szCs w:val="20"/>
              </w:rPr>
              <w:t> </w:t>
            </w:r>
            <w:r w:rsidRPr="00666D91">
              <w:rPr>
                <w:rFonts w:cs="Arial"/>
                <w:spacing w:val="-2"/>
                <w:szCs w:val="20"/>
              </w:rPr>
              <w:t xml:space="preserve">%, proti desetiletému průmětu o 15 %. Hluboký pokles úrody proti dlouhodobému průměru byl u některých ostatních produktů ovlivněn rovněž klesajícími počty pěstovaných stromů či keřů (broskve, višně, rybíz). </w:t>
            </w:r>
            <w:r w:rsidRPr="00666D91">
              <w:rPr>
                <w:spacing w:val="-2"/>
              </w:rPr>
              <w:t>Podstatně lépe na tom loni byli producenti čerstvé zeleniny</w:t>
            </w:r>
            <w:r w:rsidRPr="00666D91">
              <w:rPr>
                <w:rStyle w:val="Znakapoznpodarou"/>
                <w:spacing w:val="-2"/>
              </w:rPr>
              <w:footnoteReference w:id="62"/>
            </w:r>
            <w:r w:rsidRPr="00666D91">
              <w:rPr>
                <w:spacing w:val="-2"/>
              </w:rPr>
              <w:t xml:space="preserve">. Dařilo se produkci mrkve, květáku či </w:t>
            </w:r>
            <w:r w:rsidRPr="00666D91">
              <w:rPr>
                <w:spacing w:val="-2"/>
              </w:rPr>
              <w:lastRenderedPageBreak/>
              <w:t xml:space="preserve">kedluben, naopak o dvě třetiny propadla meziročně sklizeň rajčat. Vedle tržní produkce ovoce, zeleniny či brambor </w:t>
            </w:r>
            <w:r w:rsidR="00007BEF" w:rsidRPr="00666D91">
              <w:rPr>
                <w:spacing w:val="-2"/>
              </w:rPr>
              <w:t xml:space="preserve">se sklizeň </w:t>
            </w:r>
            <w:r w:rsidRPr="00666D91">
              <w:rPr>
                <w:spacing w:val="-2"/>
              </w:rPr>
              <w:t>z nezanedbatelné části tradičně odehrává také u</w:t>
            </w:r>
            <w:r w:rsidRPr="00666D91">
              <w:rPr>
                <w:rFonts w:cs="Arial"/>
                <w:spacing w:val="-2"/>
                <w:szCs w:val="20"/>
              </w:rPr>
              <w:t> </w:t>
            </w:r>
            <w:r w:rsidRPr="00666D91">
              <w:rPr>
                <w:spacing w:val="-2"/>
              </w:rPr>
              <w:t>drobných pěstitelů v sektoru domácností (tj., mimo zemědělský sektor)</w:t>
            </w:r>
            <w:r w:rsidRPr="00666D91">
              <w:rPr>
                <w:rStyle w:val="Znakapoznpodarou"/>
                <w:spacing w:val="-2"/>
              </w:rPr>
              <w:footnoteReference w:id="63"/>
            </w:r>
            <w:r w:rsidRPr="00666D91">
              <w:rPr>
                <w:spacing w:val="-2"/>
              </w:rPr>
              <w:t>.</w:t>
            </w:r>
          </w:p>
        </w:tc>
      </w:tr>
      <w:tr w:rsidR="003F3890" w:rsidRPr="00360DE3" w:rsidTr="004C5FBF">
        <w:tc>
          <w:tcPr>
            <w:tcW w:w="1976" w:type="dxa"/>
          </w:tcPr>
          <w:p w:rsidR="003F3890" w:rsidRPr="00360DE3" w:rsidRDefault="003F3890" w:rsidP="00DC37E3">
            <w:pPr>
              <w:pStyle w:val="Marginlie"/>
              <w:rPr>
                <w:spacing w:val="0"/>
              </w:rPr>
            </w:pPr>
            <w:r w:rsidRPr="00360DE3">
              <w:rPr>
                <w:spacing w:val="0"/>
              </w:rPr>
              <w:lastRenderedPageBreak/>
              <w:t>Dařilo se producentům cukrové řepy, luskovin, chmele i vinných hroznů.</w:t>
            </w:r>
          </w:p>
        </w:tc>
        <w:tc>
          <w:tcPr>
            <w:tcW w:w="277" w:type="dxa"/>
          </w:tcPr>
          <w:p w:rsidR="003F3890" w:rsidRPr="00360DE3" w:rsidRDefault="003F3890" w:rsidP="00DC37E3">
            <w:pPr>
              <w:pStyle w:val="Textpoznpodarou"/>
              <w:jc w:val="both"/>
            </w:pPr>
          </w:p>
        </w:tc>
        <w:tc>
          <w:tcPr>
            <w:tcW w:w="7391" w:type="dxa"/>
          </w:tcPr>
          <w:p w:rsidR="003F3890" w:rsidRPr="00666D91" w:rsidRDefault="003F3890" w:rsidP="00C6152B">
            <w:pPr>
              <w:spacing w:after="220"/>
              <w:rPr>
                <w:spacing w:val="-2"/>
              </w:rPr>
            </w:pPr>
            <w:r w:rsidRPr="00666D91">
              <w:rPr>
                <w:spacing w:val="-2"/>
              </w:rPr>
              <w:t>Příznivá byla loni úroda cukrové řepy (4,4 mil. tun,</w:t>
            </w:r>
            <w:r w:rsidR="00600079" w:rsidRPr="00666D91">
              <w:rPr>
                <w:spacing w:val="-2"/>
              </w:rPr>
              <w:t xml:space="preserve"> druhá nejvyšší od roku 1990) i </w:t>
            </w:r>
            <w:r w:rsidRPr="00666D91">
              <w:rPr>
                <w:spacing w:val="-2"/>
              </w:rPr>
              <w:t xml:space="preserve">luskovin. Produkce těchto plodin </w:t>
            </w:r>
            <w:r w:rsidR="00600079" w:rsidRPr="00666D91">
              <w:rPr>
                <w:spacing w:val="-2"/>
              </w:rPr>
              <w:t xml:space="preserve">v posledních třech letech </w:t>
            </w:r>
            <w:r w:rsidRPr="00666D91">
              <w:rPr>
                <w:spacing w:val="-2"/>
              </w:rPr>
              <w:t>těží z rozšiřujících se osevních ploch. Sklizeň brambo</w:t>
            </w:r>
            <w:r w:rsidR="00600079" w:rsidRPr="00666D91">
              <w:rPr>
                <w:spacing w:val="-2"/>
              </w:rPr>
              <w:t>r se meziročně prakticky</w:t>
            </w:r>
            <w:r w:rsidRPr="00666D91">
              <w:rPr>
                <w:spacing w:val="-2"/>
              </w:rPr>
              <w:t xml:space="preserve"> nezměnila a </w:t>
            </w:r>
            <w:r w:rsidR="00600079" w:rsidRPr="00666D91">
              <w:rPr>
                <w:spacing w:val="-2"/>
              </w:rPr>
              <w:t>zároveň se ani výrazněji neodchýlila od desetiletého průměru</w:t>
            </w:r>
            <w:r w:rsidRPr="00666D91">
              <w:rPr>
                <w:spacing w:val="-2"/>
              </w:rPr>
              <w:t>. Slunný, velmi teplý a srážkově normální loňský rok svědčil produkci vinných hroznů (meziročně +5 %, proti 10letému průměru +7 %). Sklizeň chmele, tradiční exportní komodity tuzemského zemědělství, dosáhla i přes meziroční pokles (o 12 %) třetí nejlepší výsledek po roce 2005.</w:t>
            </w:r>
          </w:p>
        </w:tc>
      </w:tr>
      <w:tr w:rsidR="003F3890" w:rsidRPr="00360DE3" w:rsidTr="004C5FBF">
        <w:tc>
          <w:tcPr>
            <w:tcW w:w="1976" w:type="dxa"/>
            <w:vMerge w:val="restart"/>
          </w:tcPr>
          <w:p w:rsidR="003F3890" w:rsidRPr="00360DE3" w:rsidRDefault="003F3890" w:rsidP="004C5FBF">
            <w:pPr>
              <w:pStyle w:val="Marginlie"/>
              <w:rPr>
                <w:spacing w:val="0"/>
              </w:rPr>
            </w:pPr>
          </w:p>
        </w:tc>
        <w:tc>
          <w:tcPr>
            <w:tcW w:w="277" w:type="dxa"/>
            <w:vMerge w:val="restart"/>
          </w:tcPr>
          <w:p w:rsidR="003F3890" w:rsidRPr="00360DE3" w:rsidRDefault="003F3890" w:rsidP="004C5FBF">
            <w:pPr>
              <w:pStyle w:val="Textpoznpodarou"/>
              <w:jc w:val="both"/>
            </w:pPr>
          </w:p>
        </w:tc>
        <w:tc>
          <w:tcPr>
            <w:tcW w:w="7391" w:type="dxa"/>
          </w:tcPr>
          <w:p w:rsidR="003F3890" w:rsidRPr="00360DE3" w:rsidRDefault="003F3890" w:rsidP="004C5FBF">
            <w:pPr>
              <w:spacing w:after="0"/>
              <w:jc w:val="left"/>
              <w:rPr>
                <w:b/>
              </w:rPr>
            </w:pPr>
            <w:r w:rsidRPr="00360DE3">
              <w:rPr>
                <w:b/>
              </w:rPr>
              <w:t xml:space="preserve">Graf </w:t>
            </w:r>
            <w:proofErr w:type="gramStart"/>
            <w:r w:rsidRPr="00360DE3">
              <w:rPr>
                <w:b/>
              </w:rPr>
              <w:t>10.3  Sklizeň</w:t>
            </w:r>
            <w:proofErr w:type="gramEnd"/>
            <w:r w:rsidRPr="00360DE3">
              <w:rPr>
                <w:b/>
              </w:rPr>
              <w:t xml:space="preserve">, produkční plocha a hektarové výnosy* hl. zemědělských plodin v roce 2017 </w:t>
            </w:r>
            <w:r w:rsidRPr="00360DE3">
              <w:t>(změny v % - meziročně, resp. proti dlouhodobému průměru)</w:t>
            </w:r>
          </w:p>
          <w:p w:rsidR="003F3890" w:rsidRPr="00360DE3" w:rsidRDefault="003F3890" w:rsidP="004C5FBF">
            <w:pPr>
              <w:spacing w:after="0"/>
              <w:rPr>
                <w:b/>
              </w:rPr>
            </w:pPr>
            <w:r w:rsidRPr="00360DE3">
              <w:rPr>
                <w:b/>
                <w:noProof/>
              </w:rPr>
              <w:drawing>
                <wp:inline distT="0" distB="0" distL="0" distR="0">
                  <wp:extent cx="4650537" cy="3881993"/>
                  <wp:effectExtent l="0" t="0" r="0" b="0"/>
                  <wp:docPr id="46"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tc>
      </w:tr>
      <w:tr w:rsidR="003F3890" w:rsidRPr="00360DE3" w:rsidTr="004C5FBF">
        <w:trPr>
          <w:trHeight w:val="284"/>
        </w:trPr>
        <w:tc>
          <w:tcPr>
            <w:tcW w:w="1976" w:type="dxa"/>
            <w:vMerge/>
          </w:tcPr>
          <w:p w:rsidR="003F3890" w:rsidRPr="00360DE3" w:rsidRDefault="003F3890" w:rsidP="004C5FBF">
            <w:pPr>
              <w:pStyle w:val="Marginlie"/>
              <w:rPr>
                <w:spacing w:val="0"/>
              </w:rPr>
            </w:pPr>
          </w:p>
        </w:tc>
        <w:tc>
          <w:tcPr>
            <w:tcW w:w="277" w:type="dxa"/>
            <w:vMerge/>
          </w:tcPr>
          <w:p w:rsidR="003F3890" w:rsidRPr="00360DE3" w:rsidRDefault="003F3890" w:rsidP="004C5FBF">
            <w:pPr>
              <w:pStyle w:val="Textpoznpodarou"/>
              <w:jc w:val="both"/>
            </w:pPr>
          </w:p>
        </w:tc>
        <w:tc>
          <w:tcPr>
            <w:tcW w:w="7391" w:type="dxa"/>
          </w:tcPr>
          <w:p w:rsidR="003F3890" w:rsidRPr="00360DE3" w:rsidRDefault="003F3890" w:rsidP="004C5FBF">
            <w:pPr>
              <w:pStyle w:val="Zhlav"/>
              <w:spacing w:before="40" w:after="200" w:line="240" w:lineRule="auto"/>
              <w:rPr>
                <w:rFonts w:cs="Arial"/>
                <w:sz w:val="14"/>
                <w:szCs w:val="14"/>
                <w:lang w:eastAsia="cs-CZ"/>
              </w:rPr>
            </w:pPr>
            <w:r w:rsidRPr="00360DE3">
              <w:rPr>
                <w:rFonts w:cs="Arial"/>
                <w:sz w:val="14"/>
                <w:szCs w:val="14"/>
                <w:lang w:eastAsia="cs-CZ"/>
              </w:rPr>
              <w:t xml:space="preserve">*U jablek a hrušek výnos na jeden strom.                                                                                                          Zdroj: ČSÚ </w:t>
            </w:r>
          </w:p>
        </w:tc>
      </w:tr>
      <w:tr w:rsidR="003F3890" w:rsidRPr="00360DE3" w:rsidTr="004C5FBF">
        <w:trPr>
          <w:trHeight w:val="170"/>
        </w:trPr>
        <w:tc>
          <w:tcPr>
            <w:tcW w:w="1976" w:type="dxa"/>
          </w:tcPr>
          <w:p w:rsidR="003F3890" w:rsidRPr="00360DE3" w:rsidRDefault="003F3890" w:rsidP="004C5FBF">
            <w:pPr>
              <w:pStyle w:val="Marginlie"/>
              <w:rPr>
                <w:spacing w:val="0"/>
              </w:rPr>
            </w:pPr>
            <w:r w:rsidRPr="00360DE3">
              <w:rPr>
                <w:spacing w:val="0"/>
              </w:rPr>
              <w:t>Slabší výsledky výroby masa byly vykompenzovány dlouhodobě příznivějším vývojem i produkce mléka a vajec.</w:t>
            </w:r>
          </w:p>
          <w:p w:rsidR="003F3890" w:rsidRPr="00360DE3" w:rsidRDefault="003F3890" w:rsidP="004C5FBF">
            <w:pPr>
              <w:pStyle w:val="Marginlie"/>
              <w:rPr>
                <w:spacing w:val="0"/>
              </w:rPr>
            </w:pPr>
          </w:p>
          <w:p w:rsidR="003F3890" w:rsidRPr="00360DE3" w:rsidRDefault="003F3890" w:rsidP="004C5FBF">
            <w:pPr>
              <w:pStyle w:val="Marginlie"/>
              <w:rPr>
                <w:spacing w:val="0"/>
              </w:rPr>
            </w:pPr>
          </w:p>
          <w:p w:rsidR="001A0D6B" w:rsidRPr="00360DE3" w:rsidRDefault="001A0D6B" w:rsidP="004C5FBF">
            <w:pPr>
              <w:pStyle w:val="Marginlie"/>
              <w:rPr>
                <w:spacing w:val="0"/>
              </w:rPr>
            </w:pPr>
          </w:p>
          <w:p w:rsidR="003F3890" w:rsidRPr="00360DE3" w:rsidRDefault="003F3890" w:rsidP="004C5FBF">
            <w:pPr>
              <w:pStyle w:val="Marginlie"/>
              <w:rPr>
                <w:spacing w:val="0"/>
              </w:rPr>
            </w:pPr>
          </w:p>
          <w:p w:rsidR="003F3890" w:rsidRPr="00360DE3" w:rsidRDefault="003F3890" w:rsidP="004C5FBF">
            <w:pPr>
              <w:pStyle w:val="Marginlie"/>
              <w:rPr>
                <w:spacing w:val="0"/>
              </w:rPr>
            </w:pPr>
            <w:r w:rsidRPr="00360DE3">
              <w:rPr>
                <w:spacing w:val="0"/>
              </w:rPr>
              <w:t xml:space="preserve">K nižší produkci masa přispěl nejvíce segment vepřového. Růst výroby drůbežího masa naopak </w:t>
            </w:r>
            <w:r w:rsidRPr="00360DE3">
              <w:rPr>
                <w:spacing w:val="0"/>
              </w:rPr>
              <w:lastRenderedPageBreak/>
              <w:t>pokračoval.</w:t>
            </w:r>
          </w:p>
          <w:p w:rsidR="003F3890" w:rsidRPr="00360DE3" w:rsidRDefault="003F3890" w:rsidP="004C5FBF">
            <w:pPr>
              <w:pStyle w:val="Marginlie"/>
              <w:rPr>
                <w:spacing w:val="0"/>
              </w:rPr>
            </w:pPr>
          </w:p>
          <w:p w:rsidR="003F3890" w:rsidRPr="00360DE3" w:rsidRDefault="003F3890" w:rsidP="004C5FBF">
            <w:pPr>
              <w:pStyle w:val="Marginlie"/>
              <w:rPr>
                <w:spacing w:val="0"/>
              </w:rPr>
            </w:pPr>
          </w:p>
          <w:p w:rsidR="003F3890" w:rsidRPr="00360DE3" w:rsidRDefault="003F3890" w:rsidP="004C5FBF">
            <w:pPr>
              <w:pStyle w:val="Marginlie"/>
              <w:rPr>
                <w:spacing w:val="0"/>
              </w:rPr>
            </w:pPr>
          </w:p>
          <w:p w:rsidR="003F3890" w:rsidRPr="00360DE3" w:rsidRDefault="003F3890" w:rsidP="004C5FBF">
            <w:pPr>
              <w:pStyle w:val="Marginlie"/>
              <w:rPr>
                <w:spacing w:val="0"/>
              </w:rPr>
            </w:pPr>
          </w:p>
          <w:p w:rsidR="003F3890" w:rsidRPr="00360DE3" w:rsidRDefault="003F3890" w:rsidP="004C5FBF">
            <w:pPr>
              <w:pStyle w:val="Marginlie"/>
              <w:rPr>
                <w:spacing w:val="0"/>
              </w:rPr>
            </w:pPr>
          </w:p>
          <w:p w:rsidR="003F3890" w:rsidRPr="00360DE3" w:rsidRDefault="003F3890" w:rsidP="004C5FBF">
            <w:pPr>
              <w:pStyle w:val="Marginlie"/>
              <w:rPr>
                <w:spacing w:val="0"/>
              </w:rPr>
            </w:pPr>
          </w:p>
          <w:p w:rsidR="003F3890" w:rsidRPr="00360DE3" w:rsidRDefault="003F3890" w:rsidP="004C5FBF">
            <w:pPr>
              <w:pStyle w:val="Marginlie"/>
              <w:rPr>
                <w:spacing w:val="0"/>
              </w:rPr>
            </w:pPr>
            <w:r w:rsidRPr="00360DE3">
              <w:rPr>
                <w:spacing w:val="0"/>
              </w:rPr>
              <w:t>Nižší rentabilita chovů se odrazila ve stavech chovaných prasat. Ty byly loni nejnižší v historii.</w:t>
            </w:r>
          </w:p>
          <w:p w:rsidR="003F3890" w:rsidRPr="00360DE3" w:rsidRDefault="003F3890" w:rsidP="004C5FBF">
            <w:pPr>
              <w:pStyle w:val="Marginlie"/>
              <w:rPr>
                <w:spacing w:val="0"/>
              </w:rPr>
            </w:pPr>
          </w:p>
        </w:tc>
        <w:tc>
          <w:tcPr>
            <w:tcW w:w="277" w:type="dxa"/>
          </w:tcPr>
          <w:p w:rsidR="003F3890" w:rsidRPr="00360DE3" w:rsidRDefault="003F3890" w:rsidP="004C5FBF">
            <w:pPr>
              <w:pStyle w:val="Textpoznpodarou"/>
              <w:jc w:val="both"/>
            </w:pPr>
          </w:p>
        </w:tc>
        <w:tc>
          <w:tcPr>
            <w:tcW w:w="7391" w:type="dxa"/>
          </w:tcPr>
          <w:p w:rsidR="003F3890" w:rsidRPr="00360DE3" w:rsidRDefault="003F3890" w:rsidP="00C6152B">
            <w:pPr>
              <w:spacing w:after="220"/>
              <w:rPr>
                <w:color w:val="0D0D0D" w:themeColor="text1" w:themeTint="F2"/>
              </w:rPr>
            </w:pPr>
            <w:r w:rsidRPr="00360DE3">
              <w:rPr>
                <w:color w:val="0D0D0D" w:themeColor="text1" w:themeTint="F2"/>
              </w:rPr>
              <w:t>Situace v živočišné produkci zůstává po odeznění významnějších turbulencí v období 2009 až 2012 (způsobených propadem produkce vepřového, zčásti i drůbežího ma</w:t>
            </w:r>
            <w:r w:rsidR="00093E53">
              <w:rPr>
                <w:color w:val="0D0D0D" w:themeColor="text1" w:themeTint="F2"/>
              </w:rPr>
              <w:t>sa) stabilizovaná. Celková živočišná</w:t>
            </w:r>
            <w:r w:rsidRPr="00360DE3">
              <w:rPr>
                <w:color w:val="0D0D0D" w:themeColor="text1" w:themeTint="F2"/>
              </w:rPr>
              <w:t xml:space="preserve"> produkce </w:t>
            </w:r>
            <w:r w:rsidR="00093E53">
              <w:rPr>
                <w:color w:val="0D0D0D" w:themeColor="text1" w:themeTint="F2"/>
              </w:rPr>
              <w:t xml:space="preserve">(ve stálých cenách roku 2000) </w:t>
            </w:r>
            <w:r w:rsidRPr="00360DE3">
              <w:rPr>
                <w:color w:val="0D0D0D" w:themeColor="text1" w:themeTint="F2"/>
              </w:rPr>
              <w:t>v roce 2017 meziročně stagnoval</w:t>
            </w:r>
            <w:r w:rsidR="00093E53">
              <w:rPr>
                <w:color w:val="0D0D0D" w:themeColor="text1" w:themeTint="F2"/>
              </w:rPr>
              <w:t>a</w:t>
            </w:r>
            <w:r w:rsidRPr="00360DE3">
              <w:rPr>
                <w:color w:val="0D0D0D" w:themeColor="text1" w:themeTint="F2"/>
              </w:rPr>
              <w:t xml:space="preserve"> (podobně jako v předešlém roce), když slabší výsledky producentů masa byly prakticky vykompenzovány dlouhodobě rostoucími výkony u ostatních živočišných produ</w:t>
            </w:r>
            <w:r w:rsidR="00093E53">
              <w:rPr>
                <w:color w:val="0D0D0D" w:themeColor="text1" w:themeTint="F2"/>
              </w:rPr>
              <w:t>ktů. Výroba jatečných zvířat (v</w:t>
            </w:r>
            <w:r w:rsidR="00093E53" w:rsidRPr="00360DE3">
              <w:rPr>
                <w:color w:val="0D0D0D" w:themeColor="text1" w:themeTint="F2"/>
              </w:rPr>
              <w:t> </w:t>
            </w:r>
            <w:r w:rsidRPr="00360DE3">
              <w:rPr>
                <w:color w:val="0D0D0D" w:themeColor="text1" w:themeTint="F2"/>
              </w:rPr>
              <w:t>tunách živé hmotnosti) se po stagnaci v roce 20</w:t>
            </w:r>
            <w:r w:rsidR="00093E53">
              <w:rPr>
                <w:color w:val="0D0D0D" w:themeColor="text1" w:themeTint="F2"/>
              </w:rPr>
              <w:t>16 loni meziročně snížila o</w:t>
            </w:r>
            <w:r w:rsidR="00093E53" w:rsidRPr="00360DE3">
              <w:rPr>
                <w:color w:val="0D0D0D" w:themeColor="text1" w:themeTint="F2"/>
              </w:rPr>
              <w:t> </w:t>
            </w:r>
            <w:r w:rsidR="00093E53">
              <w:rPr>
                <w:color w:val="0D0D0D" w:themeColor="text1" w:themeTint="F2"/>
              </w:rPr>
              <w:t>1,3</w:t>
            </w:r>
            <w:r w:rsidR="00093E53" w:rsidRPr="00360DE3">
              <w:rPr>
                <w:color w:val="0D0D0D" w:themeColor="text1" w:themeTint="F2"/>
              </w:rPr>
              <w:t> </w:t>
            </w:r>
            <w:r w:rsidRPr="00360DE3">
              <w:rPr>
                <w:color w:val="0D0D0D" w:themeColor="text1" w:themeTint="F2"/>
              </w:rPr>
              <w:t>%. V pozadí stál hlubší propad produkce prasat, z menší části i skotu. Vzhledem k rozvoji vývozu živých zvířat byl vývoj produkce masa v tuze</w:t>
            </w:r>
            <w:r w:rsidR="00093E53">
              <w:rPr>
                <w:color w:val="0D0D0D" w:themeColor="text1" w:themeTint="F2"/>
              </w:rPr>
              <w:t>msku loni ještě méně příznivá</w:t>
            </w:r>
            <w:r w:rsidRPr="00360DE3">
              <w:rPr>
                <w:color w:val="0D0D0D" w:themeColor="text1" w:themeTint="F2"/>
              </w:rPr>
              <w:t xml:space="preserve">. Ta se snížila o 2,5 %, nejvíce za posledních pět let. Ve váhově dominantní kategorii vepřového masa došlo k poklesu o 4,2 % (produkce </w:t>
            </w:r>
            <w:r w:rsidRPr="00360DE3">
              <w:rPr>
                <w:color w:val="0D0D0D" w:themeColor="text1" w:themeTint="F2"/>
              </w:rPr>
              <w:lastRenderedPageBreak/>
              <w:t>se snižovala již třetím rokem v řadě). Naopak na růst v předešlých třech letech nenavázalo hovězí a telecí maso, v úhrnu zde loni výroba poklesla o téměř 6 % (projevily se snížené stavy býků ve výkrmu během roku 2016). Dařilo se naopak pro</w:t>
            </w:r>
            <w:r w:rsidR="00093E53">
              <w:rPr>
                <w:color w:val="0D0D0D" w:themeColor="text1" w:themeTint="F2"/>
              </w:rPr>
              <w:t>du</w:t>
            </w:r>
            <w:r w:rsidRPr="00360DE3">
              <w:rPr>
                <w:color w:val="0D0D0D" w:themeColor="text1" w:themeTint="F2"/>
              </w:rPr>
              <w:t>centům drůbežího masa, kde mírný růst (odrážející i pozvolné posilování tuzemské poptávky) přetrvával již čtvrtým rokem v řadě. Nižší ceny zemědělských výrobců jatečných prasat (v roce 2015 klesly meziročně o osminu, v následujícím roce v průměru spíše stagnovaly) ovlivnily rentabilitu chovů a promítly se do stavu hospodářských zvířat. V loňském roce klesl počet chovaných prasat o meziročně 7,4 % (na 1,49 mi</w:t>
            </w:r>
            <w:r w:rsidR="003B4331">
              <w:rPr>
                <w:color w:val="0D0D0D" w:themeColor="text1" w:themeTint="F2"/>
              </w:rPr>
              <w:t>l</w:t>
            </w:r>
            <w:r w:rsidRPr="00360DE3">
              <w:rPr>
                <w:color w:val="0D0D0D" w:themeColor="text1" w:themeTint="F2"/>
              </w:rPr>
              <w:t>. kusů – nejméně ve stoleté historii). V roce 2017 se výkupní ceny z pohledu prvovýrobců vepřového vyvíjely již mnohem příznivěji a postupně došlo i k dílčí korekci ve stavech hospodářských zvířat</w:t>
            </w:r>
            <w:r w:rsidRPr="00360DE3">
              <w:rPr>
                <w:rStyle w:val="Znakapoznpodarou"/>
                <w:color w:val="0D0D0D" w:themeColor="text1" w:themeTint="F2"/>
              </w:rPr>
              <w:footnoteReference w:id="64"/>
            </w:r>
            <w:r w:rsidRPr="00360DE3">
              <w:rPr>
                <w:color w:val="0D0D0D" w:themeColor="text1" w:themeTint="F2"/>
              </w:rPr>
              <w:t xml:space="preserve">. Klesající produkce masa (především vepřového) nekorespondovala s trendy v tuzemské spotřebě. Logickým důsledkem bylo další snížení soběstačnosti ČR doprovázené rostoucími dovozy, jež dále prohloubily negativní saldo agrárního obchodu ČR. </w:t>
            </w:r>
          </w:p>
        </w:tc>
      </w:tr>
      <w:tr w:rsidR="003F3890" w:rsidRPr="00360DE3" w:rsidTr="004C5FBF">
        <w:trPr>
          <w:trHeight w:val="170"/>
        </w:trPr>
        <w:tc>
          <w:tcPr>
            <w:tcW w:w="1976" w:type="dxa"/>
          </w:tcPr>
          <w:p w:rsidR="003F3890" w:rsidRPr="00360DE3" w:rsidRDefault="003F3890" w:rsidP="004C5FBF">
            <w:pPr>
              <w:pStyle w:val="Marginlie"/>
              <w:rPr>
                <w:spacing w:val="0"/>
              </w:rPr>
            </w:pPr>
          </w:p>
        </w:tc>
        <w:tc>
          <w:tcPr>
            <w:tcW w:w="277" w:type="dxa"/>
          </w:tcPr>
          <w:p w:rsidR="003F3890" w:rsidRPr="00360DE3" w:rsidRDefault="003F3890" w:rsidP="004C5FBF">
            <w:pPr>
              <w:pStyle w:val="Textpoznpodarou"/>
              <w:jc w:val="both"/>
            </w:pPr>
          </w:p>
        </w:tc>
        <w:tc>
          <w:tcPr>
            <w:tcW w:w="7391" w:type="dxa"/>
          </w:tcPr>
          <w:p w:rsidR="003F3890" w:rsidRPr="00360DE3" w:rsidRDefault="003F3890" w:rsidP="004C5FBF">
            <w:pPr>
              <w:spacing w:after="0"/>
            </w:pPr>
            <w:r w:rsidRPr="00360DE3">
              <w:rPr>
                <w:b/>
              </w:rPr>
              <w:t xml:space="preserve">Graf </w:t>
            </w:r>
            <w:proofErr w:type="gramStart"/>
            <w:r w:rsidRPr="00360DE3">
              <w:rPr>
                <w:b/>
              </w:rPr>
              <w:t>10.4  Základní</w:t>
            </w:r>
            <w:proofErr w:type="gramEnd"/>
            <w:r w:rsidRPr="00360DE3">
              <w:rPr>
                <w:b/>
              </w:rPr>
              <w:t xml:space="preserve"> ukazatele živočišné produkce</w:t>
            </w:r>
            <w:r w:rsidRPr="00360DE3">
              <w:t xml:space="preserve"> (úroveň roku 2010=100)</w:t>
            </w:r>
          </w:p>
          <w:p w:rsidR="003F3890" w:rsidRPr="00360DE3" w:rsidRDefault="003F3890" w:rsidP="004C5FBF">
            <w:pPr>
              <w:spacing w:after="0"/>
            </w:pPr>
            <w:r w:rsidRPr="00360DE3">
              <w:rPr>
                <w:noProof/>
              </w:rPr>
              <w:drawing>
                <wp:inline distT="0" distB="0" distL="0" distR="0">
                  <wp:extent cx="4661757" cy="3612721"/>
                  <wp:effectExtent l="0" t="0" r="5493" b="0"/>
                  <wp:docPr id="47"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c>
      </w:tr>
      <w:tr w:rsidR="003F3890" w:rsidRPr="00360DE3" w:rsidTr="004C5FBF">
        <w:trPr>
          <w:trHeight w:val="170"/>
        </w:trPr>
        <w:tc>
          <w:tcPr>
            <w:tcW w:w="1976" w:type="dxa"/>
          </w:tcPr>
          <w:p w:rsidR="003F3890" w:rsidRPr="00360DE3" w:rsidRDefault="003F3890" w:rsidP="004C5FBF">
            <w:pPr>
              <w:pStyle w:val="Marginlie"/>
              <w:rPr>
                <w:spacing w:val="0"/>
              </w:rPr>
            </w:pPr>
          </w:p>
        </w:tc>
        <w:tc>
          <w:tcPr>
            <w:tcW w:w="277" w:type="dxa"/>
          </w:tcPr>
          <w:p w:rsidR="003F3890" w:rsidRPr="00360DE3" w:rsidRDefault="003F3890" w:rsidP="004C5FBF">
            <w:pPr>
              <w:pStyle w:val="Textpoznpodarou"/>
              <w:jc w:val="both"/>
            </w:pPr>
          </w:p>
        </w:tc>
        <w:tc>
          <w:tcPr>
            <w:tcW w:w="7391" w:type="dxa"/>
          </w:tcPr>
          <w:p w:rsidR="003F3890" w:rsidRPr="00360DE3" w:rsidRDefault="003F3890" w:rsidP="004C5FBF">
            <w:pPr>
              <w:spacing w:after="0"/>
              <w:rPr>
                <w:rFonts w:cs="Arial"/>
                <w:color w:val="0D0D0D" w:themeColor="text1" w:themeTint="F2"/>
                <w:sz w:val="14"/>
                <w:szCs w:val="14"/>
              </w:rPr>
            </w:pPr>
            <w:r w:rsidRPr="00360DE3">
              <w:rPr>
                <w:rFonts w:cs="Arial"/>
                <w:color w:val="0D0D0D" w:themeColor="text1" w:themeTint="F2"/>
                <w:sz w:val="14"/>
                <w:szCs w:val="14"/>
              </w:rPr>
              <w:t>Poznámka. Výroba jatečných zvířat, mléka a snáška vajec je uváděna v rozsahu zemědělského sektoru a domácností.</w:t>
            </w:r>
          </w:p>
          <w:p w:rsidR="003F3890" w:rsidRPr="00360DE3" w:rsidRDefault="003F3890" w:rsidP="004C5FBF">
            <w:pPr>
              <w:spacing w:after="0"/>
              <w:rPr>
                <w:rFonts w:cs="Arial"/>
                <w:color w:val="0D0D0D" w:themeColor="text1" w:themeTint="F2"/>
                <w:sz w:val="14"/>
                <w:szCs w:val="14"/>
              </w:rPr>
            </w:pPr>
            <w:r w:rsidRPr="00360DE3">
              <w:rPr>
                <w:rFonts w:cs="Arial"/>
                <w:color w:val="0D0D0D" w:themeColor="text1" w:themeTint="F2"/>
                <w:sz w:val="14"/>
                <w:szCs w:val="14"/>
              </w:rPr>
              <w:t>*Uveden bez telat.     **Od roku 2010 pouze konzumní vejce, tj. bez násadových.</w:t>
            </w:r>
          </w:p>
          <w:p w:rsidR="003F3890" w:rsidRPr="00360DE3" w:rsidRDefault="003F3890" w:rsidP="00C6152B">
            <w:pPr>
              <w:spacing w:after="220"/>
              <w:rPr>
                <w:rFonts w:cs="Arial"/>
                <w:sz w:val="14"/>
                <w:szCs w:val="14"/>
              </w:rPr>
            </w:pPr>
            <w:r w:rsidRPr="00360DE3">
              <w:rPr>
                <w:rFonts w:cs="Arial"/>
                <w:color w:val="0D0D0D" w:themeColor="text1" w:themeTint="F2"/>
                <w:sz w:val="14"/>
                <w:szCs w:val="14"/>
              </w:rPr>
              <w:t>***Produkce jatečných zvířat je uvedena v tunách živé hmotnosti.                                                                 Zdroj: ČSÚ</w:t>
            </w:r>
          </w:p>
        </w:tc>
      </w:tr>
      <w:tr w:rsidR="003F3890" w:rsidRPr="00360DE3" w:rsidTr="004C5FBF">
        <w:trPr>
          <w:trHeight w:val="170"/>
        </w:trPr>
        <w:tc>
          <w:tcPr>
            <w:tcW w:w="1976" w:type="dxa"/>
          </w:tcPr>
          <w:p w:rsidR="003F3890" w:rsidRPr="00360DE3" w:rsidRDefault="003F3890" w:rsidP="004C5FBF">
            <w:pPr>
              <w:pStyle w:val="Marginlie"/>
              <w:rPr>
                <w:spacing w:val="0"/>
              </w:rPr>
            </w:pPr>
            <w:r w:rsidRPr="00360DE3">
              <w:rPr>
                <w:spacing w:val="0"/>
              </w:rPr>
              <w:t>Produkce mléka i vajec se navyšovala. Přispěla k tomu i rostoucí užitkovost chovů.</w:t>
            </w:r>
          </w:p>
        </w:tc>
        <w:tc>
          <w:tcPr>
            <w:tcW w:w="277" w:type="dxa"/>
          </w:tcPr>
          <w:p w:rsidR="003F3890" w:rsidRPr="00360DE3" w:rsidRDefault="003F3890" w:rsidP="004C5FBF">
            <w:pPr>
              <w:pStyle w:val="Textpoznpodarou"/>
              <w:jc w:val="both"/>
            </w:pPr>
          </w:p>
        </w:tc>
        <w:tc>
          <w:tcPr>
            <w:tcW w:w="7391" w:type="dxa"/>
          </w:tcPr>
          <w:p w:rsidR="003F3890" w:rsidRPr="00360DE3" w:rsidRDefault="003F3890" w:rsidP="00847931">
            <w:pPr>
              <w:spacing w:after="0"/>
            </w:pPr>
            <w:r w:rsidRPr="00360DE3">
              <w:t>Dařilo se naopak ostatním segm</w:t>
            </w:r>
            <w:r w:rsidR="00847931">
              <w:t>entům živočišné výroby. Výroba</w:t>
            </w:r>
            <w:r w:rsidRPr="00360DE3">
              <w:t xml:space="preserve"> mléka rostla již sedmým rokem v řadě, byť loni byl meziroční růst (+0,5 %) za celé období nejslabší. Celému oboru pomohlo i výrazné navý</w:t>
            </w:r>
            <w:r w:rsidR="00274037">
              <w:t>šení výkupní ceny mléka (o</w:t>
            </w:r>
            <w:r w:rsidR="00274037" w:rsidRPr="00360DE3">
              <w:t> </w:t>
            </w:r>
            <w:r w:rsidR="00274037">
              <w:t>25,8</w:t>
            </w:r>
            <w:r w:rsidR="00274037" w:rsidRPr="00360DE3">
              <w:t> </w:t>
            </w:r>
            <w:r w:rsidRPr="00360DE3">
              <w:t>% meziročně). Ta se tak po propadu v roce 2016 vrátila na dlouhodobě obvyklou úroveň</w:t>
            </w:r>
            <w:r w:rsidRPr="00360DE3">
              <w:rPr>
                <w:rStyle w:val="Znakapoznpodarou"/>
              </w:rPr>
              <w:footnoteReference w:id="65"/>
            </w:r>
            <w:r w:rsidRPr="00360DE3">
              <w:t>. Pokračoval dlouhodobý růst užitkovosti chovů</w:t>
            </w:r>
            <w:r w:rsidRPr="00360DE3">
              <w:rPr>
                <w:rStyle w:val="Znakapoznpodarou"/>
              </w:rPr>
              <w:footnoteReference w:id="66"/>
            </w:r>
            <w:r w:rsidR="00274037">
              <w:t>. To platilo také</w:t>
            </w:r>
            <w:r w:rsidRPr="00360DE3">
              <w:t xml:space="preserve"> </w:t>
            </w:r>
            <w:r w:rsidR="00274037">
              <w:t>o</w:t>
            </w:r>
            <w:r w:rsidR="00274037" w:rsidRPr="00360DE3">
              <w:t> </w:t>
            </w:r>
            <w:r w:rsidRPr="00360DE3">
              <w:t xml:space="preserve">produkci vajec. Snáška vajec meziročně vzrostla o </w:t>
            </w:r>
            <w:r w:rsidR="00847931">
              <w:t>11,8 %</w:t>
            </w:r>
            <w:r w:rsidR="00C6152B">
              <w:rPr>
                <w:rStyle w:val="Znakapoznpodarou"/>
              </w:rPr>
              <w:footnoteReference w:id="67"/>
            </w:r>
            <w:r w:rsidR="00847931">
              <w:t>.</w:t>
            </w:r>
          </w:p>
        </w:tc>
      </w:tr>
      <w:tr w:rsidR="003F3890" w:rsidRPr="00360DE3" w:rsidTr="004C5FBF">
        <w:trPr>
          <w:trHeight w:val="170"/>
        </w:trPr>
        <w:tc>
          <w:tcPr>
            <w:tcW w:w="1976" w:type="dxa"/>
          </w:tcPr>
          <w:p w:rsidR="003F3890" w:rsidRPr="00360DE3" w:rsidRDefault="003F3890" w:rsidP="004C5FBF">
            <w:pPr>
              <w:pStyle w:val="Marginlie"/>
              <w:rPr>
                <w:spacing w:val="0"/>
              </w:rPr>
            </w:pPr>
            <w:r w:rsidRPr="00360DE3">
              <w:rPr>
                <w:spacing w:val="0"/>
              </w:rPr>
              <w:lastRenderedPageBreak/>
              <w:t>Nominální hodnota produkce zemědělství meziročně stagnovala. Pozitivně ji ovlivnily rostoucí ceny výrobců v rostlinné a zejména živočišné výrobě.</w:t>
            </w:r>
          </w:p>
          <w:p w:rsidR="003F3890" w:rsidRPr="00360DE3" w:rsidRDefault="003F3890" w:rsidP="004C5FBF">
            <w:pPr>
              <w:pStyle w:val="Marginlie"/>
              <w:rPr>
                <w:spacing w:val="0"/>
              </w:rPr>
            </w:pPr>
          </w:p>
          <w:p w:rsidR="003F3890" w:rsidRPr="00360DE3" w:rsidRDefault="003F3890" w:rsidP="004C5FBF">
            <w:pPr>
              <w:pStyle w:val="Marginlie"/>
              <w:rPr>
                <w:spacing w:val="0"/>
              </w:rPr>
            </w:pPr>
          </w:p>
          <w:p w:rsidR="003F3890" w:rsidRPr="00360DE3" w:rsidRDefault="003F3890" w:rsidP="004C5FBF">
            <w:pPr>
              <w:pStyle w:val="Marginlie"/>
              <w:rPr>
                <w:spacing w:val="0"/>
              </w:rPr>
            </w:pPr>
          </w:p>
          <w:p w:rsidR="003F3890" w:rsidRPr="00360DE3" w:rsidRDefault="003F3890" w:rsidP="004C5FBF">
            <w:pPr>
              <w:pStyle w:val="Marginlie"/>
              <w:rPr>
                <w:spacing w:val="0"/>
              </w:rPr>
            </w:pPr>
          </w:p>
          <w:p w:rsidR="003F3890" w:rsidRPr="00360DE3" w:rsidRDefault="003F3890" w:rsidP="004C5FBF">
            <w:pPr>
              <w:pStyle w:val="Marginlie"/>
              <w:rPr>
                <w:spacing w:val="0"/>
              </w:rPr>
            </w:pPr>
          </w:p>
          <w:p w:rsidR="003F3890" w:rsidRPr="00360DE3" w:rsidRDefault="003F3890" w:rsidP="004C5FBF">
            <w:pPr>
              <w:pStyle w:val="Marginlie"/>
              <w:rPr>
                <w:spacing w:val="0"/>
              </w:rPr>
            </w:pPr>
            <w:r w:rsidRPr="00360DE3">
              <w:rPr>
                <w:spacing w:val="0"/>
              </w:rPr>
              <w:t>Zisk zemědělského odvětví meziročně mírně klesl, přesto zůstává nad úrovní průměru za posledních pět let.</w:t>
            </w:r>
          </w:p>
        </w:tc>
        <w:tc>
          <w:tcPr>
            <w:tcW w:w="277" w:type="dxa"/>
          </w:tcPr>
          <w:p w:rsidR="003F3890" w:rsidRPr="00360DE3" w:rsidRDefault="003F3890" w:rsidP="004C5FBF">
            <w:pPr>
              <w:pStyle w:val="Textpoznpodarou"/>
              <w:jc w:val="both"/>
            </w:pPr>
          </w:p>
        </w:tc>
        <w:tc>
          <w:tcPr>
            <w:tcW w:w="7391" w:type="dxa"/>
          </w:tcPr>
          <w:p w:rsidR="003F3890" w:rsidRPr="00360DE3" w:rsidRDefault="003F3890" w:rsidP="00847931">
            <w:pPr>
              <w:spacing w:after="200"/>
              <w:rPr>
                <w:color w:val="0D0D0D" w:themeColor="text1" w:themeTint="F2"/>
              </w:rPr>
            </w:pPr>
            <w:r w:rsidRPr="00360DE3">
              <w:rPr>
                <w:color w:val="0D0D0D" w:themeColor="text1" w:themeTint="F2"/>
              </w:rPr>
              <w:t xml:space="preserve">Celková produkce zemědělského odvětví dosáhla loni v běžných cenách 133,5 mld. korun a meziročně fakticky stagnovala. Slabší úroda byla částečně kompenzována vyšším růstem výrobních cen (zejména u obilovin, olejnin či ovoce). Cenové vlivy (zejména u vepřového masa, mléka a vajec) ještě výrazněji ovlivnily výsledky celkové živočišné výroby (růst hodnoty produkce o 13 %). Navýšení výrobních nákladů v zemědělství bylo loni jen mírné. Hodnota </w:t>
            </w:r>
            <w:proofErr w:type="spellStart"/>
            <w:r w:rsidRPr="00360DE3">
              <w:rPr>
                <w:color w:val="0D0D0D" w:themeColor="text1" w:themeTint="F2"/>
              </w:rPr>
              <w:t>mezispotřeby</w:t>
            </w:r>
            <w:proofErr w:type="spellEnd"/>
            <w:r w:rsidRPr="00360DE3">
              <w:rPr>
                <w:color w:val="0D0D0D" w:themeColor="text1" w:themeTint="F2"/>
              </w:rPr>
              <w:t xml:space="preserve"> posílila o 2,3 %. Vyššímu růstu bránilo zlevňování u hnojiv, krmiv i elektrické energie (tyto položky tvořily bezmála třetinu všech nákladů v zemědělském odvětví). Odhadovaná výše vyplacených dotací na výrobu nadále rostla (meziročně o 5,5 %, na 32,4 mld. korun, druhou nejvyšší hodnotu v novodobé historii). Projevoval se vliv zvýšeného akcentu na ekologické aspekty hospodaření (program </w:t>
            </w:r>
            <w:proofErr w:type="spellStart"/>
            <w:r w:rsidRPr="00360DE3">
              <w:rPr>
                <w:color w:val="0D0D0D" w:themeColor="text1" w:themeTint="F2"/>
              </w:rPr>
              <w:t>Greening</w:t>
            </w:r>
            <w:proofErr w:type="spellEnd"/>
            <w:r w:rsidRPr="00360DE3">
              <w:rPr>
                <w:color w:val="0D0D0D" w:themeColor="text1" w:themeTint="F2"/>
              </w:rPr>
              <w:t>). Podnikatelský důchod reprezentující zisk</w:t>
            </w:r>
            <w:r w:rsidR="009A7B2E">
              <w:rPr>
                <w:color w:val="0D0D0D" w:themeColor="text1" w:themeTint="F2"/>
              </w:rPr>
              <w:t xml:space="preserve"> zemědělského odvětví v ČR čini</w:t>
            </w:r>
            <w:r w:rsidRPr="00360DE3">
              <w:rPr>
                <w:color w:val="0D0D0D" w:themeColor="text1" w:themeTint="F2"/>
              </w:rPr>
              <w:t>l 20,6 mld. korun. Přestože za roky 2014 i 2016 (ovlivněné velmi dobrými úrodami) mírně zaostal, byl stále vyšší než průměrná hodnota za poslední pětiletí. V zisku setrvává tuzemské zemědělství díky dotační podpoře nepřetržitě počínaje rokem 2004.</w:t>
            </w:r>
          </w:p>
        </w:tc>
      </w:tr>
      <w:tr w:rsidR="003F3890" w:rsidRPr="00360DE3" w:rsidTr="004C5FBF">
        <w:trPr>
          <w:trHeight w:val="170"/>
        </w:trPr>
        <w:tc>
          <w:tcPr>
            <w:tcW w:w="1976" w:type="dxa"/>
          </w:tcPr>
          <w:p w:rsidR="003F3890" w:rsidRPr="00360DE3" w:rsidRDefault="003F3890" w:rsidP="004C5FBF">
            <w:pPr>
              <w:pStyle w:val="Marginlie"/>
              <w:rPr>
                <w:spacing w:val="0"/>
              </w:rPr>
            </w:pPr>
          </w:p>
        </w:tc>
        <w:tc>
          <w:tcPr>
            <w:tcW w:w="277" w:type="dxa"/>
          </w:tcPr>
          <w:p w:rsidR="003F3890" w:rsidRPr="00360DE3" w:rsidRDefault="003F3890" w:rsidP="004C5FBF">
            <w:pPr>
              <w:pStyle w:val="Textpoznpodarou"/>
              <w:jc w:val="both"/>
            </w:pPr>
          </w:p>
        </w:tc>
        <w:tc>
          <w:tcPr>
            <w:tcW w:w="7391" w:type="dxa"/>
          </w:tcPr>
          <w:p w:rsidR="003F3890" w:rsidRPr="00360DE3" w:rsidRDefault="003F3890" w:rsidP="004C5FBF">
            <w:pPr>
              <w:spacing w:after="0"/>
              <w:jc w:val="left"/>
              <w:rPr>
                <w:b/>
              </w:rPr>
            </w:pPr>
            <w:r w:rsidRPr="00360DE3">
              <w:rPr>
                <w:b/>
              </w:rPr>
              <w:t xml:space="preserve">Graf </w:t>
            </w:r>
            <w:proofErr w:type="gramStart"/>
            <w:r w:rsidRPr="00360DE3">
              <w:rPr>
                <w:b/>
              </w:rPr>
              <w:t>10.5  Saldo</w:t>
            </w:r>
            <w:proofErr w:type="gramEnd"/>
            <w:r w:rsidRPr="00360DE3">
              <w:rPr>
                <w:b/>
              </w:rPr>
              <w:t xml:space="preserve"> zahraničního obchodu ČR s </w:t>
            </w:r>
            <w:proofErr w:type="spellStart"/>
            <w:r w:rsidRPr="00360DE3">
              <w:rPr>
                <w:b/>
              </w:rPr>
              <w:t>vybr</w:t>
            </w:r>
            <w:proofErr w:type="spellEnd"/>
            <w:r w:rsidRPr="00360DE3">
              <w:rPr>
                <w:b/>
              </w:rPr>
              <w:t xml:space="preserve">. produkty zemědělství a potravinářského průmyslu </w:t>
            </w:r>
            <w:r w:rsidRPr="00360DE3">
              <w:t xml:space="preserve">(dle kategorií SITC, </w:t>
            </w:r>
            <w:proofErr w:type="spellStart"/>
            <w:r w:rsidRPr="00360DE3">
              <w:t>přeshraniční</w:t>
            </w:r>
            <w:proofErr w:type="spellEnd"/>
            <w:r w:rsidRPr="00360DE3">
              <w:t xml:space="preserve"> pojetí, v mld. korun)</w:t>
            </w:r>
          </w:p>
          <w:p w:rsidR="003F3890" w:rsidRPr="00360DE3" w:rsidRDefault="003F3890" w:rsidP="004C5FBF">
            <w:pPr>
              <w:spacing w:after="0"/>
            </w:pPr>
            <w:r w:rsidRPr="00360DE3">
              <w:rPr>
                <w:noProof/>
              </w:rPr>
              <w:drawing>
                <wp:inline distT="0" distB="0" distL="0" distR="0">
                  <wp:extent cx="4667367" cy="3881992"/>
                  <wp:effectExtent l="0" t="0" r="0" b="0"/>
                  <wp:docPr id="48"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tc>
      </w:tr>
      <w:tr w:rsidR="003F3890" w:rsidRPr="00360DE3" w:rsidTr="004C5FBF">
        <w:trPr>
          <w:trHeight w:val="170"/>
        </w:trPr>
        <w:tc>
          <w:tcPr>
            <w:tcW w:w="1976" w:type="dxa"/>
          </w:tcPr>
          <w:p w:rsidR="003F3890" w:rsidRPr="00360DE3" w:rsidRDefault="003F3890" w:rsidP="004C5FBF">
            <w:pPr>
              <w:pStyle w:val="Marginlie"/>
              <w:rPr>
                <w:spacing w:val="0"/>
              </w:rPr>
            </w:pPr>
          </w:p>
        </w:tc>
        <w:tc>
          <w:tcPr>
            <w:tcW w:w="277" w:type="dxa"/>
          </w:tcPr>
          <w:p w:rsidR="003F3890" w:rsidRPr="00360DE3" w:rsidRDefault="003F3890" w:rsidP="004C5FBF">
            <w:pPr>
              <w:pStyle w:val="Textpoznpodarou"/>
              <w:jc w:val="both"/>
            </w:pPr>
          </w:p>
        </w:tc>
        <w:tc>
          <w:tcPr>
            <w:tcW w:w="7391" w:type="dxa"/>
          </w:tcPr>
          <w:p w:rsidR="003F3890" w:rsidRPr="00360DE3" w:rsidRDefault="003F3890" w:rsidP="004C5FBF">
            <w:pPr>
              <w:spacing w:after="0"/>
              <w:rPr>
                <w:rFonts w:cs="Arial"/>
                <w:sz w:val="14"/>
                <w:szCs w:val="14"/>
              </w:rPr>
            </w:pPr>
            <w:r w:rsidRPr="00360DE3">
              <w:rPr>
                <w:rFonts w:cs="Arial"/>
                <w:sz w:val="14"/>
                <w:szCs w:val="14"/>
              </w:rPr>
              <w:t xml:space="preserve">*Kromě nemletých </w:t>
            </w:r>
            <w:proofErr w:type="gramStart"/>
            <w:r w:rsidRPr="00360DE3">
              <w:rPr>
                <w:rFonts w:cs="Arial"/>
                <w:sz w:val="14"/>
                <w:szCs w:val="14"/>
              </w:rPr>
              <w:t>obilnin,  **Margarin</w:t>
            </w:r>
            <w:proofErr w:type="gramEnd"/>
            <w:r w:rsidRPr="00360DE3">
              <w:rPr>
                <w:rFonts w:cs="Arial"/>
                <w:sz w:val="14"/>
                <w:szCs w:val="14"/>
              </w:rPr>
              <w:t xml:space="preserve">, jedlé směsi, přípravky z tuku, olejů; Homogenizované </w:t>
            </w:r>
            <w:proofErr w:type="spellStart"/>
            <w:r w:rsidRPr="00360DE3">
              <w:rPr>
                <w:rFonts w:cs="Arial"/>
                <w:sz w:val="14"/>
                <w:szCs w:val="14"/>
              </w:rPr>
              <w:t>potr</w:t>
            </w:r>
            <w:proofErr w:type="spellEnd"/>
            <w:r w:rsidRPr="00360DE3">
              <w:rPr>
                <w:rFonts w:cs="Arial"/>
                <w:sz w:val="14"/>
                <w:szCs w:val="14"/>
              </w:rPr>
              <w:t>. přípravky; Omáčky, směsi koření, hořčice, ocet; Polévky a masové vývary; Droždí, kvasinky, prášky do pečiva; ostatní hotové pokrmy</w:t>
            </w:r>
          </w:p>
          <w:p w:rsidR="003F3890" w:rsidRPr="00360DE3" w:rsidRDefault="003F3890" w:rsidP="00847931">
            <w:pPr>
              <w:spacing w:after="200"/>
              <w:rPr>
                <w:sz w:val="16"/>
                <w:szCs w:val="16"/>
              </w:rPr>
            </w:pPr>
            <w:r w:rsidRPr="00360DE3">
              <w:rPr>
                <w:rFonts w:cs="Arial"/>
                <w:sz w:val="14"/>
                <w:szCs w:val="14"/>
              </w:rPr>
              <w:t>Zdroj: ČSÚ</w:t>
            </w:r>
          </w:p>
        </w:tc>
      </w:tr>
      <w:tr w:rsidR="003F3890" w:rsidRPr="00360DE3" w:rsidTr="004C5FBF">
        <w:trPr>
          <w:trHeight w:val="170"/>
        </w:trPr>
        <w:tc>
          <w:tcPr>
            <w:tcW w:w="1976" w:type="dxa"/>
          </w:tcPr>
          <w:p w:rsidR="003F3890" w:rsidRPr="00360DE3" w:rsidRDefault="003F3890" w:rsidP="004C5FBF">
            <w:pPr>
              <w:pStyle w:val="Marginlie"/>
              <w:rPr>
                <w:spacing w:val="0"/>
              </w:rPr>
            </w:pPr>
            <w:r w:rsidRPr="00360DE3">
              <w:rPr>
                <w:spacing w:val="0"/>
              </w:rPr>
              <w:t>Negativní saldo agrárního zahraničního obchodu ČR se nadále prohlubovalo – jak u prvovýrobců, tak zejména u zpracovatelů.</w:t>
            </w:r>
          </w:p>
          <w:p w:rsidR="003F3890" w:rsidRPr="00360DE3" w:rsidRDefault="003F3890" w:rsidP="004C5FBF">
            <w:pPr>
              <w:pStyle w:val="Marginlie"/>
              <w:rPr>
                <w:spacing w:val="0"/>
              </w:rPr>
            </w:pPr>
          </w:p>
          <w:p w:rsidR="003F3890" w:rsidRPr="00360DE3" w:rsidRDefault="003F3890" w:rsidP="004C5FBF">
            <w:pPr>
              <w:pStyle w:val="Marginlie"/>
              <w:rPr>
                <w:spacing w:val="0"/>
              </w:rPr>
            </w:pPr>
          </w:p>
          <w:p w:rsidR="003F3890" w:rsidRPr="00360DE3" w:rsidRDefault="003F3890" w:rsidP="004C5FBF">
            <w:pPr>
              <w:pStyle w:val="Marginlie"/>
              <w:rPr>
                <w:spacing w:val="0"/>
              </w:rPr>
            </w:pPr>
          </w:p>
          <w:p w:rsidR="003F3890" w:rsidRPr="00360DE3" w:rsidRDefault="003F3890" w:rsidP="004C5FBF">
            <w:pPr>
              <w:pStyle w:val="Marginlie"/>
              <w:rPr>
                <w:spacing w:val="0"/>
              </w:rPr>
            </w:pPr>
            <w:r w:rsidRPr="00360DE3">
              <w:rPr>
                <w:spacing w:val="0"/>
              </w:rPr>
              <w:t>Rekordní těžba dřeva se orazila v silných exportech, směřujících v drtivě většině do Německa a Rakouska.</w:t>
            </w:r>
          </w:p>
        </w:tc>
        <w:tc>
          <w:tcPr>
            <w:tcW w:w="277" w:type="dxa"/>
          </w:tcPr>
          <w:p w:rsidR="003F3890" w:rsidRPr="00360DE3" w:rsidRDefault="003F3890" w:rsidP="004C5FBF">
            <w:pPr>
              <w:pStyle w:val="Textpoznpodarou"/>
              <w:jc w:val="both"/>
            </w:pPr>
          </w:p>
        </w:tc>
        <w:tc>
          <w:tcPr>
            <w:tcW w:w="7391" w:type="dxa"/>
          </w:tcPr>
          <w:p w:rsidR="003F3890" w:rsidRPr="00360DE3" w:rsidRDefault="003F3890" w:rsidP="004C5FBF">
            <w:r w:rsidRPr="00360DE3">
              <w:t>Po příznivějším vývoji v letech 2011 až 2015 se negativní saldo zahraničního obchodu ČR</w:t>
            </w:r>
            <w:r w:rsidRPr="00360DE3">
              <w:rPr>
                <w:rStyle w:val="Znakapoznpodarou"/>
              </w:rPr>
              <w:footnoteReference w:id="68"/>
            </w:r>
            <w:r w:rsidRPr="00360DE3">
              <w:t xml:space="preserve"> s produkty zemědělství, lesnictví a rybolovu (zachycující postavení prvovýrobců) začalo opět prohlubovat (v roce 2016 činilo 4,5 mld. korun, o rok později téměř 7 mld.). Ještě v horším postavení byli tuzemští zpracovatelé, neboť deficit obchodu s potravinářskými výrobky se meziročně prohloubil na rekordních 41,4 mld. korun, meziročně 5,3 mld. více. </w:t>
            </w:r>
            <w:r w:rsidRPr="00360DE3">
              <w:rPr>
                <w:color w:val="000000"/>
              </w:rPr>
              <w:t xml:space="preserve">Z podrobnějšího členění dle klasifikace </w:t>
            </w:r>
            <w:r w:rsidRPr="00360DE3">
              <w:rPr>
                <w:color w:val="000000"/>
              </w:rPr>
              <w:lastRenderedPageBreak/>
              <w:t>SITC plyne, že celkový deficit v kategorii potraviny a živá zvířata v roce 2017 (37,9</w:t>
            </w:r>
            <w:r w:rsidR="00274037" w:rsidRPr="00360DE3">
              <w:t> </w:t>
            </w:r>
            <w:r w:rsidRPr="00360DE3">
              <w:rPr>
                <w:color w:val="000000"/>
              </w:rPr>
              <w:t>mld. korun)</w:t>
            </w:r>
            <w:r w:rsidRPr="00360DE3">
              <w:rPr>
                <w:rStyle w:val="Znakapoznpodarou"/>
                <w:color w:val="000000"/>
              </w:rPr>
              <w:footnoteReference w:id="69"/>
            </w:r>
            <w:r w:rsidRPr="00360DE3">
              <w:rPr>
                <w:color w:val="000000"/>
              </w:rPr>
              <w:t xml:space="preserve"> byl způsoben zejména prohlubujícími se schodky v obchodu se zeleninou a ovocem a dále v kategorii maso a masné výroky. Disproporce mezi deficity u masa a masných výrobků a přebytky u obchodu s živými zvířaty se nadále zvětšovaly. Navzdory slabší loňské úrodě přetrval výraznější přebytek u</w:t>
            </w:r>
            <w:r w:rsidR="00274037" w:rsidRPr="00360DE3">
              <w:t> </w:t>
            </w:r>
            <w:r w:rsidRPr="00360DE3">
              <w:rPr>
                <w:color w:val="000000"/>
              </w:rPr>
              <w:t>obilovin a obilných výrobků (15,4 mld. korun), realizovaný primárně se sousedními státy. Rekordní přebytek obchodu v kategorii dřevo a korek (15,4 mld.) měl přímou souvislost s vývojem tuzemské těžby dřeva, resp. četností kalamitních situací (povětrnostní vlivy, škůdci).</w:t>
            </w:r>
            <w:r w:rsidRPr="00360DE3">
              <w:rPr>
                <w:rStyle w:val="Znakapoznpodarou"/>
                <w:color w:val="000000"/>
              </w:rPr>
              <w:footnoteReference w:id="70"/>
            </w:r>
            <w:r w:rsidRPr="00360DE3">
              <w:rPr>
                <w:color w:val="000000"/>
              </w:rPr>
              <w:t xml:space="preserve"> Prakticky veškerý vývoz surového dřeva z ČR dlouhodobě směřuje do Rakouska a Německa. Česko patří v rámci EU dlouhodobě k nejvýznamnějším vývozcům dřeva</w:t>
            </w:r>
            <w:r w:rsidRPr="00360DE3">
              <w:rPr>
                <w:rStyle w:val="Znakapoznpodarou"/>
                <w:color w:val="000000"/>
              </w:rPr>
              <w:footnoteReference w:id="71"/>
            </w:r>
            <w:r w:rsidRPr="00360DE3">
              <w:rPr>
                <w:color w:val="000000"/>
              </w:rPr>
              <w:t>.</w:t>
            </w:r>
          </w:p>
        </w:tc>
      </w:tr>
    </w:tbl>
    <w:p w:rsidR="00C466D2" w:rsidRPr="00360DE3" w:rsidRDefault="00E212C9" w:rsidP="00141782">
      <w:pPr>
        <w:pStyle w:val="Nadpis1"/>
        <w:rPr>
          <w:lang w:eastAsia="en-US"/>
        </w:rPr>
      </w:pPr>
      <w:bookmarkStart w:id="28" w:name="_Toc527639483"/>
      <w:r w:rsidRPr="00360DE3">
        <w:rPr>
          <w:lang w:eastAsia="en-US"/>
        </w:rPr>
        <w:lastRenderedPageBreak/>
        <w:t>11</w:t>
      </w:r>
      <w:r w:rsidR="00141782" w:rsidRPr="00360DE3">
        <w:rPr>
          <w:lang w:eastAsia="en-US"/>
        </w:rPr>
        <w:t>. Zpracovatelský průmysl, těžba a dobývání, energetika</w:t>
      </w:r>
      <w:bookmarkEnd w:id="28"/>
      <w:r w:rsidR="00141782" w:rsidRPr="00360DE3">
        <w:rPr>
          <w:lang w:eastAsia="en-US"/>
        </w:rPr>
        <w:t xml:space="preserve"> </w:t>
      </w:r>
    </w:p>
    <w:tbl>
      <w:tblPr>
        <w:tblW w:w="9644" w:type="dxa"/>
        <w:tblInd w:w="-15" w:type="dxa"/>
        <w:tblLayout w:type="fixed"/>
        <w:tblCellMar>
          <w:left w:w="0" w:type="dxa"/>
          <w:right w:w="0" w:type="dxa"/>
        </w:tblCellMar>
        <w:tblLook w:val="00A0"/>
      </w:tblPr>
      <w:tblGrid>
        <w:gridCol w:w="1976"/>
        <w:gridCol w:w="277"/>
        <w:gridCol w:w="7391"/>
      </w:tblGrid>
      <w:tr w:rsidR="003F3890" w:rsidRPr="00360DE3" w:rsidTr="001A0D6B">
        <w:trPr>
          <w:trHeight w:val="145"/>
        </w:trPr>
        <w:tc>
          <w:tcPr>
            <w:tcW w:w="1976" w:type="dxa"/>
          </w:tcPr>
          <w:p w:rsidR="003F3890" w:rsidRPr="00360DE3" w:rsidRDefault="003F3890" w:rsidP="00DC37E3">
            <w:pPr>
              <w:pStyle w:val="Marginlie"/>
              <w:rPr>
                <w:spacing w:val="0"/>
              </w:rPr>
            </w:pPr>
            <w:r w:rsidRPr="00360DE3">
              <w:rPr>
                <w:spacing w:val="0"/>
              </w:rPr>
              <w:t xml:space="preserve">Průmyslu se vloni dařilo. Hrubá přidaná hodnota vzrostla o 9 %, nejvíce po roce 2006. Ve výkonech se odrážela rostoucí domácí i zahraniční poptávka. </w:t>
            </w:r>
          </w:p>
          <w:p w:rsidR="003F3890" w:rsidRPr="00360DE3" w:rsidRDefault="003F3890" w:rsidP="00DC37E3">
            <w:pPr>
              <w:pStyle w:val="Marginlie"/>
              <w:rPr>
                <w:spacing w:val="0"/>
              </w:rPr>
            </w:pPr>
          </w:p>
          <w:p w:rsidR="003F3890" w:rsidRPr="00360DE3" w:rsidRDefault="003F3890" w:rsidP="00DC37E3">
            <w:pPr>
              <w:pStyle w:val="Marginlie"/>
              <w:rPr>
                <w:spacing w:val="0"/>
              </w:rPr>
            </w:pPr>
          </w:p>
          <w:p w:rsidR="003F3890" w:rsidRPr="00360DE3" w:rsidRDefault="003F3890" w:rsidP="00DC37E3">
            <w:pPr>
              <w:pStyle w:val="Marginlie"/>
              <w:rPr>
                <w:spacing w:val="0"/>
              </w:rPr>
            </w:pPr>
          </w:p>
          <w:p w:rsidR="003F3890" w:rsidRPr="00360DE3" w:rsidRDefault="003F3890" w:rsidP="00DC37E3">
            <w:pPr>
              <w:pStyle w:val="Marginlie"/>
              <w:rPr>
                <w:spacing w:val="0"/>
              </w:rPr>
            </w:pPr>
          </w:p>
          <w:p w:rsidR="003F3890" w:rsidRPr="00360DE3" w:rsidRDefault="003F3890" w:rsidP="00DC37E3">
            <w:pPr>
              <w:pStyle w:val="Marginlie"/>
              <w:rPr>
                <w:spacing w:val="0"/>
              </w:rPr>
            </w:pPr>
          </w:p>
          <w:p w:rsidR="003F3890" w:rsidRPr="00360DE3" w:rsidRDefault="003F3890" w:rsidP="00DC37E3">
            <w:pPr>
              <w:pStyle w:val="Marginlie"/>
              <w:rPr>
                <w:spacing w:val="0"/>
              </w:rPr>
            </w:pPr>
          </w:p>
          <w:p w:rsidR="003F3890" w:rsidRPr="00360DE3" w:rsidRDefault="003F3890" w:rsidP="00DC37E3">
            <w:pPr>
              <w:pStyle w:val="Marginlie"/>
              <w:rPr>
                <w:spacing w:val="0"/>
              </w:rPr>
            </w:pPr>
          </w:p>
          <w:p w:rsidR="003F3890" w:rsidRPr="00360DE3" w:rsidRDefault="003F3890" w:rsidP="00DC37E3">
            <w:pPr>
              <w:pStyle w:val="Marginlie"/>
              <w:rPr>
                <w:spacing w:val="0"/>
              </w:rPr>
            </w:pPr>
          </w:p>
        </w:tc>
        <w:tc>
          <w:tcPr>
            <w:tcW w:w="277" w:type="dxa"/>
          </w:tcPr>
          <w:p w:rsidR="003F3890" w:rsidRPr="00360DE3" w:rsidRDefault="003F3890" w:rsidP="00DC37E3">
            <w:pPr>
              <w:pStyle w:val="Textpoznpodarou"/>
              <w:jc w:val="both"/>
            </w:pPr>
          </w:p>
        </w:tc>
        <w:tc>
          <w:tcPr>
            <w:tcW w:w="7391" w:type="dxa"/>
          </w:tcPr>
          <w:p w:rsidR="003F3890" w:rsidRPr="00360DE3" w:rsidRDefault="003F3890" w:rsidP="001A0D6B">
            <w:r w:rsidRPr="00360DE3">
              <w:t>Průmyslu</w:t>
            </w:r>
            <w:r w:rsidRPr="00360DE3">
              <w:rPr>
                <w:rStyle w:val="Znakapoznpodarou"/>
              </w:rPr>
              <w:footnoteReference w:id="72"/>
            </w:r>
            <w:r w:rsidRPr="00360DE3">
              <w:t xml:space="preserve"> jako klíčovému odvětví tuzemské ekonomiky se vloni mimořádně dařilo. Profitoval jak ze zrychleného ekonomického růstu v </w:t>
            </w:r>
            <w:proofErr w:type="spellStart"/>
            <w:r w:rsidRPr="00360DE3">
              <w:t>Eurozóně</w:t>
            </w:r>
            <w:proofErr w:type="spellEnd"/>
            <w:r w:rsidRPr="00360DE3">
              <w:t xml:space="preserve">, tak i pokračujícího příznivého vývoje v drtivé většině tradičních mimoevropských exportních </w:t>
            </w:r>
            <w:proofErr w:type="gramStart"/>
            <w:r w:rsidRPr="00360DE3">
              <w:t>teritoriích</w:t>
            </w:r>
            <w:proofErr w:type="gramEnd"/>
            <w:r w:rsidRPr="00360DE3">
              <w:t xml:space="preserve">. Meziroční tempo růstu produkce se ve srovnání s rokem 2016 téměř zdvojnásobilo (na 6,6 %). Dynamika </w:t>
            </w:r>
            <w:proofErr w:type="spellStart"/>
            <w:r w:rsidRPr="00360DE3">
              <w:t>mezispotřeby</w:t>
            </w:r>
            <w:proofErr w:type="spellEnd"/>
            <w:r w:rsidRPr="00360DE3">
              <w:t>, jež má v průmyslu vlivem energeticky i materiálově náročného charakteru výroby významnější roli než v jiných odvětvích</w:t>
            </w:r>
            <w:r w:rsidRPr="00360DE3">
              <w:rPr>
                <w:rStyle w:val="Znakapoznpodarou"/>
              </w:rPr>
              <w:footnoteReference w:id="73"/>
            </w:r>
            <w:r w:rsidRPr="00360DE3">
              <w:t>, nebyla ale ve srovnání s produkcí tak výrazná (</w:t>
            </w:r>
            <w:proofErr w:type="gramStart"/>
            <w:r w:rsidRPr="00360DE3">
              <w:t>posílila z 4,0</w:t>
            </w:r>
            <w:proofErr w:type="gramEnd"/>
            <w:r w:rsidRPr="00360DE3">
              <w:t xml:space="preserve"> % v roce 2016 na loňských 5,7 %). To vyústilo v citelnou akceleraci hrubé přidané hodnoty (HPH). Ta loni vzrostla o rovných 9 %, nejvíce po roce 2006. Přispěl k tomu především vývoj v první polovině loňského roku, kdy </w:t>
            </w:r>
            <w:proofErr w:type="spellStart"/>
            <w:r w:rsidRPr="00360DE3">
              <w:t>mezičtvrtletní</w:t>
            </w:r>
            <w:proofErr w:type="spellEnd"/>
            <w:r w:rsidRPr="00360DE3">
              <w:t xml:space="preserve"> tempa HPH přesahovala 3,5 %. Výkon průmyslu rostl již čtvrtým rokem v řadě, v úhrnu za toto období stoupl o 21,5 %, což byl čtvrtý nejlepší výsledek mezi členy EU (po Irsku, Slovensku a Rumunsku). </w:t>
            </w:r>
          </w:p>
        </w:tc>
      </w:tr>
      <w:tr w:rsidR="001A0D6B" w:rsidRPr="00360DE3" w:rsidTr="001A0D6B">
        <w:trPr>
          <w:trHeight w:val="145"/>
        </w:trPr>
        <w:tc>
          <w:tcPr>
            <w:tcW w:w="1976" w:type="dxa"/>
          </w:tcPr>
          <w:p w:rsidR="001A0D6B" w:rsidRPr="00360DE3" w:rsidRDefault="001A0D6B" w:rsidP="00DC37E3">
            <w:pPr>
              <w:pStyle w:val="Marginlie"/>
              <w:rPr>
                <w:spacing w:val="0"/>
              </w:rPr>
            </w:pPr>
            <w:r w:rsidRPr="00360DE3">
              <w:rPr>
                <w:spacing w:val="0"/>
              </w:rPr>
              <w:t>Kladné saldo důvěry podnikatelů v průmyslu během roku mírně posilovalo a na jeho konci dosáhlo 6,5letého maxima.</w:t>
            </w:r>
          </w:p>
        </w:tc>
        <w:tc>
          <w:tcPr>
            <w:tcW w:w="277" w:type="dxa"/>
          </w:tcPr>
          <w:p w:rsidR="001A0D6B" w:rsidRPr="00360DE3" w:rsidRDefault="001A0D6B" w:rsidP="00DC37E3">
            <w:pPr>
              <w:pStyle w:val="Textpoznpodarou"/>
              <w:jc w:val="both"/>
            </w:pPr>
          </w:p>
        </w:tc>
        <w:tc>
          <w:tcPr>
            <w:tcW w:w="7391" w:type="dxa"/>
          </w:tcPr>
          <w:p w:rsidR="001A0D6B" w:rsidRPr="00360DE3" w:rsidRDefault="001A0D6B" w:rsidP="00DC37E3">
            <w:r w:rsidRPr="00360DE3">
              <w:t>Tuzemský průmysl se loni opíral nejen o své tradiční obchodní partnery v zahraničí, ale i o výrazně oživenou domácí poptávku. Dokládají to i údaje z podnikových statistik. Nominální tržby průmyslových podniků z přímého vývozu loni posílily o 5,3 %, domácí tržby pak téměř o desetinu. Obdobná tendence byla patrná i u nových zakázek</w:t>
            </w:r>
            <w:r w:rsidRPr="00360DE3">
              <w:rPr>
                <w:rStyle w:val="Znakapoznpodarou"/>
              </w:rPr>
              <w:footnoteReference w:id="74"/>
            </w:r>
            <w:r w:rsidRPr="00360DE3">
              <w:t>. Výše uvedené vlivy se odrazily také v náladách manažerů průmyslových podniků – kladné saldo důvěry v odvětví během roku mírně posilovalo a na jeho konci dosáhlo 6,5letého maxima. V prosinci 2017 očekávala růst výrobní činnosti v nejbližším období téměř čtvrtina podniků (o rok dříve pětina), pokles jen 6,5 % (v prosinci 2016 pak desetina). K pozitivnímu meziročnímu vývoji přispěly hlavně obory více orientované na tuzemský trh.</w:t>
            </w:r>
          </w:p>
        </w:tc>
      </w:tr>
      <w:tr w:rsidR="003F3890" w:rsidRPr="00360DE3" w:rsidTr="001A0D6B">
        <w:trPr>
          <w:trHeight w:val="145"/>
        </w:trPr>
        <w:tc>
          <w:tcPr>
            <w:tcW w:w="1976" w:type="dxa"/>
          </w:tcPr>
          <w:p w:rsidR="003F3890" w:rsidRPr="00360DE3" w:rsidRDefault="003F3890" w:rsidP="00DC37E3">
            <w:pPr>
              <w:pStyle w:val="Marginlie"/>
              <w:rPr>
                <w:spacing w:val="0"/>
              </w:rPr>
            </w:pPr>
            <w:r w:rsidRPr="00360DE3">
              <w:rPr>
                <w:spacing w:val="0"/>
              </w:rPr>
              <w:lastRenderedPageBreak/>
              <w:t>Míra zisku nefinančních podniků v průmyslu již třetím rokem v řadě klesala. Stále však převyšovala úroveň celé ekonomiky.</w:t>
            </w:r>
          </w:p>
          <w:p w:rsidR="003F3890" w:rsidRPr="00360DE3" w:rsidRDefault="003F3890" w:rsidP="00DC37E3">
            <w:pPr>
              <w:pStyle w:val="Marginlie"/>
              <w:rPr>
                <w:spacing w:val="0"/>
              </w:rPr>
            </w:pPr>
          </w:p>
          <w:p w:rsidR="003F3890" w:rsidRPr="00360DE3" w:rsidRDefault="003F3890" w:rsidP="00DC37E3">
            <w:pPr>
              <w:pStyle w:val="Marginlie"/>
              <w:rPr>
                <w:spacing w:val="0"/>
              </w:rPr>
            </w:pPr>
          </w:p>
          <w:p w:rsidR="003F3890" w:rsidRPr="00360DE3" w:rsidRDefault="003F3890" w:rsidP="00DC37E3">
            <w:pPr>
              <w:pStyle w:val="Marginlie"/>
              <w:rPr>
                <w:spacing w:val="0"/>
              </w:rPr>
            </w:pPr>
          </w:p>
          <w:p w:rsidR="003F3890" w:rsidRPr="00360DE3" w:rsidRDefault="003F3890" w:rsidP="00DC37E3">
            <w:pPr>
              <w:pStyle w:val="Marginlie"/>
              <w:rPr>
                <w:spacing w:val="0"/>
              </w:rPr>
            </w:pPr>
          </w:p>
          <w:p w:rsidR="003F3890" w:rsidRPr="00360DE3" w:rsidRDefault="003F3890" w:rsidP="00DC37E3">
            <w:pPr>
              <w:pStyle w:val="Marginlie"/>
              <w:rPr>
                <w:spacing w:val="0"/>
              </w:rPr>
            </w:pPr>
          </w:p>
          <w:p w:rsidR="003F3890" w:rsidRPr="00360DE3" w:rsidRDefault="003F3890" w:rsidP="00DC37E3">
            <w:pPr>
              <w:pStyle w:val="Marginlie"/>
              <w:rPr>
                <w:spacing w:val="0"/>
              </w:rPr>
            </w:pPr>
          </w:p>
          <w:p w:rsidR="003F3890" w:rsidRPr="00360DE3" w:rsidRDefault="003F3890" w:rsidP="00DC37E3">
            <w:pPr>
              <w:pStyle w:val="Marginlie"/>
              <w:rPr>
                <w:spacing w:val="0"/>
              </w:rPr>
            </w:pPr>
          </w:p>
          <w:p w:rsidR="003F3890" w:rsidRPr="00360DE3" w:rsidRDefault="003F3890" w:rsidP="00DC37E3">
            <w:pPr>
              <w:pStyle w:val="Marginlie"/>
              <w:rPr>
                <w:spacing w:val="0"/>
              </w:rPr>
            </w:pPr>
            <w:r w:rsidRPr="00360DE3">
              <w:rPr>
                <w:spacing w:val="0"/>
              </w:rPr>
              <w:t>Nová pracovní místa obsazovaly průmyslové podniky vhodnými uchazeči s výraznými obtížemi. Produktivita práce v průmyslu vloni výrazně posílila.</w:t>
            </w:r>
          </w:p>
        </w:tc>
        <w:tc>
          <w:tcPr>
            <w:tcW w:w="277" w:type="dxa"/>
          </w:tcPr>
          <w:p w:rsidR="003F3890" w:rsidRPr="00360DE3" w:rsidRDefault="003F3890" w:rsidP="00DC37E3">
            <w:pPr>
              <w:pStyle w:val="Textpoznpodarou"/>
              <w:jc w:val="both"/>
            </w:pPr>
          </w:p>
        </w:tc>
        <w:tc>
          <w:tcPr>
            <w:tcW w:w="7391" w:type="dxa"/>
          </w:tcPr>
          <w:p w:rsidR="003F3890" w:rsidRPr="00360DE3" w:rsidRDefault="003F3890" w:rsidP="00DC37E3">
            <w:pPr>
              <w:spacing w:after="200"/>
            </w:pPr>
            <w:r w:rsidRPr="00360DE3">
              <w:t>Míra zisku nefinančních podniků</w:t>
            </w:r>
            <w:r w:rsidRPr="00360DE3">
              <w:rPr>
                <w:rStyle w:val="Znakapoznpodarou"/>
              </w:rPr>
              <w:footnoteReference w:id="75"/>
            </w:r>
            <w:r w:rsidRPr="00360DE3">
              <w:t xml:space="preserve"> v průmyslu se </w:t>
            </w:r>
            <w:proofErr w:type="gramStart"/>
            <w:r w:rsidRPr="00360DE3">
              <w:t>snižovala</w:t>
            </w:r>
            <w:proofErr w:type="gramEnd"/>
            <w:r w:rsidRPr="00360DE3">
              <w:t xml:space="preserve"> již třetím rokem v řadě a roce 2017 se </w:t>
            </w:r>
            <w:proofErr w:type="gramStart"/>
            <w:r w:rsidRPr="00360DE3">
              <w:t>rovnala</w:t>
            </w:r>
            <w:proofErr w:type="gramEnd"/>
            <w:r w:rsidRPr="00360DE3">
              <w:t xml:space="preserve"> 51,4 % (nejméně po roce 2002). I tak ale loni převyšovala úroveň národního hospodářství (o 2,1 p. </w:t>
            </w:r>
            <w:proofErr w:type="spellStart"/>
            <w:r w:rsidRPr="00360DE3">
              <w:t>b</w:t>
            </w:r>
            <w:proofErr w:type="spellEnd"/>
            <w:r w:rsidRPr="00360DE3">
              <w:t>.). Redukce míry ziskovosti byla ovlivněna nejen sílícími mzdovými náklady firem, ale i velmi vysokou srovnávací základnu. V prvních letech silného oživení ekonomiky (2014 a 2015) pomohlo proexportním podnikům řízené oslabení české koruny. Firmy také ve zvýšené míře využívaly levnější agenturní pracovníky a stavy kmenových pracovníků (i po zkušenostech s vleklou recesí) navyšovaly opatrněji. V následujících letech se však rezervoár potenciální pracovní síly z tuzemska z větší části vyčerpal, což společně s administrativně náročným náborem zaměstnanců z třetích zemí vedlo k sílícím tlakům na růst průměrných výdělků. Ty loni vzrostly (v pojetí národních účtů)</w:t>
            </w:r>
            <w:r w:rsidRPr="00360DE3">
              <w:rPr>
                <w:rStyle w:val="Znakapoznpodarou"/>
              </w:rPr>
              <w:footnoteReference w:id="76"/>
            </w:r>
            <w:r w:rsidRPr="00360DE3">
              <w:t xml:space="preserve"> nominálně o 7,3 % (v celé ekonomice o 6,8 %). Nepatrně nad úrovní národního hospodářství se nacházela rovněž hladina průměrného hrubého měsíčního výdělku (29,9 tis.). V průmyslu loni pracovalo 1,391 mil. zaměstnanců (po přepočtu na celé úvazky). Meziroční přírůstek zaměstnanců se loni ve srovnání předešlými dvěma lety citelně zmenšil (+16 tis.), přesto se zaměstnanost již téměř vyrovnala úrovni z vrcholu konjunktury minulé dekády. Zvolnění růstu zaměstnanosti souvisí se stále obtížnějším obsazováním volných míst vhodnými uchazeči. </w:t>
            </w:r>
          </w:p>
        </w:tc>
      </w:tr>
      <w:tr w:rsidR="003F3890" w:rsidRPr="00360DE3" w:rsidTr="001A0D6B">
        <w:tc>
          <w:tcPr>
            <w:tcW w:w="1976" w:type="dxa"/>
            <w:vMerge w:val="restart"/>
          </w:tcPr>
          <w:p w:rsidR="003F3890" w:rsidRPr="00360DE3" w:rsidRDefault="003F3890" w:rsidP="00DC37E3">
            <w:pPr>
              <w:pStyle w:val="Marginlie"/>
              <w:rPr>
                <w:spacing w:val="0"/>
              </w:rPr>
            </w:pPr>
          </w:p>
        </w:tc>
        <w:tc>
          <w:tcPr>
            <w:tcW w:w="277" w:type="dxa"/>
            <w:vMerge w:val="restart"/>
          </w:tcPr>
          <w:p w:rsidR="003F3890" w:rsidRPr="00360DE3" w:rsidRDefault="003F3890" w:rsidP="00DC37E3">
            <w:pPr>
              <w:pStyle w:val="Textpoznpodarou"/>
              <w:jc w:val="both"/>
            </w:pPr>
          </w:p>
        </w:tc>
        <w:tc>
          <w:tcPr>
            <w:tcW w:w="7391" w:type="dxa"/>
          </w:tcPr>
          <w:p w:rsidR="003F3890" w:rsidRPr="00360DE3" w:rsidRDefault="003F3890" w:rsidP="00DC37E3">
            <w:pPr>
              <w:spacing w:after="0"/>
              <w:rPr>
                <w:b/>
              </w:rPr>
            </w:pPr>
            <w:r w:rsidRPr="00360DE3">
              <w:rPr>
                <w:b/>
              </w:rPr>
              <w:t xml:space="preserve">Graf </w:t>
            </w:r>
            <w:proofErr w:type="gramStart"/>
            <w:r w:rsidRPr="00360DE3">
              <w:rPr>
                <w:b/>
              </w:rPr>
              <w:t xml:space="preserve">11.1  </w:t>
            </w:r>
            <w:r w:rsidRPr="00360DE3">
              <w:rPr>
                <w:b/>
                <w:bCs/>
              </w:rPr>
              <w:t>Základní</w:t>
            </w:r>
            <w:proofErr w:type="gramEnd"/>
            <w:r w:rsidRPr="00360DE3">
              <w:rPr>
                <w:b/>
                <w:bCs/>
              </w:rPr>
              <w:t xml:space="preserve"> ukazatele odvětví průmyslu</w:t>
            </w:r>
            <w:r w:rsidRPr="00360DE3">
              <w:rPr>
                <w:bCs/>
              </w:rPr>
              <w:t xml:space="preserve"> (NACE B až E)</w:t>
            </w:r>
          </w:p>
          <w:p w:rsidR="003F3890" w:rsidRPr="00360DE3" w:rsidRDefault="003F3890" w:rsidP="00DC37E3">
            <w:pPr>
              <w:spacing w:after="0"/>
              <w:rPr>
                <w:b/>
              </w:rPr>
            </w:pPr>
            <w:r w:rsidRPr="00360DE3">
              <w:rPr>
                <w:b/>
                <w:noProof/>
              </w:rPr>
              <w:drawing>
                <wp:inline distT="0" distB="0" distL="0" distR="0">
                  <wp:extent cx="4641576" cy="3553200"/>
                  <wp:effectExtent l="19050" t="0" r="6624" b="0"/>
                  <wp:docPr id="54"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c>
      </w:tr>
      <w:tr w:rsidR="003F3890" w:rsidRPr="00360DE3" w:rsidTr="001A0D6B">
        <w:trPr>
          <w:trHeight w:val="284"/>
        </w:trPr>
        <w:tc>
          <w:tcPr>
            <w:tcW w:w="1976" w:type="dxa"/>
            <w:vMerge/>
          </w:tcPr>
          <w:p w:rsidR="003F3890" w:rsidRPr="00360DE3" w:rsidRDefault="003F3890" w:rsidP="00DC37E3">
            <w:pPr>
              <w:pStyle w:val="Marginlie"/>
              <w:rPr>
                <w:spacing w:val="0"/>
              </w:rPr>
            </w:pPr>
          </w:p>
        </w:tc>
        <w:tc>
          <w:tcPr>
            <w:tcW w:w="277" w:type="dxa"/>
            <w:vMerge/>
          </w:tcPr>
          <w:p w:rsidR="003F3890" w:rsidRPr="00360DE3" w:rsidRDefault="003F3890" w:rsidP="00DC37E3">
            <w:pPr>
              <w:pStyle w:val="Textpoznpodarou"/>
              <w:jc w:val="both"/>
            </w:pPr>
          </w:p>
        </w:tc>
        <w:tc>
          <w:tcPr>
            <w:tcW w:w="7391" w:type="dxa"/>
          </w:tcPr>
          <w:p w:rsidR="003F3890" w:rsidRPr="00360DE3" w:rsidRDefault="003F3890" w:rsidP="003F3890">
            <w:pPr>
              <w:pStyle w:val="Zhlav"/>
              <w:spacing w:before="40" w:after="240" w:line="240" w:lineRule="auto"/>
              <w:rPr>
                <w:rFonts w:cs="Arial"/>
                <w:sz w:val="14"/>
                <w:szCs w:val="14"/>
                <w:lang w:eastAsia="cs-CZ"/>
              </w:rPr>
            </w:pPr>
            <w:r w:rsidRPr="00360DE3">
              <w:rPr>
                <w:rFonts w:cs="Arial"/>
                <w:sz w:val="14"/>
                <w:szCs w:val="14"/>
                <w:lang w:eastAsia="cs-CZ"/>
              </w:rPr>
              <w:t xml:space="preserve">*Do reálného vyjádření převedeno deflátorem výdajů na konečnou spotřebu domácností.      Zdroj: ČSÚ (národní účty) </w:t>
            </w:r>
          </w:p>
        </w:tc>
      </w:tr>
      <w:tr w:rsidR="000C1D78" w:rsidRPr="00360DE3" w:rsidTr="001A0D6B">
        <w:trPr>
          <w:trHeight w:val="170"/>
        </w:trPr>
        <w:tc>
          <w:tcPr>
            <w:tcW w:w="1976" w:type="dxa"/>
          </w:tcPr>
          <w:p w:rsidR="000C1D78" w:rsidRPr="00360DE3" w:rsidRDefault="000C1D78" w:rsidP="00DC37E3">
            <w:pPr>
              <w:pStyle w:val="Marginlie"/>
              <w:rPr>
                <w:spacing w:val="0"/>
              </w:rPr>
            </w:pPr>
            <w:r w:rsidRPr="00360DE3">
              <w:rPr>
                <w:spacing w:val="0"/>
              </w:rPr>
              <w:t xml:space="preserve">Hodinová produktivit práce v průmyslu zůstává zhruba osminu nad úrovní celé </w:t>
            </w:r>
            <w:r w:rsidRPr="00360DE3">
              <w:rPr>
                <w:spacing w:val="0"/>
              </w:rPr>
              <w:lastRenderedPageBreak/>
              <w:t>ekonomiky.</w:t>
            </w:r>
          </w:p>
        </w:tc>
        <w:tc>
          <w:tcPr>
            <w:tcW w:w="277" w:type="dxa"/>
          </w:tcPr>
          <w:p w:rsidR="000C1D78" w:rsidRPr="00360DE3" w:rsidRDefault="000C1D78" w:rsidP="00DC37E3">
            <w:pPr>
              <w:pStyle w:val="Textpoznpodarou"/>
              <w:jc w:val="both"/>
            </w:pPr>
          </w:p>
        </w:tc>
        <w:tc>
          <w:tcPr>
            <w:tcW w:w="7391" w:type="dxa"/>
          </w:tcPr>
          <w:p w:rsidR="000C1D78" w:rsidRPr="00360DE3" w:rsidRDefault="000C1D78" w:rsidP="00DC37E3">
            <w:pPr>
              <w:rPr>
                <w:rFonts w:cs="Arial"/>
                <w:sz w:val="14"/>
                <w:szCs w:val="14"/>
              </w:rPr>
            </w:pPr>
            <w:r w:rsidRPr="00360DE3">
              <w:t xml:space="preserve">„Ztenčení“ volných rezerv na pracovním trhu se loni v průmyslu projevilo posílením hodinové produktivity práce (o 7,4 %). Výraznější meziroční nárůst si přitom průmysl připsal naposledy v letech 2005 a 2006. Za posledních deset let narostla </w:t>
            </w:r>
            <w:r w:rsidRPr="00360DE3">
              <w:lastRenderedPageBreak/>
              <w:t>reálná hodinová produktivita práce v průmyslu téměř o pětinu (v celé ekonomice zhruba o osminu). Dosažená nominální úroveň hodinové produktivity práce v průmyslu loni převyšovala hodnotu v národním hospodářství o 13 %.</w:t>
            </w:r>
          </w:p>
        </w:tc>
      </w:tr>
      <w:tr w:rsidR="000C1D78" w:rsidRPr="00360DE3" w:rsidTr="001A0D6B">
        <w:trPr>
          <w:trHeight w:val="170"/>
        </w:trPr>
        <w:tc>
          <w:tcPr>
            <w:tcW w:w="1976" w:type="dxa"/>
          </w:tcPr>
          <w:p w:rsidR="000C1D78" w:rsidRPr="00360DE3" w:rsidRDefault="000C1D78" w:rsidP="00DC37E3">
            <w:pPr>
              <w:pStyle w:val="Marginlie"/>
              <w:rPr>
                <w:spacing w:val="0"/>
              </w:rPr>
            </w:pPr>
            <w:r w:rsidRPr="00360DE3">
              <w:rPr>
                <w:spacing w:val="0"/>
              </w:rPr>
              <w:lastRenderedPageBreak/>
              <w:t>Mezi investicemi v průmyslu dlouhodobě dominují ostatní stroje a zařízení. Nejvyšší dynamiky vykazují po roce 2010 výdaje na ICT a na vědu a výzkum.</w:t>
            </w:r>
          </w:p>
        </w:tc>
        <w:tc>
          <w:tcPr>
            <w:tcW w:w="277" w:type="dxa"/>
          </w:tcPr>
          <w:p w:rsidR="000C1D78" w:rsidRPr="00360DE3" w:rsidRDefault="000C1D78" w:rsidP="00DC37E3">
            <w:pPr>
              <w:pStyle w:val="Textpoznpodarou"/>
              <w:jc w:val="both"/>
            </w:pPr>
          </w:p>
        </w:tc>
        <w:tc>
          <w:tcPr>
            <w:tcW w:w="7391" w:type="dxa"/>
          </w:tcPr>
          <w:p w:rsidR="000C1D78" w:rsidRPr="00222FFB" w:rsidRDefault="000C1D78" w:rsidP="00DC37E3">
            <w:pPr>
              <w:spacing w:after="200"/>
              <w:rPr>
                <w:rFonts w:cs="Arial"/>
                <w:spacing w:val="-2"/>
                <w:szCs w:val="20"/>
              </w:rPr>
            </w:pPr>
            <w:r w:rsidRPr="00222FFB">
              <w:rPr>
                <w:rFonts w:cs="Arial"/>
                <w:spacing w:val="-2"/>
                <w:szCs w:val="20"/>
              </w:rPr>
              <w:t>Míra investic v průmyslu má po roce 2013 klesající trend, neboť výdaje na tvorbu hrubého fixního kapitálu se zvyšovaly pomaleji než nominální HPH. Investiční aktivita v tomto odvětví tak loni dosáhla 26,8 % a pohybovala se těsně pod úrovní národního hospodářství. Z hlediska skladby investic v průmyslu tradičně dominují ostatní stroje a zařízení</w:t>
            </w:r>
            <w:r w:rsidRPr="00222FFB">
              <w:rPr>
                <w:rStyle w:val="Znakapoznpodarou"/>
                <w:rFonts w:cs="Arial"/>
                <w:spacing w:val="-2"/>
                <w:szCs w:val="20"/>
              </w:rPr>
              <w:footnoteReference w:id="77"/>
            </w:r>
            <w:r w:rsidRPr="00222FFB">
              <w:rPr>
                <w:rFonts w:cs="Arial"/>
                <w:spacing w:val="-2"/>
                <w:szCs w:val="20"/>
              </w:rPr>
              <w:t>, které se zde v roce 2017 na celkových investicích podílely 47 % (nejvíce ze všech odvětví ekonomiky). Pětina investic směřovala na budovy a stavby (vyšší váhu měly v těžbě a energetice). Nejdynamičtěji rostoucí investiční položku v celém odvětví představují po roce 2010 výdaje na výzkum a vývoj a též do oblas</w:t>
            </w:r>
            <w:r w:rsidR="00E711D1" w:rsidRPr="00222FFB">
              <w:rPr>
                <w:rFonts w:cs="Arial"/>
                <w:spacing w:val="-2"/>
                <w:szCs w:val="20"/>
              </w:rPr>
              <w:t>ti ICT, což s</w:t>
            </w:r>
            <w:r w:rsidRPr="00222FFB">
              <w:rPr>
                <w:rFonts w:cs="Arial"/>
                <w:spacing w:val="-2"/>
                <w:szCs w:val="20"/>
              </w:rPr>
              <w:t xml:space="preserve">ouvisí </w:t>
            </w:r>
            <w:r w:rsidR="00E711D1" w:rsidRPr="00222FFB">
              <w:rPr>
                <w:rFonts w:cs="Arial"/>
                <w:spacing w:val="-2"/>
                <w:szCs w:val="20"/>
              </w:rPr>
              <w:t xml:space="preserve">především </w:t>
            </w:r>
            <w:r w:rsidRPr="00222FFB">
              <w:rPr>
                <w:rFonts w:cs="Arial"/>
                <w:spacing w:val="-2"/>
                <w:szCs w:val="20"/>
              </w:rPr>
              <w:t>se sílícími tlaky v oblasti konkurenceschopnosti i produktivity umocněné v posledních letech obtížemi při náboru nových pracovníků. Prostředky do ICT</w:t>
            </w:r>
            <w:r w:rsidR="00E711D1" w:rsidRPr="00222FFB">
              <w:rPr>
                <w:rFonts w:cs="Arial"/>
                <w:spacing w:val="-2"/>
                <w:szCs w:val="20"/>
              </w:rPr>
              <w:t>, které jsou důležité hlavně ve zpracovatelském průmyslu,</w:t>
            </w:r>
            <w:r w:rsidRPr="00222FFB">
              <w:rPr>
                <w:rFonts w:cs="Arial"/>
                <w:spacing w:val="-2"/>
                <w:szCs w:val="20"/>
              </w:rPr>
              <w:t xml:space="preserve"> vytvářily loni již téměř sedminu všech průmyslových investic, u výzkumu a vývoje šlo o desetinu. Naopak význam dopravních prostředků a zařízení mezi novými inv</w:t>
            </w:r>
            <w:r w:rsidR="00E711D1" w:rsidRPr="00222FFB">
              <w:rPr>
                <w:rFonts w:cs="Arial"/>
                <w:spacing w:val="-2"/>
                <w:szCs w:val="20"/>
              </w:rPr>
              <w:t>esticemi v průmyslu klesal (loni tvořily jen 2,9 </w:t>
            </w:r>
            <w:r w:rsidRPr="00222FFB">
              <w:rPr>
                <w:rFonts w:cs="Arial"/>
                <w:spacing w:val="-2"/>
                <w:szCs w:val="20"/>
              </w:rPr>
              <w:t>%)</w:t>
            </w:r>
            <w:r w:rsidRPr="00222FFB">
              <w:rPr>
                <w:rStyle w:val="Znakapoznpodarou"/>
                <w:rFonts w:cs="Arial"/>
                <w:spacing w:val="-2"/>
                <w:szCs w:val="20"/>
              </w:rPr>
              <w:footnoteReference w:id="78"/>
            </w:r>
            <w:r w:rsidRPr="00222FFB">
              <w:rPr>
                <w:rFonts w:cs="Arial"/>
                <w:spacing w:val="-2"/>
                <w:szCs w:val="20"/>
              </w:rPr>
              <w:t xml:space="preserve">. </w:t>
            </w:r>
          </w:p>
        </w:tc>
      </w:tr>
      <w:tr w:rsidR="000C1D78" w:rsidRPr="00360DE3" w:rsidTr="001A0D6B">
        <w:trPr>
          <w:trHeight w:val="170"/>
        </w:trPr>
        <w:tc>
          <w:tcPr>
            <w:tcW w:w="1976" w:type="dxa"/>
          </w:tcPr>
          <w:p w:rsidR="000C1D78" w:rsidRPr="00360DE3" w:rsidRDefault="000C1D78" w:rsidP="00DC37E3">
            <w:pPr>
              <w:pStyle w:val="Marginlie"/>
              <w:rPr>
                <w:spacing w:val="0"/>
              </w:rPr>
            </w:pPr>
          </w:p>
        </w:tc>
        <w:tc>
          <w:tcPr>
            <w:tcW w:w="277" w:type="dxa"/>
          </w:tcPr>
          <w:p w:rsidR="000C1D78" w:rsidRPr="00360DE3" w:rsidRDefault="000C1D78" w:rsidP="00DC37E3">
            <w:pPr>
              <w:pStyle w:val="Textpoznpodarou"/>
              <w:jc w:val="both"/>
            </w:pPr>
          </w:p>
        </w:tc>
        <w:tc>
          <w:tcPr>
            <w:tcW w:w="7391" w:type="dxa"/>
          </w:tcPr>
          <w:p w:rsidR="000C1D78" w:rsidRPr="00360DE3" w:rsidRDefault="000C1D78" w:rsidP="00DC37E3">
            <w:pPr>
              <w:spacing w:after="0"/>
              <w:rPr>
                <w:rFonts w:cs="Arial"/>
                <w:szCs w:val="20"/>
              </w:rPr>
            </w:pPr>
            <w:r w:rsidRPr="00360DE3">
              <w:rPr>
                <w:rFonts w:cs="Arial"/>
                <w:b/>
                <w:szCs w:val="20"/>
              </w:rPr>
              <w:t xml:space="preserve">Graf </w:t>
            </w:r>
            <w:proofErr w:type="gramStart"/>
            <w:r w:rsidRPr="00360DE3">
              <w:rPr>
                <w:rFonts w:cs="Arial"/>
                <w:b/>
                <w:szCs w:val="20"/>
              </w:rPr>
              <w:t>11.2  Hlavní</w:t>
            </w:r>
            <w:proofErr w:type="gramEnd"/>
            <w:r w:rsidRPr="00360DE3">
              <w:rPr>
                <w:rFonts w:cs="Arial"/>
                <w:b/>
                <w:szCs w:val="20"/>
              </w:rPr>
              <w:t xml:space="preserve"> položky tvorby hrubého fixního kapitálu ve zpracovatelském průmyslu</w:t>
            </w:r>
            <w:r w:rsidRPr="00360DE3">
              <w:rPr>
                <w:rFonts w:cs="Arial"/>
                <w:szCs w:val="20"/>
              </w:rPr>
              <w:t xml:space="preserve"> (v mil. korun, v cenách roku 2010)</w:t>
            </w:r>
          </w:p>
          <w:p w:rsidR="000C1D78" w:rsidRPr="00360DE3" w:rsidRDefault="000C1D78" w:rsidP="00DC37E3">
            <w:pPr>
              <w:spacing w:after="0"/>
            </w:pPr>
            <w:r w:rsidRPr="00360DE3">
              <w:rPr>
                <w:noProof/>
              </w:rPr>
              <w:drawing>
                <wp:inline distT="0" distB="0" distL="0" distR="0">
                  <wp:extent cx="4707653" cy="3456633"/>
                  <wp:effectExtent l="0" t="0" r="0" b="0"/>
                  <wp:docPr id="73"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tc>
      </w:tr>
      <w:tr w:rsidR="000C1D78" w:rsidRPr="00360DE3" w:rsidTr="001A0D6B">
        <w:trPr>
          <w:trHeight w:val="170"/>
        </w:trPr>
        <w:tc>
          <w:tcPr>
            <w:tcW w:w="1976" w:type="dxa"/>
          </w:tcPr>
          <w:p w:rsidR="000C1D78" w:rsidRPr="00360DE3" w:rsidRDefault="000C1D78" w:rsidP="00DC37E3">
            <w:pPr>
              <w:pStyle w:val="Marginlie"/>
              <w:rPr>
                <w:spacing w:val="0"/>
              </w:rPr>
            </w:pPr>
          </w:p>
        </w:tc>
        <w:tc>
          <w:tcPr>
            <w:tcW w:w="277" w:type="dxa"/>
          </w:tcPr>
          <w:p w:rsidR="000C1D78" w:rsidRPr="00360DE3" w:rsidRDefault="000C1D78" w:rsidP="00DC37E3">
            <w:pPr>
              <w:pStyle w:val="Textpoznpodarou"/>
              <w:jc w:val="both"/>
            </w:pPr>
          </w:p>
        </w:tc>
        <w:tc>
          <w:tcPr>
            <w:tcW w:w="7391" w:type="dxa"/>
          </w:tcPr>
          <w:p w:rsidR="000C1D78" w:rsidRPr="00360DE3" w:rsidRDefault="000C1D78" w:rsidP="00DC37E3">
            <w:pPr>
              <w:spacing w:after="180"/>
            </w:pPr>
            <w:r w:rsidRPr="00360DE3">
              <w:rPr>
                <w:rFonts w:cs="Arial"/>
                <w:sz w:val="14"/>
                <w:szCs w:val="14"/>
              </w:rPr>
              <w:t>Zdroj: ČSÚ (národní účty)</w:t>
            </w:r>
          </w:p>
        </w:tc>
      </w:tr>
      <w:tr w:rsidR="000C1D78" w:rsidRPr="00360DE3" w:rsidTr="001A0D6B">
        <w:trPr>
          <w:trHeight w:val="170"/>
        </w:trPr>
        <w:tc>
          <w:tcPr>
            <w:tcW w:w="1976" w:type="dxa"/>
          </w:tcPr>
          <w:p w:rsidR="000C1D78" w:rsidRPr="00360DE3" w:rsidRDefault="000C1D78" w:rsidP="00DC37E3">
            <w:pPr>
              <w:pStyle w:val="Marginlie"/>
              <w:rPr>
                <w:spacing w:val="0"/>
              </w:rPr>
            </w:pPr>
            <w:r w:rsidRPr="00360DE3">
              <w:rPr>
                <w:spacing w:val="0"/>
              </w:rPr>
              <w:t xml:space="preserve">V severských státech a zemích Beneluxu stály za vysokou mírou investic v průmyslu výdaje do duševního vlastnictví. </w:t>
            </w:r>
          </w:p>
          <w:p w:rsidR="000C1D78" w:rsidRPr="00360DE3" w:rsidRDefault="000C1D78" w:rsidP="00DC37E3">
            <w:pPr>
              <w:pStyle w:val="Marginlie"/>
              <w:rPr>
                <w:spacing w:val="0"/>
              </w:rPr>
            </w:pPr>
          </w:p>
          <w:p w:rsidR="000C1D78" w:rsidRPr="00360DE3" w:rsidRDefault="000C1D78" w:rsidP="00DC37E3">
            <w:pPr>
              <w:pStyle w:val="Marginlie"/>
              <w:rPr>
                <w:spacing w:val="0"/>
              </w:rPr>
            </w:pPr>
          </w:p>
          <w:p w:rsidR="000C1D78" w:rsidRPr="00360DE3" w:rsidRDefault="000C1D78" w:rsidP="00DC37E3">
            <w:pPr>
              <w:pStyle w:val="Marginlie"/>
              <w:rPr>
                <w:spacing w:val="0"/>
              </w:rPr>
            </w:pPr>
            <w:r w:rsidRPr="00360DE3">
              <w:rPr>
                <w:spacing w:val="0"/>
              </w:rPr>
              <w:t xml:space="preserve">V novějších členských zemích Unie měly vyšší </w:t>
            </w:r>
            <w:r w:rsidRPr="00360DE3">
              <w:rPr>
                <w:spacing w:val="0"/>
              </w:rPr>
              <w:lastRenderedPageBreak/>
              <w:t>váhu investice do budov, strojů a zařízení.</w:t>
            </w:r>
          </w:p>
        </w:tc>
        <w:tc>
          <w:tcPr>
            <w:tcW w:w="277" w:type="dxa"/>
          </w:tcPr>
          <w:p w:rsidR="000C1D78" w:rsidRPr="00360DE3" w:rsidRDefault="000C1D78" w:rsidP="00DC37E3">
            <w:pPr>
              <w:pStyle w:val="Textpoznpodarou"/>
              <w:jc w:val="both"/>
            </w:pPr>
          </w:p>
        </w:tc>
        <w:tc>
          <w:tcPr>
            <w:tcW w:w="7391" w:type="dxa"/>
          </w:tcPr>
          <w:p w:rsidR="000C1D78" w:rsidRPr="00360DE3" w:rsidRDefault="000C1D78" w:rsidP="00DC37E3">
            <w:pPr>
              <w:spacing w:after="200"/>
              <w:rPr>
                <w:rFonts w:cs="Arial"/>
                <w:szCs w:val="20"/>
              </w:rPr>
            </w:pPr>
            <w:r w:rsidRPr="00360DE3">
              <w:rPr>
                <w:rFonts w:cs="Arial"/>
                <w:szCs w:val="20"/>
              </w:rPr>
              <w:t xml:space="preserve">Míra investic v tuzemském průmyslu dlouhodobě mírně převyšuje úroveň EU. V roce 2016 ale Česko mezi desítku investičně nejaktivnějších států Unie nepatřilo. Vysokou mírou investic se vyznačovaly hlavně menší a středně velké ekonomiky (vyjma Francie). Jednalo se o země Beneluxu, severské státy a ze zemí střední a východní Evropy hlavně o Rumunsko, Slovensko (oba 36 %) a Maďarsko (29 %). Na rozdíl od ČR se na vysoké investiční aktivitě v těchto novějších členských státech podílely výdaje na ICT jen minimálně. Výdaje do duševního vlastnictví </w:t>
            </w:r>
            <w:r w:rsidRPr="00360DE3">
              <w:rPr>
                <w:rFonts w:cs="Arial"/>
                <w:szCs w:val="20"/>
              </w:rPr>
              <w:lastRenderedPageBreak/>
              <w:t xml:space="preserve">(především vědy a výzkumu) tvořily v Německu, Rakousku, Dánsku, Belgii, Švédsku a Finsku kolem 40 % investic v průmyslu (ve Francii téměř 50 %). </w:t>
            </w:r>
          </w:p>
        </w:tc>
      </w:tr>
      <w:tr w:rsidR="000C1D78" w:rsidRPr="00360DE3" w:rsidTr="001A0D6B">
        <w:trPr>
          <w:trHeight w:val="170"/>
        </w:trPr>
        <w:tc>
          <w:tcPr>
            <w:tcW w:w="1976" w:type="dxa"/>
          </w:tcPr>
          <w:p w:rsidR="000C1D78" w:rsidRPr="00360DE3" w:rsidRDefault="000C1D78" w:rsidP="00DC37E3">
            <w:pPr>
              <w:pStyle w:val="Marginlie"/>
              <w:rPr>
                <w:spacing w:val="0"/>
              </w:rPr>
            </w:pPr>
            <w:r w:rsidRPr="00360DE3">
              <w:rPr>
                <w:spacing w:val="0"/>
              </w:rPr>
              <w:lastRenderedPageBreak/>
              <w:t xml:space="preserve">Loňský silný růst HPH v průmyslu měl podobně jako v letech 2005 i 2006 převážně plošný charakter. </w:t>
            </w:r>
          </w:p>
        </w:tc>
        <w:tc>
          <w:tcPr>
            <w:tcW w:w="277" w:type="dxa"/>
          </w:tcPr>
          <w:p w:rsidR="000C1D78" w:rsidRPr="00360DE3" w:rsidRDefault="000C1D78" w:rsidP="00DC37E3">
            <w:pPr>
              <w:pStyle w:val="Textpoznpodarou"/>
              <w:jc w:val="both"/>
            </w:pPr>
          </w:p>
        </w:tc>
        <w:tc>
          <w:tcPr>
            <w:tcW w:w="7391" w:type="dxa"/>
          </w:tcPr>
          <w:p w:rsidR="000C1D78" w:rsidRPr="00360DE3" w:rsidRDefault="000C1D78" w:rsidP="00DC37E3">
            <w:pPr>
              <w:rPr>
                <w:rFonts w:cs="Arial"/>
                <w:szCs w:val="20"/>
              </w:rPr>
            </w:pPr>
            <w:r w:rsidRPr="00360DE3">
              <w:rPr>
                <w:rFonts w:cs="Arial"/>
                <w:szCs w:val="20"/>
              </w:rPr>
              <w:t>Zatímco v roce 2016 nepřesáhl růst HPH v průmyslu 2 %, loni prudce zrychlil na rovných 9 %. Přispěla k tomu primárně akcelerace výkonu váhově dominantní</w:t>
            </w:r>
            <w:r w:rsidRPr="00360DE3">
              <w:rPr>
                <w:rStyle w:val="Znakapoznpodarou"/>
                <w:rFonts w:cs="Arial"/>
                <w:szCs w:val="20"/>
              </w:rPr>
              <w:footnoteReference w:id="79"/>
            </w:r>
            <w:r w:rsidRPr="00360DE3">
              <w:rPr>
                <w:rFonts w:cs="Arial"/>
                <w:szCs w:val="20"/>
              </w:rPr>
              <w:t xml:space="preserve"> výroby motorových vozidel i nejbližších návazných oborů (gumárenství, výroby elektrických zařízení). Podstatné bylo i významné posílení výkonu strojírenství a obnovení v minulosti dočasně utlumených výrobních kapacit v chemickém průmyslu a energetice. Vyjma těžby a dobývání, hutnictví i vodního hospodářství tak k loňskému vysokému růstu přidané hodnoty průmyslu přispěly všechny jeho významné obory. Analogická situace nastala naposledy v letech 2005 a 2006. </w:t>
            </w:r>
          </w:p>
        </w:tc>
      </w:tr>
      <w:tr w:rsidR="000C1D78" w:rsidRPr="00360DE3" w:rsidTr="001A0D6B">
        <w:trPr>
          <w:trHeight w:val="170"/>
        </w:trPr>
        <w:tc>
          <w:tcPr>
            <w:tcW w:w="1976" w:type="dxa"/>
          </w:tcPr>
          <w:p w:rsidR="000C1D78" w:rsidRPr="00360DE3" w:rsidRDefault="000C1D78" w:rsidP="00DC37E3">
            <w:pPr>
              <w:pStyle w:val="Marginlie"/>
              <w:rPr>
                <w:spacing w:val="0"/>
              </w:rPr>
            </w:pPr>
            <w:r w:rsidRPr="00360DE3">
              <w:rPr>
                <w:spacing w:val="0"/>
              </w:rPr>
              <w:t>K růstu HPH v průmyslu přispěly z poloviny automobilový průmysl a nejbližší návazné obory.</w:t>
            </w:r>
          </w:p>
        </w:tc>
        <w:tc>
          <w:tcPr>
            <w:tcW w:w="277" w:type="dxa"/>
          </w:tcPr>
          <w:p w:rsidR="000C1D78" w:rsidRPr="00360DE3" w:rsidRDefault="000C1D78" w:rsidP="00DC37E3">
            <w:pPr>
              <w:pStyle w:val="Textpoznpodarou"/>
              <w:jc w:val="both"/>
            </w:pPr>
          </w:p>
        </w:tc>
        <w:tc>
          <w:tcPr>
            <w:tcW w:w="7391" w:type="dxa"/>
          </w:tcPr>
          <w:p w:rsidR="000C1D78" w:rsidRPr="00360DE3" w:rsidRDefault="000C1D78" w:rsidP="00DC37E3">
            <w:pPr>
              <w:rPr>
                <w:rFonts w:cs="Arial"/>
                <w:szCs w:val="20"/>
              </w:rPr>
            </w:pPr>
            <w:r w:rsidRPr="00360DE3">
              <w:rPr>
                <w:rFonts w:cs="Arial"/>
                <w:szCs w:val="20"/>
              </w:rPr>
              <w:t xml:space="preserve">Velmi úspěšný rok zažila loni výroba motorových vozidel. Tempo meziročního růstu HPH se zde oproti roku 2016 zdvojnásobilo a činilo bezmála 20 %. K navýšení HPH v celém průmyslu přispělo toto odvětví 3,5 p. </w:t>
            </w:r>
            <w:proofErr w:type="spellStart"/>
            <w:r w:rsidRPr="00360DE3">
              <w:rPr>
                <w:rFonts w:cs="Arial"/>
                <w:szCs w:val="20"/>
              </w:rPr>
              <w:t>b</w:t>
            </w:r>
            <w:proofErr w:type="spellEnd"/>
            <w:r w:rsidRPr="00360DE3">
              <w:rPr>
                <w:rFonts w:cs="Arial"/>
                <w:szCs w:val="20"/>
              </w:rPr>
              <w:t>. (nejsilnější vliv za posledních sedm let). Z podnikových statistik vyplynulo, že váhově převažující tržby z přímého vývozu</w:t>
            </w:r>
            <w:r w:rsidRPr="00360DE3">
              <w:rPr>
                <w:rStyle w:val="Znakapoznpodarou"/>
                <w:rFonts w:cs="Arial"/>
                <w:szCs w:val="20"/>
              </w:rPr>
              <w:footnoteReference w:id="80"/>
            </w:r>
            <w:r w:rsidRPr="00360DE3">
              <w:rPr>
                <w:rFonts w:cs="Arial"/>
                <w:szCs w:val="20"/>
              </w:rPr>
              <w:t xml:space="preserve"> zde loni rostly pomaleji než domácí tržby (ty mohou zahrnovat i nepřímý vývoz). Rekordu dosáhlo i fyzické množství vyrobené produkce</w:t>
            </w:r>
            <w:r w:rsidRPr="00360DE3">
              <w:rPr>
                <w:rStyle w:val="Znakapoznpodarou"/>
                <w:rFonts w:cs="Arial"/>
                <w:szCs w:val="20"/>
              </w:rPr>
              <w:footnoteReference w:id="81"/>
            </w:r>
            <w:r w:rsidRPr="00360DE3">
              <w:rPr>
                <w:rFonts w:cs="Arial"/>
                <w:szCs w:val="20"/>
              </w:rPr>
              <w:t>. I přes napjatou situaci na pracovním trhu se odvětví dařilo obsazovat nová místa. Počet pracovníků se loni rozšířil o 2,8 %, od konce poslední recese (rok 2013) o čtvrtinu (resp. 40 tis.). Tempo růstu průměrných zaměstnaneckých výdělků (+9,1 %, dle údajů národních účtů) řadilo loni odvětví ke špičce mezi všemi průmyslovými obory, jejich dosažená výše</w:t>
            </w:r>
            <w:r w:rsidRPr="00360DE3">
              <w:rPr>
                <w:rStyle w:val="Znakapoznpodarou"/>
                <w:rFonts w:cs="Arial"/>
                <w:szCs w:val="20"/>
              </w:rPr>
              <w:footnoteReference w:id="82"/>
            </w:r>
            <w:r w:rsidRPr="00360DE3">
              <w:rPr>
                <w:rFonts w:cs="Arial"/>
                <w:szCs w:val="20"/>
              </w:rPr>
              <w:t xml:space="preserve"> převyšovala úroveň celé ekonomiky o více než čtvrtinu.</w:t>
            </w:r>
          </w:p>
        </w:tc>
      </w:tr>
      <w:tr w:rsidR="000C1D78" w:rsidRPr="00360DE3" w:rsidTr="001A0D6B">
        <w:trPr>
          <w:trHeight w:val="170"/>
        </w:trPr>
        <w:tc>
          <w:tcPr>
            <w:tcW w:w="1976" w:type="dxa"/>
          </w:tcPr>
          <w:p w:rsidR="000C1D78" w:rsidRPr="00360DE3" w:rsidRDefault="000C1D78" w:rsidP="00DC37E3">
            <w:pPr>
              <w:pStyle w:val="Marginlie"/>
              <w:rPr>
                <w:spacing w:val="0"/>
              </w:rPr>
            </w:pPr>
          </w:p>
        </w:tc>
        <w:tc>
          <w:tcPr>
            <w:tcW w:w="277" w:type="dxa"/>
          </w:tcPr>
          <w:p w:rsidR="000C1D78" w:rsidRPr="00360DE3" w:rsidRDefault="000C1D78" w:rsidP="00DC37E3">
            <w:pPr>
              <w:pStyle w:val="Textpoznpodarou"/>
              <w:jc w:val="both"/>
            </w:pPr>
          </w:p>
        </w:tc>
        <w:tc>
          <w:tcPr>
            <w:tcW w:w="7391" w:type="dxa"/>
          </w:tcPr>
          <w:p w:rsidR="000C1D78" w:rsidRPr="00360DE3" w:rsidRDefault="000C1D78" w:rsidP="00DC37E3">
            <w:pPr>
              <w:spacing w:after="0"/>
              <w:jc w:val="left"/>
            </w:pPr>
            <w:r w:rsidRPr="00360DE3">
              <w:rPr>
                <w:b/>
              </w:rPr>
              <w:t xml:space="preserve">Graf </w:t>
            </w:r>
            <w:proofErr w:type="gramStart"/>
            <w:r w:rsidRPr="00360DE3">
              <w:rPr>
                <w:b/>
              </w:rPr>
              <w:t>11.3  Příspěvky</w:t>
            </w:r>
            <w:proofErr w:type="gramEnd"/>
            <w:r w:rsidRPr="00360DE3">
              <w:rPr>
                <w:b/>
              </w:rPr>
              <w:t xml:space="preserve"> odvětvových oddílů k meziroční změně HPH v celém průmyslu </w:t>
            </w:r>
            <w:r w:rsidRPr="00360DE3">
              <w:t>(reálně, v procentních bodech)</w:t>
            </w:r>
          </w:p>
          <w:p w:rsidR="000C1D78" w:rsidRPr="00360DE3" w:rsidRDefault="000C1D78" w:rsidP="00DC37E3">
            <w:pPr>
              <w:spacing w:after="0"/>
              <w:rPr>
                <w:rFonts w:cs="Arial"/>
                <w:szCs w:val="20"/>
              </w:rPr>
            </w:pPr>
            <w:r w:rsidRPr="00360DE3">
              <w:rPr>
                <w:rFonts w:cs="Arial"/>
                <w:noProof/>
                <w:szCs w:val="20"/>
              </w:rPr>
              <w:drawing>
                <wp:inline distT="0" distB="0" distL="0" distR="0">
                  <wp:extent cx="4673600" cy="3409950"/>
                  <wp:effectExtent l="19050" t="0" r="0" b="0"/>
                  <wp:docPr id="74"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r>
      <w:tr w:rsidR="000C1D78" w:rsidRPr="00360DE3" w:rsidTr="001A0D6B">
        <w:trPr>
          <w:trHeight w:val="170"/>
        </w:trPr>
        <w:tc>
          <w:tcPr>
            <w:tcW w:w="1976" w:type="dxa"/>
          </w:tcPr>
          <w:p w:rsidR="000C1D78" w:rsidRPr="00360DE3" w:rsidRDefault="000C1D78" w:rsidP="00DC37E3">
            <w:pPr>
              <w:pStyle w:val="Marginlie"/>
              <w:spacing w:line="240" w:lineRule="auto"/>
              <w:rPr>
                <w:spacing w:val="0"/>
              </w:rPr>
            </w:pPr>
          </w:p>
        </w:tc>
        <w:tc>
          <w:tcPr>
            <w:tcW w:w="277" w:type="dxa"/>
          </w:tcPr>
          <w:p w:rsidR="000C1D78" w:rsidRPr="00360DE3" w:rsidRDefault="000C1D78" w:rsidP="00DC37E3">
            <w:pPr>
              <w:pStyle w:val="Textpoznpodarou"/>
              <w:jc w:val="both"/>
            </w:pPr>
          </w:p>
        </w:tc>
        <w:tc>
          <w:tcPr>
            <w:tcW w:w="7391" w:type="dxa"/>
          </w:tcPr>
          <w:p w:rsidR="000C1D78" w:rsidRPr="00360DE3" w:rsidRDefault="000C1D78" w:rsidP="00DC37E3">
            <w:pPr>
              <w:spacing w:after="0" w:line="240" w:lineRule="auto"/>
              <w:rPr>
                <w:rFonts w:cs="Arial"/>
                <w:sz w:val="14"/>
                <w:szCs w:val="14"/>
              </w:rPr>
            </w:pPr>
            <w:r w:rsidRPr="00360DE3">
              <w:rPr>
                <w:rFonts w:cs="Arial"/>
                <w:sz w:val="14"/>
                <w:szCs w:val="14"/>
              </w:rPr>
              <w:t>Zdroj: ČSÚ (národní účty)</w:t>
            </w:r>
          </w:p>
        </w:tc>
      </w:tr>
      <w:tr w:rsidR="000C1D78" w:rsidRPr="00360DE3" w:rsidTr="001A0D6B">
        <w:trPr>
          <w:trHeight w:val="170"/>
        </w:trPr>
        <w:tc>
          <w:tcPr>
            <w:tcW w:w="1976" w:type="dxa"/>
          </w:tcPr>
          <w:p w:rsidR="000C1D78" w:rsidRPr="00360DE3" w:rsidRDefault="000C1D78" w:rsidP="00DC37E3">
            <w:pPr>
              <w:pStyle w:val="Marginlie"/>
              <w:rPr>
                <w:spacing w:val="0"/>
              </w:rPr>
            </w:pPr>
            <w:r w:rsidRPr="00360DE3">
              <w:rPr>
                <w:spacing w:val="0"/>
              </w:rPr>
              <w:lastRenderedPageBreak/>
              <w:t>Zatímco ve výrobě elektronických a optických přístrojů přetrvával dynamický růst již čtvrtým rokem v řadě, k výraznému oživení ve strojírenství došlo teprve vloni.</w:t>
            </w:r>
          </w:p>
        </w:tc>
        <w:tc>
          <w:tcPr>
            <w:tcW w:w="277" w:type="dxa"/>
          </w:tcPr>
          <w:p w:rsidR="000C1D78" w:rsidRPr="00360DE3" w:rsidRDefault="000C1D78" w:rsidP="00DC37E3">
            <w:pPr>
              <w:pStyle w:val="Textpoznpodarou"/>
              <w:jc w:val="both"/>
            </w:pPr>
          </w:p>
        </w:tc>
        <w:tc>
          <w:tcPr>
            <w:tcW w:w="7391" w:type="dxa"/>
          </w:tcPr>
          <w:p w:rsidR="000C1D78" w:rsidRPr="00360DE3" w:rsidRDefault="000C1D78" w:rsidP="00DC37E3">
            <w:pPr>
              <w:rPr>
                <w:rFonts w:cs="Arial"/>
                <w:szCs w:val="20"/>
              </w:rPr>
            </w:pPr>
            <w:r w:rsidRPr="00360DE3">
              <w:rPr>
                <w:rFonts w:cs="Arial"/>
                <w:szCs w:val="20"/>
              </w:rPr>
              <w:t xml:space="preserve">Ve strojírenství – třetím váhově nejvýznamnějším zpracovatelském </w:t>
            </w:r>
            <w:proofErr w:type="gramStart"/>
            <w:r w:rsidRPr="00360DE3">
              <w:rPr>
                <w:rFonts w:cs="Arial"/>
                <w:szCs w:val="20"/>
              </w:rPr>
              <w:t>oboru</w:t>
            </w:r>
            <w:proofErr w:type="gramEnd"/>
            <w:r w:rsidRPr="00360DE3">
              <w:rPr>
                <w:rFonts w:cs="Arial"/>
                <w:szCs w:val="20"/>
              </w:rPr>
              <w:t xml:space="preserve"> – vzrostla loni HPH o 13 %. Stalo se tak po pěti předešlých slabších letech. K jeho oživení výrazně přispěla tuzemská poptávka (růst domácích tržeb o 28 %). Ve výrazně proexportní výrobě počítačů, elektronických a optických přístrojů přetrvával silný růst již čtvrtým rokem v řadě. Od konce poslední recese tak výkon odvětví vzrostl o více než polovinu, což bylo společně s chemickým průmyslem nejvíce ze všech zpracovatelských oborů</w:t>
            </w:r>
            <w:r w:rsidRPr="00360DE3">
              <w:rPr>
                <w:rStyle w:val="Znakapoznpodarou"/>
                <w:rFonts w:cs="Arial"/>
                <w:szCs w:val="20"/>
              </w:rPr>
              <w:footnoteReference w:id="83"/>
            </w:r>
            <w:r w:rsidRPr="00360DE3">
              <w:rPr>
                <w:rFonts w:cs="Arial"/>
                <w:szCs w:val="20"/>
              </w:rPr>
              <w:t>. Loni se dařilo i potravinářství, kde i nikterak dramatický 8% růst HPH znamenal nejlepší výsledek po roce 2005. Tomuto na tuzemský trh více orientovanému oboru pomohla i dobrá úroda v předešlém roce, jakož i stabilizace v živočišné produkci. Pokračoval i rozvoj malých oborů v čele s nábytkářstvím (kde se za poslední dva roky HPH navýšila o čtvrtinu) a dále také výrobou nápojů, tabáku papíru, jakož i textilního, oděvního, kožedělného či dřevozpracujícího průmyslu. Přestože tyto malé obory vytváří méně než desetinu přidané hodnoty celého průmyslu, na jeho meziročním růstu se loni podílely téměř celým procentním bodem.</w:t>
            </w:r>
          </w:p>
        </w:tc>
      </w:tr>
      <w:tr w:rsidR="000C1D78" w:rsidRPr="00360DE3" w:rsidTr="001A0D6B">
        <w:trPr>
          <w:trHeight w:val="170"/>
        </w:trPr>
        <w:tc>
          <w:tcPr>
            <w:tcW w:w="1976" w:type="dxa"/>
          </w:tcPr>
          <w:p w:rsidR="000C1D78" w:rsidRPr="00360DE3" w:rsidRDefault="000C1D78" w:rsidP="00DC37E3">
            <w:pPr>
              <w:pStyle w:val="Marginlie"/>
              <w:rPr>
                <w:spacing w:val="0"/>
              </w:rPr>
            </w:pPr>
            <w:r w:rsidRPr="00360DE3">
              <w:rPr>
                <w:spacing w:val="0"/>
              </w:rPr>
              <w:t xml:space="preserve">Ukončení neplánovaných odstávek v chemickém průmyslu a energetice vyústilo vloni v plné obnovení jejich výrobních kapacit. Růst HPH průmyslu podpořily 1 p. </w:t>
            </w:r>
            <w:proofErr w:type="spellStart"/>
            <w:r w:rsidRPr="00360DE3">
              <w:rPr>
                <w:spacing w:val="0"/>
              </w:rPr>
              <w:t>b</w:t>
            </w:r>
            <w:proofErr w:type="spellEnd"/>
            <w:r w:rsidRPr="00360DE3">
              <w:rPr>
                <w:spacing w:val="0"/>
              </w:rPr>
              <w:t xml:space="preserve">. </w:t>
            </w:r>
          </w:p>
        </w:tc>
        <w:tc>
          <w:tcPr>
            <w:tcW w:w="277" w:type="dxa"/>
          </w:tcPr>
          <w:p w:rsidR="000C1D78" w:rsidRPr="00360DE3" w:rsidRDefault="000C1D78" w:rsidP="00DC37E3">
            <w:pPr>
              <w:pStyle w:val="Textpoznpodarou"/>
              <w:jc w:val="both"/>
            </w:pPr>
          </w:p>
        </w:tc>
        <w:tc>
          <w:tcPr>
            <w:tcW w:w="7391" w:type="dxa"/>
          </w:tcPr>
          <w:p w:rsidR="000C1D78" w:rsidRPr="00360DE3" w:rsidRDefault="000C1D78" w:rsidP="001A0D6B">
            <w:pPr>
              <w:rPr>
                <w:rFonts w:cs="Arial"/>
                <w:szCs w:val="20"/>
              </w:rPr>
            </w:pPr>
            <w:r w:rsidRPr="00360DE3">
              <w:rPr>
                <w:rFonts w:cs="Arial"/>
                <w:szCs w:val="20"/>
              </w:rPr>
              <w:t xml:space="preserve">Důležitým impulsem pro loňskou akceleraci průmyslu bylo citelné oživení ve významných strategických odvětvích – energetice i chemickém </w:t>
            </w:r>
            <w:proofErr w:type="gramStart"/>
            <w:r w:rsidRPr="00360DE3">
              <w:rPr>
                <w:rFonts w:cs="Arial"/>
                <w:szCs w:val="20"/>
              </w:rPr>
              <w:t>průmyslu</w:t>
            </w:r>
            <w:proofErr w:type="gramEnd"/>
            <w:r w:rsidRPr="00360DE3">
              <w:rPr>
                <w:rFonts w:cs="Arial"/>
                <w:szCs w:val="20"/>
              </w:rPr>
              <w:t xml:space="preserve">. Po skončení neplánovaných odstávek vlivem havárií v letech 2015 i 2016 výkony v těchto odvětví loni prudce vzrostly. Zatímco v roce 2016 přispívaly k růstu HPH celého průmyslu negativně (-1,0 p. </w:t>
            </w:r>
            <w:proofErr w:type="spellStart"/>
            <w:r w:rsidRPr="00360DE3">
              <w:rPr>
                <w:rFonts w:cs="Arial"/>
                <w:szCs w:val="20"/>
              </w:rPr>
              <w:t>b</w:t>
            </w:r>
            <w:proofErr w:type="spellEnd"/>
            <w:r w:rsidRPr="00360DE3">
              <w:rPr>
                <w:rFonts w:cs="Arial"/>
                <w:szCs w:val="20"/>
              </w:rPr>
              <w:t>.), loni se stejnou intenzitou, ale v pozitivním směru. V obou odvětvích přetrvává dlouhodobý trend posilování zaměstnanosti a výší průměrných mezd se řadí k nejlépe hodnoceným průmyslovým oborům. Z hlediska výkonů se však odlišují. Jestliže v chemickém průmyslu se HPH za posledních deset navýšila o 55 %, v energetice se zredukovala o 30 %. Pokles výkonu energetiky v poslední dekádě souvisel s proměnami odvětvové skladby ekonomiky, tlaky na redukci energetické náročnosti výrob či energetickými úsporami v domácnostech či vládním sektoru.</w:t>
            </w:r>
          </w:p>
        </w:tc>
      </w:tr>
      <w:tr w:rsidR="001A0D6B" w:rsidRPr="00360DE3" w:rsidTr="001A0D6B">
        <w:trPr>
          <w:trHeight w:val="170"/>
        </w:trPr>
        <w:tc>
          <w:tcPr>
            <w:tcW w:w="1976" w:type="dxa"/>
          </w:tcPr>
          <w:p w:rsidR="001A0D6B" w:rsidRPr="00360DE3" w:rsidRDefault="001A0D6B" w:rsidP="00F162B3">
            <w:pPr>
              <w:pStyle w:val="Marginlie"/>
              <w:rPr>
                <w:spacing w:val="0"/>
              </w:rPr>
            </w:pPr>
            <w:r w:rsidRPr="00360DE3">
              <w:rPr>
                <w:spacing w:val="0"/>
              </w:rPr>
              <w:t>Produkce v těžebním průmyslu klesala již desátým rokem v řadě. Útlum těžby černého uhlí a uranu nebyl kompenzován růstem těžby některých stavebních surovin.</w:t>
            </w:r>
          </w:p>
        </w:tc>
        <w:tc>
          <w:tcPr>
            <w:tcW w:w="277" w:type="dxa"/>
          </w:tcPr>
          <w:p w:rsidR="001A0D6B" w:rsidRPr="00360DE3" w:rsidRDefault="001A0D6B" w:rsidP="00F162B3">
            <w:pPr>
              <w:pStyle w:val="Textpoznpodarou"/>
              <w:jc w:val="both"/>
            </w:pPr>
          </w:p>
        </w:tc>
        <w:tc>
          <w:tcPr>
            <w:tcW w:w="7391" w:type="dxa"/>
          </w:tcPr>
          <w:p w:rsidR="001A0D6B" w:rsidRPr="00360DE3" w:rsidRDefault="001A0D6B" w:rsidP="00F162B3">
            <w:pPr>
              <w:spacing w:after="220"/>
              <w:rPr>
                <w:rFonts w:cs="Arial"/>
                <w:szCs w:val="20"/>
              </w:rPr>
            </w:pPr>
            <w:r w:rsidRPr="00360DE3">
              <w:rPr>
                <w:rFonts w:cs="Arial"/>
                <w:szCs w:val="20"/>
              </w:rPr>
              <w:t>I v roce 2017 pokračoval vleklý útlum v těžebním průmyslu. Produkce zde klesala již desátým rokem v řadě (v úhrnu za celé období o 37 %). Přidaná hodnota se loni snížila bezmála o desetinu, především vlivem řízeného útlumu těžby černého uhlí, z menší části také uranu. Celkový vývoj v odvětví již nemohly zvrátit vyšší výkony v okrajovém segmentu těžby některých surovin (kámen, písky, jíly) užívaných ve stavebnictví. Hloubce redukce výkonových ukazatelů v celém o</w:t>
            </w:r>
            <w:r w:rsidR="00274037">
              <w:rPr>
                <w:rFonts w:cs="Arial"/>
                <w:szCs w:val="20"/>
              </w:rPr>
              <w:t>dvětví odpovídal i</w:t>
            </w:r>
            <w:r w:rsidR="00274037" w:rsidRPr="00360DE3">
              <w:t> </w:t>
            </w:r>
            <w:r w:rsidRPr="00360DE3">
              <w:rPr>
                <w:rFonts w:cs="Arial"/>
                <w:szCs w:val="20"/>
              </w:rPr>
              <w:t>úbytek pracovních míst. Rok 2017 přinesl i pozitivní zprávu – nominální tržby podniků v těžbě a dobývání poprvé po roce 2011 vzrostly (+8,7 %), když se prudký pokles cen uhlí zastavil.</w:t>
            </w:r>
          </w:p>
        </w:tc>
      </w:tr>
      <w:tr w:rsidR="001A0D6B" w:rsidRPr="00360DE3" w:rsidTr="001A0D6B">
        <w:trPr>
          <w:trHeight w:val="170"/>
        </w:trPr>
        <w:tc>
          <w:tcPr>
            <w:tcW w:w="1976" w:type="dxa"/>
          </w:tcPr>
          <w:p w:rsidR="001A0D6B" w:rsidRPr="00360DE3" w:rsidRDefault="001A0D6B" w:rsidP="00F162B3">
            <w:pPr>
              <w:pStyle w:val="Marginlie"/>
              <w:rPr>
                <w:spacing w:val="0"/>
              </w:rPr>
            </w:pPr>
            <w:r w:rsidRPr="00360DE3">
              <w:rPr>
                <w:spacing w:val="0"/>
              </w:rPr>
              <w:t>Výkony i zaměstnanost v hutnictví a slévárenství po roce 2010 stagnovaly.</w:t>
            </w:r>
          </w:p>
        </w:tc>
        <w:tc>
          <w:tcPr>
            <w:tcW w:w="277" w:type="dxa"/>
          </w:tcPr>
          <w:p w:rsidR="001A0D6B" w:rsidRPr="00360DE3" w:rsidRDefault="001A0D6B" w:rsidP="00F162B3">
            <w:pPr>
              <w:pStyle w:val="Textpoznpodarou"/>
              <w:jc w:val="both"/>
            </w:pPr>
          </w:p>
        </w:tc>
        <w:tc>
          <w:tcPr>
            <w:tcW w:w="7391" w:type="dxa"/>
          </w:tcPr>
          <w:p w:rsidR="001A0D6B" w:rsidRPr="00360DE3" w:rsidRDefault="001A0D6B" w:rsidP="00F162B3">
            <w:pPr>
              <w:spacing w:after="220"/>
              <w:rPr>
                <w:rFonts w:cs="Arial"/>
                <w:szCs w:val="20"/>
              </w:rPr>
            </w:pPr>
            <w:r w:rsidRPr="00360DE3">
              <w:rPr>
                <w:rFonts w:cs="Arial"/>
                <w:szCs w:val="20"/>
              </w:rPr>
              <w:t>S dílčími problémy se potýkalo i hutnictví a slévárenství. V roce 2017 jeho HPH klesla o 13 %. Z pohledu celého období po roce 2010 výkon odvětví spíše stagnuje – ať již jde o produkci, přidanou hodnotu i celkovou zaměstnanost. Ovlivňují ho dlouhodobější strukturální změny v celém průmyslu (vč. tlaků na snižování materiálové i energetické náročnosti), ale i důsledky sílících dovozů oceli a příbuzných výrobků z Číny.</w:t>
            </w:r>
          </w:p>
        </w:tc>
      </w:tr>
      <w:tr w:rsidR="00B57338" w:rsidRPr="00360DE3" w:rsidTr="001A0D6B">
        <w:trPr>
          <w:trHeight w:val="170"/>
        </w:trPr>
        <w:tc>
          <w:tcPr>
            <w:tcW w:w="1976" w:type="dxa"/>
          </w:tcPr>
          <w:p w:rsidR="00B57338" w:rsidRPr="00360DE3" w:rsidRDefault="00B57338" w:rsidP="00F162B3">
            <w:pPr>
              <w:pStyle w:val="Marginlie"/>
              <w:rPr>
                <w:spacing w:val="0"/>
              </w:rPr>
            </w:pPr>
            <w:r w:rsidRPr="00360DE3">
              <w:rPr>
                <w:spacing w:val="0"/>
              </w:rPr>
              <w:t>Dílčí průmyslové obory se dlouhodobě liší investiční náročností, produktivitou práce, ziskovostí, ale i vlastnickou skladbou podniků.</w:t>
            </w:r>
          </w:p>
          <w:p w:rsidR="00B57338" w:rsidRPr="00360DE3" w:rsidRDefault="00B57338" w:rsidP="00F162B3">
            <w:pPr>
              <w:pStyle w:val="Marginlie"/>
              <w:rPr>
                <w:spacing w:val="0"/>
              </w:rPr>
            </w:pPr>
          </w:p>
          <w:p w:rsidR="00B57338" w:rsidRPr="00360DE3" w:rsidRDefault="00B57338" w:rsidP="00F162B3">
            <w:pPr>
              <w:pStyle w:val="Marginlie"/>
              <w:rPr>
                <w:spacing w:val="0"/>
              </w:rPr>
            </w:pPr>
          </w:p>
          <w:p w:rsidR="00B57338" w:rsidRPr="00360DE3" w:rsidRDefault="00B57338" w:rsidP="00F162B3">
            <w:pPr>
              <w:pStyle w:val="Marginlie"/>
              <w:rPr>
                <w:spacing w:val="0"/>
              </w:rPr>
            </w:pPr>
          </w:p>
          <w:p w:rsidR="00B57338" w:rsidRPr="00360DE3" w:rsidRDefault="00B57338" w:rsidP="00F162B3">
            <w:pPr>
              <w:pStyle w:val="Marginlie"/>
              <w:rPr>
                <w:spacing w:val="0"/>
              </w:rPr>
            </w:pPr>
          </w:p>
          <w:p w:rsidR="00B57338" w:rsidRPr="00360DE3" w:rsidRDefault="00B57338" w:rsidP="00F162B3">
            <w:pPr>
              <w:pStyle w:val="Marginlie"/>
              <w:rPr>
                <w:spacing w:val="0"/>
              </w:rPr>
            </w:pPr>
          </w:p>
          <w:p w:rsidR="00B57338" w:rsidRPr="00360DE3" w:rsidRDefault="00B57338" w:rsidP="00F162B3">
            <w:pPr>
              <w:pStyle w:val="Marginlie"/>
              <w:rPr>
                <w:spacing w:val="0"/>
              </w:rPr>
            </w:pPr>
          </w:p>
          <w:p w:rsidR="00B57338" w:rsidRPr="00360DE3" w:rsidRDefault="00B57338" w:rsidP="00F162B3">
            <w:pPr>
              <w:pStyle w:val="Marginlie"/>
              <w:rPr>
                <w:spacing w:val="0"/>
              </w:rPr>
            </w:pPr>
            <w:r w:rsidRPr="00360DE3">
              <w:rPr>
                <w:spacing w:val="0"/>
              </w:rPr>
              <w:t>Vztah mezi mírou ziskovosti a rolí zahraničního kapitálu je na úrovni odvětvových oddílů průmyslu v ČR silný.</w:t>
            </w:r>
          </w:p>
        </w:tc>
        <w:tc>
          <w:tcPr>
            <w:tcW w:w="277" w:type="dxa"/>
          </w:tcPr>
          <w:p w:rsidR="00B57338" w:rsidRPr="00360DE3" w:rsidRDefault="00B57338" w:rsidP="00F162B3">
            <w:pPr>
              <w:pStyle w:val="Textpoznpodarou"/>
              <w:jc w:val="both"/>
            </w:pPr>
          </w:p>
        </w:tc>
        <w:tc>
          <w:tcPr>
            <w:tcW w:w="7391" w:type="dxa"/>
          </w:tcPr>
          <w:p w:rsidR="00B57338" w:rsidRPr="00360DE3" w:rsidRDefault="00B57338" w:rsidP="00F162B3">
            <w:pPr>
              <w:rPr>
                <w:rFonts w:cs="Arial"/>
                <w:szCs w:val="20"/>
              </w:rPr>
            </w:pPr>
            <w:r w:rsidRPr="00360DE3">
              <w:rPr>
                <w:rFonts w:cs="Arial"/>
                <w:szCs w:val="20"/>
              </w:rPr>
              <w:t xml:space="preserve">Charakter výrobní činnosti odlišuje jednotlivé průmyslové obory z hlediska požadavků na pracovní sílu či investiční náročnosti. Obory se liší také organizační strukturou (velikostní i vlastnickou skladbou podniků). Tyto vlivy se promítají do výrazných rozdílů mezi průmyslovými obory z pohledu dosahované produktivity práce, míry investic či ziskovosti. Nejvyšší míry ziskovosti dlouhodobě dosahují </w:t>
            </w:r>
            <w:r w:rsidRPr="00360DE3">
              <w:rPr>
                <w:rFonts w:cs="Arial"/>
                <w:szCs w:val="20"/>
              </w:rPr>
              <w:lastRenderedPageBreak/>
              <w:t>nefinanční podniky v energetice, v nápojovém, tabákovém průmyslu a také odvětví výroby počítačů, elektronických a optických přístrojů. Toto odvětví vykazuje společně s energetikou, těžbou i petrochemickým průmyslem nejvyšší investiční nenáročnost. Vztah mezi mírou investic a zisku je v průmyslových odvětvích poměrně volný. Těsnost vazby mezi investiční aktivitou a podílem podniků pod zahraniční kontrolou (na HPH vytvořené podnikovou sférou) byla ještě slabší. Naopak vazba mezi ziskovostí podniků a rolí zahraničního kapitálu se ukázala jako významná. Zčásti je to způsobeno selektivností zahraničních investic, které v minulosti proudily především do perspektivních oborů.</w:t>
            </w:r>
          </w:p>
        </w:tc>
      </w:tr>
      <w:tr w:rsidR="00B57338" w:rsidRPr="00360DE3" w:rsidTr="001A0D6B">
        <w:trPr>
          <w:trHeight w:val="170"/>
        </w:trPr>
        <w:tc>
          <w:tcPr>
            <w:tcW w:w="1976" w:type="dxa"/>
          </w:tcPr>
          <w:p w:rsidR="00B57338" w:rsidRPr="00360DE3" w:rsidRDefault="00B57338" w:rsidP="00DC37E3">
            <w:pPr>
              <w:pStyle w:val="Marginlie"/>
              <w:rPr>
                <w:spacing w:val="0"/>
              </w:rPr>
            </w:pPr>
          </w:p>
        </w:tc>
        <w:tc>
          <w:tcPr>
            <w:tcW w:w="277" w:type="dxa"/>
          </w:tcPr>
          <w:p w:rsidR="00B57338" w:rsidRPr="00360DE3" w:rsidRDefault="00B57338" w:rsidP="00DC37E3">
            <w:pPr>
              <w:pStyle w:val="Textpoznpodarou"/>
              <w:jc w:val="both"/>
            </w:pPr>
          </w:p>
        </w:tc>
        <w:tc>
          <w:tcPr>
            <w:tcW w:w="7391" w:type="dxa"/>
          </w:tcPr>
          <w:p w:rsidR="00B57338" w:rsidRPr="00360DE3" w:rsidRDefault="00B57338" w:rsidP="00DC37E3">
            <w:pPr>
              <w:spacing w:after="0"/>
              <w:rPr>
                <w:rFonts w:cs="Arial"/>
                <w:szCs w:val="20"/>
              </w:rPr>
            </w:pPr>
            <w:r w:rsidRPr="00360DE3">
              <w:rPr>
                <w:rFonts w:cs="Arial"/>
                <w:b/>
                <w:szCs w:val="20"/>
              </w:rPr>
              <w:t xml:space="preserve">Graf </w:t>
            </w:r>
            <w:proofErr w:type="gramStart"/>
            <w:r w:rsidRPr="00360DE3">
              <w:rPr>
                <w:rFonts w:cs="Arial"/>
                <w:b/>
                <w:szCs w:val="20"/>
              </w:rPr>
              <w:t>11.4  Míra</w:t>
            </w:r>
            <w:proofErr w:type="gramEnd"/>
            <w:r w:rsidRPr="00360DE3">
              <w:rPr>
                <w:rFonts w:cs="Arial"/>
                <w:b/>
                <w:szCs w:val="20"/>
              </w:rPr>
              <w:t xml:space="preserve"> investic, míra zisku*v roce 2017 a podíl podniků pod zahraniční kontrolou na HPH vytvořené všemi nefinančními podniky</w:t>
            </w:r>
            <w:r w:rsidRPr="00360DE3">
              <w:rPr>
                <w:rFonts w:cs="Arial"/>
                <w:szCs w:val="20"/>
              </w:rPr>
              <w:t xml:space="preserve"> </w:t>
            </w:r>
            <w:r w:rsidRPr="00360DE3">
              <w:rPr>
                <w:rFonts w:cs="Arial"/>
                <w:b/>
                <w:szCs w:val="20"/>
              </w:rPr>
              <w:t xml:space="preserve">v roce 2016 </w:t>
            </w:r>
            <w:r w:rsidRPr="00360DE3">
              <w:rPr>
                <w:rFonts w:cs="Arial"/>
                <w:szCs w:val="20"/>
              </w:rPr>
              <w:t>(v %)</w:t>
            </w:r>
          </w:p>
          <w:p w:rsidR="00B57338" w:rsidRPr="00360DE3" w:rsidRDefault="00B57338" w:rsidP="00DC37E3">
            <w:pPr>
              <w:spacing w:after="0"/>
              <w:rPr>
                <w:rFonts w:cs="Arial"/>
                <w:sz w:val="14"/>
                <w:szCs w:val="14"/>
              </w:rPr>
            </w:pPr>
            <w:r w:rsidRPr="00360DE3">
              <w:rPr>
                <w:rFonts w:cs="Arial"/>
                <w:noProof/>
                <w:sz w:val="14"/>
                <w:szCs w:val="14"/>
              </w:rPr>
              <w:drawing>
                <wp:inline distT="0" distB="0" distL="0" distR="0">
                  <wp:extent cx="4703673" cy="3467405"/>
                  <wp:effectExtent l="0" t="0" r="0" b="0"/>
                  <wp:docPr id="49"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c>
      </w:tr>
      <w:tr w:rsidR="00B57338" w:rsidRPr="00360DE3" w:rsidTr="001A0D6B">
        <w:trPr>
          <w:trHeight w:val="170"/>
        </w:trPr>
        <w:tc>
          <w:tcPr>
            <w:tcW w:w="1976" w:type="dxa"/>
          </w:tcPr>
          <w:p w:rsidR="00B57338" w:rsidRPr="00360DE3" w:rsidRDefault="00B57338" w:rsidP="00DC37E3">
            <w:pPr>
              <w:pStyle w:val="Marginlie"/>
              <w:rPr>
                <w:spacing w:val="0"/>
              </w:rPr>
            </w:pPr>
          </w:p>
        </w:tc>
        <w:tc>
          <w:tcPr>
            <w:tcW w:w="277" w:type="dxa"/>
          </w:tcPr>
          <w:p w:rsidR="00B57338" w:rsidRPr="00360DE3" w:rsidRDefault="00B57338" w:rsidP="00DC37E3">
            <w:pPr>
              <w:pStyle w:val="Textpoznpodarou"/>
              <w:jc w:val="both"/>
            </w:pPr>
          </w:p>
        </w:tc>
        <w:tc>
          <w:tcPr>
            <w:tcW w:w="7391" w:type="dxa"/>
          </w:tcPr>
          <w:p w:rsidR="00B57338" w:rsidRPr="00360DE3" w:rsidRDefault="00B57338" w:rsidP="00DC37E3">
            <w:pPr>
              <w:spacing w:after="200"/>
              <w:rPr>
                <w:rFonts w:cs="Arial"/>
                <w:sz w:val="14"/>
                <w:szCs w:val="14"/>
              </w:rPr>
            </w:pPr>
            <w:r w:rsidRPr="00360DE3">
              <w:rPr>
                <w:rFonts w:cs="Arial"/>
                <w:sz w:val="14"/>
                <w:szCs w:val="14"/>
              </w:rPr>
              <w:t>*Míra zisku se vztahuje jen k nefinančním podnikům, nezahrnuje tedy všechny ekonomické subjekty působící v příslušném odvětví. U popisů jednotlivých průmyslových oddílů či sekcí je v závorce uveden příslušný kód dle klasifikace CZ-NACE.                                                                                                               Zdroj: ČSÚ (národní účty)</w:t>
            </w:r>
          </w:p>
        </w:tc>
      </w:tr>
      <w:tr w:rsidR="00B57338" w:rsidRPr="00360DE3" w:rsidTr="001A0D6B">
        <w:trPr>
          <w:trHeight w:val="170"/>
        </w:trPr>
        <w:tc>
          <w:tcPr>
            <w:tcW w:w="1976" w:type="dxa"/>
          </w:tcPr>
          <w:p w:rsidR="00B57338" w:rsidRPr="00360DE3" w:rsidRDefault="00B57338" w:rsidP="00F162B3">
            <w:pPr>
              <w:pStyle w:val="Marginlie"/>
              <w:rPr>
                <w:spacing w:val="0"/>
              </w:rPr>
            </w:pPr>
            <w:r w:rsidRPr="00360DE3">
              <w:rPr>
                <w:spacing w:val="0"/>
              </w:rPr>
              <w:t xml:space="preserve">Energetika představuje v ČR významný obor z hlediska ekonomických výkonů, z pohledu zaměstnanosti mezi průmyslovými obory nevyčnívá. </w:t>
            </w:r>
          </w:p>
          <w:p w:rsidR="00B57338" w:rsidRPr="00360DE3" w:rsidRDefault="00B57338" w:rsidP="00F162B3">
            <w:pPr>
              <w:pStyle w:val="Marginlie"/>
              <w:rPr>
                <w:spacing w:val="0"/>
              </w:rPr>
            </w:pPr>
          </w:p>
          <w:p w:rsidR="00B57338" w:rsidRPr="00360DE3" w:rsidRDefault="00B57338" w:rsidP="00F162B3">
            <w:pPr>
              <w:pStyle w:val="Marginlie"/>
              <w:rPr>
                <w:spacing w:val="0"/>
              </w:rPr>
            </w:pPr>
          </w:p>
          <w:p w:rsidR="00B57338" w:rsidRPr="00360DE3" w:rsidRDefault="00B57338" w:rsidP="00F162B3">
            <w:pPr>
              <w:pStyle w:val="Marginlie"/>
              <w:rPr>
                <w:spacing w:val="0"/>
              </w:rPr>
            </w:pPr>
          </w:p>
          <w:p w:rsidR="00B57338" w:rsidRPr="00360DE3" w:rsidRDefault="00B57338" w:rsidP="00F162B3">
            <w:pPr>
              <w:pStyle w:val="Marginlie"/>
              <w:rPr>
                <w:spacing w:val="0"/>
              </w:rPr>
            </w:pPr>
          </w:p>
          <w:p w:rsidR="00B57338" w:rsidRPr="00360DE3" w:rsidRDefault="00CF1C4C" w:rsidP="00F162B3">
            <w:pPr>
              <w:pStyle w:val="Marginlie"/>
              <w:rPr>
                <w:spacing w:val="0"/>
              </w:rPr>
            </w:pPr>
            <w:r>
              <w:rPr>
                <w:spacing w:val="0"/>
              </w:rPr>
              <w:t xml:space="preserve">Pokles tuzemské výroby elektřiny </w:t>
            </w:r>
            <w:r w:rsidR="00B57338" w:rsidRPr="00360DE3">
              <w:rPr>
                <w:spacing w:val="0"/>
              </w:rPr>
              <w:t xml:space="preserve">se v Česku loni po čtyřech letech zastavil. Klíčovou roli sehrálo plné </w:t>
            </w:r>
            <w:r w:rsidR="00B57338" w:rsidRPr="00360DE3">
              <w:rPr>
                <w:spacing w:val="0"/>
              </w:rPr>
              <w:lastRenderedPageBreak/>
              <w:t xml:space="preserve">obnovení výrobních kapacit v jaderných elektrárnách. </w:t>
            </w:r>
          </w:p>
        </w:tc>
        <w:tc>
          <w:tcPr>
            <w:tcW w:w="277" w:type="dxa"/>
          </w:tcPr>
          <w:p w:rsidR="00B57338" w:rsidRPr="00360DE3" w:rsidRDefault="00B57338" w:rsidP="00F162B3">
            <w:pPr>
              <w:pStyle w:val="Textpoznpodarou"/>
              <w:jc w:val="both"/>
            </w:pPr>
          </w:p>
        </w:tc>
        <w:tc>
          <w:tcPr>
            <w:tcW w:w="7391" w:type="dxa"/>
          </w:tcPr>
          <w:p w:rsidR="00B57338" w:rsidRPr="00360DE3" w:rsidRDefault="00B57338" w:rsidP="00F162B3">
            <w:pPr>
              <w:spacing w:after="220"/>
              <w:rPr>
                <w:rFonts w:cs="Arial"/>
                <w:szCs w:val="20"/>
              </w:rPr>
            </w:pPr>
            <w:r w:rsidRPr="00360DE3">
              <w:rPr>
                <w:rFonts w:cs="Arial"/>
                <w:szCs w:val="20"/>
              </w:rPr>
              <w:t>Energetika představuje v Česku z pohledu přidané hodnoty druhý nejvýznamnější průmyslový obor (na jeho HPH se podílí desetinou)</w:t>
            </w:r>
            <w:r w:rsidRPr="00360DE3">
              <w:rPr>
                <w:rStyle w:val="Znakapoznpodarou"/>
                <w:rFonts w:cs="Arial"/>
                <w:szCs w:val="20"/>
              </w:rPr>
              <w:footnoteReference w:id="84"/>
            </w:r>
            <w:r w:rsidRPr="00360DE3">
              <w:rPr>
                <w:rFonts w:cs="Arial"/>
                <w:szCs w:val="20"/>
              </w:rPr>
              <w:t>, z hlediska zaměstnanosti ale mezi průmyslovými obory nevybočuje</w:t>
            </w:r>
            <w:r w:rsidRPr="00360DE3">
              <w:rPr>
                <w:rStyle w:val="Znakapoznpodarou"/>
                <w:rFonts w:cs="Arial"/>
                <w:szCs w:val="20"/>
              </w:rPr>
              <w:footnoteReference w:id="85"/>
            </w:r>
            <w:r w:rsidRPr="00360DE3">
              <w:rPr>
                <w:rFonts w:cs="Arial"/>
                <w:szCs w:val="20"/>
              </w:rPr>
              <w:t xml:space="preserve">. Dle údajů Energetického regulačního úřadu se vloni po čtyřech letech zastavil pokles tuzemské hrubé výroby elektřiny. Ta vzrostla meziročně o 4,5 % (na 83 </w:t>
            </w:r>
            <w:proofErr w:type="spellStart"/>
            <w:r w:rsidRPr="00360DE3">
              <w:rPr>
                <w:rFonts w:cs="Arial"/>
                <w:szCs w:val="20"/>
              </w:rPr>
              <w:t>TWh</w:t>
            </w:r>
            <w:proofErr w:type="spellEnd"/>
            <w:r w:rsidRPr="00360DE3">
              <w:rPr>
                <w:rFonts w:cs="Arial"/>
                <w:szCs w:val="20"/>
              </w:rPr>
              <w:t xml:space="preserve">). Za loňským růstem (i poklesem v letech 2015 i 2016) stály téměř výhradně jaderné elektrárny, které loni zvýšily produkci o šestinu a dosáhly třetí nejvyšší výroby v historii (28,3 </w:t>
            </w:r>
            <w:proofErr w:type="spellStart"/>
            <w:r w:rsidRPr="00360DE3">
              <w:rPr>
                <w:rFonts w:cs="Arial"/>
                <w:szCs w:val="20"/>
              </w:rPr>
              <w:t>GWh</w:t>
            </w:r>
            <w:proofErr w:type="spellEnd"/>
            <w:r w:rsidRPr="00360DE3">
              <w:rPr>
                <w:rFonts w:cs="Arial"/>
                <w:szCs w:val="20"/>
              </w:rPr>
              <w:t xml:space="preserve">). Výroba v parních elektrárnách (45,4 </w:t>
            </w:r>
            <w:proofErr w:type="spellStart"/>
            <w:r w:rsidRPr="00360DE3">
              <w:rPr>
                <w:rFonts w:cs="Arial"/>
                <w:szCs w:val="20"/>
              </w:rPr>
              <w:t>TWh</w:t>
            </w:r>
            <w:proofErr w:type="spellEnd"/>
            <w:r w:rsidRPr="00360DE3">
              <w:rPr>
                <w:rFonts w:cs="Arial"/>
                <w:szCs w:val="20"/>
              </w:rPr>
              <w:t xml:space="preserve">), loni klesla o 0,6 %, neboť téměř čtvrtinový pokles výroby elektřiny z černého uhlí nebyl plně kompenzován vyšším užitím biomasy a klíčové položky – hnědého uhlí. Podíl výroby elektřiny z obnovitelných zdrojů na tuzemské spotřebě v posledních pěti letech stagnuje na 13 %. Výroba z větrných elektráren i biomasy byla loni nejvyšší v novodobé historii, naopak </w:t>
            </w:r>
            <w:r w:rsidRPr="00360DE3">
              <w:rPr>
                <w:rFonts w:cs="Arial"/>
                <w:szCs w:val="20"/>
              </w:rPr>
              <w:lastRenderedPageBreak/>
              <w:t>produkce z vodních elektráren o 6,5 % klesla. Celková hrubá spotřeba elektřiny v tuzemsku zásluhou všech kategorií odběratelů</w:t>
            </w:r>
            <w:r w:rsidR="00274037">
              <w:rPr>
                <w:rFonts w:cs="Arial"/>
                <w:szCs w:val="20"/>
              </w:rPr>
              <w:t xml:space="preserve"> nadále rostla (loni o 1,9 %) a</w:t>
            </w:r>
            <w:r w:rsidR="00274037" w:rsidRPr="00360DE3">
              <w:t> </w:t>
            </w:r>
            <w:r w:rsidRPr="00360DE3">
              <w:rPr>
                <w:rFonts w:cs="Arial"/>
                <w:szCs w:val="20"/>
              </w:rPr>
              <w:t xml:space="preserve">dosáhla rekordní výše (73,8 </w:t>
            </w:r>
            <w:proofErr w:type="spellStart"/>
            <w:r w:rsidRPr="00360DE3">
              <w:rPr>
                <w:rFonts w:cs="Arial"/>
                <w:szCs w:val="20"/>
              </w:rPr>
              <w:t>TWh</w:t>
            </w:r>
            <w:proofErr w:type="spellEnd"/>
            <w:r w:rsidRPr="00360DE3">
              <w:rPr>
                <w:rFonts w:cs="Arial"/>
                <w:szCs w:val="20"/>
              </w:rPr>
              <w:t xml:space="preserve">). Mezi domácnosti spotřebovaly (v přepočtu na obyvatele) nejvíc elektřiny ve Středočeském a Jihočeském kraji (o třetinu nad úrovní ČR). Česko je dlouhodobě čistým vývozcem elektřiny. Kladné saldo obchodu s elektřinou se meziročně zvýšilo skoro o pětinu (na 13 </w:t>
            </w:r>
            <w:proofErr w:type="spellStart"/>
            <w:r w:rsidRPr="00360DE3">
              <w:rPr>
                <w:rFonts w:cs="Arial"/>
                <w:szCs w:val="20"/>
              </w:rPr>
              <w:t>TWh</w:t>
            </w:r>
            <w:proofErr w:type="spellEnd"/>
            <w:r w:rsidRPr="00360DE3">
              <w:rPr>
                <w:rFonts w:cs="Arial"/>
                <w:szCs w:val="20"/>
              </w:rPr>
              <w:t xml:space="preserve">), neboť po propadu vývozu z roku 2016 se jeho výše vrátila na obvyklou úroveň. </w:t>
            </w:r>
          </w:p>
        </w:tc>
      </w:tr>
      <w:tr w:rsidR="00B57338" w:rsidRPr="00360DE3" w:rsidTr="001A0D6B">
        <w:trPr>
          <w:trHeight w:val="170"/>
        </w:trPr>
        <w:tc>
          <w:tcPr>
            <w:tcW w:w="1976" w:type="dxa"/>
          </w:tcPr>
          <w:p w:rsidR="00B57338" w:rsidRPr="00360DE3" w:rsidRDefault="00B57338" w:rsidP="00DC37E3">
            <w:pPr>
              <w:pStyle w:val="Marginlie"/>
              <w:rPr>
                <w:spacing w:val="0"/>
              </w:rPr>
            </w:pPr>
          </w:p>
        </w:tc>
        <w:tc>
          <w:tcPr>
            <w:tcW w:w="277" w:type="dxa"/>
          </w:tcPr>
          <w:p w:rsidR="00B57338" w:rsidRPr="00360DE3" w:rsidRDefault="00B57338" w:rsidP="00DC37E3">
            <w:pPr>
              <w:pStyle w:val="Textpoznpodarou"/>
              <w:jc w:val="both"/>
            </w:pPr>
          </w:p>
        </w:tc>
        <w:tc>
          <w:tcPr>
            <w:tcW w:w="7391" w:type="dxa"/>
          </w:tcPr>
          <w:p w:rsidR="00B57338" w:rsidRPr="00360DE3" w:rsidRDefault="00B57338" w:rsidP="00DC37E3">
            <w:pPr>
              <w:spacing w:after="0"/>
              <w:jc w:val="left"/>
              <w:rPr>
                <w:rFonts w:cs="Arial"/>
                <w:szCs w:val="20"/>
              </w:rPr>
            </w:pPr>
            <w:r w:rsidRPr="00360DE3">
              <w:rPr>
                <w:rFonts w:cs="Arial"/>
                <w:b/>
                <w:szCs w:val="20"/>
              </w:rPr>
              <w:t>Graf 11.5  Zdroje výroby elektr. energie v ČR</w:t>
            </w:r>
            <w:r w:rsidRPr="00360DE3">
              <w:rPr>
                <w:rFonts w:cs="Arial"/>
                <w:szCs w:val="20"/>
              </w:rPr>
              <w:t xml:space="preserve"> (příspěvek </w:t>
            </w:r>
            <w:proofErr w:type="spellStart"/>
            <w:r w:rsidRPr="00360DE3">
              <w:rPr>
                <w:rFonts w:cs="Arial"/>
                <w:szCs w:val="20"/>
              </w:rPr>
              <w:t>meziroč</w:t>
            </w:r>
            <w:proofErr w:type="spellEnd"/>
            <w:r w:rsidRPr="00360DE3">
              <w:rPr>
                <w:rFonts w:cs="Arial"/>
                <w:szCs w:val="20"/>
              </w:rPr>
              <w:t xml:space="preserve">. </w:t>
            </w:r>
            <w:proofErr w:type="gramStart"/>
            <w:r w:rsidRPr="00360DE3">
              <w:rPr>
                <w:rFonts w:cs="Arial"/>
                <w:szCs w:val="20"/>
              </w:rPr>
              <w:t>změně, v p .</w:t>
            </w:r>
            <w:proofErr w:type="spellStart"/>
            <w:r w:rsidRPr="00360DE3">
              <w:rPr>
                <w:rFonts w:cs="Arial"/>
                <w:szCs w:val="20"/>
              </w:rPr>
              <w:t>b</w:t>
            </w:r>
            <w:proofErr w:type="spellEnd"/>
            <w:r w:rsidRPr="00360DE3">
              <w:rPr>
                <w:rFonts w:cs="Arial"/>
                <w:szCs w:val="20"/>
              </w:rPr>
              <w:t xml:space="preserve">.) </w:t>
            </w:r>
            <w:r w:rsidRPr="00360DE3">
              <w:rPr>
                <w:rFonts w:cs="Arial"/>
                <w:b/>
                <w:szCs w:val="20"/>
              </w:rPr>
              <w:t>a tuzemská</w:t>
            </w:r>
            <w:proofErr w:type="gramEnd"/>
            <w:r w:rsidRPr="00360DE3">
              <w:rPr>
                <w:rFonts w:cs="Arial"/>
                <w:b/>
                <w:szCs w:val="20"/>
              </w:rPr>
              <w:t xml:space="preserve"> spotřeba elektřiny dle hl. odběratelů</w:t>
            </w:r>
            <w:r w:rsidRPr="00360DE3">
              <w:rPr>
                <w:rFonts w:cs="Arial"/>
                <w:szCs w:val="20"/>
              </w:rPr>
              <w:t xml:space="preserve"> (v </w:t>
            </w:r>
            <w:proofErr w:type="spellStart"/>
            <w:r w:rsidRPr="00360DE3">
              <w:rPr>
                <w:rFonts w:cs="Arial"/>
                <w:szCs w:val="20"/>
              </w:rPr>
              <w:t>GWh</w:t>
            </w:r>
            <w:proofErr w:type="spellEnd"/>
            <w:r w:rsidRPr="00360DE3">
              <w:rPr>
                <w:rFonts w:cs="Arial"/>
                <w:szCs w:val="20"/>
              </w:rPr>
              <w:t xml:space="preserve">, rok 2005=100, </w:t>
            </w:r>
            <w:proofErr w:type="spellStart"/>
            <w:r w:rsidRPr="00360DE3">
              <w:rPr>
                <w:rFonts w:cs="Arial"/>
                <w:szCs w:val="20"/>
              </w:rPr>
              <w:t>pr</w:t>
            </w:r>
            <w:proofErr w:type="spellEnd"/>
            <w:r w:rsidRPr="00360DE3">
              <w:rPr>
                <w:rFonts w:cs="Arial"/>
                <w:szCs w:val="20"/>
              </w:rPr>
              <w:t xml:space="preserve">. osa) </w:t>
            </w:r>
          </w:p>
          <w:p w:rsidR="00B57338" w:rsidRPr="00360DE3" w:rsidRDefault="00B57338" w:rsidP="00DC37E3">
            <w:pPr>
              <w:spacing w:after="0"/>
              <w:rPr>
                <w:rFonts w:cs="Arial"/>
                <w:szCs w:val="20"/>
              </w:rPr>
            </w:pPr>
            <w:r w:rsidRPr="00360DE3">
              <w:rPr>
                <w:rFonts w:cs="Arial"/>
                <w:noProof/>
                <w:szCs w:val="20"/>
              </w:rPr>
              <w:drawing>
                <wp:inline distT="0" distB="0" distL="0" distR="0">
                  <wp:extent cx="4660112" cy="3511296"/>
                  <wp:effectExtent l="0" t="0" r="7138" b="0"/>
                  <wp:docPr id="5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tc>
      </w:tr>
      <w:tr w:rsidR="00B57338" w:rsidRPr="00360DE3" w:rsidTr="001A0D6B">
        <w:trPr>
          <w:trHeight w:val="170"/>
        </w:trPr>
        <w:tc>
          <w:tcPr>
            <w:tcW w:w="1976" w:type="dxa"/>
          </w:tcPr>
          <w:p w:rsidR="00B57338" w:rsidRPr="00360DE3" w:rsidRDefault="00B57338" w:rsidP="00DC37E3">
            <w:pPr>
              <w:pStyle w:val="Marginlie"/>
              <w:rPr>
                <w:spacing w:val="0"/>
              </w:rPr>
            </w:pPr>
          </w:p>
        </w:tc>
        <w:tc>
          <w:tcPr>
            <w:tcW w:w="277" w:type="dxa"/>
          </w:tcPr>
          <w:p w:rsidR="00B57338" w:rsidRPr="00360DE3" w:rsidRDefault="00B57338" w:rsidP="00DC37E3">
            <w:pPr>
              <w:pStyle w:val="Textpoznpodarou"/>
              <w:jc w:val="both"/>
            </w:pPr>
          </w:p>
        </w:tc>
        <w:tc>
          <w:tcPr>
            <w:tcW w:w="7391" w:type="dxa"/>
          </w:tcPr>
          <w:p w:rsidR="00B57338" w:rsidRPr="00360DE3" w:rsidRDefault="00B57338" w:rsidP="00DC37E3">
            <w:pPr>
              <w:spacing w:after="220"/>
              <w:rPr>
                <w:rFonts w:cs="Arial"/>
                <w:sz w:val="14"/>
                <w:szCs w:val="14"/>
              </w:rPr>
            </w:pPr>
            <w:r w:rsidRPr="00360DE3">
              <w:rPr>
                <w:rFonts w:cs="Arial"/>
                <w:sz w:val="14"/>
                <w:szCs w:val="14"/>
              </w:rPr>
              <w:t xml:space="preserve"> Zdroj: Energetický regulační úřad.</w:t>
            </w:r>
          </w:p>
        </w:tc>
      </w:tr>
      <w:tr w:rsidR="00B57338" w:rsidRPr="00360DE3" w:rsidTr="001A0D6B">
        <w:trPr>
          <w:trHeight w:val="170"/>
        </w:trPr>
        <w:tc>
          <w:tcPr>
            <w:tcW w:w="1976" w:type="dxa"/>
          </w:tcPr>
          <w:p w:rsidR="00B57338" w:rsidRPr="00360DE3" w:rsidRDefault="00B57338" w:rsidP="00DC37E3">
            <w:pPr>
              <w:pStyle w:val="Marginlie"/>
              <w:rPr>
                <w:spacing w:val="0"/>
              </w:rPr>
            </w:pPr>
            <w:r w:rsidRPr="00360DE3">
              <w:rPr>
                <w:spacing w:val="0"/>
              </w:rPr>
              <w:t>Mírný růst spotřeby zemního plynu po roce 2014 vedl k přerušení dlouhodobého klesajícího trendu.</w:t>
            </w:r>
          </w:p>
        </w:tc>
        <w:tc>
          <w:tcPr>
            <w:tcW w:w="277" w:type="dxa"/>
          </w:tcPr>
          <w:p w:rsidR="00B57338" w:rsidRPr="00360DE3" w:rsidRDefault="00B57338" w:rsidP="00DC37E3">
            <w:pPr>
              <w:pStyle w:val="Textpoznpodarou"/>
              <w:jc w:val="both"/>
            </w:pPr>
          </w:p>
        </w:tc>
        <w:tc>
          <w:tcPr>
            <w:tcW w:w="7391" w:type="dxa"/>
          </w:tcPr>
          <w:p w:rsidR="00B57338" w:rsidRPr="00360DE3" w:rsidRDefault="00B57338" w:rsidP="00DC37E3">
            <w:pPr>
              <w:rPr>
                <w:rFonts w:cs="Arial"/>
                <w:szCs w:val="20"/>
              </w:rPr>
            </w:pPr>
            <w:r w:rsidRPr="00360DE3">
              <w:rPr>
                <w:rFonts w:cs="Arial"/>
                <w:szCs w:val="20"/>
              </w:rPr>
              <w:t xml:space="preserve">Spotřeba zemního plynu ČR v posledních třech letech mírně roste, dlouhodobý trend poklesu se tak narušil. Loni byla spotřeba vyšší o 3,3 % a činila 91 </w:t>
            </w:r>
            <w:proofErr w:type="spellStart"/>
            <w:r w:rsidRPr="00360DE3">
              <w:rPr>
                <w:rFonts w:cs="Arial"/>
                <w:szCs w:val="20"/>
              </w:rPr>
              <w:t>GWh</w:t>
            </w:r>
            <w:proofErr w:type="spellEnd"/>
            <w:r w:rsidRPr="00360DE3">
              <w:rPr>
                <w:rFonts w:cs="Arial"/>
                <w:szCs w:val="20"/>
              </w:rPr>
              <w:t>. Vzrostla u všech kategorií odběratelů, z toho v domácnostech o 2,5 %. Ty mají v přepočtu na 1 odběratele dlouhodobě nejvyšší spotřebu ve Středočeském a Jihomoravském kraji (25 až 30 % nad úrovní ČR). Přepočtená spotřeba (na dlouhodobý teplotní normál) byla loni proti roku 2014 o 8,6 % vyšší, ale za maximem z roku 2004 zaostávala o 11,1 %.</w:t>
            </w:r>
          </w:p>
        </w:tc>
      </w:tr>
    </w:tbl>
    <w:p w:rsidR="00C466D2" w:rsidRPr="00360DE3" w:rsidRDefault="00E212C9" w:rsidP="00141782">
      <w:pPr>
        <w:pStyle w:val="Nadpis1"/>
        <w:rPr>
          <w:lang w:eastAsia="en-US"/>
        </w:rPr>
      </w:pPr>
      <w:bookmarkStart w:id="29" w:name="_Toc527639484"/>
      <w:r w:rsidRPr="00360DE3">
        <w:rPr>
          <w:lang w:eastAsia="en-US"/>
        </w:rPr>
        <w:t>12</w:t>
      </w:r>
      <w:r w:rsidR="00141782" w:rsidRPr="00360DE3">
        <w:rPr>
          <w:lang w:eastAsia="en-US"/>
        </w:rPr>
        <w:t>. Stavebnictví</w:t>
      </w:r>
      <w:bookmarkEnd w:id="29"/>
    </w:p>
    <w:tbl>
      <w:tblPr>
        <w:tblW w:w="9644" w:type="dxa"/>
        <w:tblInd w:w="-15" w:type="dxa"/>
        <w:tblLayout w:type="fixed"/>
        <w:tblCellMar>
          <w:left w:w="0" w:type="dxa"/>
          <w:right w:w="0" w:type="dxa"/>
        </w:tblCellMar>
        <w:tblLook w:val="00A0"/>
      </w:tblPr>
      <w:tblGrid>
        <w:gridCol w:w="1976"/>
        <w:gridCol w:w="277"/>
        <w:gridCol w:w="7391"/>
      </w:tblGrid>
      <w:tr w:rsidR="000C1D78" w:rsidRPr="00360DE3" w:rsidTr="00DC37E3">
        <w:trPr>
          <w:trHeight w:val="145"/>
        </w:trPr>
        <w:tc>
          <w:tcPr>
            <w:tcW w:w="1976" w:type="dxa"/>
          </w:tcPr>
          <w:p w:rsidR="000C1D78" w:rsidRPr="00360DE3" w:rsidRDefault="000C1D78" w:rsidP="00DC37E3">
            <w:pPr>
              <w:pStyle w:val="Marginlie"/>
              <w:rPr>
                <w:spacing w:val="0"/>
              </w:rPr>
            </w:pPr>
            <w:r w:rsidRPr="00360DE3">
              <w:rPr>
                <w:spacing w:val="0"/>
              </w:rPr>
              <w:t>Produkce ve stavebnictví loni mírně vzrostla, pokles hrubé přidané hodnoty však pokračoval již druhým rokem v řadě. Zejména inženýrské stavitelství bylo limitováno pomalejším rozjezdem větších projektů.</w:t>
            </w:r>
          </w:p>
          <w:p w:rsidR="000C1D78" w:rsidRPr="00360DE3" w:rsidRDefault="000C1D78" w:rsidP="00DC37E3">
            <w:pPr>
              <w:pStyle w:val="Marginlie"/>
              <w:rPr>
                <w:spacing w:val="0"/>
              </w:rPr>
            </w:pPr>
          </w:p>
          <w:p w:rsidR="000C1D78" w:rsidRPr="00360DE3" w:rsidRDefault="000C1D78" w:rsidP="00DC37E3">
            <w:pPr>
              <w:pStyle w:val="Marginlie"/>
              <w:rPr>
                <w:spacing w:val="0"/>
              </w:rPr>
            </w:pPr>
          </w:p>
          <w:p w:rsidR="000C1D78" w:rsidRPr="00360DE3" w:rsidRDefault="000C1D78" w:rsidP="00DC37E3">
            <w:pPr>
              <w:pStyle w:val="Marginlie"/>
              <w:rPr>
                <w:spacing w:val="0"/>
              </w:rPr>
            </w:pPr>
            <w:r w:rsidRPr="00360DE3">
              <w:rPr>
                <w:spacing w:val="0"/>
              </w:rPr>
              <w:t>Pokračovala redukce pracovních míst, ale již jen v zaměstnaneckém segmentu.</w:t>
            </w:r>
          </w:p>
        </w:tc>
        <w:tc>
          <w:tcPr>
            <w:tcW w:w="277" w:type="dxa"/>
          </w:tcPr>
          <w:p w:rsidR="000C1D78" w:rsidRPr="00360DE3" w:rsidRDefault="000C1D78" w:rsidP="00DC37E3">
            <w:pPr>
              <w:pStyle w:val="Textpoznpodarou"/>
              <w:jc w:val="both"/>
            </w:pPr>
          </w:p>
        </w:tc>
        <w:tc>
          <w:tcPr>
            <w:tcW w:w="7391" w:type="dxa"/>
          </w:tcPr>
          <w:p w:rsidR="000C1D78" w:rsidRPr="00360DE3" w:rsidRDefault="000C1D78" w:rsidP="00DC37E3">
            <w:r w:rsidRPr="00360DE3">
              <w:rPr>
                <w:color w:val="0D0D0D" w:themeColor="text1" w:themeTint="F2"/>
              </w:rPr>
              <w:t>Stavebnictví bylo loni podobně jako v roce 2016 limitováno přetrvávajícím nízkým objemem veřejných investic. Přestože se meziroční pokles produkce ve stavebnictví</w:t>
            </w:r>
            <w:r w:rsidRPr="00360DE3">
              <w:rPr>
                <w:rStyle w:val="Znakapoznpodarou"/>
                <w:color w:val="0D0D0D" w:themeColor="text1" w:themeTint="F2"/>
              </w:rPr>
              <w:footnoteReference w:id="86"/>
            </w:r>
            <w:r w:rsidRPr="00360DE3">
              <w:rPr>
                <w:color w:val="0D0D0D" w:themeColor="text1" w:themeTint="F2"/>
              </w:rPr>
              <w:t xml:space="preserve"> zastavil (+2,8 %, o rok dříve -5,7 %), nepříznivý vývoj v případě hrubé přidané hodnoty (HPH) přetrvával (ta loni jen nepatrně překračovala úroveň z roku 2012, kdy v tomto odvětví recese vrcholila). K redukci HPH přispěl loni primárně odvětvový oddíl inženýrského stavitelství, jehož výkon se meziročně snížil o osminu. Mělčí pokles trvající však již čtvrtým rokem v řadě zaznamenala </w:t>
            </w:r>
            <w:r w:rsidRPr="00360DE3">
              <w:rPr>
                <w:color w:val="0D0D0D" w:themeColor="text1" w:themeTint="F2"/>
              </w:rPr>
              <w:lastRenderedPageBreak/>
              <w:t>i</w:t>
            </w:r>
            <w:r w:rsidR="00274037" w:rsidRPr="00360DE3">
              <w:t> </w:t>
            </w:r>
            <w:r w:rsidRPr="00360DE3">
              <w:rPr>
                <w:color w:val="0D0D0D" w:themeColor="text1" w:themeTint="F2"/>
              </w:rPr>
              <w:t>výstavba budov. Ve váhově dominantním a dlouhodobě sílícím segmentu specializovaných stavebních činností</w:t>
            </w:r>
            <w:r w:rsidRPr="00360DE3">
              <w:rPr>
                <w:rStyle w:val="Znakapoznpodarou"/>
                <w:color w:val="0D0D0D" w:themeColor="text1" w:themeTint="F2"/>
              </w:rPr>
              <w:footnoteReference w:id="87"/>
            </w:r>
            <w:r w:rsidRPr="00360DE3">
              <w:rPr>
                <w:color w:val="0D0D0D" w:themeColor="text1" w:themeTint="F2"/>
              </w:rPr>
              <w:t xml:space="preserve"> růst po roce 2015 zvolnil pod 2 % a nemohl tak zvrátit méně příznivý vývoj celého odvětví. Ten se projevoval i v zaměstnanosti. Počet zaměstnaných ve stavebnictví se snížil pod 400 tis. (</w:t>
            </w:r>
            <w:r w:rsidRPr="00360DE3">
              <w:t>po přepočtu na plné úvazky)</w:t>
            </w:r>
            <w:r w:rsidRPr="00360DE3">
              <w:rPr>
                <w:color w:val="0D0D0D" w:themeColor="text1" w:themeTint="F2"/>
              </w:rPr>
              <w:t xml:space="preserve">, proti roku 2010 ubyla bezmála šestina pracovních míst. Na rozdíl od předešlých pěti let však loni k redukci míst přispívali jen zaměstnanci (-1,9 %), neboť </w:t>
            </w:r>
            <w:proofErr w:type="spellStart"/>
            <w:r w:rsidRPr="00360DE3">
              <w:rPr>
                <w:color w:val="0D0D0D" w:themeColor="text1" w:themeTint="F2"/>
              </w:rPr>
              <w:t>sebezaměstnaných</w:t>
            </w:r>
            <w:proofErr w:type="spellEnd"/>
            <w:r w:rsidRPr="00360DE3">
              <w:rPr>
                <w:color w:val="0D0D0D" w:themeColor="text1" w:themeTint="F2"/>
              </w:rPr>
              <w:t xml:space="preserve"> o 2,1 % přibylo. To patrně souviselo s rostoucí poptávkou po menších stavebních pracích, jejichž vývoj je více vázaný na hospodářský cyklus než na cyklus čerpání prostředků z evropských fondů. </w:t>
            </w:r>
          </w:p>
        </w:tc>
      </w:tr>
      <w:tr w:rsidR="00F160CE" w:rsidRPr="00360DE3" w:rsidTr="00DC37E3">
        <w:trPr>
          <w:trHeight w:val="145"/>
        </w:trPr>
        <w:tc>
          <w:tcPr>
            <w:tcW w:w="1976" w:type="dxa"/>
          </w:tcPr>
          <w:p w:rsidR="00F160CE" w:rsidRPr="00360DE3" w:rsidRDefault="00F160CE" w:rsidP="00DC37E3">
            <w:pPr>
              <w:pStyle w:val="Marginlie"/>
              <w:rPr>
                <w:spacing w:val="0"/>
              </w:rPr>
            </w:pPr>
            <w:r w:rsidRPr="00360DE3">
              <w:rPr>
                <w:spacing w:val="0"/>
              </w:rPr>
              <w:lastRenderedPageBreak/>
              <w:t>Mírný pokles míry ziskovosti stavebních podniků byl v roce 2017 ovlivněn sílícím tlakem na růst průměrných mezd.</w:t>
            </w:r>
          </w:p>
        </w:tc>
        <w:tc>
          <w:tcPr>
            <w:tcW w:w="277" w:type="dxa"/>
          </w:tcPr>
          <w:p w:rsidR="00F160CE" w:rsidRPr="00360DE3" w:rsidRDefault="00F160CE" w:rsidP="00DC37E3">
            <w:pPr>
              <w:pStyle w:val="Textpoznpodarou"/>
              <w:jc w:val="both"/>
            </w:pPr>
          </w:p>
        </w:tc>
        <w:tc>
          <w:tcPr>
            <w:tcW w:w="7391" w:type="dxa"/>
          </w:tcPr>
          <w:p w:rsidR="00F160CE" w:rsidRPr="00360DE3" w:rsidRDefault="00F160CE" w:rsidP="00DC37E3">
            <w:r w:rsidRPr="00360DE3">
              <w:t>Nižší objem realizovaných stavebních prací pro veřejné zadavatele v kombinaci s růstem mzdových nákladů v celém odvětví se odrazily v mírném poklesu míry zisku nefinančních podniků</w:t>
            </w:r>
            <w:r w:rsidRPr="00360DE3">
              <w:rPr>
                <w:rStyle w:val="Znakapoznpodarou"/>
              </w:rPr>
              <w:footnoteReference w:id="88"/>
            </w:r>
            <w:r w:rsidRPr="00360DE3">
              <w:t xml:space="preserve"> ve stavebnictví po roce 2015. Zatímco redukce veřejných zakázek byla klíčovým determinantem vývoje v roce 2016, následující rok akcentoval vliv faktoru sílících tlaků na růst průměrných mezd. Podíl hrubého provozního přebytku stavebních podniků na jejich HPH činil vloni 41,4 %, tedy podstatně méně než v rekordním roce 2005 (46,8 %), ale též znatelně více než na dnu recese (36 %), čemuž napomohl i silný růst produktivity práce v letech 2013 až 2015.</w:t>
            </w:r>
          </w:p>
        </w:tc>
      </w:tr>
      <w:tr w:rsidR="00F160CE" w:rsidRPr="00360DE3" w:rsidTr="00DC37E3">
        <w:tc>
          <w:tcPr>
            <w:tcW w:w="1976" w:type="dxa"/>
            <w:vMerge w:val="restart"/>
          </w:tcPr>
          <w:p w:rsidR="00F160CE" w:rsidRPr="00360DE3" w:rsidRDefault="00F160CE" w:rsidP="00DC37E3">
            <w:pPr>
              <w:pStyle w:val="Marginlie"/>
              <w:rPr>
                <w:spacing w:val="0"/>
              </w:rPr>
            </w:pPr>
          </w:p>
        </w:tc>
        <w:tc>
          <w:tcPr>
            <w:tcW w:w="277" w:type="dxa"/>
            <w:vMerge w:val="restart"/>
          </w:tcPr>
          <w:p w:rsidR="00F160CE" w:rsidRPr="00360DE3" w:rsidRDefault="00F160CE" w:rsidP="00DC37E3">
            <w:pPr>
              <w:pStyle w:val="Textpoznpodarou"/>
              <w:jc w:val="both"/>
            </w:pPr>
          </w:p>
        </w:tc>
        <w:tc>
          <w:tcPr>
            <w:tcW w:w="7391" w:type="dxa"/>
          </w:tcPr>
          <w:p w:rsidR="00F160CE" w:rsidRPr="00360DE3" w:rsidRDefault="00F160CE" w:rsidP="00DC37E3">
            <w:pPr>
              <w:spacing w:after="0"/>
              <w:rPr>
                <w:b/>
              </w:rPr>
            </w:pPr>
            <w:r w:rsidRPr="00360DE3">
              <w:rPr>
                <w:b/>
              </w:rPr>
              <w:t xml:space="preserve">Graf </w:t>
            </w:r>
            <w:proofErr w:type="gramStart"/>
            <w:r w:rsidRPr="00360DE3">
              <w:rPr>
                <w:b/>
              </w:rPr>
              <w:t xml:space="preserve">12.1  </w:t>
            </w:r>
            <w:r w:rsidRPr="00360DE3">
              <w:rPr>
                <w:b/>
                <w:bCs/>
              </w:rPr>
              <w:t>Základní</w:t>
            </w:r>
            <w:proofErr w:type="gramEnd"/>
            <w:r w:rsidRPr="00360DE3">
              <w:rPr>
                <w:b/>
                <w:bCs/>
              </w:rPr>
              <w:t xml:space="preserve"> ukazatele odvětví stavebnictví</w:t>
            </w:r>
            <w:r w:rsidRPr="00360DE3">
              <w:rPr>
                <w:b/>
              </w:rPr>
              <w:t xml:space="preserve"> </w:t>
            </w:r>
          </w:p>
          <w:p w:rsidR="00F160CE" w:rsidRPr="00360DE3" w:rsidRDefault="00F160CE" w:rsidP="00DC37E3">
            <w:pPr>
              <w:spacing w:after="0"/>
              <w:rPr>
                <w:b/>
              </w:rPr>
            </w:pPr>
            <w:r w:rsidRPr="00360DE3">
              <w:rPr>
                <w:b/>
                <w:noProof/>
              </w:rPr>
              <w:drawing>
                <wp:inline distT="0" distB="0" distL="0" distR="0">
                  <wp:extent cx="4715301" cy="3418764"/>
                  <wp:effectExtent l="0" t="0" r="9099" b="0"/>
                  <wp:docPr id="85"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c>
      </w:tr>
      <w:tr w:rsidR="00F160CE" w:rsidRPr="00360DE3" w:rsidTr="00DC37E3">
        <w:trPr>
          <w:trHeight w:val="284"/>
        </w:trPr>
        <w:tc>
          <w:tcPr>
            <w:tcW w:w="1976" w:type="dxa"/>
            <w:vMerge/>
          </w:tcPr>
          <w:p w:rsidR="00F160CE" w:rsidRPr="00360DE3" w:rsidRDefault="00F160CE" w:rsidP="00DC37E3">
            <w:pPr>
              <w:pStyle w:val="Marginlie"/>
              <w:rPr>
                <w:spacing w:val="0"/>
              </w:rPr>
            </w:pPr>
          </w:p>
        </w:tc>
        <w:tc>
          <w:tcPr>
            <w:tcW w:w="277" w:type="dxa"/>
            <w:vMerge/>
          </w:tcPr>
          <w:p w:rsidR="00F160CE" w:rsidRPr="00360DE3" w:rsidRDefault="00F160CE" w:rsidP="00DC37E3">
            <w:pPr>
              <w:pStyle w:val="Textpoznpodarou"/>
              <w:jc w:val="both"/>
            </w:pPr>
          </w:p>
        </w:tc>
        <w:tc>
          <w:tcPr>
            <w:tcW w:w="7391" w:type="dxa"/>
          </w:tcPr>
          <w:p w:rsidR="00F160CE" w:rsidRPr="00360DE3" w:rsidRDefault="00F160CE" w:rsidP="00B57338">
            <w:pPr>
              <w:pStyle w:val="Zhlav"/>
              <w:spacing w:before="40" w:after="240" w:line="240" w:lineRule="auto"/>
              <w:rPr>
                <w:rFonts w:cs="Arial"/>
                <w:sz w:val="14"/>
                <w:szCs w:val="14"/>
                <w:lang w:eastAsia="cs-CZ"/>
              </w:rPr>
            </w:pPr>
            <w:r w:rsidRPr="00360DE3">
              <w:rPr>
                <w:rFonts w:cs="Arial"/>
                <w:sz w:val="14"/>
                <w:szCs w:val="14"/>
                <w:lang w:eastAsia="cs-CZ"/>
              </w:rPr>
              <w:t xml:space="preserve">*Do reálného vyjádření převedeno deflátorem výdajů na konečnou spotřebu domácností.      Zdroj: ČSÚ (národní účty) </w:t>
            </w:r>
          </w:p>
        </w:tc>
      </w:tr>
      <w:tr w:rsidR="00B57338" w:rsidRPr="00360DE3" w:rsidTr="00DC37E3">
        <w:trPr>
          <w:trHeight w:val="170"/>
        </w:trPr>
        <w:tc>
          <w:tcPr>
            <w:tcW w:w="1976" w:type="dxa"/>
          </w:tcPr>
          <w:p w:rsidR="00B57338" w:rsidRPr="00360DE3" w:rsidRDefault="00B57338" w:rsidP="00F162B3">
            <w:pPr>
              <w:pStyle w:val="Marginlie"/>
              <w:rPr>
                <w:spacing w:val="0"/>
              </w:rPr>
            </w:pPr>
            <w:r w:rsidRPr="00360DE3">
              <w:rPr>
                <w:spacing w:val="0"/>
              </w:rPr>
              <w:t>Míra investic ve stavebnictví v posledních třech letech stagnovala, v porovnání s ostatními odvětvími ekonomiky zůstává nízká.</w:t>
            </w:r>
          </w:p>
        </w:tc>
        <w:tc>
          <w:tcPr>
            <w:tcW w:w="277" w:type="dxa"/>
          </w:tcPr>
          <w:p w:rsidR="00B57338" w:rsidRPr="00360DE3" w:rsidRDefault="00B57338" w:rsidP="00F162B3">
            <w:pPr>
              <w:pStyle w:val="Textpoznpodarou"/>
              <w:jc w:val="both"/>
            </w:pPr>
          </w:p>
        </w:tc>
        <w:tc>
          <w:tcPr>
            <w:tcW w:w="7391" w:type="dxa"/>
          </w:tcPr>
          <w:p w:rsidR="00B57338" w:rsidRPr="00360DE3" w:rsidRDefault="00B57338" w:rsidP="00F162B3">
            <w:r w:rsidRPr="00360DE3">
              <w:t xml:space="preserve">Podíl tvorby hrubého fixního kapitálu na HPH osciloval kolem 16 %. Míra investic ve stavebnictví tak zůstává v posledních čtyřech letech stabilní, současně ale také patří k nejnižším mezi odvětvími národního hospodářství. Věcná skladba investic je ve stavebnictví dlouhodobě od většiny ostatních odvětví výrazně odlišná. Téměř 40 % investic loni směřovalo na dopravní prostředky a zařízení, 35 % pak na ostatní stroje a zařízení. Jen 4,3 % investic cílilo na produkty duševního vlastnictví </w:t>
            </w:r>
            <w:r w:rsidRPr="00360DE3">
              <w:lastRenderedPageBreak/>
              <w:t xml:space="preserve">(vč. výzkumu a vývoje) – čtyřikrát méně než v celé v ekonomice či ve zpracovatelském průmyslu. </w:t>
            </w:r>
          </w:p>
        </w:tc>
      </w:tr>
      <w:tr w:rsidR="00B57338" w:rsidRPr="00360DE3" w:rsidTr="00DC37E3">
        <w:trPr>
          <w:trHeight w:val="170"/>
        </w:trPr>
        <w:tc>
          <w:tcPr>
            <w:tcW w:w="1976" w:type="dxa"/>
          </w:tcPr>
          <w:p w:rsidR="00B57338" w:rsidRPr="00360DE3" w:rsidRDefault="00B57338" w:rsidP="00DC37E3">
            <w:pPr>
              <w:pStyle w:val="Marginlie"/>
              <w:rPr>
                <w:spacing w:val="0"/>
              </w:rPr>
            </w:pPr>
          </w:p>
        </w:tc>
        <w:tc>
          <w:tcPr>
            <w:tcW w:w="277" w:type="dxa"/>
          </w:tcPr>
          <w:p w:rsidR="00B57338" w:rsidRPr="00360DE3" w:rsidRDefault="00B57338" w:rsidP="00DC37E3">
            <w:pPr>
              <w:pStyle w:val="Textpoznpodarou"/>
              <w:jc w:val="both"/>
            </w:pPr>
          </w:p>
        </w:tc>
        <w:tc>
          <w:tcPr>
            <w:tcW w:w="7391" w:type="dxa"/>
          </w:tcPr>
          <w:p w:rsidR="00B57338" w:rsidRPr="00360DE3" w:rsidRDefault="00B57338" w:rsidP="00DC37E3">
            <w:pPr>
              <w:spacing w:after="0"/>
            </w:pPr>
            <w:r w:rsidRPr="00360DE3">
              <w:rPr>
                <w:b/>
              </w:rPr>
              <w:t xml:space="preserve">Graf </w:t>
            </w:r>
            <w:proofErr w:type="gramStart"/>
            <w:r w:rsidRPr="00360DE3">
              <w:rPr>
                <w:b/>
              </w:rPr>
              <w:t>12.2  Stavební</w:t>
            </w:r>
            <w:proofErr w:type="gramEnd"/>
            <w:r w:rsidRPr="00360DE3">
              <w:rPr>
                <w:b/>
              </w:rPr>
              <w:t xml:space="preserve"> práce (dle dodavatelských smluv) za jednotlivé směry výstavby</w:t>
            </w:r>
            <w:r w:rsidRPr="00360DE3">
              <w:t xml:space="preserve"> (v mld. korun, běžné ceny)*</w:t>
            </w:r>
          </w:p>
          <w:p w:rsidR="00B57338" w:rsidRPr="00360DE3" w:rsidRDefault="00B57338" w:rsidP="00DC37E3">
            <w:pPr>
              <w:spacing w:after="0"/>
              <w:rPr>
                <w:b/>
              </w:rPr>
            </w:pPr>
            <w:r w:rsidRPr="00360DE3">
              <w:rPr>
                <w:b/>
                <w:noProof/>
              </w:rPr>
              <w:drawing>
                <wp:inline distT="0" distB="0" distL="0" distR="0">
                  <wp:extent cx="4695825" cy="3819525"/>
                  <wp:effectExtent l="0" t="0" r="0" b="0"/>
                  <wp:docPr id="52"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r>
      <w:tr w:rsidR="00B57338" w:rsidRPr="00360DE3" w:rsidTr="00DC37E3">
        <w:trPr>
          <w:trHeight w:val="170"/>
        </w:trPr>
        <w:tc>
          <w:tcPr>
            <w:tcW w:w="1976" w:type="dxa"/>
          </w:tcPr>
          <w:p w:rsidR="00B57338" w:rsidRPr="00360DE3" w:rsidRDefault="00B57338" w:rsidP="00DC37E3">
            <w:pPr>
              <w:pStyle w:val="Marginlie"/>
              <w:rPr>
                <w:spacing w:val="0"/>
              </w:rPr>
            </w:pPr>
          </w:p>
        </w:tc>
        <w:tc>
          <w:tcPr>
            <w:tcW w:w="277" w:type="dxa"/>
          </w:tcPr>
          <w:p w:rsidR="00B57338" w:rsidRPr="00360DE3" w:rsidRDefault="00B57338" w:rsidP="00DC37E3">
            <w:pPr>
              <w:pStyle w:val="Textpoznpodarou"/>
              <w:jc w:val="both"/>
            </w:pPr>
          </w:p>
        </w:tc>
        <w:tc>
          <w:tcPr>
            <w:tcW w:w="7391" w:type="dxa"/>
          </w:tcPr>
          <w:p w:rsidR="0061249B" w:rsidRDefault="00B57338" w:rsidP="0061249B">
            <w:pPr>
              <w:spacing w:after="0"/>
              <w:rPr>
                <w:rFonts w:cs="Arial"/>
                <w:color w:val="0D0D0D" w:themeColor="text1" w:themeTint="F2"/>
                <w:sz w:val="14"/>
                <w:szCs w:val="14"/>
              </w:rPr>
            </w:pPr>
            <w:r w:rsidRPr="00360DE3">
              <w:rPr>
                <w:rFonts w:cs="Arial"/>
                <w:bCs/>
                <w:color w:val="0D0D0D" w:themeColor="text1" w:themeTint="F2"/>
                <w:sz w:val="14"/>
                <w:szCs w:val="14"/>
              </w:rPr>
              <w:t>*Stavební práce „S“ (dle dodavatelských smluv)</w:t>
            </w:r>
            <w:r w:rsidRPr="00360DE3">
              <w:rPr>
                <w:rFonts w:cs="Arial"/>
                <w:color w:val="0D0D0D" w:themeColor="text1" w:themeTint="F2"/>
                <w:sz w:val="14"/>
                <w:szCs w:val="14"/>
              </w:rPr>
              <w:t xml:space="preserve"> vyjadřují hodnotu vlastních výkonů ze stavební činnosti provedenou na základě smlouvy o dodávce pro konečného uživatele (stavebníka) vč. hodnoty příp. poddodávek stavebních prací přijatých od jiných dodavatelských organizací (pro splnění dané smlouvy o dodávce pro konečného uživatele). Objem skutečně provedených prací je vykazován ve fakturovaných hodnotách.                 </w:t>
            </w:r>
          </w:p>
          <w:p w:rsidR="00B57338" w:rsidRPr="00360DE3" w:rsidRDefault="00B57338" w:rsidP="00DC37E3">
            <w:r w:rsidRPr="00360DE3">
              <w:rPr>
                <w:rFonts w:cs="Arial"/>
                <w:color w:val="0D0D0D" w:themeColor="text1" w:themeTint="F2"/>
                <w:sz w:val="14"/>
                <w:szCs w:val="14"/>
              </w:rPr>
              <w:t>Zdroj: ČSÚ (podnikové statistiky</w:t>
            </w:r>
            <w:r w:rsidRPr="00360DE3">
              <w:rPr>
                <w:rFonts w:cs="Arial"/>
                <w:sz w:val="14"/>
                <w:szCs w:val="14"/>
              </w:rPr>
              <w:t>)</w:t>
            </w:r>
          </w:p>
        </w:tc>
      </w:tr>
      <w:tr w:rsidR="00B57338" w:rsidRPr="00360DE3" w:rsidTr="00DC37E3">
        <w:trPr>
          <w:trHeight w:val="170"/>
        </w:trPr>
        <w:tc>
          <w:tcPr>
            <w:tcW w:w="1976" w:type="dxa"/>
          </w:tcPr>
          <w:p w:rsidR="00B57338" w:rsidRPr="00360DE3" w:rsidRDefault="00B57338" w:rsidP="00DC37E3">
            <w:pPr>
              <w:pStyle w:val="Marginlie"/>
              <w:rPr>
                <w:spacing w:val="0"/>
              </w:rPr>
            </w:pPr>
            <w:r w:rsidRPr="00360DE3">
              <w:rPr>
                <w:spacing w:val="0"/>
              </w:rPr>
              <w:t>Hodnota stavebních prací ve firmách s méně než 20 zaměstnanci rostla rychleji než ve zbylé části odvětví.</w:t>
            </w:r>
          </w:p>
          <w:p w:rsidR="00B57338" w:rsidRPr="00360DE3" w:rsidRDefault="00B57338" w:rsidP="00DC37E3">
            <w:pPr>
              <w:pStyle w:val="Marginlie"/>
              <w:rPr>
                <w:spacing w:val="0"/>
              </w:rPr>
            </w:pPr>
          </w:p>
          <w:p w:rsidR="00B57338" w:rsidRPr="00360DE3" w:rsidRDefault="00B57338" w:rsidP="00DC37E3">
            <w:pPr>
              <w:pStyle w:val="Marginlie"/>
              <w:rPr>
                <w:spacing w:val="0"/>
              </w:rPr>
            </w:pPr>
          </w:p>
          <w:p w:rsidR="00B57338" w:rsidRPr="00360DE3" w:rsidRDefault="00B57338" w:rsidP="00DC37E3">
            <w:pPr>
              <w:pStyle w:val="Marginlie"/>
              <w:rPr>
                <w:spacing w:val="0"/>
              </w:rPr>
            </w:pPr>
          </w:p>
          <w:p w:rsidR="00B57338" w:rsidRPr="00360DE3" w:rsidRDefault="00B57338" w:rsidP="00DC37E3">
            <w:pPr>
              <w:pStyle w:val="Marginlie"/>
              <w:rPr>
                <w:spacing w:val="0"/>
              </w:rPr>
            </w:pPr>
          </w:p>
          <w:p w:rsidR="00B57338" w:rsidRPr="00360DE3" w:rsidRDefault="00B57338" w:rsidP="00DC37E3">
            <w:pPr>
              <w:pStyle w:val="Marginlie"/>
              <w:rPr>
                <w:spacing w:val="0"/>
              </w:rPr>
            </w:pPr>
          </w:p>
          <w:p w:rsidR="00B57338" w:rsidRPr="00360DE3" w:rsidRDefault="00B57338" w:rsidP="00DC37E3">
            <w:pPr>
              <w:pStyle w:val="Marginlie"/>
              <w:rPr>
                <w:spacing w:val="0"/>
              </w:rPr>
            </w:pPr>
          </w:p>
          <w:p w:rsidR="00B57338" w:rsidRPr="00360DE3" w:rsidRDefault="00B57338" w:rsidP="00DC37E3">
            <w:pPr>
              <w:pStyle w:val="Marginlie"/>
              <w:rPr>
                <w:spacing w:val="0"/>
              </w:rPr>
            </w:pPr>
          </w:p>
          <w:p w:rsidR="00B57338" w:rsidRPr="00360DE3" w:rsidRDefault="00B57338" w:rsidP="00DC37E3">
            <w:pPr>
              <w:pStyle w:val="Marginlie"/>
              <w:rPr>
                <w:spacing w:val="0"/>
              </w:rPr>
            </w:pPr>
            <w:r w:rsidRPr="00360DE3">
              <w:rPr>
                <w:spacing w:val="0"/>
              </w:rPr>
              <w:t xml:space="preserve">Již druhým rokem v řadě zůstaly nejvýznamnější složkou stavebních prací opravy a údržba. </w:t>
            </w:r>
          </w:p>
        </w:tc>
        <w:tc>
          <w:tcPr>
            <w:tcW w:w="277" w:type="dxa"/>
          </w:tcPr>
          <w:p w:rsidR="00B57338" w:rsidRPr="00360DE3" w:rsidRDefault="00B57338" w:rsidP="00DC37E3">
            <w:pPr>
              <w:pStyle w:val="Textpoznpodarou"/>
              <w:jc w:val="both"/>
            </w:pPr>
          </w:p>
        </w:tc>
        <w:tc>
          <w:tcPr>
            <w:tcW w:w="7391" w:type="dxa"/>
          </w:tcPr>
          <w:p w:rsidR="00B57338" w:rsidRPr="00360DE3" w:rsidRDefault="00B57338" w:rsidP="0061249B">
            <w:pPr>
              <w:spacing w:after="0"/>
              <w:rPr>
                <w:color w:val="0D0D0D"/>
              </w:rPr>
            </w:pPr>
            <w:r w:rsidRPr="00360DE3">
              <w:t>Lépe na tom loni (podobně jako v roce 2016) byly menší stavební firmy. Dle podnikových statistik vzrostla nominální hodnota stavebních prací (dle dodavatelských smluv) v subjektech do 20 zaměstnanců o 12,9 % meziročně (o rok dříve o 1,1 % poklesla), naopak ve zbývajících podnicích dosáhla jen +1,9 % (v roce 2016 pak -12,1 %). Větší stavební podniky (hlavně v inženýrském stavitelství) čelily důsledkům prudkého poklesu nových zakázek v souvislosti s pomalejším náběhem čerpání prostředků z rozpočtu EU. Absenci větších projektů potvrzovala i průměrná velikost nově uzavřené zakázky</w:t>
            </w:r>
            <w:r w:rsidRPr="00360DE3">
              <w:rPr>
                <w:rStyle w:val="Znakapoznpodarou"/>
              </w:rPr>
              <w:footnoteReference w:id="89"/>
            </w:r>
            <w:r w:rsidRPr="00360DE3">
              <w:t xml:space="preserve">.  To se odrazilo i ve skladbě stavebních prací. V roce 2016 převýšil objem prací na úseku oprav a údržby hodnotu prací za inženýrské stavby, což se stalo poprvé po roce 2003. Loni byl tento trend potvrzen, neboť opravy a údržby vyvářely 27,3 % hodnoty stavebních prací a byly její nejsilnější složkou. V letech 2016 i 2017 zrychloval růst výstavby </w:t>
            </w:r>
            <w:r w:rsidRPr="00360DE3">
              <w:rPr>
                <w:color w:val="0D0D0D"/>
              </w:rPr>
              <w:t>nebytových výrobních budov (souvisejících s rostoucí poptávkou v průmyslu a skladování). Loni se částečně zlepšila situace v oblasti nevýrobních budov</w:t>
            </w:r>
            <w:r w:rsidRPr="00360DE3">
              <w:rPr>
                <w:rStyle w:val="Znakapoznpodarou"/>
                <w:color w:val="0D0D0D"/>
              </w:rPr>
              <w:footnoteReference w:id="90"/>
            </w:r>
            <w:r w:rsidRPr="00360DE3">
              <w:rPr>
                <w:color w:val="0D0D0D"/>
              </w:rPr>
              <w:t>, i tak však tvořily jen desetinu všech stavebních prací. Již pátým rokem v řadě klesala navzdory sílícím klimatickým výzvám hodnota prací v kategorii vodohospodářských staveb. Váha této položky na celém stavebnictví (0,66 %) byla loni nejslabší za celou dobu sledování – od roku 1994.</w:t>
            </w:r>
          </w:p>
        </w:tc>
      </w:tr>
      <w:tr w:rsidR="00B57338" w:rsidRPr="00360DE3" w:rsidTr="00DC37E3">
        <w:trPr>
          <w:trHeight w:val="170"/>
        </w:trPr>
        <w:tc>
          <w:tcPr>
            <w:tcW w:w="1976" w:type="dxa"/>
          </w:tcPr>
          <w:p w:rsidR="00B57338" w:rsidRPr="00360DE3" w:rsidRDefault="00B57338" w:rsidP="00DC37E3">
            <w:pPr>
              <w:pStyle w:val="Marginlie"/>
              <w:rPr>
                <w:spacing w:val="0"/>
              </w:rPr>
            </w:pPr>
            <w:r w:rsidRPr="00360DE3">
              <w:rPr>
                <w:spacing w:val="0"/>
              </w:rPr>
              <w:lastRenderedPageBreak/>
              <w:t>V relaci na obyvatele se nejvíce „prostavělo“ v Praze a Jihočeském kraji, nejméně na Zlínsku.</w:t>
            </w:r>
          </w:p>
        </w:tc>
        <w:tc>
          <w:tcPr>
            <w:tcW w:w="277" w:type="dxa"/>
          </w:tcPr>
          <w:p w:rsidR="00B57338" w:rsidRPr="00360DE3" w:rsidRDefault="00B57338" w:rsidP="00DC37E3">
            <w:pPr>
              <w:pStyle w:val="Textpoznpodarou"/>
              <w:jc w:val="both"/>
            </w:pPr>
          </w:p>
        </w:tc>
        <w:tc>
          <w:tcPr>
            <w:tcW w:w="7391" w:type="dxa"/>
          </w:tcPr>
          <w:p w:rsidR="00B57338" w:rsidRPr="00360DE3" w:rsidRDefault="00B57338" w:rsidP="00DC37E3">
            <w:r w:rsidRPr="00360DE3">
              <w:rPr>
                <w:color w:val="0D0D0D"/>
              </w:rPr>
              <w:t>Hodnota stavebních prací (dle místa stavby) v roce 2017 meziročně vzrostla v devíti krajích ČR – nejvíce ve středních a jižních Čechách a na Karlovarsku. Podíl Prahy na republikovém úhrnu dosáhl 23,2 %, naopak na Karlovarský kraj připadala jen 2,2 %. V přepočtu na obyvatele bylo loni nejvíce prostavěno v Praze (191 % úrovně ČR) a Jihočeském kraji (142 %), třetí v pořadí Jihomoravský kraj se již nacházel těsně pod celorepublikovou úrovní (99 %). Již třetím rokem v řadě dosahoval nejhorší pozice Zlínský kraj (necelých dvou třetin úrovně ČR).</w:t>
            </w:r>
          </w:p>
        </w:tc>
      </w:tr>
      <w:tr w:rsidR="00B57338" w:rsidRPr="00360DE3" w:rsidTr="00DC37E3">
        <w:trPr>
          <w:trHeight w:val="170"/>
        </w:trPr>
        <w:tc>
          <w:tcPr>
            <w:tcW w:w="1976" w:type="dxa"/>
          </w:tcPr>
          <w:p w:rsidR="00B57338" w:rsidRPr="00360DE3" w:rsidRDefault="00B57338" w:rsidP="00DC37E3">
            <w:pPr>
              <w:pStyle w:val="Marginlie"/>
              <w:rPr>
                <w:spacing w:val="0"/>
              </w:rPr>
            </w:pPr>
            <w:r w:rsidRPr="00360DE3">
              <w:rPr>
                <w:spacing w:val="0"/>
              </w:rPr>
              <w:t>Objem zahajované bytové výstavby rostl čtvrtým rokem v řadě. Přetrvávala nízká výstavba bytů v domovech pro seniory, z pohledu regionů pak v úhrnu zejména v Praze.</w:t>
            </w:r>
          </w:p>
          <w:p w:rsidR="00B57338" w:rsidRPr="00360DE3" w:rsidRDefault="00B57338" w:rsidP="00DC37E3">
            <w:pPr>
              <w:pStyle w:val="Marginlie"/>
              <w:rPr>
                <w:spacing w:val="0"/>
              </w:rPr>
            </w:pPr>
          </w:p>
          <w:p w:rsidR="00B57338" w:rsidRPr="00360DE3" w:rsidRDefault="00B57338" w:rsidP="00DC37E3">
            <w:pPr>
              <w:pStyle w:val="Marginlie"/>
              <w:rPr>
                <w:spacing w:val="0"/>
              </w:rPr>
            </w:pPr>
          </w:p>
          <w:p w:rsidR="00B57338" w:rsidRPr="00360DE3" w:rsidRDefault="00B57338" w:rsidP="00DC37E3">
            <w:pPr>
              <w:pStyle w:val="Marginlie"/>
              <w:rPr>
                <w:spacing w:val="0"/>
              </w:rPr>
            </w:pPr>
          </w:p>
          <w:p w:rsidR="00B57338" w:rsidRPr="00360DE3" w:rsidRDefault="00B57338" w:rsidP="00DC37E3">
            <w:pPr>
              <w:pStyle w:val="Marginlie"/>
              <w:rPr>
                <w:spacing w:val="0"/>
              </w:rPr>
            </w:pPr>
          </w:p>
          <w:p w:rsidR="00B57338" w:rsidRPr="00360DE3" w:rsidRDefault="00B57338" w:rsidP="00DC37E3">
            <w:pPr>
              <w:pStyle w:val="Marginlie"/>
              <w:rPr>
                <w:spacing w:val="0"/>
              </w:rPr>
            </w:pPr>
          </w:p>
          <w:p w:rsidR="00B57338" w:rsidRPr="00360DE3" w:rsidRDefault="00B57338" w:rsidP="00DC37E3">
            <w:pPr>
              <w:pStyle w:val="Marginlie"/>
              <w:rPr>
                <w:spacing w:val="0"/>
              </w:rPr>
            </w:pPr>
          </w:p>
          <w:p w:rsidR="00B57338" w:rsidRPr="00360DE3" w:rsidRDefault="00B57338" w:rsidP="00DC37E3">
            <w:pPr>
              <w:pStyle w:val="Marginlie"/>
              <w:rPr>
                <w:spacing w:val="0"/>
              </w:rPr>
            </w:pPr>
          </w:p>
          <w:p w:rsidR="00B57338" w:rsidRPr="00360DE3" w:rsidRDefault="00B57338" w:rsidP="00DC37E3">
            <w:pPr>
              <w:pStyle w:val="Marginlie"/>
              <w:rPr>
                <w:spacing w:val="0"/>
              </w:rPr>
            </w:pPr>
          </w:p>
          <w:p w:rsidR="00B57338" w:rsidRPr="00360DE3" w:rsidRDefault="00B57338" w:rsidP="00DC37E3">
            <w:pPr>
              <w:pStyle w:val="Marginlie"/>
              <w:rPr>
                <w:spacing w:val="0"/>
              </w:rPr>
            </w:pPr>
            <w:r w:rsidRPr="00360DE3">
              <w:rPr>
                <w:spacing w:val="0"/>
              </w:rPr>
              <w:t>Nejnižší počet dokončených bytů v relaci na obyvatele přetrvává dlouhodobě ve městech s 20 až 50 tis. obyvateli.</w:t>
            </w:r>
          </w:p>
        </w:tc>
        <w:tc>
          <w:tcPr>
            <w:tcW w:w="277" w:type="dxa"/>
          </w:tcPr>
          <w:p w:rsidR="00B57338" w:rsidRPr="00360DE3" w:rsidRDefault="00B57338" w:rsidP="00DC37E3">
            <w:pPr>
              <w:pStyle w:val="Textpoznpodarou"/>
              <w:jc w:val="both"/>
            </w:pPr>
          </w:p>
        </w:tc>
        <w:tc>
          <w:tcPr>
            <w:tcW w:w="7391" w:type="dxa"/>
          </w:tcPr>
          <w:p w:rsidR="00B57338" w:rsidRPr="00360DE3" w:rsidRDefault="00B57338" w:rsidP="00DC37E3">
            <w:r w:rsidRPr="00360DE3">
              <w:t>Přestože bytové budovy tvořily loni jen 15,6 % hodnoty všech stavebních prací (v</w:t>
            </w:r>
            <w:r w:rsidRPr="00360DE3">
              <w:rPr>
                <w:color w:val="0D0D0D"/>
              </w:rPr>
              <w:t> </w:t>
            </w:r>
            <w:r w:rsidRPr="00360DE3">
              <w:t>podkategorii nové výstavby pak 22,6 %), jednalo se o intenzivně vnímanou a</w:t>
            </w:r>
            <w:r w:rsidRPr="00360DE3">
              <w:rPr>
                <w:color w:val="0D0D0D"/>
              </w:rPr>
              <w:t> </w:t>
            </w:r>
            <w:r w:rsidRPr="00360DE3">
              <w:t xml:space="preserve">celospolečensky důležitou oblast stavebnictví. Loni byla v Česku zahájena výstavba 31 521 bytů, jejich četnost rostla již čtvrtým rokem v řadě. K růstu nejvíce přispěly rodinné domy, více se stavělo i v ostatních formách výstavby – vyjma bytů v nebytových budovách a též v domovech pro seniory, kde byl objem výstavby rekordně nízký (345). </w:t>
            </w:r>
            <w:r w:rsidRPr="00360DE3">
              <w:rPr>
                <w:color w:val="0D0D0D" w:themeColor="text1" w:themeTint="F2"/>
              </w:rPr>
              <w:t>B</w:t>
            </w:r>
            <w:r w:rsidRPr="00360DE3">
              <w:t>ytů v bytových domech se zahájilo nejvíce za posledních osm let (7 244), nešlo ale zároveň ani o polovinu objemu ze stejného období dosud rekordního roku 2007. Více než pětina všech zahájených bytů připadala na Středočeský kraj. Již druhým rokem v řadě atakovala četnost zahájených bytů v Praze dlouhodobá minima</w:t>
            </w:r>
            <w:r w:rsidRPr="00360DE3">
              <w:rPr>
                <w:rStyle w:val="Znakapoznpodarou"/>
              </w:rPr>
              <w:footnoteReference w:id="91"/>
            </w:r>
            <w:r w:rsidRPr="00360DE3">
              <w:t xml:space="preserve">. Objem nové výstavby </w:t>
            </w:r>
            <w:r w:rsidRPr="00360DE3">
              <w:rPr>
                <w:rFonts w:cs="Arial"/>
                <w:szCs w:val="20"/>
              </w:rPr>
              <w:t xml:space="preserve">výrazně zaostával za růstem pracovních míst, resp. počtem nově příchozích obyvatel a podporoval rostoucí napětí na rezidenčním trhu. Z podrobnějšího pohledu vyplývá, že lokalizace nové bytové výstavby </w:t>
            </w:r>
            <w:r w:rsidRPr="00360DE3">
              <w:t>nadále přispívala k </w:t>
            </w:r>
            <w:proofErr w:type="spellStart"/>
            <w:r w:rsidRPr="00360DE3">
              <w:t>suburbanizačním</w:t>
            </w:r>
            <w:proofErr w:type="spellEnd"/>
            <w:r w:rsidRPr="00360DE3">
              <w:t xml:space="preserve"> tendencím, což bylo vedle Prahy dobře patrné i v případě Brna, Plzně či Českých Budějovic. Naopak nejnižší intenzita dokončené bytové výstavby dlouhodobě přetrvává v SZ Čechách, severní a východní Moravě. Z pohledu velikostních kategorií měly loni nejvyšší intenzitu výstavby města nad 100 tis. obyvatel a také obce s 500 až 2000 obyvateli, nejnižší pak dlouhodobě města s 20 až 50 tis. obyvateli.</w:t>
            </w:r>
          </w:p>
        </w:tc>
      </w:tr>
      <w:tr w:rsidR="00B57338" w:rsidRPr="00360DE3" w:rsidTr="00DC37E3">
        <w:trPr>
          <w:trHeight w:val="170"/>
        </w:trPr>
        <w:tc>
          <w:tcPr>
            <w:tcW w:w="1976" w:type="dxa"/>
          </w:tcPr>
          <w:p w:rsidR="00B57338" w:rsidRPr="00360DE3" w:rsidRDefault="00B57338" w:rsidP="00DC37E3">
            <w:pPr>
              <w:pStyle w:val="Marginlie"/>
              <w:rPr>
                <w:spacing w:val="0"/>
              </w:rPr>
            </w:pPr>
            <w:r w:rsidRPr="00360DE3">
              <w:rPr>
                <w:spacing w:val="0"/>
              </w:rPr>
              <w:t>Nové zakázky i důvěra podnikatelů ve stavebnictví naznačovaly v průběhu roku výrazně příznivější vyhlídky pro celé odvětví.</w:t>
            </w:r>
          </w:p>
        </w:tc>
        <w:tc>
          <w:tcPr>
            <w:tcW w:w="277" w:type="dxa"/>
          </w:tcPr>
          <w:p w:rsidR="00B57338" w:rsidRPr="00360DE3" w:rsidRDefault="00B57338" w:rsidP="00DC37E3">
            <w:pPr>
              <w:pStyle w:val="Textpoznpodarou"/>
              <w:jc w:val="both"/>
            </w:pPr>
          </w:p>
        </w:tc>
        <w:tc>
          <w:tcPr>
            <w:tcW w:w="7391" w:type="dxa"/>
          </w:tcPr>
          <w:p w:rsidR="00B57338" w:rsidRPr="00360DE3" w:rsidRDefault="00B57338" w:rsidP="00DC37E3">
            <w:r w:rsidRPr="00360DE3">
              <w:t xml:space="preserve">Vyhlídky odvětví stavebnictví se během loňského roku výrazně zlepšovaly. </w:t>
            </w:r>
            <w:r w:rsidRPr="00360DE3">
              <w:rPr>
                <w:color w:val="000000" w:themeColor="text1"/>
              </w:rPr>
              <w:t xml:space="preserve">Sezónně očištěné </w:t>
            </w:r>
            <w:r w:rsidRPr="00360DE3">
              <w:rPr>
                <w:color w:val="0D0D0D" w:themeColor="text1" w:themeTint="F2"/>
              </w:rPr>
              <w:t>saldo důvěry podnikatelů sice zůstávalo v negativním pásmu, ale zejména v během druhé poloviny roku doznalo i pod vlivem růstu nových zakázek příznivějších hodnot</w:t>
            </w:r>
            <w:r w:rsidRPr="00360DE3">
              <w:rPr>
                <w:rStyle w:val="Znakapoznpodarou"/>
                <w:color w:val="0D0D0D" w:themeColor="text1" w:themeTint="F2"/>
              </w:rPr>
              <w:footnoteReference w:id="92"/>
            </w:r>
            <w:r w:rsidRPr="00360DE3">
              <w:rPr>
                <w:color w:val="0D0D0D" w:themeColor="text1" w:themeTint="F2"/>
              </w:rPr>
              <w:t>.</w:t>
            </w:r>
            <w:r w:rsidRPr="00360DE3">
              <w:t xml:space="preserve"> </w:t>
            </w:r>
            <w:r w:rsidRPr="00360DE3">
              <w:rPr>
                <w:color w:val="000000" w:themeColor="text1"/>
              </w:rPr>
              <w:t xml:space="preserve">Podíl podniků očekávajících redukci stavební činnosti či zaměstnanosti meziročně výrazně klesl. </w:t>
            </w:r>
          </w:p>
        </w:tc>
      </w:tr>
      <w:tr w:rsidR="00B57338" w:rsidRPr="00360DE3" w:rsidTr="00DC37E3">
        <w:trPr>
          <w:trHeight w:val="170"/>
        </w:trPr>
        <w:tc>
          <w:tcPr>
            <w:tcW w:w="1976" w:type="dxa"/>
          </w:tcPr>
          <w:p w:rsidR="00B57338" w:rsidRPr="00360DE3" w:rsidRDefault="00B57338" w:rsidP="00DC37E3">
            <w:pPr>
              <w:pStyle w:val="Marginlie"/>
              <w:rPr>
                <w:spacing w:val="0"/>
              </w:rPr>
            </w:pPr>
            <w:r w:rsidRPr="00360DE3">
              <w:rPr>
                <w:spacing w:val="0"/>
              </w:rPr>
              <w:t>V Česku jako jediné zemi EU loni meziročně poklesla jak HPH, tak i celková zaměstnanost ve stavebnictví.</w:t>
            </w:r>
          </w:p>
        </w:tc>
        <w:tc>
          <w:tcPr>
            <w:tcW w:w="277" w:type="dxa"/>
          </w:tcPr>
          <w:p w:rsidR="00B57338" w:rsidRPr="00360DE3" w:rsidRDefault="00B57338" w:rsidP="00DC37E3">
            <w:pPr>
              <w:pStyle w:val="Textpoznpodarou"/>
              <w:jc w:val="both"/>
            </w:pPr>
          </w:p>
        </w:tc>
        <w:tc>
          <w:tcPr>
            <w:tcW w:w="7391" w:type="dxa"/>
          </w:tcPr>
          <w:p w:rsidR="00B57338" w:rsidRPr="00360DE3" w:rsidRDefault="00B57338" w:rsidP="00DC37E3">
            <w:pPr>
              <w:spacing w:after="0"/>
            </w:pPr>
            <w:r w:rsidRPr="00360DE3">
              <w:t>Navzdory příznivějším vyhlídkám v úhrnu za celý loňský rok HPH ve stavebnictví meziročně poklesla (-2,9 %). Česko tak společně s Řeckem, Rumunskem a</w:t>
            </w:r>
            <w:r w:rsidRPr="00360DE3">
              <w:rPr>
                <w:color w:val="0D0D0D" w:themeColor="text1" w:themeTint="F2"/>
              </w:rPr>
              <w:t> </w:t>
            </w:r>
            <w:r w:rsidRPr="00360DE3">
              <w:t>Lucemburskem patřilo k jediným státům EU, jejichž stavebnictví k růstu celé ekonomiky nepřispívalo</w:t>
            </w:r>
            <w:r w:rsidRPr="00360DE3">
              <w:rPr>
                <w:rStyle w:val="Znakapoznpodarou"/>
              </w:rPr>
              <w:footnoteReference w:id="93"/>
            </w:r>
            <w:r w:rsidRPr="00360DE3">
              <w:t>. Zároveň bylo jedinou unijní zemí, v níž v tomto odvětví loni vedle přidané hodnoty klesala i zaměstnanost. Nepříznivě postavení ČR v HPH je zčásti způsobeno odlišnou srovnávací základnou oproti většině zemí střední a</w:t>
            </w:r>
            <w:r w:rsidRPr="00360DE3">
              <w:rPr>
                <w:color w:val="0D0D0D" w:themeColor="text1" w:themeTint="F2"/>
              </w:rPr>
              <w:t> </w:t>
            </w:r>
            <w:r w:rsidRPr="00360DE3">
              <w:t>východní Evropy, ve kterých výkon stavebnictví v roce 2016 (vlivem ukončení staršího programového období EU) prudce klesal. Česko si však výrazně lépe nestálo ani v dlouhodobějším pohledu. Proti roku 2013 loni výkon stavebnictví nepatrně zaostával (o 1 %), ve třech čtvrtinách unijních zemí ale již tuto úroveň překonal. Ve srovnání s konjunkturním rokem 2007 pak byl v Česku o 9 % nižší (v EU o 11 %), nad touto úrovní se naopak nacházel ve třetině zemí EU – výrazně např. v Polsku (o 45 %), Slovensku, Německu a Velké Británii (shodně o 12 %).</w:t>
            </w:r>
          </w:p>
        </w:tc>
      </w:tr>
    </w:tbl>
    <w:p w:rsidR="00B57338" w:rsidRDefault="000C1D78" w:rsidP="000C1D78">
      <w:pPr>
        <w:spacing w:after="0"/>
        <w:rPr>
          <w:b/>
          <w:szCs w:val="20"/>
        </w:rPr>
      </w:pPr>
      <w:r w:rsidRPr="00360DE3">
        <w:rPr>
          <w:b/>
          <w:szCs w:val="20"/>
        </w:rPr>
        <w:t xml:space="preserve"> </w:t>
      </w:r>
    </w:p>
    <w:p w:rsidR="00B57338" w:rsidRDefault="00B57338" w:rsidP="000C1D78">
      <w:pPr>
        <w:spacing w:after="0"/>
        <w:rPr>
          <w:b/>
          <w:szCs w:val="20"/>
        </w:rPr>
      </w:pPr>
    </w:p>
    <w:p w:rsidR="000C1D78" w:rsidRPr="00360DE3" w:rsidRDefault="000C1D78" w:rsidP="000C1D78">
      <w:pPr>
        <w:spacing w:after="0"/>
        <w:rPr>
          <w:b/>
          <w:szCs w:val="20"/>
        </w:rPr>
      </w:pPr>
      <w:r w:rsidRPr="00360DE3">
        <w:rPr>
          <w:b/>
          <w:szCs w:val="20"/>
        </w:rPr>
        <w:lastRenderedPageBreak/>
        <w:t>Kartogramy 12.1 a 12.2</w:t>
      </w:r>
    </w:p>
    <w:p w:rsidR="000C1D78" w:rsidRPr="00360DE3" w:rsidRDefault="000C1D78" w:rsidP="000C1D78">
      <w:pPr>
        <w:spacing w:after="0"/>
        <w:rPr>
          <w:sz w:val="16"/>
          <w:szCs w:val="16"/>
        </w:rPr>
      </w:pPr>
      <w:r w:rsidRPr="00360DE3">
        <w:rPr>
          <w:b/>
          <w:noProof/>
          <w:szCs w:val="20"/>
        </w:rPr>
        <w:drawing>
          <wp:inline distT="0" distB="0" distL="0" distR="0">
            <wp:extent cx="6120130" cy="4330711"/>
            <wp:effectExtent l="19050" t="0" r="0" b="0"/>
            <wp:docPr id="67" name="Obrázek 0" descr="Dokoncene byty.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koncene byty.emf"/>
                    <pic:cNvPicPr/>
                  </pic:nvPicPr>
                  <pic:blipFill>
                    <a:blip r:embed="rId57" cstate="print"/>
                    <a:stretch>
                      <a:fillRect/>
                    </a:stretch>
                  </pic:blipFill>
                  <pic:spPr>
                    <a:xfrm>
                      <a:off x="0" y="0"/>
                      <a:ext cx="6120130" cy="4330711"/>
                    </a:xfrm>
                    <a:prstGeom prst="rect">
                      <a:avLst/>
                    </a:prstGeom>
                  </pic:spPr>
                </pic:pic>
              </a:graphicData>
            </a:graphic>
          </wp:inline>
        </w:drawing>
      </w:r>
    </w:p>
    <w:p w:rsidR="000C1D78" w:rsidRPr="00360DE3" w:rsidRDefault="000C1D78" w:rsidP="000C1D78">
      <w:pPr>
        <w:spacing w:after="0"/>
        <w:rPr>
          <w:sz w:val="16"/>
          <w:szCs w:val="16"/>
        </w:rPr>
      </w:pPr>
    </w:p>
    <w:p w:rsidR="000C1D78" w:rsidRPr="00360DE3" w:rsidRDefault="000C1D78" w:rsidP="000C1D78">
      <w:r w:rsidRPr="00360DE3">
        <w:rPr>
          <w:noProof/>
        </w:rPr>
        <w:drawing>
          <wp:inline distT="0" distB="0" distL="0" distR="0">
            <wp:extent cx="6120130" cy="4330700"/>
            <wp:effectExtent l="19050" t="0" r="0" b="0"/>
            <wp:docPr id="68" name="Obrázek 1" descr="Obytná plocha bytu.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ytná plocha bytu.emf"/>
                    <pic:cNvPicPr/>
                  </pic:nvPicPr>
                  <pic:blipFill>
                    <a:blip r:embed="rId58" cstate="print"/>
                    <a:stretch>
                      <a:fillRect/>
                    </a:stretch>
                  </pic:blipFill>
                  <pic:spPr>
                    <a:xfrm>
                      <a:off x="0" y="0"/>
                      <a:ext cx="6120130" cy="4330700"/>
                    </a:xfrm>
                    <a:prstGeom prst="rect">
                      <a:avLst/>
                    </a:prstGeom>
                  </pic:spPr>
                </pic:pic>
              </a:graphicData>
            </a:graphic>
          </wp:inline>
        </w:drawing>
      </w:r>
    </w:p>
    <w:p w:rsidR="00C466D2" w:rsidRPr="00360DE3" w:rsidRDefault="00E212C9" w:rsidP="00141782">
      <w:pPr>
        <w:pStyle w:val="Nadpis1"/>
        <w:rPr>
          <w:lang w:eastAsia="en-US"/>
        </w:rPr>
      </w:pPr>
      <w:bookmarkStart w:id="30" w:name="_Toc527639485"/>
      <w:r w:rsidRPr="00360DE3">
        <w:rPr>
          <w:lang w:eastAsia="en-US"/>
        </w:rPr>
        <w:lastRenderedPageBreak/>
        <w:t>13</w:t>
      </w:r>
      <w:r w:rsidR="00141782" w:rsidRPr="00360DE3">
        <w:rPr>
          <w:lang w:eastAsia="en-US"/>
        </w:rPr>
        <w:t>. Obchod, doprava</w:t>
      </w:r>
      <w:bookmarkEnd w:id="30"/>
    </w:p>
    <w:tbl>
      <w:tblPr>
        <w:tblW w:w="9644" w:type="dxa"/>
        <w:tblInd w:w="-15" w:type="dxa"/>
        <w:tblLayout w:type="fixed"/>
        <w:tblCellMar>
          <w:left w:w="0" w:type="dxa"/>
          <w:right w:w="0" w:type="dxa"/>
        </w:tblCellMar>
        <w:tblLook w:val="00A0"/>
      </w:tblPr>
      <w:tblGrid>
        <w:gridCol w:w="1976"/>
        <w:gridCol w:w="277"/>
        <w:gridCol w:w="7391"/>
      </w:tblGrid>
      <w:tr w:rsidR="00F160CE" w:rsidRPr="00360DE3" w:rsidTr="006D64C2">
        <w:trPr>
          <w:trHeight w:val="145"/>
        </w:trPr>
        <w:tc>
          <w:tcPr>
            <w:tcW w:w="1976" w:type="dxa"/>
          </w:tcPr>
          <w:p w:rsidR="00F160CE" w:rsidRPr="00360DE3" w:rsidRDefault="00C21405" w:rsidP="00DC37E3">
            <w:pPr>
              <w:pStyle w:val="Marginlie"/>
              <w:rPr>
                <w:spacing w:val="0"/>
              </w:rPr>
            </w:pPr>
            <w:r>
              <w:rPr>
                <w:spacing w:val="0"/>
              </w:rPr>
              <w:t>Obchod a doprava vytvářely v Č</w:t>
            </w:r>
            <w:r w:rsidR="00F160CE" w:rsidRPr="00360DE3">
              <w:rPr>
                <w:spacing w:val="0"/>
              </w:rPr>
              <w:t>esku více než čtvrtinu přidané hodnoty sektoru služeb.</w:t>
            </w:r>
          </w:p>
        </w:tc>
        <w:tc>
          <w:tcPr>
            <w:tcW w:w="277" w:type="dxa"/>
          </w:tcPr>
          <w:p w:rsidR="00F160CE" w:rsidRPr="00360DE3" w:rsidRDefault="00F160CE" w:rsidP="00DC37E3">
            <w:pPr>
              <w:pStyle w:val="Textpoznpodarou"/>
              <w:jc w:val="both"/>
            </w:pPr>
          </w:p>
        </w:tc>
        <w:tc>
          <w:tcPr>
            <w:tcW w:w="7391" w:type="dxa"/>
          </w:tcPr>
          <w:p w:rsidR="00F160CE" w:rsidRPr="00360DE3" w:rsidRDefault="00F160CE" w:rsidP="00DC37E3">
            <w:r w:rsidRPr="00360DE3">
              <w:t>Obchod i doprava (vč. skladování)</w:t>
            </w:r>
            <w:r w:rsidRPr="00360DE3">
              <w:rPr>
                <w:rStyle w:val="Znakapoznpodarou"/>
              </w:rPr>
              <w:footnoteReference w:id="94"/>
            </w:r>
            <w:r w:rsidRPr="00360DE3">
              <w:t xml:space="preserve"> patří dlouhodobě nejen v ČR k nejvýznamnějším odvětvím služeb. Samotný obchod vytvářel loni v Česku 18,3 % hrubé přidané hodnoty (HPH) celého terciárního sektoru, doprava pak dosahovala zhruba polovičního podílu. Přestože meziroční růst HPH v obchodu a dopravě byl proti roku 2016 o polovinu vyšší a loni činil 3,1 %, již druhý rok v řadě za růstovým tempem v celé ekonomice zaostával. Za období od konce poslední recese (rok 2013) byl nicméně vývoj v obchodu a dopravě oproti národnímu hospodářství mírně příznivější a dařilo se mu také lépe než obchodu a dopravě v celé EU.</w:t>
            </w:r>
          </w:p>
        </w:tc>
      </w:tr>
      <w:tr w:rsidR="00F160CE" w:rsidRPr="00360DE3" w:rsidTr="006D64C2">
        <w:tc>
          <w:tcPr>
            <w:tcW w:w="1976" w:type="dxa"/>
            <w:vMerge w:val="restart"/>
          </w:tcPr>
          <w:p w:rsidR="00F160CE" w:rsidRPr="00360DE3" w:rsidRDefault="00F160CE" w:rsidP="00DC37E3">
            <w:pPr>
              <w:pStyle w:val="Marginlie"/>
              <w:rPr>
                <w:spacing w:val="0"/>
              </w:rPr>
            </w:pPr>
          </w:p>
        </w:tc>
        <w:tc>
          <w:tcPr>
            <w:tcW w:w="277" w:type="dxa"/>
            <w:vMerge w:val="restart"/>
          </w:tcPr>
          <w:p w:rsidR="00F160CE" w:rsidRPr="00360DE3" w:rsidRDefault="00F160CE" w:rsidP="00DC37E3">
            <w:pPr>
              <w:pStyle w:val="Textpoznpodarou"/>
              <w:jc w:val="both"/>
            </w:pPr>
          </w:p>
        </w:tc>
        <w:tc>
          <w:tcPr>
            <w:tcW w:w="7391" w:type="dxa"/>
          </w:tcPr>
          <w:p w:rsidR="00F160CE" w:rsidRPr="00360DE3" w:rsidRDefault="00F160CE" w:rsidP="00DC37E3">
            <w:pPr>
              <w:spacing w:after="0"/>
              <w:rPr>
                <w:b/>
              </w:rPr>
            </w:pPr>
            <w:r w:rsidRPr="00360DE3">
              <w:rPr>
                <w:b/>
              </w:rPr>
              <w:t xml:space="preserve">Graf 13.1  </w:t>
            </w:r>
            <w:r w:rsidRPr="00360DE3">
              <w:rPr>
                <w:b/>
                <w:bCs/>
              </w:rPr>
              <w:t xml:space="preserve">Zákl. </w:t>
            </w:r>
            <w:proofErr w:type="gramStart"/>
            <w:r w:rsidRPr="00360DE3">
              <w:rPr>
                <w:b/>
                <w:bCs/>
              </w:rPr>
              <w:t>ukazatele</w:t>
            </w:r>
            <w:proofErr w:type="gramEnd"/>
            <w:r w:rsidRPr="00360DE3">
              <w:rPr>
                <w:b/>
                <w:bCs/>
              </w:rPr>
              <w:t xml:space="preserve"> odvětví zahrnujících obchod, dopravu a skladování</w:t>
            </w:r>
          </w:p>
          <w:p w:rsidR="00F160CE" w:rsidRPr="00360DE3" w:rsidRDefault="00F160CE" w:rsidP="00DC37E3">
            <w:pPr>
              <w:spacing w:after="0"/>
              <w:rPr>
                <w:b/>
              </w:rPr>
            </w:pPr>
            <w:r w:rsidRPr="00360DE3">
              <w:rPr>
                <w:b/>
                <w:noProof/>
              </w:rPr>
              <w:drawing>
                <wp:inline distT="0" distB="0" distL="0" distR="0">
                  <wp:extent cx="4716119" cy="3553200"/>
                  <wp:effectExtent l="0" t="0" r="8281" b="0"/>
                  <wp:docPr id="9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r w:rsidR="00F160CE" w:rsidRPr="00360DE3" w:rsidTr="006D64C2">
        <w:trPr>
          <w:trHeight w:val="284"/>
        </w:trPr>
        <w:tc>
          <w:tcPr>
            <w:tcW w:w="1976" w:type="dxa"/>
            <w:vMerge/>
          </w:tcPr>
          <w:p w:rsidR="00F160CE" w:rsidRPr="00360DE3" w:rsidRDefault="00F160CE" w:rsidP="00DC37E3">
            <w:pPr>
              <w:pStyle w:val="Marginlie"/>
              <w:rPr>
                <w:spacing w:val="0"/>
              </w:rPr>
            </w:pPr>
          </w:p>
        </w:tc>
        <w:tc>
          <w:tcPr>
            <w:tcW w:w="277" w:type="dxa"/>
            <w:vMerge/>
          </w:tcPr>
          <w:p w:rsidR="00F160CE" w:rsidRPr="00360DE3" w:rsidRDefault="00F160CE" w:rsidP="00DC37E3">
            <w:pPr>
              <w:pStyle w:val="Textpoznpodarou"/>
              <w:jc w:val="both"/>
            </w:pPr>
          </w:p>
        </w:tc>
        <w:tc>
          <w:tcPr>
            <w:tcW w:w="7391" w:type="dxa"/>
          </w:tcPr>
          <w:p w:rsidR="00F160CE" w:rsidRPr="00360DE3" w:rsidRDefault="00F160CE" w:rsidP="00DC37E3">
            <w:pPr>
              <w:pStyle w:val="Zhlav"/>
              <w:spacing w:before="40" w:after="240" w:line="240" w:lineRule="auto"/>
              <w:rPr>
                <w:rFonts w:cs="Arial"/>
                <w:sz w:val="14"/>
                <w:szCs w:val="14"/>
                <w:lang w:eastAsia="cs-CZ"/>
              </w:rPr>
            </w:pPr>
            <w:r w:rsidRPr="00360DE3">
              <w:rPr>
                <w:rFonts w:cs="Arial"/>
                <w:sz w:val="14"/>
                <w:szCs w:val="14"/>
                <w:lang w:eastAsia="cs-CZ"/>
              </w:rPr>
              <w:t xml:space="preserve">*Do reálného vyjádření převedeno deflátorem výdajů na konečnou spotřebu domácností.      Zdroj: ČSÚ (národní účty) </w:t>
            </w:r>
          </w:p>
        </w:tc>
      </w:tr>
      <w:tr w:rsidR="006D64C2" w:rsidRPr="00360DE3" w:rsidTr="006D64C2">
        <w:trPr>
          <w:trHeight w:val="170"/>
        </w:trPr>
        <w:tc>
          <w:tcPr>
            <w:tcW w:w="1976" w:type="dxa"/>
          </w:tcPr>
          <w:p w:rsidR="006D64C2" w:rsidRPr="00360DE3" w:rsidRDefault="006D64C2" w:rsidP="00F162B3">
            <w:pPr>
              <w:pStyle w:val="Marginlie"/>
              <w:rPr>
                <w:spacing w:val="0"/>
              </w:rPr>
            </w:pPr>
            <w:r w:rsidRPr="00360DE3">
              <w:rPr>
                <w:spacing w:val="0"/>
              </w:rPr>
              <w:t>Ziskovost podniků v obchodu a dopravě v posledních dvou letech stagnovala na úrovni blízké konjunktuře z minulé dekády.</w:t>
            </w:r>
          </w:p>
        </w:tc>
        <w:tc>
          <w:tcPr>
            <w:tcW w:w="277" w:type="dxa"/>
          </w:tcPr>
          <w:p w:rsidR="006D64C2" w:rsidRPr="00360DE3" w:rsidRDefault="006D64C2" w:rsidP="00F162B3">
            <w:pPr>
              <w:pStyle w:val="Textpoznpodarou"/>
              <w:jc w:val="both"/>
            </w:pPr>
          </w:p>
        </w:tc>
        <w:tc>
          <w:tcPr>
            <w:tcW w:w="7391" w:type="dxa"/>
          </w:tcPr>
          <w:p w:rsidR="006D64C2" w:rsidRPr="00360DE3" w:rsidRDefault="006D64C2" w:rsidP="00F162B3">
            <w:r w:rsidRPr="00360DE3">
              <w:t>Míra zisku nefinančních podniků působících v obchodu a dopravě</w:t>
            </w:r>
            <w:r w:rsidRPr="00360DE3">
              <w:rPr>
                <w:rStyle w:val="Znakapoznpodarou"/>
              </w:rPr>
              <w:footnoteReference w:id="95"/>
            </w:r>
            <w:r w:rsidRPr="00360DE3">
              <w:t xml:space="preserve"> v posledních dvou letech stagnovala těsně pod 45 % a blížila se tak vysokým hodnotám z konjunktury minulé dekády</w:t>
            </w:r>
            <w:r w:rsidRPr="00360DE3">
              <w:rPr>
                <w:rStyle w:val="Znakapoznpodarou"/>
              </w:rPr>
              <w:footnoteReference w:id="96"/>
            </w:r>
            <w:r w:rsidRPr="00360DE3">
              <w:t xml:space="preserve">. Ziskovost podniků se v dílčích odvětvích výrazněji odlišovala. Nejlepší postavení drží v posledních třech letech obchod a opravy motorových vozidel, kde přesahoval podíl hrubého provozního přebytku na HPH vždy mírně úroveň 50 %. Naopak s výrazným odstupem figurovala vodní doprava (33 %) a navzdory oživění v posledních letech nadále i letecká doprava (36 %). Specifické postavení měly poštovní a kurýrní činnosti, jež loni dosáhly nejslabší ziskovosti za posledních jedenáct let (8 %). Toto odvětví se dlouhodobě vyznačuje nízkým zastoupením soukromých podniků a dominancí podniků veřejných. Zatímco ziskovost v tomto odvětví patří v rámci obchodu a dopravy k nejslabším dlouhodobě, odvětví vykazující nejvyšší ziskovost se v posledních dvou dekádách </w:t>
            </w:r>
            <w:r w:rsidRPr="00360DE3">
              <w:lastRenderedPageBreak/>
              <w:t>proměňovala</w:t>
            </w:r>
            <w:r w:rsidRPr="00360DE3">
              <w:rPr>
                <w:rStyle w:val="Znakapoznpodarou"/>
              </w:rPr>
              <w:footnoteReference w:id="97"/>
            </w:r>
            <w:r w:rsidRPr="00360DE3">
              <w:t>.</w:t>
            </w:r>
          </w:p>
        </w:tc>
      </w:tr>
      <w:tr w:rsidR="006D64C2" w:rsidRPr="00360DE3" w:rsidTr="006D64C2">
        <w:trPr>
          <w:trHeight w:val="170"/>
        </w:trPr>
        <w:tc>
          <w:tcPr>
            <w:tcW w:w="1976" w:type="dxa"/>
          </w:tcPr>
          <w:p w:rsidR="006D64C2" w:rsidRPr="00360DE3" w:rsidRDefault="006D64C2" w:rsidP="00DC37E3">
            <w:pPr>
              <w:pStyle w:val="Marginlie"/>
              <w:rPr>
                <w:spacing w:val="0"/>
              </w:rPr>
            </w:pPr>
            <w:r w:rsidRPr="00360DE3">
              <w:rPr>
                <w:spacing w:val="0"/>
              </w:rPr>
              <w:lastRenderedPageBreak/>
              <w:t>Strmý růst mzdových nákladů se při slabší dynamice zaměstnanosti projevil citelným posílením průměrných výdělků…</w:t>
            </w:r>
          </w:p>
          <w:p w:rsidR="006D64C2" w:rsidRPr="00360DE3" w:rsidRDefault="006D64C2" w:rsidP="00DC37E3">
            <w:pPr>
              <w:pStyle w:val="Marginlie"/>
              <w:rPr>
                <w:spacing w:val="0"/>
              </w:rPr>
            </w:pPr>
          </w:p>
          <w:p w:rsidR="006D64C2" w:rsidRPr="00360DE3" w:rsidRDefault="006D64C2" w:rsidP="00DC37E3">
            <w:pPr>
              <w:pStyle w:val="Marginlie"/>
              <w:rPr>
                <w:spacing w:val="0"/>
              </w:rPr>
            </w:pPr>
          </w:p>
          <w:p w:rsidR="006D64C2" w:rsidRPr="00360DE3" w:rsidRDefault="006D64C2" w:rsidP="00DC37E3">
            <w:pPr>
              <w:pStyle w:val="Marginlie"/>
              <w:rPr>
                <w:spacing w:val="0"/>
              </w:rPr>
            </w:pPr>
            <w:r w:rsidRPr="00360DE3">
              <w:rPr>
                <w:spacing w:val="0"/>
              </w:rPr>
              <w:t xml:space="preserve">…jejich úroveň však ve srovnání s terciárním sektorem i celou ekonomikou </w:t>
            </w:r>
            <w:r w:rsidR="00D965EC">
              <w:rPr>
                <w:spacing w:val="0"/>
              </w:rPr>
              <w:t xml:space="preserve">je </w:t>
            </w:r>
            <w:r w:rsidRPr="00360DE3">
              <w:rPr>
                <w:spacing w:val="0"/>
              </w:rPr>
              <w:t>nadále nižší.</w:t>
            </w: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r w:rsidRPr="00360DE3">
              <w:t>Za skutečností, že zvyšování míry zisku podniků v obchodu a dopravě se po roce 2015 zastavil</w:t>
            </w:r>
            <w:r w:rsidR="00D965EC">
              <w:t>o</w:t>
            </w:r>
            <w:r w:rsidRPr="00360DE3">
              <w:t xml:space="preserve">, stály strmě rostoucí mzdové náklady. Počet zaměstnanců se však navyšoval jen mírně (loni o 1,2 %), neboť </w:t>
            </w:r>
            <w:r w:rsidR="00D965EC">
              <w:t>posílení odvětví velkoobchodu i</w:t>
            </w:r>
            <w:r w:rsidR="00D965EC" w:rsidRPr="00360DE3">
              <w:t> </w:t>
            </w:r>
            <w:r w:rsidRPr="00360DE3">
              <w:t>skladování bylo z větší části kompenzováno redukcí pracovních míst ve vodní dopravě a hlavně v maloobchodu. Růst objemu mzdových prostředků (v roce 2017 o 8,5 %) se tak logicky překlopil přímo do průměrných výdělků. Ty rostly v tomto odvětví v posledních třech letech vyšším tempem než v celé ekonomice, což souviselo především s jejich podprůměrnou úrovní. Mzdový růst byl vedle prohlubujícího se nedostatku pracovníků také stimulován navyšováním hranice minimální mzdy. Navzdory sílícím mzdovým nákladům narostl loni reálný objem vyplacených mezd a platů proti roku 2010 stále méně než reálná hodinová produktivita práce (+15,4 %).</w:t>
            </w:r>
          </w:p>
        </w:tc>
      </w:tr>
      <w:tr w:rsidR="006D64C2" w:rsidRPr="00360DE3" w:rsidTr="006D64C2">
        <w:trPr>
          <w:trHeight w:val="170"/>
        </w:trPr>
        <w:tc>
          <w:tcPr>
            <w:tcW w:w="1976" w:type="dxa"/>
          </w:tcPr>
          <w:p w:rsidR="006D64C2" w:rsidRPr="00360DE3" w:rsidRDefault="006D64C2" w:rsidP="00DC37E3">
            <w:pPr>
              <w:pStyle w:val="Marginlie"/>
              <w:rPr>
                <w:spacing w:val="0"/>
              </w:rPr>
            </w:pP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pPr>
              <w:spacing w:after="0"/>
            </w:pPr>
            <w:r w:rsidRPr="00360DE3">
              <w:rPr>
                <w:b/>
              </w:rPr>
              <w:t xml:space="preserve">Graf </w:t>
            </w:r>
            <w:proofErr w:type="gramStart"/>
            <w:r w:rsidRPr="00360DE3">
              <w:rPr>
                <w:b/>
              </w:rPr>
              <w:t>13.2  Příspěvky</w:t>
            </w:r>
            <w:proofErr w:type="gramEnd"/>
            <w:r w:rsidRPr="00360DE3">
              <w:rPr>
                <w:b/>
              </w:rPr>
              <w:t xml:space="preserve"> odvětvových oddílů k meziroční změně HPH v uskupení obchod, doprava a skladování </w:t>
            </w:r>
            <w:r w:rsidRPr="00360DE3">
              <w:t>(reálně, v procentních bodech)</w:t>
            </w:r>
          </w:p>
          <w:p w:rsidR="006D64C2" w:rsidRPr="00360DE3" w:rsidRDefault="006D64C2" w:rsidP="00DC37E3">
            <w:pPr>
              <w:spacing w:after="0"/>
              <w:rPr>
                <w:b/>
              </w:rPr>
            </w:pPr>
            <w:r w:rsidRPr="00360DE3">
              <w:rPr>
                <w:b/>
                <w:noProof/>
              </w:rPr>
              <w:drawing>
                <wp:inline distT="0" distB="0" distL="0" distR="0">
                  <wp:extent cx="4705350" cy="3606800"/>
                  <wp:effectExtent l="19050" t="0" r="0" b="0"/>
                  <wp:docPr id="53"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r w:rsidR="006D64C2" w:rsidRPr="00360DE3" w:rsidTr="006D64C2">
        <w:trPr>
          <w:trHeight w:val="170"/>
        </w:trPr>
        <w:tc>
          <w:tcPr>
            <w:tcW w:w="1976" w:type="dxa"/>
          </w:tcPr>
          <w:p w:rsidR="006D64C2" w:rsidRPr="00360DE3" w:rsidRDefault="006D64C2" w:rsidP="00DC37E3">
            <w:pPr>
              <w:pStyle w:val="Marginlie"/>
              <w:rPr>
                <w:spacing w:val="0"/>
              </w:rPr>
            </w:pP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r w:rsidRPr="00360DE3">
              <w:rPr>
                <w:rFonts w:cs="Arial"/>
                <w:color w:val="0D0D0D" w:themeColor="text1" w:themeTint="F2"/>
                <w:sz w:val="14"/>
                <w:szCs w:val="14"/>
              </w:rPr>
              <w:t xml:space="preserve"> </w:t>
            </w:r>
            <w:r w:rsidRPr="00360DE3">
              <w:rPr>
                <w:rFonts w:cs="Arial"/>
                <w:sz w:val="14"/>
                <w:szCs w:val="14"/>
              </w:rPr>
              <w:t>Zdroj: ČSÚ (národní účty)</w:t>
            </w:r>
          </w:p>
        </w:tc>
      </w:tr>
      <w:tr w:rsidR="006D64C2" w:rsidRPr="00360DE3" w:rsidTr="006D64C2">
        <w:trPr>
          <w:trHeight w:val="170"/>
        </w:trPr>
        <w:tc>
          <w:tcPr>
            <w:tcW w:w="1976" w:type="dxa"/>
          </w:tcPr>
          <w:p w:rsidR="006D64C2" w:rsidRPr="00360DE3" w:rsidRDefault="006D64C2" w:rsidP="00F162B3">
            <w:pPr>
              <w:pStyle w:val="Marginlie"/>
              <w:rPr>
                <w:spacing w:val="0"/>
              </w:rPr>
            </w:pPr>
            <w:r w:rsidRPr="00360DE3">
              <w:rPr>
                <w:spacing w:val="0"/>
              </w:rPr>
              <w:t xml:space="preserve">Míra investic v obchodu a dopravě klesla na více než dvacetileté minimum. Ve srovnání s ostatními odvětvími služeb byla podprůměrná. </w:t>
            </w:r>
          </w:p>
        </w:tc>
        <w:tc>
          <w:tcPr>
            <w:tcW w:w="277" w:type="dxa"/>
          </w:tcPr>
          <w:p w:rsidR="006D64C2" w:rsidRPr="00360DE3" w:rsidRDefault="006D64C2" w:rsidP="00F162B3">
            <w:pPr>
              <w:pStyle w:val="Textpoznpodarou"/>
              <w:jc w:val="both"/>
            </w:pPr>
          </w:p>
        </w:tc>
        <w:tc>
          <w:tcPr>
            <w:tcW w:w="7391" w:type="dxa"/>
          </w:tcPr>
          <w:p w:rsidR="006D64C2" w:rsidRPr="00360DE3" w:rsidRDefault="006D64C2" w:rsidP="00F162B3">
            <w:pPr>
              <w:rPr>
                <w:szCs w:val="20"/>
              </w:rPr>
            </w:pPr>
            <w:r w:rsidRPr="00360DE3">
              <w:rPr>
                <w:rFonts w:cs="Arial"/>
                <w:color w:val="0D0D0D" w:themeColor="text1" w:themeTint="F2"/>
                <w:szCs w:val="20"/>
              </w:rPr>
              <w:t>Po mírném oživení v letech 2015 a 2016 se míra investic v obchodu a dopravě opět snížila (na 22 %). Méně než loni vydaly subjekty v tomto odvětví na investice (ve vztahu k HPH) jen v první polovině 90. let. Z toho pohledu není překvapivé, že míra investic v roce 2017 byla nižší než v celém terciárním sektoru (28 %). Ve srovnání se státy EU ale zůstává tuzemská míra investic v obchodu a dopravě výrazně nadprůměrná</w:t>
            </w:r>
            <w:r w:rsidRPr="00360DE3">
              <w:rPr>
                <w:rStyle w:val="Znakapoznpodarou"/>
                <w:rFonts w:cs="Arial"/>
                <w:color w:val="0D0D0D" w:themeColor="text1" w:themeTint="F2"/>
                <w:szCs w:val="20"/>
              </w:rPr>
              <w:footnoteReference w:id="98"/>
            </w:r>
            <w:r w:rsidRPr="00360DE3">
              <w:rPr>
                <w:rFonts w:cs="Arial"/>
                <w:color w:val="0D0D0D" w:themeColor="text1" w:themeTint="F2"/>
                <w:szCs w:val="20"/>
              </w:rPr>
              <w:t xml:space="preserve">. Silnější sklon k investicím vykazuje z jednotlivých odvětví dlouhodobě jen skladování (loni 45 %), což souvisí jak s rozšiřováním logistických center těžících z příznivé geografické polohy ČR, tak i s rozvojem automatizace. Naopak v maloobchodu setrvávala míra investic navzdory pokračující modernizaci </w:t>
            </w:r>
            <w:r w:rsidRPr="00360DE3">
              <w:rPr>
                <w:rFonts w:cs="Arial"/>
                <w:color w:val="0D0D0D" w:themeColor="text1" w:themeTint="F2"/>
                <w:szCs w:val="20"/>
              </w:rPr>
              <w:lastRenderedPageBreak/>
              <w:t>prodejní sítě na nízké úrovni (14 % – vloni stejně jako za posledních pět let). V celém uskupení o</w:t>
            </w:r>
            <w:r w:rsidR="00D965EC">
              <w:rPr>
                <w:rFonts w:cs="Arial"/>
                <w:color w:val="0D0D0D" w:themeColor="text1" w:themeTint="F2"/>
                <w:szCs w:val="20"/>
              </w:rPr>
              <w:t>b</w:t>
            </w:r>
            <w:r w:rsidRPr="00360DE3">
              <w:rPr>
                <w:rFonts w:cs="Arial"/>
                <w:color w:val="0D0D0D" w:themeColor="text1" w:themeTint="F2"/>
                <w:szCs w:val="20"/>
              </w:rPr>
              <w:t xml:space="preserve">chod a doprava převládaly ve skladbě investic ostatní budovy a stavby (zejména vlivem odvětví skladování) a také dopravní prostředky a zařízení – obě kategorie tvořily bezmála třetinu všech investic. Slabší zastoupení měly v porovnání s celou ekonomkou výdaje na ICT, ostatní stroje a zařízení a produkty duševního vlastnictví. </w:t>
            </w:r>
          </w:p>
        </w:tc>
      </w:tr>
      <w:tr w:rsidR="006D64C2" w:rsidRPr="00360DE3" w:rsidTr="006D64C2">
        <w:trPr>
          <w:trHeight w:val="170"/>
        </w:trPr>
        <w:tc>
          <w:tcPr>
            <w:tcW w:w="1976" w:type="dxa"/>
          </w:tcPr>
          <w:p w:rsidR="006D64C2" w:rsidRPr="00360DE3" w:rsidRDefault="006D64C2" w:rsidP="00DC37E3">
            <w:pPr>
              <w:pStyle w:val="Marginlie"/>
              <w:rPr>
                <w:spacing w:val="0"/>
              </w:rPr>
            </w:pPr>
            <w:r w:rsidRPr="00360DE3">
              <w:rPr>
                <w:spacing w:val="0"/>
              </w:rPr>
              <w:lastRenderedPageBreak/>
              <w:t>K růstu obchodu a dopravy přispěl loni nejvíce maloobchod.</w:t>
            </w: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pPr>
              <w:rPr>
                <w:color w:val="0D0D0D"/>
              </w:rPr>
            </w:pPr>
            <w:r w:rsidRPr="00360DE3">
              <w:rPr>
                <w:color w:val="0D0D0D"/>
              </w:rPr>
              <w:t xml:space="preserve">Zatímco v letech 2014 i 2015 přispěl k meziročnímu růstu HPH v odvětví obchodu a dopravy nejvíce velkoobchod a následující rok motoristický segment obchodu, loni tuto pozici převzal maloobchod. Zejména pozemní doprava a velkoobchod představují cyklická odvětví, jejichž HPH má silnější vazbu na celkový ekonomický vývoj. Podstatně méně je tento vliv patrný v maloobchodu (kde se projevuje zpoždění dopadu makroekonomického vývoje na trh práce a následně i do příjmů domácností) a zejména skladování. </w:t>
            </w:r>
          </w:p>
        </w:tc>
      </w:tr>
      <w:tr w:rsidR="006D64C2" w:rsidRPr="00360DE3" w:rsidTr="006D64C2">
        <w:trPr>
          <w:trHeight w:val="170"/>
        </w:trPr>
        <w:tc>
          <w:tcPr>
            <w:tcW w:w="1976" w:type="dxa"/>
          </w:tcPr>
          <w:p w:rsidR="006D64C2" w:rsidRPr="00360DE3" w:rsidRDefault="006D64C2" w:rsidP="00DC37E3">
            <w:pPr>
              <w:pStyle w:val="Marginlie"/>
              <w:rPr>
                <w:spacing w:val="0"/>
              </w:rPr>
            </w:pPr>
            <w:r w:rsidRPr="00360DE3">
              <w:rPr>
                <w:spacing w:val="0"/>
              </w:rPr>
              <w:t>Příznivý vývoj na trhu práce společně s dalším posílením optimistických očekávání spotřebitelů vyústily v téměř 6 % růst maloobchodních tržeb. Šlo o desetileté maximum.</w:t>
            </w: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pPr>
              <w:rPr>
                <w:color w:val="0D0D0D"/>
              </w:rPr>
            </w:pPr>
            <w:r w:rsidRPr="00360DE3">
              <w:rPr>
                <w:color w:val="0D0D0D"/>
              </w:rPr>
              <w:t>Tempo růstu HPH v maloobchodu loni výrazně zrychlilo na 4,7 % (z 2,7 % v roce 2016). Detailnější pohled na vývoj jeho jednotlivých segmentů umožňují podnikové statistiky prostřednictví pravidelných měsíčních šetření. Z nich vyplynulo, že maloobchodní tržby loni vzrostly o 5,9 %</w:t>
            </w:r>
            <w:r w:rsidRPr="00360DE3">
              <w:rPr>
                <w:rStyle w:val="Znakapoznpodarou"/>
                <w:color w:val="0D0D0D"/>
              </w:rPr>
              <w:footnoteReference w:id="99"/>
            </w:r>
            <w:r w:rsidRPr="00360DE3">
              <w:rPr>
                <w:color w:val="0D0D0D"/>
              </w:rPr>
              <w:t xml:space="preserve">, nejvyšším tempem za posledních deset let. Byly tradičně taženy prodejem </w:t>
            </w:r>
            <w:proofErr w:type="spellStart"/>
            <w:r w:rsidRPr="00360DE3">
              <w:rPr>
                <w:color w:val="0D0D0D"/>
              </w:rPr>
              <w:t>nepotravinářského</w:t>
            </w:r>
            <w:proofErr w:type="spellEnd"/>
            <w:r w:rsidRPr="00360DE3">
              <w:rPr>
                <w:color w:val="0D0D0D"/>
              </w:rPr>
              <w:t xml:space="preserve"> zboží, kde se tržby navýšily o</w:t>
            </w:r>
            <w:r w:rsidR="00274037" w:rsidRPr="00360DE3">
              <w:t> </w:t>
            </w:r>
            <w:r w:rsidRPr="00360DE3">
              <w:rPr>
                <w:color w:val="0D0D0D"/>
              </w:rPr>
              <w:t xml:space="preserve">8,8 % (po Rumunsku, Bulharsku a Maďarsku nejvyšším tempem v EU). Stabilní tempa (mezi 5 a 6 %) si v posledních třech </w:t>
            </w:r>
            <w:r w:rsidR="00D965EC">
              <w:rPr>
                <w:color w:val="0D0D0D"/>
              </w:rPr>
              <w:t xml:space="preserve">letech </w:t>
            </w:r>
            <w:r w:rsidRPr="00360DE3">
              <w:rPr>
                <w:color w:val="0D0D0D"/>
              </w:rPr>
              <w:t>drželi prodejci pohonných hmot (PHM). K vyšší poptávce po PHM mohl loni přispět i relativně příznivější cenový vývoj. Maloobchod s potr</w:t>
            </w:r>
            <w:r w:rsidR="00D965EC">
              <w:rPr>
                <w:color w:val="0D0D0D"/>
              </w:rPr>
              <w:t>avinami si udržoval slabší tempo (2,8 %). Již třetím rokem v řadě vykázal</w:t>
            </w:r>
            <w:r w:rsidRPr="00360DE3">
              <w:rPr>
                <w:color w:val="0D0D0D"/>
              </w:rPr>
              <w:t xml:space="preserve"> růst </w:t>
            </w:r>
            <w:r w:rsidR="00D965EC">
              <w:rPr>
                <w:color w:val="0D0D0D"/>
              </w:rPr>
              <w:t xml:space="preserve">tržeb </w:t>
            </w:r>
            <w:r w:rsidRPr="00360DE3">
              <w:rPr>
                <w:color w:val="0D0D0D"/>
              </w:rPr>
              <w:t>váhově relativně okrajový prodej potravin ve specializova</w:t>
            </w:r>
            <w:r w:rsidR="00D965EC">
              <w:rPr>
                <w:color w:val="0D0D0D"/>
              </w:rPr>
              <w:t xml:space="preserve">ných (menších) prodejnách (v letech 2016 i 2017 dokonce převýšil tempo celkových tržeb </w:t>
            </w:r>
            <w:r w:rsidR="00BB2F03">
              <w:rPr>
                <w:color w:val="0D0D0D"/>
              </w:rPr>
              <w:t xml:space="preserve">za potraviny </w:t>
            </w:r>
            <w:r w:rsidR="00BB2F03" w:rsidRPr="00BB2F03">
              <w:rPr>
                <w:color w:val="0D0D0D"/>
              </w:rPr>
              <w:t>v nespecializovaných prodejnách</w:t>
            </w:r>
            <w:r w:rsidR="00BB2F03">
              <w:rPr>
                <w:color w:val="0D0D0D"/>
              </w:rPr>
              <w:t>).</w:t>
            </w:r>
            <w:r w:rsidR="00D965EC">
              <w:rPr>
                <w:color w:val="0D0D0D"/>
              </w:rPr>
              <w:t xml:space="preserve"> To</w:t>
            </w:r>
            <w:r w:rsidRPr="00360DE3">
              <w:rPr>
                <w:color w:val="0D0D0D"/>
              </w:rPr>
              <w:t xml:space="preserve"> m</w:t>
            </w:r>
            <w:r w:rsidR="00D965EC">
              <w:rPr>
                <w:color w:val="0D0D0D"/>
              </w:rPr>
              <w:t xml:space="preserve">ůže </w:t>
            </w:r>
            <w:r w:rsidRPr="00360DE3">
              <w:rPr>
                <w:color w:val="0D0D0D"/>
              </w:rPr>
              <w:t>v souvislosti s dynamickým růstem disponibilních příjmů domácností signalizovat příklon ke kvalitnějším a cenově výše zařazeným produktům. Z ostatních specializovaných prodejen se loni dařilo hlavně počítačovým a komunikačním zařízením, výrobkům pro kulturu a rekreaci. Silně rostl také odbyt oděvů, obuvi a</w:t>
            </w:r>
            <w:r w:rsidR="009A7B2E" w:rsidRPr="00360DE3">
              <w:rPr>
                <w:color w:val="0D0D0D" w:themeColor="text1" w:themeTint="F2"/>
              </w:rPr>
              <w:t> </w:t>
            </w:r>
            <w:r w:rsidRPr="00360DE3">
              <w:rPr>
                <w:color w:val="0D0D0D"/>
              </w:rPr>
              <w:t xml:space="preserve">koženého zboží. Prudce rostl segment prodeje prostřednictvím internetu nebo zásilkové služby, kde se tržby za posledních pět let téměř ztrojnásobily. </w:t>
            </w:r>
          </w:p>
        </w:tc>
      </w:tr>
      <w:tr w:rsidR="006D64C2" w:rsidRPr="00360DE3" w:rsidTr="006D64C2">
        <w:trPr>
          <w:trHeight w:val="170"/>
        </w:trPr>
        <w:tc>
          <w:tcPr>
            <w:tcW w:w="1976" w:type="dxa"/>
          </w:tcPr>
          <w:p w:rsidR="006D64C2" w:rsidRPr="00360DE3" w:rsidRDefault="006D64C2" w:rsidP="00F162B3">
            <w:pPr>
              <w:pStyle w:val="Marginlie"/>
              <w:rPr>
                <w:spacing w:val="0"/>
              </w:rPr>
            </w:pPr>
            <w:r w:rsidRPr="00360DE3">
              <w:rPr>
                <w:spacing w:val="0"/>
              </w:rPr>
              <w:t>Podobně jako</w:t>
            </w:r>
            <w:r w:rsidR="00650330">
              <w:rPr>
                <w:spacing w:val="0"/>
              </w:rPr>
              <w:t xml:space="preserve"> v roce 2016 pokračoval růst přep</w:t>
            </w:r>
            <w:r w:rsidRPr="00360DE3">
              <w:rPr>
                <w:spacing w:val="0"/>
              </w:rPr>
              <w:t>ravních výkonů ve všech druzích veřejné osobní dopravy. Počet cestujících v železniční dopravě dosáhl desetiletého maxima.</w:t>
            </w:r>
          </w:p>
        </w:tc>
        <w:tc>
          <w:tcPr>
            <w:tcW w:w="277" w:type="dxa"/>
          </w:tcPr>
          <w:p w:rsidR="006D64C2" w:rsidRPr="00360DE3" w:rsidRDefault="006D64C2" w:rsidP="00F162B3">
            <w:pPr>
              <w:pStyle w:val="Textpoznpodarou"/>
              <w:jc w:val="both"/>
            </w:pPr>
          </w:p>
        </w:tc>
        <w:tc>
          <w:tcPr>
            <w:tcW w:w="7391" w:type="dxa"/>
          </w:tcPr>
          <w:p w:rsidR="006D64C2" w:rsidRPr="00360DE3" w:rsidRDefault="006D64C2" w:rsidP="00650330">
            <w:pPr>
              <w:rPr>
                <w:color w:val="0D0D0D"/>
              </w:rPr>
            </w:pPr>
            <w:r w:rsidRPr="00360DE3">
              <w:rPr>
                <w:color w:val="0D0D0D"/>
              </w:rPr>
              <w:t>Přetrvávající svižný ekonomický růst podpořený rozvojem vnitřního i zahraničního obchodu spolu s vyšší mobilitou obyvatel (související s růstem jejich příjmů i</w:t>
            </w:r>
            <w:r w:rsidR="00274037" w:rsidRPr="00360DE3">
              <w:t> </w:t>
            </w:r>
            <w:r w:rsidRPr="00360DE3">
              <w:rPr>
                <w:color w:val="0D0D0D"/>
              </w:rPr>
              <w:t xml:space="preserve">rekordní zaměstnaností) se odrazily i v naturálních ukazatelích dopravy. Zatímco v nákladní dopravě se výrazné oživení (z pohledu fyzického objemu přepravené zboží) promítlo především v letech 2014 a 2015, ve veřejné osobní dopravě spíše v následujících dvou letech. V osobní železniční dopravě vzrostl loni počet cestujících meziročně o 2,2 % Mírný růst </w:t>
            </w:r>
            <w:proofErr w:type="gramStart"/>
            <w:r w:rsidRPr="00360DE3">
              <w:rPr>
                <w:color w:val="0D0D0D"/>
              </w:rPr>
              <w:t>je</w:t>
            </w:r>
            <w:proofErr w:type="gramEnd"/>
            <w:r w:rsidRPr="00360DE3">
              <w:rPr>
                <w:color w:val="0D0D0D"/>
              </w:rPr>
              <w:t xml:space="preserve"> zde po roce 2010 vykazován nepřetržitě.</w:t>
            </w:r>
            <w:r w:rsidR="00650330">
              <w:rPr>
                <w:color w:val="0D0D0D"/>
              </w:rPr>
              <w:t xml:space="preserve"> Loňský počet cestujících (183</w:t>
            </w:r>
            <w:r w:rsidRPr="00360DE3">
              <w:rPr>
                <w:color w:val="0D0D0D"/>
              </w:rPr>
              <w:t xml:space="preserve"> mil.) byl zároveň nejvyšší za posledních deset let. Počet </w:t>
            </w:r>
            <w:r w:rsidR="00650330">
              <w:rPr>
                <w:color w:val="0D0D0D"/>
              </w:rPr>
              <w:t>cestujících</w:t>
            </w:r>
            <w:r w:rsidRPr="00360DE3">
              <w:rPr>
                <w:color w:val="0D0D0D"/>
              </w:rPr>
              <w:t xml:space="preserve"> přepravených veřejnou autobusovou dopravou byl loni již druhým rokem v řadě meziročně nižší, přepravní výkony (zohledňující i ujetou v</w:t>
            </w:r>
            <w:r w:rsidR="00A4750C">
              <w:rPr>
                <w:color w:val="0D0D0D"/>
              </w:rPr>
              <w:t>zdálenost) však rostly (+9</w:t>
            </w:r>
            <w:r w:rsidRPr="00360DE3">
              <w:rPr>
                <w:color w:val="0D0D0D"/>
              </w:rPr>
              <w:t xml:space="preserve"> %). To platilo i o </w:t>
            </w:r>
            <w:r w:rsidR="00A4750C">
              <w:rPr>
                <w:color w:val="0D0D0D"/>
              </w:rPr>
              <w:t xml:space="preserve">přepravních </w:t>
            </w:r>
            <w:r w:rsidRPr="00360DE3">
              <w:rPr>
                <w:color w:val="0D0D0D"/>
              </w:rPr>
              <w:t>výkonech obchodní letecké dopravy (+11 %), jež posílily nejvíce po roce 2004. Výkony v této kategorii však plně neodráží vývoj letecké dopravy na území ČR, neboť zahrnuje pouze tuzemské přepravce</w:t>
            </w:r>
            <w:r w:rsidRPr="00360DE3">
              <w:rPr>
                <w:rStyle w:val="Znakapoznpodarou"/>
                <w:color w:val="0D0D0D"/>
              </w:rPr>
              <w:footnoteReference w:id="100"/>
            </w:r>
            <w:r w:rsidRPr="00360DE3">
              <w:rPr>
                <w:color w:val="0D0D0D"/>
              </w:rPr>
              <w:t>.</w:t>
            </w:r>
          </w:p>
        </w:tc>
      </w:tr>
      <w:tr w:rsidR="006D64C2" w:rsidRPr="00360DE3" w:rsidTr="006D64C2">
        <w:trPr>
          <w:trHeight w:val="170"/>
        </w:trPr>
        <w:tc>
          <w:tcPr>
            <w:tcW w:w="1976" w:type="dxa"/>
          </w:tcPr>
          <w:p w:rsidR="006D64C2" w:rsidRPr="00360DE3" w:rsidRDefault="006D64C2" w:rsidP="00DC37E3">
            <w:pPr>
              <w:pStyle w:val="Marginlie"/>
              <w:rPr>
                <w:spacing w:val="0"/>
              </w:rPr>
            </w:pP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pPr>
              <w:spacing w:after="0"/>
              <w:rPr>
                <w:b/>
              </w:rPr>
            </w:pPr>
            <w:r w:rsidRPr="00360DE3">
              <w:rPr>
                <w:b/>
              </w:rPr>
              <w:t xml:space="preserve">Graf </w:t>
            </w:r>
            <w:proofErr w:type="gramStart"/>
            <w:r w:rsidRPr="00360DE3">
              <w:rPr>
                <w:b/>
              </w:rPr>
              <w:t>13.3  Přepravní</w:t>
            </w:r>
            <w:proofErr w:type="gramEnd"/>
            <w:r w:rsidRPr="00360DE3">
              <w:rPr>
                <w:b/>
              </w:rPr>
              <w:t xml:space="preserve"> výkony osobní dopravy </w:t>
            </w:r>
            <w:r w:rsidRPr="00360DE3">
              <w:t>(v mld. osobokilometrů, pravá osa)</w:t>
            </w:r>
            <w:r w:rsidRPr="00360DE3">
              <w:rPr>
                <w:b/>
              </w:rPr>
              <w:t xml:space="preserve"> a nákladní dopravy</w:t>
            </w:r>
            <w:r w:rsidRPr="00360DE3">
              <w:t xml:space="preserve"> (tunokilometry, rok 2010=100)</w:t>
            </w:r>
          </w:p>
          <w:p w:rsidR="006D64C2" w:rsidRPr="00360DE3" w:rsidRDefault="00E924B2" w:rsidP="00DC37E3">
            <w:pPr>
              <w:spacing w:after="0"/>
            </w:pPr>
            <w:r w:rsidRPr="00E924B2">
              <w:rPr>
                <w:noProof/>
              </w:rPr>
              <w:drawing>
                <wp:inline distT="0" distB="0" distL="0" distR="0">
                  <wp:extent cx="4646785" cy="3554193"/>
                  <wp:effectExtent l="19050" t="0" r="1415" b="0"/>
                  <wp:docPr id="43"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r>
      <w:tr w:rsidR="006D64C2" w:rsidRPr="00360DE3" w:rsidTr="006D64C2">
        <w:trPr>
          <w:trHeight w:val="170"/>
        </w:trPr>
        <w:tc>
          <w:tcPr>
            <w:tcW w:w="1976" w:type="dxa"/>
          </w:tcPr>
          <w:p w:rsidR="006D64C2" w:rsidRPr="00360DE3" w:rsidRDefault="006D64C2" w:rsidP="00DC37E3">
            <w:pPr>
              <w:pStyle w:val="Marginlie"/>
              <w:rPr>
                <w:spacing w:val="0"/>
              </w:rPr>
            </w:pP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pPr>
              <w:spacing w:after="0" w:line="240" w:lineRule="auto"/>
              <w:rPr>
                <w:rFonts w:cs="Arial"/>
                <w:sz w:val="14"/>
                <w:szCs w:val="14"/>
              </w:rPr>
            </w:pPr>
            <w:r w:rsidRPr="00360DE3">
              <w:rPr>
                <w:rFonts w:cs="Arial"/>
                <w:sz w:val="14"/>
                <w:szCs w:val="14"/>
              </w:rPr>
              <w:t>*Zahrnuje tuzemské civilní letecké dopravce zajišťující vnitrostátní i mezinárodní komerční pravidelnou i nepravidelnou přepravu osob či nákladu.</w:t>
            </w:r>
          </w:p>
          <w:p w:rsidR="006D64C2" w:rsidRPr="00360DE3" w:rsidRDefault="006D64C2" w:rsidP="00DC37E3">
            <w:pPr>
              <w:pStyle w:val="Zhlav"/>
              <w:spacing w:line="240" w:lineRule="auto"/>
              <w:jc w:val="both"/>
              <w:rPr>
                <w:rFonts w:cs="Arial"/>
                <w:sz w:val="14"/>
                <w:szCs w:val="14"/>
                <w:lang w:eastAsia="cs-CZ"/>
              </w:rPr>
            </w:pPr>
            <w:r w:rsidRPr="00360DE3">
              <w:rPr>
                <w:rFonts w:cs="Arial"/>
                <w:sz w:val="14"/>
                <w:szCs w:val="14"/>
              </w:rPr>
              <w:t>*</w:t>
            </w:r>
            <w:r w:rsidRPr="00360DE3">
              <w:rPr>
                <w:rFonts w:cs="Arial"/>
                <w:sz w:val="14"/>
                <w:szCs w:val="14"/>
                <w:lang w:eastAsia="cs-CZ"/>
              </w:rPr>
              <w:t>*Zahrnuje přepravu nákl</w:t>
            </w:r>
            <w:r w:rsidR="00D93CE2">
              <w:rPr>
                <w:rFonts w:cs="Arial"/>
                <w:sz w:val="14"/>
                <w:szCs w:val="14"/>
                <w:lang w:eastAsia="cs-CZ"/>
              </w:rPr>
              <w:t>adu vozidly registrovanými v ČR</w:t>
            </w:r>
            <w:r w:rsidRPr="00360DE3">
              <w:rPr>
                <w:rFonts w:cs="Arial"/>
                <w:sz w:val="14"/>
                <w:szCs w:val="14"/>
                <w:lang w:eastAsia="cs-CZ"/>
              </w:rPr>
              <w:t>.</w:t>
            </w:r>
          </w:p>
          <w:p w:rsidR="006D64C2" w:rsidRPr="00360DE3" w:rsidRDefault="006D64C2" w:rsidP="00DC37E3">
            <w:pPr>
              <w:spacing w:line="240" w:lineRule="auto"/>
            </w:pPr>
            <w:r w:rsidRPr="00360DE3">
              <w:rPr>
                <w:rFonts w:cs="Arial"/>
                <w:sz w:val="14"/>
                <w:szCs w:val="14"/>
              </w:rPr>
              <w:t>Zdroj: Ministerstvo dopravy ČR</w:t>
            </w:r>
          </w:p>
        </w:tc>
      </w:tr>
      <w:tr w:rsidR="00F160CE" w:rsidRPr="00360DE3" w:rsidTr="006D64C2">
        <w:trPr>
          <w:trHeight w:val="170"/>
        </w:trPr>
        <w:tc>
          <w:tcPr>
            <w:tcW w:w="1976" w:type="dxa"/>
          </w:tcPr>
          <w:p w:rsidR="00F160CE" w:rsidRPr="00360DE3" w:rsidRDefault="00F160CE" w:rsidP="00DC37E3">
            <w:pPr>
              <w:pStyle w:val="Marginlie"/>
              <w:rPr>
                <w:spacing w:val="0"/>
              </w:rPr>
            </w:pPr>
          </w:p>
        </w:tc>
        <w:tc>
          <w:tcPr>
            <w:tcW w:w="277" w:type="dxa"/>
          </w:tcPr>
          <w:p w:rsidR="00F160CE" w:rsidRPr="00360DE3" w:rsidRDefault="00F160CE" w:rsidP="00DC37E3">
            <w:pPr>
              <w:pStyle w:val="Textpoznpodarou"/>
              <w:jc w:val="both"/>
            </w:pPr>
          </w:p>
        </w:tc>
        <w:tc>
          <w:tcPr>
            <w:tcW w:w="7391" w:type="dxa"/>
          </w:tcPr>
          <w:p w:rsidR="00F160CE" w:rsidRPr="00A55161" w:rsidRDefault="00F160CE" w:rsidP="00DC37E3">
            <w:pPr>
              <w:spacing w:after="0"/>
              <w:rPr>
                <w:rFonts w:cs="Arial"/>
                <w:b/>
                <w:spacing w:val="-4"/>
                <w:szCs w:val="20"/>
              </w:rPr>
            </w:pPr>
            <w:r w:rsidRPr="00A55161">
              <w:rPr>
                <w:rFonts w:cs="Arial"/>
                <w:b/>
                <w:spacing w:val="-4"/>
                <w:szCs w:val="20"/>
              </w:rPr>
              <w:t>Graf 13.4  C</w:t>
            </w:r>
            <w:r w:rsidR="00A4750C" w:rsidRPr="00A55161">
              <w:rPr>
                <w:rFonts w:cs="Arial"/>
                <w:b/>
                <w:spacing w:val="-4"/>
                <w:szCs w:val="20"/>
              </w:rPr>
              <w:t>elkový počet přepravovaných cestujících</w:t>
            </w:r>
            <w:r w:rsidRPr="00A55161">
              <w:rPr>
                <w:rFonts w:cs="Arial"/>
                <w:b/>
                <w:spacing w:val="-4"/>
                <w:szCs w:val="20"/>
              </w:rPr>
              <w:t xml:space="preserve"> v obchodní letecké dopravě* </w:t>
            </w:r>
            <w:r w:rsidR="00A4750C" w:rsidRPr="00A55161">
              <w:rPr>
                <w:rFonts w:cs="Arial"/>
                <w:b/>
                <w:spacing w:val="-4"/>
                <w:szCs w:val="20"/>
              </w:rPr>
              <w:t xml:space="preserve">ve vybraných státech EU </w:t>
            </w:r>
            <w:r w:rsidRPr="00A55161">
              <w:rPr>
                <w:rFonts w:cs="Arial"/>
                <w:spacing w:val="-4"/>
                <w:szCs w:val="20"/>
              </w:rPr>
              <w:t>(</w:t>
            </w:r>
            <w:r w:rsidR="00A4750C" w:rsidRPr="00A55161">
              <w:rPr>
                <w:rFonts w:cs="Arial"/>
                <w:spacing w:val="-4"/>
                <w:szCs w:val="20"/>
              </w:rPr>
              <w:t xml:space="preserve">meziroční změna v %, </w:t>
            </w:r>
            <w:proofErr w:type="spellStart"/>
            <w:r w:rsidR="00A4750C" w:rsidRPr="00A55161">
              <w:rPr>
                <w:rFonts w:cs="Arial"/>
                <w:spacing w:val="-4"/>
                <w:szCs w:val="20"/>
              </w:rPr>
              <w:t>abs</w:t>
            </w:r>
            <w:proofErr w:type="spellEnd"/>
            <w:r w:rsidR="00A4750C" w:rsidRPr="00A55161">
              <w:rPr>
                <w:rFonts w:cs="Arial"/>
                <w:spacing w:val="-4"/>
                <w:szCs w:val="20"/>
              </w:rPr>
              <w:t xml:space="preserve">. </w:t>
            </w:r>
            <w:proofErr w:type="gramStart"/>
            <w:r w:rsidR="00A4750C" w:rsidRPr="00A55161">
              <w:rPr>
                <w:rFonts w:cs="Arial"/>
                <w:spacing w:val="-4"/>
                <w:szCs w:val="20"/>
              </w:rPr>
              <w:t>počet</w:t>
            </w:r>
            <w:proofErr w:type="gramEnd"/>
            <w:r w:rsidR="00A4750C" w:rsidRPr="00A55161">
              <w:rPr>
                <w:rFonts w:cs="Arial"/>
                <w:spacing w:val="-4"/>
                <w:szCs w:val="20"/>
              </w:rPr>
              <w:t xml:space="preserve"> v mil. –</w:t>
            </w:r>
            <w:r w:rsidR="00A55161">
              <w:rPr>
                <w:rFonts w:cs="Arial"/>
                <w:spacing w:val="-4"/>
                <w:szCs w:val="20"/>
              </w:rPr>
              <w:t xml:space="preserve"> </w:t>
            </w:r>
            <w:proofErr w:type="spellStart"/>
            <w:r w:rsidR="00A55161">
              <w:rPr>
                <w:rFonts w:cs="Arial"/>
                <w:spacing w:val="-4"/>
                <w:szCs w:val="20"/>
              </w:rPr>
              <w:t>pr.</w:t>
            </w:r>
            <w:r w:rsidR="00A4750C" w:rsidRPr="00A55161">
              <w:rPr>
                <w:rFonts w:cs="Arial"/>
                <w:spacing w:val="-4"/>
                <w:szCs w:val="20"/>
              </w:rPr>
              <w:t>osa</w:t>
            </w:r>
            <w:proofErr w:type="spellEnd"/>
            <w:r w:rsidR="00A4750C" w:rsidRPr="00A55161">
              <w:rPr>
                <w:rFonts w:cs="Arial"/>
                <w:spacing w:val="-4"/>
                <w:szCs w:val="20"/>
              </w:rPr>
              <w:t>)</w:t>
            </w:r>
          </w:p>
          <w:p w:rsidR="00F160CE" w:rsidRPr="00360DE3" w:rsidRDefault="00F160CE" w:rsidP="00DC37E3">
            <w:pPr>
              <w:spacing w:after="0"/>
            </w:pPr>
            <w:r w:rsidRPr="00360DE3">
              <w:rPr>
                <w:noProof/>
              </w:rPr>
              <w:drawing>
                <wp:inline distT="0" distB="0" distL="0" distR="0">
                  <wp:extent cx="4726854" cy="3741747"/>
                  <wp:effectExtent l="19050" t="0" r="0" b="0"/>
                  <wp:docPr id="90"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r w:rsidR="00F160CE" w:rsidRPr="00360DE3" w:rsidTr="006D64C2">
        <w:trPr>
          <w:trHeight w:val="170"/>
        </w:trPr>
        <w:tc>
          <w:tcPr>
            <w:tcW w:w="1976" w:type="dxa"/>
          </w:tcPr>
          <w:p w:rsidR="00F160CE" w:rsidRPr="00360DE3" w:rsidRDefault="00F160CE" w:rsidP="00DC37E3">
            <w:pPr>
              <w:pStyle w:val="Marginlie"/>
              <w:rPr>
                <w:spacing w:val="0"/>
              </w:rPr>
            </w:pPr>
          </w:p>
        </w:tc>
        <w:tc>
          <w:tcPr>
            <w:tcW w:w="277" w:type="dxa"/>
          </w:tcPr>
          <w:p w:rsidR="00F160CE" w:rsidRPr="00360DE3" w:rsidRDefault="00F160CE" w:rsidP="00DC37E3">
            <w:pPr>
              <w:pStyle w:val="Textpoznpodarou"/>
              <w:jc w:val="both"/>
            </w:pPr>
          </w:p>
        </w:tc>
        <w:tc>
          <w:tcPr>
            <w:tcW w:w="7391" w:type="dxa"/>
          </w:tcPr>
          <w:p w:rsidR="00F160CE" w:rsidRPr="00A55161" w:rsidRDefault="00F160CE" w:rsidP="00A4750C">
            <w:pPr>
              <w:spacing w:after="0"/>
              <w:rPr>
                <w:rFonts w:cs="Arial"/>
                <w:color w:val="0D0D0D" w:themeColor="text1" w:themeTint="F2"/>
                <w:spacing w:val="-2"/>
                <w:sz w:val="14"/>
                <w:szCs w:val="14"/>
              </w:rPr>
            </w:pPr>
            <w:r w:rsidRPr="00A55161">
              <w:rPr>
                <w:rFonts w:cs="Arial"/>
                <w:spacing w:val="-2"/>
                <w:sz w:val="14"/>
                <w:szCs w:val="14"/>
              </w:rPr>
              <w:t>*</w:t>
            </w:r>
            <w:r w:rsidR="00A4750C" w:rsidRPr="00A55161">
              <w:rPr>
                <w:rFonts w:cs="Arial"/>
                <w:color w:val="0D0D0D" w:themeColor="text1" w:themeTint="F2"/>
                <w:spacing w:val="-2"/>
                <w:sz w:val="14"/>
                <w:szCs w:val="14"/>
              </w:rPr>
              <w:t xml:space="preserve"> </w:t>
            </w:r>
            <w:r w:rsidR="00A55161" w:rsidRPr="00A55161">
              <w:rPr>
                <w:rFonts w:cs="Arial"/>
                <w:color w:val="0D0D0D" w:themeColor="text1" w:themeTint="F2"/>
                <w:spacing w:val="-2"/>
                <w:sz w:val="14"/>
                <w:szCs w:val="14"/>
              </w:rPr>
              <w:t>Zahrnuje všechny cestující, jejichž cesta začíná nebo končí na vykazujícím letišti s výjimkou cestujících v přímém tranzitu</w:t>
            </w:r>
            <w:r w:rsidR="00A55161">
              <w:rPr>
                <w:rFonts w:cs="Arial"/>
                <w:color w:val="0D0D0D" w:themeColor="text1" w:themeTint="F2"/>
                <w:spacing w:val="-2"/>
                <w:sz w:val="14"/>
                <w:szCs w:val="14"/>
              </w:rPr>
              <w:t xml:space="preserve">. </w:t>
            </w:r>
            <w:r w:rsidRPr="00360DE3">
              <w:rPr>
                <w:rFonts w:cs="Arial"/>
                <w:sz w:val="14"/>
                <w:szCs w:val="14"/>
              </w:rPr>
              <w:t xml:space="preserve">Poznámka: Počty přepravovaných osob uvedené na pravé ose jsou vyjádřeny v logaritmickém měřítku. </w:t>
            </w:r>
          </w:p>
          <w:p w:rsidR="00F160CE" w:rsidRPr="00360DE3" w:rsidRDefault="00F160CE" w:rsidP="00A55161">
            <w:pPr>
              <w:spacing w:after="100" w:line="240" w:lineRule="auto"/>
            </w:pPr>
            <w:r w:rsidRPr="00360DE3">
              <w:rPr>
                <w:rFonts w:cs="Arial"/>
                <w:sz w:val="14"/>
                <w:szCs w:val="14"/>
              </w:rPr>
              <w:t xml:space="preserve">Zdroj: </w:t>
            </w:r>
            <w:proofErr w:type="spellStart"/>
            <w:r w:rsidRPr="00360DE3">
              <w:rPr>
                <w:rFonts w:cs="Arial"/>
                <w:sz w:val="14"/>
                <w:szCs w:val="14"/>
              </w:rPr>
              <w:t>Eurostat</w:t>
            </w:r>
            <w:proofErr w:type="spellEnd"/>
          </w:p>
        </w:tc>
      </w:tr>
      <w:tr w:rsidR="006D64C2" w:rsidRPr="00360DE3" w:rsidTr="006D64C2">
        <w:trPr>
          <w:trHeight w:val="170"/>
        </w:trPr>
        <w:tc>
          <w:tcPr>
            <w:tcW w:w="1976" w:type="dxa"/>
          </w:tcPr>
          <w:p w:rsidR="006D64C2" w:rsidRPr="00360DE3" w:rsidRDefault="006D64C2" w:rsidP="00F162B3">
            <w:pPr>
              <w:pStyle w:val="Marginlie"/>
              <w:rPr>
                <w:spacing w:val="0"/>
              </w:rPr>
            </w:pPr>
            <w:r w:rsidRPr="00360DE3">
              <w:rPr>
                <w:spacing w:val="0"/>
              </w:rPr>
              <w:lastRenderedPageBreak/>
              <w:t>Hlubší pokles výkonů silniční nákladní dopravy v letech 2016 i 2017 kontrastoval s mírným posilováním železniční přepravy.</w:t>
            </w:r>
          </w:p>
        </w:tc>
        <w:tc>
          <w:tcPr>
            <w:tcW w:w="277" w:type="dxa"/>
          </w:tcPr>
          <w:p w:rsidR="006D64C2" w:rsidRPr="00360DE3" w:rsidRDefault="006D64C2" w:rsidP="00F162B3">
            <w:pPr>
              <w:pStyle w:val="Textpoznpodarou"/>
              <w:jc w:val="both"/>
            </w:pPr>
          </w:p>
        </w:tc>
        <w:tc>
          <w:tcPr>
            <w:tcW w:w="7391" w:type="dxa"/>
          </w:tcPr>
          <w:p w:rsidR="006D64C2" w:rsidRPr="00360DE3" w:rsidRDefault="006D64C2" w:rsidP="00F162B3">
            <w:pPr>
              <w:spacing w:after="200"/>
              <w:rPr>
                <w:color w:val="0D0D0D"/>
              </w:rPr>
            </w:pPr>
            <w:r w:rsidRPr="00360DE3">
              <w:rPr>
                <w:color w:val="0D0D0D"/>
              </w:rPr>
              <w:t>V nákladní dopravě pokračoval pozitivní trend posilování přepravních výkonů na železnici (orientované hlavně na přepravu nerostných surovin, koksu či ropných produktů), které v období 2016-2017 zčásti kompenzovaly úbytek výkonů v objemově dominantní</w:t>
            </w:r>
            <w:r w:rsidRPr="00360DE3">
              <w:rPr>
                <w:rStyle w:val="Znakapoznpodarou"/>
                <w:color w:val="0D0D0D"/>
              </w:rPr>
              <w:footnoteReference w:id="101"/>
            </w:r>
            <w:r w:rsidRPr="00360DE3">
              <w:rPr>
                <w:color w:val="0D0D0D"/>
              </w:rPr>
              <w:t xml:space="preserve"> silniční dopravě. Její slabší </w:t>
            </w:r>
            <w:proofErr w:type="gramStart"/>
            <w:r w:rsidRPr="00360DE3">
              <w:rPr>
                <w:color w:val="0D0D0D"/>
              </w:rPr>
              <w:t>loňské</w:t>
            </w:r>
            <w:proofErr w:type="gramEnd"/>
            <w:r w:rsidRPr="00360DE3">
              <w:rPr>
                <w:color w:val="0D0D0D"/>
              </w:rPr>
              <w:t xml:space="preserve"> výkon (pokles o</w:t>
            </w:r>
            <w:r w:rsidR="00274037" w:rsidRPr="00360DE3">
              <w:t> </w:t>
            </w:r>
            <w:r w:rsidRPr="00360DE3">
              <w:rPr>
                <w:color w:val="0D0D0D"/>
              </w:rPr>
              <w:t>6</w:t>
            </w:r>
            <w:r w:rsidR="00274037" w:rsidRPr="00360DE3">
              <w:t> </w:t>
            </w:r>
            <w:r w:rsidRPr="00360DE3">
              <w:rPr>
                <w:color w:val="0D0D0D"/>
              </w:rPr>
              <w:t>mld. tunokilometrů, resp. o 12 %) byl loni způsoben poklesem přepravní vzdálenosti, neboť fyzický objem přepravného zboží (vozidly registrovanými na území ČR) meziročně vzrostl (+6,4 %). Váha vnitrostátní silniční nákladní dopravy na úkor dříve dominantní mezinárodní dopravy v ČR dlouhodobě roste. V r</w:t>
            </w:r>
            <w:r w:rsidR="00A4750C">
              <w:rPr>
                <w:color w:val="0D0D0D"/>
              </w:rPr>
              <w:t>oce 2017 byla již proporce</w:t>
            </w:r>
            <w:r w:rsidRPr="00360DE3">
              <w:rPr>
                <w:color w:val="0D0D0D"/>
              </w:rPr>
              <w:t xml:space="preserve"> hlavních složek silniční nákladní dopravy z pohledu přepravních výkonů (</w:t>
            </w:r>
            <w:proofErr w:type="spellStart"/>
            <w:r w:rsidRPr="00360DE3">
              <w:rPr>
                <w:color w:val="0D0D0D"/>
              </w:rPr>
              <w:t>tkm</w:t>
            </w:r>
            <w:proofErr w:type="spellEnd"/>
            <w:r w:rsidRPr="00360DE3">
              <w:rPr>
                <w:color w:val="0D0D0D"/>
              </w:rPr>
              <w:t>) prakticky vyrovnaná.</w:t>
            </w:r>
          </w:p>
        </w:tc>
      </w:tr>
    </w:tbl>
    <w:p w:rsidR="00C466D2" w:rsidRPr="00360DE3" w:rsidRDefault="00E212C9" w:rsidP="00141782">
      <w:pPr>
        <w:pStyle w:val="Nadpis1"/>
        <w:rPr>
          <w:lang w:eastAsia="en-US"/>
        </w:rPr>
      </w:pPr>
      <w:bookmarkStart w:id="31" w:name="_Toc527639486"/>
      <w:r w:rsidRPr="00360DE3">
        <w:rPr>
          <w:lang w:eastAsia="en-US"/>
        </w:rPr>
        <w:t>14</w:t>
      </w:r>
      <w:r w:rsidR="00141782" w:rsidRPr="00360DE3">
        <w:rPr>
          <w:lang w:eastAsia="en-US"/>
        </w:rPr>
        <w:t>. Ubytování a pohostinství</w:t>
      </w:r>
      <w:bookmarkEnd w:id="31"/>
    </w:p>
    <w:tbl>
      <w:tblPr>
        <w:tblW w:w="9644" w:type="dxa"/>
        <w:tblInd w:w="-15" w:type="dxa"/>
        <w:tblLayout w:type="fixed"/>
        <w:tblCellMar>
          <w:left w:w="0" w:type="dxa"/>
          <w:right w:w="0" w:type="dxa"/>
        </w:tblCellMar>
        <w:tblLook w:val="00A0"/>
      </w:tblPr>
      <w:tblGrid>
        <w:gridCol w:w="1976"/>
        <w:gridCol w:w="277"/>
        <w:gridCol w:w="7391"/>
      </w:tblGrid>
      <w:tr w:rsidR="009540B7" w:rsidRPr="00360DE3" w:rsidTr="00DC37E3">
        <w:trPr>
          <w:trHeight w:val="145"/>
        </w:trPr>
        <w:tc>
          <w:tcPr>
            <w:tcW w:w="1976" w:type="dxa"/>
          </w:tcPr>
          <w:p w:rsidR="009540B7" w:rsidRPr="00360DE3" w:rsidRDefault="009540B7" w:rsidP="00DC37E3">
            <w:pPr>
              <w:pStyle w:val="Marginlie"/>
              <w:rPr>
                <w:spacing w:val="0"/>
              </w:rPr>
            </w:pPr>
            <w:r w:rsidRPr="00360DE3">
              <w:rPr>
                <w:spacing w:val="0"/>
              </w:rPr>
              <w:t>Hrubá přidaná hodnota rostla loni v ubytování, stravování a pohostinství vyšším tempem než v celém sektoru služeb. Táhly ji hlavně silné výkony v segmentu ubytování.</w:t>
            </w:r>
          </w:p>
        </w:tc>
        <w:tc>
          <w:tcPr>
            <w:tcW w:w="277" w:type="dxa"/>
          </w:tcPr>
          <w:p w:rsidR="009540B7" w:rsidRPr="00360DE3" w:rsidRDefault="009540B7" w:rsidP="00DC37E3">
            <w:pPr>
              <w:pStyle w:val="Textpoznpodarou"/>
              <w:jc w:val="both"/>
            </w:pPr>
          </w:p>
        </w:tc>
        <w:tc>
          <w:tcPr>
            <w:tcW w:w="7391" w:type="dxa"/>
          </w:tcPr>
          <w:p w:rsidR="009540B7" w:rsidRPr="00A35142" w:rsidRDefault="009540B7" w:rsidP="00A35142">
            <w:pPr>
              <w:rPr>
                <w:spacing w:val="-2"/>
              </w:rPr>
            </w:pPr>
            <w:r w:rsidRPr="00A35142">
              <w:rPr>
                <w:spacing w:val="-2"/>
              </w:rPr>
              <w:t>Ubytování, stravování a pohostinství</w:t>
            </w:r>
            <w:r w:rsidRPr="00A35142">
              <w:rPr>
                <w:rStyle w:val="Znakapoznpodarou"/>
                <w:spacing w:val="-2"/>
              </w:rPr>
              <w:footnoteReference w:id="102"/>
            </w:r>
            <w:r w:rsidRPr="00A35142">
              <w:rPr>
                <w:spacing w:val="-2"/>
              </w:rPr>
              <w:t xml:space="preserve"> patří v Česku k relativně malým odvětvím. Na produkci celého terciárního sektoru se loni podílelo 3,9 %, na hrubé přidané hodnotě (HPH) 3,5 %. Významnější roli mělo toto odvětví v oblasti zaměstnanosti (6,5 %), a to hlavně v případě podnikajících osob (desetina všech </w:t>
            </w:r>
            <w:proofErr w:type="spellStart"/>
            <w:r w:rsidRPr="00A35142">
              <w:rPr>
                <w:spacing w:val="-2"/>
              </w:rPr>
              <w:t>sebezaměstnaných</w:t>
            </w:r>
            <w:proofErr w:type="spellEnd"/>
            <w:r w:rsidRPr="00A35142">
              <w:rPr>
                <w:spacing w:val="-2"/>
              </w:rPr>
              <w:t xml:space="preserve"> působících ve službách nacházela hlavní zdroj ekonomické aktivity právě zde). Na rozdíl od roku 2016 se loni HPH v ubytování, stravování a pohostinství navyšovala silnějším meziročním tempem (+3,5 %) než v celém sektoru služeb. Výsledek mohl být ještě příznivější, nebýt sílících výrobních nákladů (</w:t>
            </w:r>
            <w:proofErr w:type="spellStart"/>
            <w:r w:rsidRPr="00A35142">
              <w:rPr>
                <w:spacing w:val="-2"/>
              </w:rPr>
              <w:t>mezispotřeba</w:t>
            </w:r>
            <w:proofErr w:type="spellEnd"/>
            <w:r w:rsidRPr="00A35142">
              <w:rPr>
                <w:spacing w:val="-2"/>
              </w:rPr>
              <w:t xml:space="preserve"> se navýšila o 13,2 %, nejvíce za posledních deset let). Samotná produkce (se silnou vazbou na tržby) totiž vzrostla bezmála o desetinu. Již třetím rokem v řadě přispěly k růstu HPH v odvětví jeho oba hlavní segmenty</w:t>
            </w:r>
            <w:r w:rsidRPr="00A35142">
              <w:rPr>
                <w:rStyle w:val="Znakapoznpodarou"/>
                <w:spacing w:val="-2"/>
              </w:rPr>
              <w:footnoteReference w:id="103"/>
            </w:r>
            <w:r w:rsidRPr="00A35142">
              <w:rPr>
                <w:spacing w:val="-2"/>
              </w:rPr>
              <w:t xml:space="preserve">. Zatímco v letech 2015 i 2016 ho táhl hlavně váhově dominantní segment stravování a pohostinství, loni tuto roli převzalo ubytování (zajistilo téměř tři pětiny </w:t>
            </w:r>
            <w:r w:rsidR="00D32F90" w:rsidRPr="00A35142">
              <w:rPr>
                <w:spacing w:val="-2"/>
              </w:rPr>
              <w:t xml:space="preserve">meziročního </w:t>
            </w:r>
            <w:r w:rsidRPr="00A35142">
              <w:rPr>
                <w:spacing w:val="-2"/>
              </w:rPr>
              <w:t>růstu HPH). Současný vývoj celého odvětví souvisí jak s příznivou finanční situací i optimistickými očekáváními tuzemských domácností (projevující se mj. i posílením „zby</w:t>
            </w:r>
            <w:r w:rsidR="00A35142">
              <w:rPr>
                <w:spacing w:val="-2"/>
              </w:rPr>
              <w:t>tných“ výdajů), tak s vývojem v</w:t>
            </w:r>
            <w:r w:rsidR="00A35142" w:rsidRPr="00A35142">
              <w:rPr>
                <w:spacing w:val="-2"/>
              </w:rPr>
              <w:t> </w:t>
            </w:r>
            <w:r w:rsidRPr="00A35142">
              <w:rPr>
                <w:spacing w:val="-2"/>
              </w:rPr>
              <w:t>mateřských státech nejčetněji zastoupených zahraničních návštěvníků Česka.</w:t>
            </w:r>
          </w:p>
        </w:tc>
      </w:tr>
      <w:tr w:rsidR="006D64C2" w:rsidRPr="00360DE3" w:rsidTr="00DC37E3">
        <w:trPr>
          <w:trHeight w:val="145"/>
        </w:trPr>
        <w:tc>
          <w:tcPr>
            <w:tcW w:w="1976" w:type="dxa"/>
          </w:tcPr>
          <w:p w:rsidR="006D64C2" w:rsidRPr="00360DE3" w:rsidRDefault="006D64C2" w:rsidP="00F162B3">
            <w:pPr>
              <w:pStyle w:val="Marginlie"/>
              <w:rPr>
                <w:spacing w:val="0"/>
              </w:rPr>
            </w:pPr>
            <w:r w:rsidRPr="00360DE3">
              <w:rPr>
                <w:spacing w:val="0"/>
              </w:rPr>
              <w:t xml:space="preserve">Míra zisku podniků v ubytování mírně rostla, naopak ve stravování a pohostinství dosáhla čtyřletého minima. </w:t>
            </w:r>
          </w:p>
          <w:p w:rsidR="006D64C2" w:rsidRPr="00360DE3" w:rsidRDefault="006D64C2" w:rsidP="00F162B3">
            <w:pPr>
              <w:pStyle w:val="Marginlie"/>
              <w:rPr>
                <w:spacing w:val="0"/>
              </w:rPr>
            </w:pPr>
          </w:p>
          <w:p w:rsidR="006D64C2" w:rsidRDefault="006D64C2" w:rsidP="00F162B3">
            <w:pPr>
              <w:pStyle w:val="Marginlie"/>
              <w:rPr>
                <w:spacing w:val="0"/>
              </w:rPr>
            </w:pPr>
          </w:p>
          <w:p w:rsidR="00A35142" w:rsidRPr="00360DE3" w:rsidRDefault="00A35142" w:rsidP="00F162B3">
            <w:pPr>
              <w:pStyle w:val="Marginlie"/>
              <w:rPr>
                <w:spacing w:val="0"/>
              </w:rPr>
            </w:pPr>
          </w:p>
          <w:p w:rsidR="006D64C2" w:rsidRPr="00360DE3" w:rsidRDefault="006D64C2" w:rsidP="00F162B3">
            <w:pPr>
              <w:pStyle w:val="Marginlie"/>
              <w:rPr>
                <w:spacing w:val="0"/>
              </w:rPr>
            </w:pPr>
            <w:r w:rsidRPr="00360DE3">
              <w:rPr>
                <w:spacing w:val="0"/>
              </w:rPr>
              <w:t>Přetrvávala nízká in</w:t>
            </w:r>
            <w:r w:rsidR="00D32F90">
              <w:rPr>
                <w:spacing w:val="0"/>
              </w:rPr>
              <w:t>vestiční aktivita související i</w:t>
            </w:r>
            <w:r w:rsidR="00D32F90" w:rsidRPr="00360DE3">
              <w:rPr>
                <w:spacing w:val="0"/>
              </w:rPr>
              <w:t> </w:t>
            </w:r>
            <w:r w:rsidRPr="00360DE3">
              <w:rPr>
                <w:spacing w:val="0"/>
              </w:rPr>
              <w:t>s husto</w:t>
            </w:r>
            <w:r w:rsidR="00D32F90">
              <w:rPr>
                <w:spacing w:val="0"/>
              </w:rPr>
              <w:t>u sítí zařízení (hotely, restaurace</w:t>
            </w:r>
            <w:r w:rsidRPr="00360DE3">
              <w:rPr>
                <w:spacing w:val="0"/>
              </w:rPr>
              <w:t>) vybudovanou v předchozích dekádách.</w:t>
            </w:r>
          </w:p>
        </w:tc>
        <w:tc>
          <w:tcPr>
            <w:tcW w:w="277" w:type="dxa"/>
          </w:tcPr>
          <w:p w:rsidR="006D64C2" w:rsidRPr="00360DE3" w:rsidRDefault="006D64C2" w:rsidP="00F162B3">
            <w:pPr>
              <w:pStyle w:val="Textpoznpodarou"/>
              <w:jc w:val="both"/>
            </w:pPr>
          </w:p>
        </w:tc>
        <w:tc>
          <w:tcPr>
            <w:tcW w:w="7391" w:type="dxa"/>
          </w:tcPr>
          <w:p w:rsidR="006D64C2" w:rsidRPr="00A35142" w:rsidRDefault="006D64C2" w:rsidP="00A35142">
            <w:pPr>
              <w:spacing w:after="0"/>
              <w:rPr>
                <w:spacing w:val="-2"/>
              </w:rPr>
            </w:pPr>
            <w:r w:rsidRPr="00A35142">
              <w:rPr>
                <w:spacing w:val="-2"/>
              </w:rPr>
              <w:t>Čtyři roky trvající růst míry zisku nefinančních podniků v ubytování, stravování a pohostinství se loni zastavil (na 39 %)</w:t>
            </w:r>
            <w:r w:rsidRPr="00A35142">
              <w:rPr>
                <w:rStyle w:val="Znakapoznpodarou"/>
                <w:spacing w:val="-2"/>
              </w:rPr>
              <w:footnoteReference w:id="104"/>
            </w:r>
            <w:r w:rsidRPr="00A35142">
              <w:rPr>
                <w:spacing w:val="-2"/>
              </w:rPr>
              <w:t>. Ziskovost tak zůs</w:t>
            </w:r>
            <w:r w:rsidR="00D32F90" w:rsidRPr="00A35142">
              <w:rPr>
                <w:spacing w:val="-2"/>
              </w:rPr>
              <w:t>tala</w:t>
            </w:r>
            <w:r w:rsidRPr="00A35142">
              <w:rPr>
                <w:spacing w:val="-2"/>
              </w:rPr>
              <w:t xml:space="preserve"> výrazně pod úrovní zaznamenanou před deseti lety a především na počátku tisíciletí (kdy citelně převyšovala 50 %). Lepší výsledky mají dlouhodobě podniky v ubytování, kde mírný růst ziskovosti pokračoval (na 47 %). Naopak ve stravování a pohostinství byl loni poměr mezi hrubým provozním přebytkem a HPH nejnižší za poslední čtyři roky (33 %). Pro celé odvětví je typická relativně nízká investiční aktivita</w:t>
            </w:r>
            <w:r w:rsidRPr="00A35142">
              <w:rPr>
                <w:rStyle w:val="Znakapoznpodarou"/>
                <w:spacing w:val="-2"/>
              </w:rPr>
              <w:footnoteReference w:id="105"/>
            </w:r>
            <w:r w:rsidRPr="00A35142">
              <w:rPr>
                <w:spacing w:val="-2"/>
              </w:rPr>
              <w:t>. Ta souvisí mj. i s hustou sítí ubytovacích i stravovacích zařízení vybudovanou v předchozích dekádách. V poměru k HPH tvořily loni investice do fixního kapitálu jen 13 %. Lépe na tom byl segment ubytování (21 %), naopak v pohostinství a stravování klesla míra investic pod 10 %. Z hlediska skladby investic směřoval loni v celém odvětví vysoký podíl do strojů a zařízení (72 %). V rámci nich vykázaly (ve srovnání s ostatními odvětvími) vyšší váhu jak investice do dopravních prostředků, tak i do ICT. Naproti tomu jen minimální pozornost dlouhodobě věnují subjekty v tomto odvětví produktům duševního vlastnictví.</w:t>
            </w:r>
          </w:p>
        </w:tc>
      </w:tr>
      <w:tr w:rsidR="006D64C2" w:rsidRPr="00360DE3" w:rsidTr="00DC37E3">
        <w:tc>
          <w:tcPr>
            <w:tcW w:w="1976" w:type="dxa"/>
            <w:vMerge w:val="restart"/>
          </w:tcPr>
          <w:p w:rsidR="006D64C2" w:rsidRPr="00360DE3" w:rsidRDefault="006D64C2" w:rsidP="00DC37E3">
            <w:pPr>
              <w:pStyle w:val="Marginlie"/>
              <w:rPr>
                <w:spacing w:val="0"/>
              </w:rPr>
            </w:pPr>
          </w:p>
        </w:tc>
        <w:tc>
          <w:tcPr>
            <w:tcW w:w="277" w:type="dxa"/>
            <w:vMerge w:val="restart"/>
          </w:tcPr>
          <w:p w:rsidR="006D64C2" w:rsidRPr="00360DE3" w:rsidRDefault="006D64C2" w:rsidP="00DC37E3">
            <w:pPr>
              <w:pStyle w:val="Textpoznpodarou"/>
              <w:jc w:val="both"/>
            </w:pPr>
          </w:p>
        </w:tc>
        <w:tc>
          <w:tcPr>
            <w:tcW w:w="7391" w:type="dxa"/>
          </w:tcPr>
          <w:p w:rsidR="006D64C2" w:rsidRPr="00360DE3" w:rsidRDefault="006D64C2" w:rsidP="00DC37E3">
            <w:pPr>
              <w:spacing w:after="0"/>
              <w:rPr>
                <w:b/>
              </w:rPr>
            </w:pPr>
            <w:r w:rsidRPr="00360DE3">
              <w:rPr>
                <w:b/>
              </w:rPr>
              <w:t xml:space="preserve">Graf 14.1  </w:t>
            </w:r>
            <w:r w:rsidRPr="00360DE3">
              <w:rPr>
                <w:b/>
                <w:bCs/>
              </w:rPr>
              <w:t xml:space="preserve">Zákl. </w:t>
            </w:r>
            <w:proofErr w:type="gramStart"/>
            <w:r w:rsidRPr="00360DE3">
              <w:rPr>
                <w:b/>
                <w:bCs/>
              </w:rPr>
              <w:t>ukazatele</w:t>
            </w:r>
            <w:proofErr w:type="gramEnd"/>
            <w:r w:rsidRPr="00360DE3">
              <w:rPr>
                <w:b/>
                <w:bCs/>
              </w:rPr>
              <w:t xml:space="preserve"> odvětví ubytování, stravování a pohostinství</w:t>
            </w:r>
          </w:p>
          <w:p w:rsidR="006D64C2" w:rsidRPr="00360DE3" w:rsidRDefault="006D64C2" w:rsidP="00DC37E3">
            <w:pPr>
              <w:spacing w:after="0"/>
              <w:rPr>
                <w:b/>
              </w:rPr>
            </w:pPr>
            <w:r w:rsidRPr="00360DE3">
              <w:rPr>
                <w:b/>
                <w:noProof/>
              </w:rPr>
              <w:drawing>
                <wp:inline distT="0" distB="0" distL="0" distR="0">
                  <wp:extent cx="4673191" cy="3584672"/>
                  <wp:effectExtent l="0" t="0" r="0" b="0"/>
                  <wp:docPr id="58"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r>
      <w:tr w:rsidR="006D64C2" w:rsidRPr="00360DE3" w:rsidTr="00DC37E3">
        <w:trPr>
          <w:trHeight w:val="284"/>
        </w:trPr>
        <w:tc>
          <w:tcPr>
            <w:tcW w:w="1976" w:type="dxa"/>
            <w:vMerge/>
          </w:tcPr>
          <w:p w:rsidR="006D64C2" w:rsidRPr="00360DE3" w:rsidRDefault="006D64C2" w:rsidP="00DC37E3">
            <w:pPr>
              <w:pStyle w:val="Marginlie"/>
              <w:rPr>
                <w:spacing w:val="0"/>
              </w:rPr>
            </w:pPr>
          </w:p>
        </w:tc>
        <w:tc>
          <w:tcPr>
            <w:tcW w:w="277" w:type="dxa"/>
            <w:vMerge/>
          </w:tcPr>
          <w:p w:rsidR="006D64C2" w:rsidRPr="00360DE3" w:rsidRDefault="006D64C2" w:rsidP="00DC37E3">
            <w:pPr>
              <w:pStyle w:val="Textpoznpodarou"/>
              <w:jc w:val="both"/>
            </w:pPr>
          </w:p>
        </w:tc>
        <w:tc>
          <w:tcPr>
            <w:tcW w:w="7391" w:type="dxa"/>
          </w:tcPr>
          <w:p w:rsidR="006D64C2" w:rsidRPr="00360DE3" w:rsidRDefault="006D64C2" w:rsidP="00DC37E3">
            <w:pPr>
              <w:pStyle w:val="Zhlav"/>
              <w:spacing w:before="40" w:after="240" w:line="240" w:lineRule="auto"/>
              <w:rPr>
                <w:rFonts w:cs="Arial"/>
                <w:sz w:val="14"/>
                <w:szCs w:val="14"/>
                <w:lang w:eastAsia="cs-CZ"/>
              </w:rPr>
            </w:pPr>
            <w:r w:rsidRPr="00360DE3">
              <w:rPr>
                <w:rFonts w:cs="Arial"/>
                <w:sz w:val="14"/>
                <w:szCs w:val="14"/>
                <w:lang w:eastAsia="cs-CZ"/>
              </w:rPr>
              <w:t xml:space="preserve">*Do reálného vyjádření převedeno deflátorem výdajů na konečnou spotřebu domácností.      Zdroj: ČSÚ (národní účty) </w:t>
            </w:r>
          </w:p>
        </w:tc>
      </w:tr>
      <w:tr w:rsidR="006D64C2" w:rsidRPr="00360DE3" w:rsidTr="00DC37E3">
        <w:trPr>
          <w:trHeight w:val="170"/>
        </w:trPr>
        <w:tc>
          <w:tcPr>
            <w:tcW w:w="1976" w:type="dxa"/>
          </w:tcPr>
          <w:p w:rsidR="006D64C2" w:rsidRPr="00360DE3" w:rsidRDefault="006D64C2" w:rsidP="00DC37E3">
            <w:pPr>
              <w:pStyle w:val="Marginlie"/>
              <w:rPr>
                <w:spacing w:val="0"/>
              </w:rPr>
            </w:pPr>
            <w:r w:rsidRPr="00360DE3">
              <w:rPr>
                <w:spacing w:val="0"/>
              </w:rPr>
              <w:t xml:space="preserve">I přes prudký růst objemu vyplacených mezd v posledních třech letech setrvává průměrná mzda v odvětví hluboko pod úrovní celé ekonomiky. </w:t>
            </w: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pPr>
              <w:rPr>
                <w:color w:val="0D0D0D"/>
              </w:rPr>
            </w:pPr>
            <w:r w:rsidRPr="00360DE3">
              <w:rPr>
                <w:color w:val="0D0D0D"/>
              </w:rPr>
              <w:t>Vedle investiční aktivity charakterizuje odvětví i velmi nízká mzdová úroveň. Přestože objem vyplacených mezd za poslední tři roky prudce vzrostl (nominálně o</w:t>
            </w:r>
            <w:r w:rsidR="00274037" w:rsidRPr="00360DE3">
              <w:t> </w:t>
            </w:r>
            <w:r w:rsidRPr="00360DE3">
              <w:rPr>
                <w:color w:val="0D0D0D"/>
              </w:rPr>
              <w:t>více než čtvrtinu) – především zásluhou navyšování hranice minimální mzdy –, dosahovala zde průměrná mzda loni jen 62 % úrovně celé ekonomiky. V rámci odvětví na tom byli lépe zaměstnanci v ubytování (73 %). Se zlepšujícími se hospodářskými výsledky se v odvětví po roce 2014 pozvolna navyšuje i</w:t>
            </w:r>
            <w:r w:rsidR="00274037" w:rsidRPr="00360DE3">
              <w:t> </w:t>
            </w:r>
            <w:r w:rsidRPr="00360DE3">
              <w:rPr>
                <w:color w:val="0D0D0D"/>
              </w:rPr>
              <w:t>zaměstnanost. Loni zde pracovalo necelých 208 tis. osob (po přepočtu na celé úvazky). Na oživení se podílelo spíše stravování a pohostinství, kde vloni přibylo 7,5 ti</w:t>
            </w:r>
            <w:r w:rsidR="00D32F90">
              <w:rPr>
                <w:color w:val="0D0D0D"/>
              </w:rPr>
              <w:t>s. pracovníků (výhradně ve slupině</w:t>
            </w:r>
            <w:r w:rsidRPr="00360DE3">
              <w:rPr>
                <w:color w:val="0D0D0D"/>
              </w:rPr>
              <w:t xml:space="preserve"> </w:t>
            </w:r>
            <w:proofErr w:type="spellStart"/>
            <w:r w:rsidRPr="00360DE3">
              <w:rPr>
                <w:color w:val="0D0D0D"/>
              </w:rPr>
              <w:t>sebezaměstnaných</w:t>
            </w:r>
            <w:proofErr w:type="spellEnd"/>
            <w:r w:rsidRPr="00360DE3">
              <w:rPr>
                <w:color w:val="0D0D0D"/>
              </w:rPr>
              <w:t>). Navzdory tomu se nacházel loňský počet pracovníků v celém odvětví stále pod úrovní dosud rekordního roku 2009 (212 tis.).</w:t>
            </w:r>
          </w:p>
        </w:tc>
      </w:tr>
      <w:tr w:rsidR="006D64C2" w:rsidRPr="00360DE3" w:rsidTr="00DC37E3">
        <w:trPr>
          <w:trHeight w:val="170"/>
        </w:trPr>
        <w:tc>
          <w:tcPr>
            <w:tcW w:w="1976" w:type="dxa"/>
          </w:tcPr>
          <w:p w:rsidR="006D64C2" w:rsidRPr="00360DE3" w:rsidRDefault="006D64C2" w:rsidP="00F162B3">
            <w:pPr>
              <w:pStyle w:val="Marginlie"/>
              <w:rPr>
                <w:spacing w:val="0"/>
              </w:rPr>
            </w:pPr>
            <w:r w:rsidRPr="00360DE3">
              <w:rPr>
                <w:spacing w:val="0"/>
              </w:rPr>
              <w:t>Silný růst počtu návštěvníků v hromadných ubytovacích zařízeních v Česku pokračoval již třetím rokem.</w:t>
            </w:r>
          </w:p>
          <w:p w:rsidR="006D64C2" w:rsidRPr="00360DE3" w:rsidRDefault="006D64C2" w:rsidP="00F162B3">
            <w:pPr>
              <w:pStyle w:val="Marginlie"/>
              <w:rPr>
                <w:spacing w:val="0"/>
              </w:rPr>
            </w:pPr>
            <w:r w:rsidRPr="00360DE3">
              <w:rPr>
                <w:spacing w:val="0"/>
              </w:rPr>
              <w:t xml:space="preserve">Hostů přijelo loni meziročně více do všech krajů. Výrazná dominance Prahy u zahraniční klientely se mírně oslabila. </w:t>
            </w:r>
          </w:p>
          <w:p w:rsidR="006D64C2" w:rsidRPr="00360DE3" w:rsidRDefault="006D64C2" w:rsidP="00F162B3">
            <w:pPr>
              <w:pStyle w:val="Marginlie"/>
              <w:rPr>
                <w:spacing w:val="0"/>
              </w:rPr>
            </w:pPr>
          </w:p>
        </w:tc>
        <w:tc>
          <w:tcPr>
            <w:tcW w:w="277" w:type="dxa"/>
          </w:tcPr>
          <w:p w:rsidR="006D64C2" w:rsidRPr="00360DE3" w:rsidRDefault="006D64C2" w:rsidP="00F162B3">
            <w:pPr>
              <w:pStyle w:val="Textpoznpodarou"/>
              <w:jc w:val="both"/>
            </w:pPr>
          </w:p>
        </w:tc>
        <w:tc>
          <w:tcPr>
            <w:tcW w:w="7391" w:type="dxa"/>
          </w:tcPr>
          <w:p w:rsidR="006D64C2" w:rsidRPr="00360DE3" w:rsidRDefault="006D64C2" w:rsidP="0074369B">
            <w:pPr>
              <w:rPr>
                <w:color w:val="0D0D0D"/>
              </w:rPr>
            </w:pPr>
            <w:r w:rsidRPr="00360DE3">
              <w:rPr>
                <w:color w:val="0D0D0D"/>
              </w:rPr>
              <w:t>Česko si v konkurenci evropských států nadále udržuje vysokou atraktivitu pro cestovní ruch. Vedle v čase relativně stabilních faktorů (kulturně-historických i přírodních atraktivit, příhodné geografické polohy), působí i příznivý globální ekonomický vývoj, relativní cenová dostupnost nabízených služeb v tuzemsku a</w:t>
            </w:r>
            <w:r w:rsidR="00274037" w:rsidRPr="00360DE3">
              <w:t> </w:t>
            </w:r>
            <w:r w:rsidRPr="00360DE3">
              <w:rPr>
                <w:color w:val="0D0D0D"/>
              </w:rPr>
              <w:t>v posledních letech i vnímání Česka jako bezpečné destinace. Silný nárůst četnosti příjezdů hostů, kteří využili služeb hromadných ubytova</w:t>
            </w:r>
            <w:r w:rsidR="0074369B">
              <w:rPr>
                <w:color w:val="0D0D0D"/>
              </w:rPr>
              <w:t xml:space="preserve">cích zařízení (HUZ), </w:t>
            </w:r>
            <w:r w:rsidRPr="00360DE3">
              <w:rPr>
                <w:color w:val="0D0D0D"/>
              </w:rPr>
              <w:t>dle podnikových statistik</w:t>
            </w:r>
            <w:r w:rsidR="0074369B">
              <w:rPr>
                <w:color w:val="0D0D0D"/>
              </w:rPr>
              <w:t xml:space="preserve"> nadále pokračoval</w:t>
            </w:r>
            <w:r w:rsidRPr="00360DE3">
              <w:rPr>
                <w:color w:val="0D0D0D"/>
              </w:rPr>
              <w:t>. Loni počet hostů poprvé překročil 20mil. hranici (meziročně +8,8 %). Návštěvníků z tuzemska bylo nepatrně méně (9,84 mil.) než hostů s cizím státním občanstvím (10,16 mil.)</w:t>
            </w:r>
            <w:r w:rsidRPr="00360DE3">
              <w:rPr>
                <w:rStyle w:val="Znakapoznpodarou"/>
                <w:color w:val="0D0D0D"/>
              </w:rPr>
              <w:footnoteReference w:id="106"/>
            </w:r>
            <w:r w:rsidRPr="00360DE3">
              <w:rPr>
                <w:color w:val="0D0D0D"/>
              </w:rPr>
              <w:t xml:space="preserve">. Za vysokým růstem celkové návštěvnosti stál loni především dynamický vývoj v první polovině roku, nicméně i v dalších čtvrtletích převyšovalo meziroční tempo 5% hranici. Více </w:t>
            </w:r>
            <w:r w:rsidRPr="00360DE3">
              <w:rPr>
                <w:color w:val="0D0D0D"/>
              </w:rPr>
              <w:lastRenderedPageBreak/>
              <w:t>hostů přijelo loni do všech kategorií HUZ – zatímco v roce 2</w:t>
            </w:r>
            <w:r w:rsidR="006B4B7B">
              <w:rPr>
                <w:color w:val="0D0D0D"/>
              </w:rPr>
              <w:t>016 rostly nejrychleji čtyř</w:t>
            </w:r>
            <w:r w:rsidRPr="00360DE3">
              <w:rPr>
                <w:color w:val="0D0D0D"/>
              </w:rPr>
              <w:t>hvězdičko</w:t>
            </w:r>
            <w:r w:rsidR="006B4B7B">
              <w:rPr>
                <w:color w:val="0D0D0D"/>
              </w:rPr>
              <w:t>vé hotely (+10 %), loni to byly penziony (+15 %, n</w:t>
            </w:r>
            <w:r w:rsidRPr="00360DE3">
              <w:rPr>
                <w:color w:val="0D0D0D"/>
              </w:rPr>
              <w:t>a růstu celkové návštěvnosti ČR se podílely šestinou</w:t>
            </w:r>
            <w:r w:rsidR="006B4B7B">
              <w:rPr>
                <w:color w:val="0D0D0D"/>
              </w:rPr>
              <w:t>)</w:t>
            </w:r>
            <w:r w:rsidRPr="00360DE3">
              <w:rPr>
                <w:color w:val="0D0D0D"/>
              </w:rPr>
              <w:t xml:space="preserve">.  </w:t>
            </w:r>
          </w:p>
        </w:tc>
      </w:tr>
      <w:tr w:rsidR="006D64C2" w:rsidRPr="00360DE3" w:rsidTr="00DC37E3">
        <w:trPr>
          <w:trHeight w:val="170"/>
        </w:trPr>
        <w:tc>
          <w:tcPr>
            <w:tcW w:w="1976" w:type="dxa"/>
          </w:tcPr>
          <w:p w:rsidR="006D64C2" w:rsidRPr="00360DE3" w:rsidRDefault="006D64C2" w:rsidP="00DC37E3">
            <w:pPr>
              <w:pStyle w:val="Marginlie"/>
              <w:rPr>
                <w:spacing w:val="0"/>
              </w:rPr>
            </w:pP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pPr>
              <w:spacing w:after="0"/>
            </w:pPr>
            <w:r w:rsidRPr="00360DE3">
              <w:rPr>
                <w:b/>
              </w:rPr>
              <w:t>Graf 14.2  Příspěvky zahraničních návštěvníků dle zemí k meziroční změně počtu přenocování všech nerezidentů v </w:t>
            </w:r>
            <w:proofErr w:type="gramStart"/>
            <w:r w:rsidRPr="00360DE3">
              <w:rPr>
                <w:b/>
              </w:rPr>
              <w:t>HUZ</w:t>
            </w:r>
            <w:r w:rsidRPr="00360DE3">
              <w:t xml:space="preserve"> (v p .</w:t>
            </w:r>
            <w:proofErr w:type="spellStart"/>
            <w:r w:rsidRPr="00360DE3">
              <w:t>b</w:t>
            </w:r>
            <w:proofErr w:type="spellEnd"/>
            <w:r w:rsidRPr="00360DE3">
              <w:t>.)</w:t>
            </w:r>
            <w:r w:rsidR="00A35142">
              <w:rPr>
                <w:b/>
              </w:rPr>
              <w:t xml:space="preserve"> a průměrná</w:t>
            </w:r>
            <w:proofErr w:type="gramEnd"/>
            <w:r w:rsidRPr="00360DE3">
              <w:rPr>
                <w:b/>
              </w:rPr>
              <w:t xml:space="preserve"> délka pobytu zahraničních a tuzemských hostů v ČR </w:t>
            </w:r>
            <w:r w:rsidRPr="00360DE3">
              <w:t>(ve dnech, pravá osa)</w:t>
            </w:r>
          </w:p>
          <w:p w:rsidR="006D64C2" w:rsidRPr="00360DE3" w:rsidRDefault="006D64C2" w:rsidP="00DC37E3">
            <w:pPr>
              <w:spacing w:after="0"/>
              <w:rPr>
                <w:b/>
              </w:rPr>
            </w:pPr>
            <w:r w:rsidRPr="00360DE3">
              <w:rPr>
                <w:b/>
                <w:noProof/>
              </w:rPr>
              <w:drawing>
                <wp:inline distT="0" distB="0" distL="0" distR="0">
                  <wp:extent cx="4748893" cy="3467595"/>
                  <wp:effectExtent l="19050" t="0" r="0" b="0"/>
                  <wp:docPr id="6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r w:rsidR="006D64C2" w:rsidRPr="00360DE3" w:rsidTr="00DC37E3">
        <w:trPr>
          <w:trHeight w:val="170"/>
        </w:trPr>
        <w:tc>
          <w:tcPr>
            <w:tcW w:w="1976" w:type="dxa"/>
          </w:tcPr>
          <w:p w:rsidR="006D64C2" w:rsidRPr="00360DE3" w:rsidRDefault="006D64C2" w:rsidP="00DC37E3">
            <w:pPr>
              <w:pStyle w:val="Marginlie"/>
              <w:rPr>
                <w:spacing w:val="0"/>
              </w:rPr>
            </w:pPr>
          </w:p>
        </w:tc>
        <w:tc>
          <w:tcPr>
            <w:tcW w:w="277" w:type="dxa"/>
          </w:tcPr>
          <w:p w:rsidR="006D64C2" w:rsidRPr="00360DE3" w:rsidRDefault="006D64C2" w:rsidP="00DC37E3">
            <w:pPr>
              <w:pStyle w:val="Textpoznpodarou"/>
              <w:jc w:val="both"/>
            </w:pPr>
          </w:p>
        </w:tc>
        <w:tc>
          <w:tcPr>
            <w:tcW w:w="7391" w:type="dxa"/>
          </w:tcPr>
          <w:p w:rsidR="006B4B7B" w:rsidRDefault="006D64C2" w:rsidP="006B4B7B">
            <w:pPr>
              <w:spacing w:after="0" w:line="240" w:lineRule="auto"/>
              <w:rPr>
                <w:rFonts w:ascii="Tahoma" w:hAnsi="Tahoma" w:cs="Tahoma"/>
                <w:color w:val="0D0D0D" w:themeColor="text1" w:themeTint="F2"/>
                <w:sz w:val="14"/>
                <w:szCs w:val="14"/>
              </w:rPr>
            </w:pPr>
            <w:r w:rsidRPr="00360DE3">
              <w:rPr>
                <w:rFonts w:cs="Arial"/>
                <w:color w:val="0D0D0D" w:themeColor="text1" w:themeTint="F2"/>
                <w:sz w:val="14"/>
                <w:szCs w:val="14"/>
              </w:rPr>
              <w:t xml:space="preserve"> Pozn.: HUZ – hromadná ubytovací zařízení. Jde o </w:t>
            </w:r>
            <w:r w:rsidRPr="00360DE3">
              <w:rPr>
                <w:rFonts w:ascii="Tahoma" w:hAnsi="Tahoma" w:cs="Tahoma"/>
                <w:color w:val="0D0D0D" w:themeColor="text1" w:themeTint="F2"/>
                <w:sz w:val="14"/>
                <w:szCs w:val="14"/>
              </w:rPr>
              <w:t>zařízení s minimálně pěti pokoji a zároveň deseti lůžky poskytující přechodné ubytování hostům za účelem dovolené, zájezdu, lázeňské péče, služební cesty, školení, kursu, kongresu, symposia, pobytu dětí ve škole v přírodě, v letních a zimních táborech apod.</w:t>
            </w:r>
          </w:p>
          <w:p w:rsidR="006D64C2" w:rsidRPr="006B4B7B" w:rsidRDefault="006D64C2" w:rsidP="00DC37E3">
            <w:pPr>
              <w:spacing w:after="200" w:line="240" w:lineRule="auto"/>
              <w:rPr>
                <w:rFonts w:ascii="Tahoma" w:hAnsi="Tahoma" w:cs="Tahoma"/>
                <w:color w:val="0D0D0D" w:themeColor="text1" w:themeTint="F2"/>
                <w:sz w:val="14"/>
                <w:szCs w:val="14"/>
              </w:rPr>
            </w:pPr>
            <w:r w:rsidRPr="00360DE3">
              <w:rPr>
                <w:rFonts w:cs="Arial"/>
                <w:color w:val="0D0D0D" w:themeColor="text1" w:themeTint="F2"/>
                <w:sz w:val="14"/>
                <w:szCs w:val="14"/>
              </w:rPr>
              <w:t xml:space="preserve">Zdroj: ČSÚ </w:t>
            </w:r>
          </w:p>
        </w:tc>
      </w:tr>
      <w:tr w:rsidR="006D64C2" w:rsidRPr="00360DE3" w:rsidTr="00DC37E3">
        <w:trPr>
          <w:trHeight w:val="170"/>
        </w:trPr>
        <w:tc>
          <w:tcPr>
            <w:tcW w:w="1976" w:type="dxa"/>
          </w:tcPr>
          <w:p w:rsidR="006D64C2" w:rsidRPr="00360DE3" w:rsidRDefault="006D64C2" w:rsidP="00DC37E3">
            <w:pPr>
              <w:pStyle w:val="Marginlie"/>
              <w:rPr>
                <w:spacing w:val="0"/>
              </w:rPr>
            </w:pPr>
            <w:r w:rsidRPr="00360DE3">
              <w:rPr>
                <w:spacing w:val="0"/>
              </w:rPr>
              <w:t>Průměrná doba pobytu zahraničních hostů nadále klesla. U hostů z tuzemska se délka v posledních letech stabilizovala.</w:t>
            </w:r>
          </w:p>
          <w:p w:rsidR="006D64C2" w:rsidRPr="00360DE3" w:rsidRDefault="006D64C2" w:rsidP="00DC37E3">
            <w:pPr>
              <w:pStyle w:val="Marginlie"/>
              <w:rPr>
                <w:spacing w:val="0"/>
              </w:rPr>
            </w:pP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r w:rsidRPr="00360DE3">
              <w:rPr>
                <w:color w:val="0D0D0D"/>
              </w:rPr>
              <w:t xml:space="preserve">Hostů z tuzemska, ale i ze zahraničí, přibývalo ve všech krajích. V součtu za obě kategorie </w:t>
            </w:r>
            <w:r w:rsidR="006B4B7B">
              <w:rPr>
                <w:color w:val="0D0D0D"/>
              </w:rPr>
              <w:t xml:space="preserve">turistů </w:t>
            </w:r>
            <w:r w:rsidRPr="00360DE3">
              <w:rPr>
                <w:color w:val="0D0D0D"/>
              </w:rPr>
              <w:t>se návštěvnost nejvíce zvyšovala v Jihomoravském, Plzeňském a Ústeckém kraji (v pásmu 14,5 % až 12,3 %). I přes mí</w:t>
            </w:r>
            <w:r w:rsidR="006B4B7B">
              <w:rPr>
                <w:color w:val="0D0D0D"/>
              </w:rPr>
              <w:t>rné relativní oslabení pozice</w:t>
            </w:r>
            <w:r w:rsidRPr="00360DE3">
              <w:rPr>
                <w:color w:val="0D0D0D"/>
              </w:rPr>
              <w:t xml:space="preserve"> Prahy, zůstává její role v případě pobytu zahraničních návštěvníků nadále výrazně dominantní. Její podíl na celorepublikovém počtu zahraničních návštěvníků loni činil 64,6 %, u jejich přenocování 61,4 %. Negativním jevem zůstává také zkracující se průměrná doba pobytu, jež je u zahraniční klientely v ČR na rozdíl od té domácí dlouhodobým jevem. Lze to zčásti vysvětlit zvyšujícím se zastoupením hostů ze vzdálenějších (zejm. asijských) destinací, kteří v průměru pobývají v Česku kratší dobu.</w:t>
            </w:r>
          </w:p>
        </w:tc>
      </w:tr>
      <w:tr w:rsidR="006D64C2" w:rsidRPr="00360DE3" w:rsidTr="00DC37E3">
        <w:trPr>
          <w:trHeight w:val="170"/>
        </w:trPr>
        <w:tc>
          <w:tcPr>
            <w:tcW w:w="1976" w:type="dxa"/>
          </w:tcPr>
          <w:p w:rsidR="006D64C2" w:rsidRPr="00360DE3" w:rsidRDefault="006D64C2" w:rsidP="00DC37E3">
            <w:pPr>
              <w:pStyle w:val="Marginlie"/>
              <w:rPr>
                <w:spacing w:val="0"/>
              </w:rPr>
            </w:pPr>
            <w:r w:rsidRPr="00360DE3">
              <w:rPr>
                <w:spacing w:val="0"/>
              </w:rPr>
              <w:t>Meziroční změny celkové návštěvnosti ČR ovlivňují dlouhodobě nejvíce Rusové</w:t>
            </w:r>
          </w:p>
        </w:tc>
        <w:tc>
          <w:tcPr>
            <w:tcW w:w="277" w:type="dxa"/>
          </w:tcPr>
          <w:p w:rsidR="006D64C2" w:rsidRPr="00360DE3" w:rsidRDefault="006D64C2" w:rsidP="00DC37E3">
            <w:pPr>
              <w:pStyle w:val="Textpoznpodarou"/>
              <w:jc w:val="both"/>
            </w:pPr>
          </w:p>
        </w:tc>
        <w:tc>
          <w:tcPr>
            <w:tcW w:w="7391" w:type="dxa"/>
          </w:tcPr>
          <w:p w:rsidR="006D64C2" w:rsidRPr="00360DE3" w:rsidRDefault="006D64C2" w:rsidP="006B4B7B">
            <w:pPr>
              <w:spacing w:after="0"/>
              <w:rPr>
                <w:szCs w:val="20"/>
              </w:rPr>
            </w:pPr>
            <w:r w:rsidRPr="00360DE3">
              <w:rPr>
                <w:color w:val="0D0D0D"/>
              </w:rPr>
              <w:t xml:space="preserve">Zatímco v letech 2015 i 2016 přispívali k růstu </w:t>
            </w:r>
            <w:r w:rsidR="006B4B7B">
              <w:rPr>
                <w:color w:val="0D0D0D"/>
              </w:rPr>
              <w:t xml:space="preserve">počtu </w:t>
            </w:r>
            <w:r w:rsidRPr="00360DE3">
              <w:rPr>
                <w:color w:val="0D0D0D"/>
              </w:rPr>
              <w:t>přenocování zahraničních hostů v HUZ nejvíce Němci, loni to byli Rusové (jeji</w:t>
            </w:r>
            <w:r w:rsidR="006B4B7B">
              <w:rPr>
                <w:color w:val="0D0D0D"/>
              </w:rPr>
              <w:t>chž pobyty vzrostly meziročně o </w:t>
            </w:r>
            <w:r w:rsidRPr="00360DE3">
              <w:rPr>
                <w:color w:val="0D0D0D"/>
              </w:rPr>
              <w:t xml:space="preserve">35 %). Přestože hosté z Ruska tvoří </w:t>
            </w:r>
            <w:r w:rsidR="006B4B7B">
              <w:rPr>
                <w:color w:val="0D0D0D"/>
              </w:rPr>
              <w:t xml:space="preserve">z </w:t>
            </w:r>
            <w:r w:rsidRPr="00360DE3">
              <w:rPr>
                <w:color w:val="0D0D0D"/>
              </w:rPr>
              <w:t>hlediska váhy (9,8 % na celkovém počtu přenocování nerezidentů) až druhou nejvýznamnější skupinu (s výrazným odstupem za Německem 21,9 %), jsou to právě oni, kteří v poslední dekádě ovlivňovali (v kladném i záporném směru) celkovou návštěvnost v ČR nejvíce. Vyšší počet př</w:t>
            </w:r>
            <w:r w:rsidR="006B4B7B">
              <w:rPr>
                <w:color w:val="0D0D0D"/>
              </w:rPr>
              <w:t xml:space="preserve">enocování loni vykázali hosté ze </w:t>
            </w:r>
            <w:r w:rsidRPr="00360DE3">
              <w:rPr>
                <w:color w:val="0D0D0D"/>
              </w:rPr>
              <w:t xml:space="preserve">47 </w:t>
            </w:r>
            <w:r w:rsidR="006B4B7B">
              <w:rPr>
                <w:color w:val="0D0D0D"/>
              </w:rPr>
              <w:t>zemí (z 55 sledovaných</w:t>
            </w:r>
            <w:r w:rsidRPr="00360DE3">
              <w:rPr>
                <w:color w:val="0D0D0D"/>
              </w:rPr>
              <w:t xml:space="preserve">), z významnějších zdrojových států omezovaly v ČR pobyty jen Turci (-8 %) a hosté z Velké Británie (-1 %). Naopak </w:t>
            </w:r>
            <w:r w:rsidR="006B4B7B">
              <w:rPr>
                <w:color w:val="0D0D0D"/>
              </w:rPr>
              <w:t>pokračoval dynamický růst počtu přenocování hostů z Číny (+31</w:t>
            </w:r>
            <w:r w:rsidR="006B4B7B" w:rsidRPr="00360DE3">
              <w:rPr>
                <w:color w:val="0D0D0D"/>
              </w:rPr>
              <w:t> </w:t>
            </w:r>
            <w:r w:rsidRPr="00360DE3">
              <w:rPr>
                <w:color w:val="0D0D0D"/>
              </w:rPr>
              <w:t>%), Indie (+28 %), Jižní Kore</w:t>
            </w:r>
            <w:r w:rsidR="006B4B7B">
              <w:rPr>
                <w:color w:val="0D0D0D"/>
              </w:rPr>
              <w:t>y (+25 %), Tchaj-wanu (+15 %) i </w:t>
            </w:r>
            <w:r w:rsidRPr="00360DE3">
              <w:rPr>
                <w:color w:val="0D0D0D"/>
              </w:rPr>
              <w:t>zemí z Blízkého východu. Za poslední tři konjunkturní roky cestovního ruchu v ČR vz</w:t>
            </w:r>
            <w:r w:rsidR="006B4B7B">
              <w:rPr>
                <w:color w:val="0D0D0D"/>
              </w:rPr>
              <w:t xml:space="preserve">rostly absolutně nejvíce počty přenocování </w:t>
            </w:r>
            <w:r w:rsidRPr="00360DE3">
              <w:rPr>
                <w:color w:val="0D0D0D"/>
              </w:rPr>
              <w:t xml:space="preserve">hostů z Německa a Číny. </w:t>
            </w:r>
          </w:p>
        </w:tc>
      </w:tr>
      <w:tr w:rsidR="006D64C2" w:rsidRPr="00360DE3" w:rsidTr="00DC37E3">
        <w:trPr>
          <w:trHeight w:val="170"/>
        </w:trPr>
        <w:tc>
          <w:tcPr>
            <w:tcW w:w="1976" w:type="dxa"/>
          </w:tcPr>
          <w:p w:rsidR="006D64C2" w:rsidRPr="00360DE3" w:rsidRDefault="006D64C2" w:rsidP="00DC37E3">
            <w:pPr>
              <w:pStyle w:val="Marginlie"/>
              <w:rPr>
                <w:spacing w:val="0"/>
              </w:rPr>
            </w:pPr>
            <w:r w:rsidRPr="00360DE3">
              <w:rPr>
                <w:spacing w:val="0"/>
              </w:rPr>
              <w:lastRenderedPageBreak/>
              <w:t>Četnost hostů v lázeňských HUZ narůstala pomaleji nežli v jiných segmentech cestovního ruch. Růst obliby lázní byl loni tažen hlavně turisty z Německa.</w:t>
            </w: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pPr>
              <w:rPr>
                <w:szCs w:val="20"/>
              </w:rPr>
            </w:pPr>
            <w:r w:rsidRPr="00360DE3">
              <w:rPr>
                <w:szCs w:val="20"/>
              </w:rPr>
              <w:t>Do lázeňských HUZ</w:t>
            </w:r>
            <w:r w:rsidRPr="00360DE3">
              <w:rPr>
                <w:rStyle w:val="Znakapoznpodarou"/>
                <w:szCs w:val="20"/>
              </w:rPr>
              <w:footnoteReference w:id="107"/>
            </w:r>
            <w:r w:rsidR="00A35EA6">
              <w:rPr>
                <w:szCs w:val="20"/>
              </w:rPr>
              <w:t xml:space="preserve"> v Česku</w:t>
            </w:r>
            <w:r w:rsidRPr="00360DE3">
              <w:rPr>
                <w:szCs w:val="20"/>
              </w:rPr>
              <w:t xml:space="preserve"> loni zavítalo rekordních 839 tis. hostů. K meziročnímu růstu četnosti hostů (+7,6 %) přispě</w:t>
            </w:r>
            <w:r w:rsidR="00A35EA6">
              <w:rPr>
                <w:szCs w:val="20"/>
              </w:rPr>
              <w:t>la nejvíce německá klientela (v</w:t>
            </w:r>
            <w:r w:rsidR="00A35EA6" w:rsidRPr="00360DE3">
              <w:rPr>
                <w:szCs w:val="20"/>
              </w:rPr>
              <w:t> </w:t>
            </w:r>
            <w:r w:rsidRPr="00360DE3">
              <w:rPr>
                <w:szCs w:val="20"/>
              </w:rPr>
              <w:t xml:space="preserve">letech 2014-2016 to ale byli hosté z tuzemska). Zatímco hostů z ČR po roce 2012 plynule přibývá, </w:t>
            </w:r>
            <w:r w:rsidR="004B48DF">
              <w:rPr>
                <w:szCs w:val="20"/>
              </w:rPr>
              <w:t>u zahraničních byl v letech 2014 a 2015 zaznamenán pokles (v úhrnu o 15</w:t>
            </w:r>
            <w:r w:rsidRPr="00360DE3">
              <w:rPr>
                <w:szCs w:val="20"/>
              </w:rPr>
              <w:t xml:space="preserve"> %) vlivem odlivu na lázeňství více specializované ruské klientely</w:t>
            </w:r>
            <w:r w:rsidRPr="00360DE3">
              <w:rPr>
                <w:rStyle w:val="Znakapoznpodarou"/>
                <w:szCs w:val="20"/>
              </w:rPr>
              <w:footnoteReference w:id="108"/>
            </w:r>
            <w:r w:rsidRPr="00360DE3">
              <w:rPr>
                <w:szCs w:val="20"/>
              </w:rPr>
              <w:t>. Hosté z Ruska se od loňska do lázní v ČR postupně vrací, avšak s menší intenzitou než do segmentu městského cestovního ruchu. V tomto segmentu hraje specifickou roli kongresový cestovní ruch</w:t>
            </w:r>
            <w:r w:rsidRPr="00360DE3">
              <w:rPr>
                <w:rStyle w:val="Znakapoznpodarou"/>
                <w:szCs w:val="20"/>
              </w:rPr>
              <w:footnoteReference w:id="109"/>
            </w:r>
            <w:r w:rsidRPr="00360DE3">
              <w:rPr>
                <w:szCs w:val="20"/>
              </w:rPr>
              <w:t xml:space="preserve">. </w:t>
            </w:r>
          </w:p>
        </w:tc>
      </w:tr>
      <w:tr w:rsidR="006D64C2" w:rsidRPr="00360DE3" w:rsidTr="00DC37E3">
        <w:trPr>
          <w:trHeight w:val="170"/>
        </w:trPr>
        <w:tc>
          <w:tcPr>
            <w:tcW w:w="1976" w:type="dxa"/>
          </w:tcPr>
          <w:p w:rsidR="006D64C2" w:rsidRPr="00360DE3" w:rsidRDefault="006D64C2" w:rsidP="00DC37E3">
            <w:pPr>
              <w:pStyle w:val="Marginlie"/>
              <w:rPr>
                <w:spacing w:val="0"/>
              </w:rPr>
            </w:pPr>
            <w:r w:rsidRPr="00360DE3">
              <w:rPr>
                <w:spacing w:val="0"/>
              </w:rPr>
              <w:t>Tempo růstu počtu hostů ubytovaných v HUZ bylo v Česku za poslední tři roky vyšší než v EU.</w:t>
            </w: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pPr>
              <w:spacing w:after="0"/>
              <w:rPr>
                <w:sz w:val="16"/>
                <w:szCs w:val="16"/>
              </w:rPr>
            </w:pPr>
            <w:r w:rsidRPr="00360DE3">
              <w:rPr>
                <w:szCs w:val="20"/>
              </w:rPr>
              <w:t xml:space="preserve">Počet všech hostů v HUZ v ČR roste po roce 2014 výrazně vyšším tempem než v EU (tu loni navštívilo meziročně o 5 % hostů více). Zatímco v roce 2016 </w:t>
            </w:r>
            <w:r w:rsidR="00785232">
              <w:rPr>
                <w:szCs w:val="20"/>
              </w:rPr>
              <w:t xml:space="preserve">se </w:t>
            </w:r>
            <w:r w:rsidRPr="00360DE3">
              <w:rPr>
                <w:szCs w:val="20"/>
              </w:rPr>
              <w:t>četnost hostů snižovala v šesti státech Unie, loni vykázaly mírný pokles jen Velká Británie a Lucembursko. Nejvíce se navyšovala ná</w:t>
            </w:r>
            <w:r w:rsidR="00785232">
              <w:rPr>
                <w:szCs w:val="20"/>
              </w:rPr>
              <w:t>vštěvnost ve Slovinsku, Maltě a</w:t>
            </w:r>
            <w:r w:rsidR="00785232" w:rsidRPr="00360DE3">
              <w:rPr>
                <w:szCs w:val="20"/>
              </w:rPr>
              <w:t> </w:t>
            </w:r>
            <w:r w:rsidRPr="00360DE3">
              <w:rPr>
                <w:szCs w:val="20"/>
              </w:rPr>
              <w:t>Chorvatsku (shodně o 13 %). Dařilo se i některým státům mimo EU</w:t>
            </w:r>
            <w:r w:rsidRPr="00360DE3">
              <w:rPr>
                <w:rStyle w:val="Znakapoznpodarou"/>
                <w:szCs w:val="20"/>
              </w:rPr>
              <w:footnoteReference w:id="110"/>
            </w:r>
            <w:r w:rsidRPr="00360DE3">
              <w:rPr>
                <w:szCs w:val="20"/>
              </w:rPr>
              <w:t>. Průměrná délka pobytu hostů v zemích EU loni činila 4,1 dny, o desetinu více než v ČR. Delší pobyty byly tradičně ve středomořských destinacích, ale i v Dánsku či Velké Británii (5 dní). Na Británii připadal i největší podíl celko</w:t>
            </w:r>
            <w:r w:rsidR="00785232">
              <w:rPr>
                <w:szCs w:val="20"/>
              </w:rPr>
              <w:t>vého počtu přenocování v EU (15</w:t>
            </w:r>
            <w:r w:rsidR="00785232" w:rsidRPr="00360DE3">
              <w:rPr>
                <w:szCs w:val="20"/>
              </w:rPr>
              <w:t> </w:t>
            </w:r>
            <w:r w:rsidRPr="00360DE3">
              <w:rPr>
                <w:szCs w:val="20"/>
              </w:rPr>
              <w:t>%) – spolu se Španělskem, Francií, Itálií a Německem tvořily 69 %. ČR se podílela 1,7 %a zároveň se loni umístila na chvostu první desítky států s nejvyšším růstem počtu přenocování (+7,1 %).</w:t>
            </w:r>
          </w:p>
          <w:p w:rsidR="006D64C2" w:rsidRPr="00360DE3" w:rsidRDefault="006D64C2" w:rsidP="00DC37E3">
            <w:pPr>
              <w:spacing w:after="0"/>
              <w:rPr>
                <w:sz w:val="16"/>
                <w:szCs w:val="16"/>
              </w:rPr>
            </w:pPr>
          </w:p>
        </w:tc>
      </w:tr>
      <w:tr w:rsidR="006D64C2" w:rsidRPr="00360DE3" w:rsidTr="00DC37E3">
        <w:trPr>
          <w:trHeight w:val="170"/>
        </w:trPr>
        <w:tc>
          <w:tcPr>
            <w:tcW w:w="1976" w:type="dxa"/>
          </w:tcPr>
          <w:p w:rsidR="006D64C2" w:rsidRPr="00360DE3" w:rsidRDefault="006D64C2" w:rsidP="00DC37E3">
            <w:pPr>
              <w:pStyle w:val="Marginlie"/>
              <w:rPr>
                <w:spacing w:val="0"/>
              </w:rPr>
            </w:pPr>
            <w:r w:rsidRPr="00360DE3">
              <w:rPr>
                <w:spacing w:val="0"/>
              </w:rPr>
              <w:t>Aktivity související s cestovním ruchem se podílely na HDP Česka necelými 3 %.</w:t>
            </w:r>
          </w:p>
          <w:p w:rsidR="006D64C2" w:rsidRPr="00360DE3" w:rsidRDefault="006D64C2" w:rsidP="00DC37E3">
            <w:pPr>
              <w:pStyle w:val="Marginlie"/>
              <w:rPr>
                <w:spacing w:val="0"/>
              </w:rPr>
            </w:pPr>
          </w:p>
          <w:p w:rsidR="006D64C2" w:rsidRPr="00360DE3" w:rsidRDefault="006D64C2" w:rsidP="00DC37E3">
            <w:pPr>
              <w:pStyle w:val="Marginlie"/>
              <w:rPr>
                <w:spacing w:val="0"/>
              </w:rPr>
            </w:pPr>
          </w:p>
          <w:p w:rsidR="006D64C2" w:rsidRPr="00360DE3" w:rsidRDefault="006D64C2" w:rsidP="00DC37E3">
            <w:pPr>
              <w:pStyle w:val="Marginlie"/>
              <w:rPr>
                <w:spacing w:val="0"/>
              </w:rPr>
            </w:pPr>
          </w:p>
          <w:p w:rsidR="006D64C2" w:rsidRPr="00360DE3" w:rsidRDefault="006D64C2" w:rsidP="00DC37E3">
            <w:pPr>
              <w:pStyle w:val="Marginlie"/>
              <w:rPr>
                <w:spacing w:val="0"/>
              </w:rPr>
            </w:pPr>
          </w:p>
          <w:p w:rsidR="006D64C2" w:rsidRPr="00360DE3" w:rsidRDefault="006D64C2" w:rsidP="00DC37E3">
            <w:pPr>
              <w:pStyle w:val="Marginlie"/>
              <w:rPr>
                <w:spacing w:val="0"/>
              </w:rPr>
            </w:pPr>
          </w:p>
          <w:p w:rsidR="006D64C2" w:rsidRPr="00360DE3" w:rsidRDefault="006D64C2" w:rsidP="00DC37E3">
            <w:pPr>
              <w:pStyle w:val="Marginlie"/>
              <w:rPr>
                <w:spacing w:val="0"/>
              </w:rPr>
            </w:pPr>
          </w:p>
          <w:p w:rsidR="006D64C2" w:rsidRPr="00360DE3" w:rsidRDefault="006D64C2" w:rsidP="00DC37E3">
            <w:pPr>
              <w:pStyle w:val="Marginlie"/>
              <w:rPr>
                <w:spacing w:val="0"/>
              </w:rPr>
            </w:pPr>
          </w:p>
          <w:p w:rsidR="006D64C2" w:rsidRPr="00360DE3" w:rsidRDefault="006D64C2" w:rsidP="00DC37E3">
            <w:pPr>
              <w:pStyle w:val="Marginlie"/>
              <w:rPr>
                <w:spacing w:val="0"/>
              </w:rPr>
            </w:pPr>
            <w:r w:rsidRPr="00360DE3">
              <w:rPr>
                <w:spacing w:val="0"/>
              </w:rPr>
              <w:t>Podíl čistých příjmů ČR z cestovního ruchu vztažených k HDP v posledních třech letech stagnoval.</w:t>
            </w:r>
          </w:p>
        </w:tc>
        <w:tc>
          <w:tcPr>
            <w:tcW w:w="277" w:type="dxa"/>
          </w:tcPr>
          <w:p w:rsidR="006D64C2" w:rsidRPr="00360DE3" w:rsidRDefault="006D64C2" w:rsidP="00DC37E3">
            <w:pPr>
              <w:pStyle w:val="Textpoznpodarou"/>
              <w:jc w:val="both"/>
            </w:pPr>
          </w:p>
        </w:tc>
        <w:tc>
          <w:tcPr>
            <w:tcW w:w="7391" w:type="dxa"/>
          </w:tcPr>
          <w:p w:rsidR="006D64C2" w:rsidRDefault="006D64C2" w:rsidP="00DC37E3">
            <w:pPr>
              <w:rPr>
                <w:color w:val="000000"/>
              </w:rPr>
            </w:pPr>
            <w:r w:rsidRPr="00360DE3">
              <w:rPr>
                <w:color w:val="000000"/>
              </w:rPr>
              <w:t xml:space="preserve">Makroekonomický přínos cestovního ruchu je zachycen v satelitním účtu cestovního ruchu. Dle něj dosáhl v roce 2016 podíl cestovního ruchu na </w:t>
            </w:r>
            <w:r w:rsidR="00785232">
              <w:rPr>
                <w:color w:val="000000"/>
              </w:rPr>
              <w:t xml:space="preserve">tvorbě </w:t>
            </w:r>
            <w:r w:rsidRPr="00360DE3">
              <w:rPr>
                <w:color w:val="000000"/>
              </w:rPr>
              <w:t xml:space="preserve">HDP 2,9 % (jeho váha za poslední dekádu stagnovala). Působilo v něm </w:t>
            </w:r>
            <w:r w:rsidR="00785232">
              <w:rPr>
                <w:color w:val="000000"/>
              </w:rPr>
              <w:t>přes 230</w:t>
            </w:r>
            <w:r w:rsidR="00785232" w:rsidRPr="00360DE3">
              <w:rPr>
                <w:szCs w:val="20"/>
              </w:rPr>
              <w:t> </w:t>
            </w:r>
            <w:r w:rsidRPr="00360DE3">
              <w:rPr>
                <w:color w:val="000000"/>
              </w:rPr>
              <w:t>tis. lidí (po přepočtu na plné úvazky). Počet pracovníků po roce 2014 opět mírně rostl. Poskytoval obživu 3,7 % mužů, resp. 5,4 % žen zaměstnaných v celé ekonomice. Bezmála polovina všech pracovníků v cestovním ruchu působila v</w:t>
            </w:r>
            <w:r w:rsidR="00785232" w:rsidRPr="00360DE3">
              <w:rPr>
                <w:szCs w:val="20"/>
              </w:rPr>
              <w:t> </w:t>
            </w:r>
            <w:r w:rsidRPr="00360DE3">
              <w:rPr>
                <w:color w:val="000000"/>
              </w:rPr>
              <w:t>ubytovacích či restauračních zařízeních. Význam cestovního ruchu odráží i</w:t>
            </w:r>
            <w:r w:rsidR="00785232" w:rsidRPr="00360DE3">
              <w:rPr>
                <w:szCs w:val="20"/>
              </w:rPr>
              <w:t> </w:t>
            </w:r>
            <w:r w:rsidRPr="00360DE3">
              <w:rPr>
                <w:color w:val="000000"/>
              </w:rPr>
              <w:t>statistika platební bilance, která zahrnuje mj. i údaje o výdajích rezidentů ČR v</w:t>
            </w:r>
            <w:r w:rsidR="00785232" w:rsidRPr="00360DE3">
              <w:rPr>
                <w:szCs w:val="20"/>
              </w:rPr>
              <w:t> </w:t>
            </w:r>
            <w:r w:rsidRPr="00360DE3">
              <w:rPr>
                <w:color w:val="000000"/>
              </w:rPr>
              <w:t xml:space="preserve">zahraničí. </w:t>
            </w:r>
          </w:p>
          <w:p w:rsidR="00785232" w:rsidRDefault="006D64C2" w:rsidP="00DC37E3">
            <w:pPr>
              <w:rPr>
                <w:color w:val="000000"/>
              </w:rPr>
            </w:pPr>
            <w:r w:rsidRPr="00360DE3">
              <w:rPr>
                <w:color w:val="000000"/>
              </w:rPr>
              <w:t xml:space="preserve">V roce 2017 převýšily příjmy z cestovního ruchu inkasované od nerezidentů výdaje na cestovní ruch placené rezidenty ČR o 35 mld. korun. Ve vztahu k nominálnímu HDP šlo o 0,70 % (podobnou relaci dosahovalo Česko i v letech 2014 a 2015). Zhoršení negativní bilance se státy EU (o téměř 7 mld., na </w:t>
            </w:r>
            <w:r w:rsidR="00785232">
              <w:rPr>
                <w:color w:val="000000"/>
              </w:rPr>
              <w:t>17 mld. korun) bylo kompenzováno</w:t>
            </w:r>
            <w:r w:rsidRPr="00360DE3">
              <w:rPr>
                <w:color w:val="000000"/>
              </w:rPr>
              <w:t xml:space="preserve"> posílením kladné pozice s Ruskem (o více než 2 mld., na 14 mld.) a dále i s asijskými státy. ČR patřila k devatenácti státům Unie, jež vloni dosáhly aktivního salda cestovního ruchu. Významnou roli </w:t>
            </w:r>
            <w:r w:rsidR="00785232">
              <w:rPr>
                <w:color w:val="000000"/>
              </w:rPr>
              <w:t xml:space="preserve">s pozitivním vlivem na rozpočet </w:t>
            </w:r>
            <w:r w:rsidRPr="00360DE3">
              <w:rPr>
                <w:color w:val="000000"/>
              </w:rPr>
              <w:t>má toto odvětví také v některých evropských zemích mimo EU (zejména v balkánských státech).</w:t>
            </w:r>
          </w:p>
          <w:p w:rsidR="00785232" w:rsidRPr="00785232" w:rsidRDefault="00785232" w:rsidP="00785232">
            <w:pPr>
              <w:spacing w:after="0"/>
              <w:rPr>
                <w:color w:val="000000"/>
              </w:rPr>
            </w:pPr>
          </w:p>
        </w:tc>
      </w:tr>
      <w:tr w:rsidR="006D64C2" w:rsidRPr="00360DE3" w:rsidTr="00DC37E3">
        <w:trPr>
          <w:trHeight w:val="170"/>
        </w:trPr>
        <w:tc>
          <w:tcPr>
            <w:tcW w:w="1976" w:type="dxa"/>
          </w:tcPr>
          <w:p w:rsidR="006D64C2" w:rsidRPr="00360DE3" w:rsidRDefault="006D64C2" w:rsidP="00DC37E3">
            <w:pPr>
              <w:pStyle w:val="Marginlie"/>
              <w:rPr>
                <w:spacing w:val="0"/>
              </w:rPr>
            </w:pP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pPr>
              <w:spacing w:after="0"/>
              <w:rPr>
                <w:b/>
              </w:rPr>
            </w:pPr>
            <w:r w:rsidRPr="00360DE3">
              <w:rPr>
                <w:b/>
              </w:rPr>
              <w:t xml:space="preserve">Graf </w:t>
            </w:r>
            <w:proofErr w:type="gramStart"/>
            <w:r w:rsidRPr="00360DE3">
              <w:rPr>
                <w:b/>
              </w:rPr>
              <w:t>14.3  Saldo</w:t>
            </w:r>
            <w:proofErr w:type="gramEnd"/>
            <w:r w:rsidRPr="00360DE3">
              <w:rPr>
                <w:b/>
              </w:rPr>
              <w:t xml:space="preserve"> příjmů a výdajů z cestovního ruchu k HDP </w:t>
            </w:r>
            <w:r w:rsidRPr="00360DE3">
              <w:t>(rok 2017, v %)</w:t>
            </w:r>
            <w:r w:rsidRPr="00360DE3">
              <w:rPr>
                <w:b/>
              </w:rPr>
              <w:t xml:space="preserve"> </w:t>
            </w:r>
          </w:p>
          <w:p w:rsidR="006D64C2" w:rsidRPr="00360DE3" w:rsidRDefault="006D64C2" w:rsidP="00DC37E3">
            <w:pPr>
              <w:spacing w:after="0"/>
            </w:pPr>
            <w:r w:rsidRPr="00360DE3">
              <w:rPr>
                <w:b/>
              </w:rPr>
              <w:t>a poměr příjmů z cestovního ruchu na HDP ve vybraných evropských státech</w:t>
            </w:r>
            <w:r w:rsidRPr="00360DE3">
              <w:t xml:space="preserve"> (změna mezi roky 2017 a 2013 v </w:t>
            </w:r>
            <w:proofErr w:type="spellStart"/>
            <w:proofErr w:type="gramStart"/>
            <w:r w:rsidRPr="00360DE3">
              <w:t>p.b</w:t>
            </w:r>
            <w:proofErr w:type="spellEnd"/>
            <w:r w:rsidRPr="00360DE3">
              <w:t>.)</w:t>
            </w:r>
            <w:proofErr w:type="gramEnd"/>
          </w:p>
          <w:p w:rsidR="006D64C2" w:rsidRPr="00360DE3" w:rsidRDefault="006D64C2" w:rsidP="00DC37E3">
            <w:pPr>
              <w:spacing w:after="0"/>
              <w:rPr>
                <w:sz w:val="16"/>
                <w:szCs w:val="16"/>
              </w:rPr>
            </w:pPr>
            <w:r w:rsidRPr="00360DE3">
              <w:rPr>
                <w:noProof/>
                <w:sz w:val="16"/>
                <w:szCs w:val="16"/>
              </w:rPr>
              <w:drawing>
                <wp:inline distT="0" distB="0" distL="0" distR="0">
                  <wp:extent cx="4675324" cy="3236026"/>
                  <wp:effectExtent l="19050" t="0" r="0" b="0"/>
                  <wp:docPr id="62"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r w:rsidR="006D64C2" w:rsidRPr="00360DE3" w:rsidTr="00DC37E3">
        <w:trPr>
          <w:trHeight w:val="170"/>
        </w:trPr>
        <w:tc>
          <w:tcPr>
            <w:tcW w:w="1976" w:type="dxa"/>
          </w:tcPr>
          <w:p w:rsidR="006D64C2" w:rsidRPr="00360DE3" w:rsidRDefault="006D64C2" w:rsidP="00DC37E3">
            <w:pPr>
              <w:pStyle w:val="Marginlie"/>
              <w:rPr>
                <w:spacing w:val="0"/>
              </w:rPr>
            </w:pPr>
          </w:p>
        </w:tc>
        <w:tc>
          <w:tcPr>
            <w:tcW w:w="277" w:type="dxa"/>
          </w:tcPr>
          <w:p w:rsidR="006D64C2" w:rsidRPr="00360DE3" w:rsidRDefault="006D64C2" w:rsidP="00DC37E3">
            <w:pPr>
              <w:pStyle w:val="Textpoznpodarou"/>
              <w:jc w:val="both"/>
            </w:pPr>
          </w:p>
        </w:tc>
        <w:tc>
          <w:tcPr>
            <w:tcW w:w="7391" w:type="dxa"/>
          </w:tcPr>
          <w:p w:rsidR="006D64C2" w:rsidRPr="00360DE3" w:rsidRDefault="006D64C2" w:rsidP="00DC37E3">
            <w:pPr>
              <w:spacing w:after="0" w:line="240" w:lineRule="auto"/>
              <w:rPr>
                <w:sz w:val="16"/>
                <w:szCs w:val="16"/>
              </w:rPr>
            </w:pPr>
            <w:r w:rsidRPr="00360DE3">
              <w:rPr>
                <w:sz w:val="16"/>
                <w:szCs w:val="16"/>
              </w:rPr>
              <w:t xml:space="preserve">Pozn.: U salda z cestovního ruchu jsou za Irsko, Nizozemsko, Černou Horu, Kosovo, Bosnu a Hercegovinu a Turecko uvedeny nejaktuálnější údaje za rok 2016. U vývoje příjmů z cestovního ruchu se údaje za Irsko, Černou Horu a Turecko vztahují k období 2013-2016, u Švýcarska za 2014-2017. Za Nizozemsko, Kosovo, Bosnu a Hercegovinu nebyly údaje v reprezentativní časové řadě k dispozici.                  Zdroj: </w:t>
            </w:r>
            <w:proofErr w:type="spellStart"/>
            <w:r w:rsidRPr="00360DE3">
              <w:rPr>
                <w:sz w:val="16"/>
                <w:szCs w:val="16"/>
              </w:rPr>
              <w:t>Eurostat</w:t>
            </w:r>
            <w:proofErr w:type="spellEnd"/>
          </w:p>
          <w:p w:rsidR="006D64C2" w:rsidRPr="00360DE3" w:rsidRDefault="006D64C2" w:rsidP="00DC37E3">
            <w:pPr>
              <w:spacing w:after="0" w:line="240" w:lineRule="auto"/>
              <w:rPr>
                <w:sz w:val="16"/>
                <w:szCs w:val="16"/>
              </w:rPr>
            </w:pPr>
          </w:p>
        </w:tc>
      </w:tr>
    </w:tbl>
    <w:p w:rsidR="009540B7" w:rsidRPr="00360DE3" w:rsidRDefault="009540B7" w:rsidP="009540B7">
      <w:pPr>
        <w:spacing w:after="0"/>
        <w:rPr>
          <w:sz w:val="2"/>
          <w:szCs w:val="2"/>
        </w:rPr>
      </w:pPr>
    </w:p>
    <w:p w:rsidR="00C466D2" w:rsidRPr="00360DE3" w:rsidRDefault="00E212C9" w:rsidP="00141782">
      <w:pPr>
        <w:pStyle w:val="Nadpis1"/>
        <w:rPr>
          <w:lang w:eastAsia="en-US"/>
        </w:rPr>
      </w:pPr>
      <w:bookmarkStart w:id="32" w:name="_Toc527639487"/>
      <w:r w:rsidRPr="00360DE3">
        <w:rPr>
          <w:lang w:eastAsia="en-US"/>
        </w:rPr>
        <w:t>15</w:t>
      </w:r>
      <w:r w:rsidR="00141782" w:rsidRPr="00360DE3">
        <w:rPr>
          <w:lang w:eastAsia="en-US"/>
        </w:rPr>
        <w:t>. Informační a komunikační činnosti</w:t>
      </w:r>
      <w:bookmarkEnd w:id="32"/>
    </w:p>
    <w:tbl>
      <w:tblPr>
        <w:tblW w:w="9644" w:type="dxa"/>
        <w:tblInd w:w="-15" w:type="dxa"/>
        <w:tblLayout w:type="fixed"/>
        <w:tblCellMar>
          <w:left w:w="0" w:type="dxa"/>
          <w:right w:w="0" w:type="dxa"/>
        </w:tblCellMar>
        <w:tblLook w:val="00A0"/>
      </w:tblPr>
      <w:tblGrid>
        <w:gridCol w:w="1976"/>
        <w:gridCol w:w="277"/>
        <w:gridCol w:w="7391"/>
      </w:tblGrid>
      <w:tr w:rsidR="009540B7" w:rsidRPr="00360DE3" w:rsidTr="007C13A4">
        <w:trPr>
          <w:trHeight w:val="145"/>
        </w:trPr>
        <w:tc>
          <w:tcPr>
            <w:tcW w:w="1976" w:type="dxa"/>
          </w:tcPr>
          <w:p w:rsidR="009540B7" w:rsidRPr="00360DE3" w:rsidRDefault="009540B7" w:rsidP="00DC37E3">
            <w:pPr>
              <w:pStyle w:val="Marginlie"/>
              <w:rPr>
                <w:spacing w:val="0"/>
              </w:rPr>
            </w:pPr>
            <w:r w:rsidRPr="00360DE3">
              <w:rPr>
                <w:spacing w:val="0"/>
              </w:rPr>
              <w:t>Hrubá přidaná hodnota rostla v informačních a komunikačních činnostech vyšším tempem než v celé ekonomice již pátým rokem v řadě.</w:t>
            </w:r>
          </w:p>
          <w:p w:rsidR="009540B7" w:rsidRPr="00360DE3" w:rsidRDefault="009540B7" w:rsidP="00DC37E3">
            <w:pPr>
              <w:pStyle w:val="Marginlie"/>
              <w:rPr>
                <w:spacing w:val="0"/>
              </w:rPr>
            </w:pPr>
          </w:p>
          <w:p w:rsidR="009540B7" w:rsidRPr="00360DE3" w:rsidRDefault="009540B7" w:rsidP="00DC37E3">
            <w:pPr>
              <w:pStyle w:val="Marginlie"/>
              <w:rPr>
                <w:spacing w:val="0"/>
              </w:rPr>
            </w:pPr>
          </w:p>
          <w:p w:rsidR="009540B7" w:rsidRPr="00360DE3" w:rsidRDefault="009540B7" w:rsidP="00DC37E3">
            <w:pPr>
              <w:pStyle w:val="Marginlie"/>
              <w:rPr>
                <w:spacing w:val="0"/>
              </w:rPr>
            </w:pPr>
          </w:p>
          <w:p w:rsidR="009540B7" w:rsidRPr="00360DE3" w:rsidRDefault="009540B7" w:rsidP="00DC37E3">
            <w:pPr>
              <w:pStyle w:val="Marginlie"/>
              <w:rPr>
                <w:spacing w:val="0"/>
              </w:rPr>
            </w:pPr>
          </w:p>
          <w:p w:rsidR="00C21405" w:rsidRPr="00360DE3" w:rsidRDefault="00C21405" w:rsidP="00DC37E3">
            <w:pPr>
              <w:pStyle w:val="Marginlie"/>
              <w:rPr>
                <w:spacing w:val="0"/>
              </w:rPr>
            </w:pPr>
          </w:p>
          <w:p w:rsidR="009540B7" w:rsidRPr="00360DE3" w:rsidRDefault="009540B7" w:rsidP="00DC37E3">
            <w:pPr>
              <w:pStyle w:val="Marginlie"/>
              <w:rPr>
                <w:spacing w:val="0"/>
              </w:rPr>
            </w:pPr>
          </w:p>
          <w:p w:rsidR="009540B7" w:rsidRPr="00360DE3" w:rsidRDefault="009540B7" w:rsidP="00DC37E3">
            <w:pPr>
              <w:pStyle w:val="Marginlie"/>
              <w:rPr>
                <w:spacing w:val="0"/>
              </w:rPr>
            </w:pPr>
            <w:r w:rsidRPr="00360DE3">
              <w:rPr>
                <w:spacing w:val="0"/>
              </w:rPr>
              <w:t>I přes sílící mzdové náklady zůstává míra zisku podniků v tomto odvětví výrazně nadprůměrná, a to i v evropském srovnání.</w:t>
            </w:r>
          </w:p>
        </w:tc>
        <w:tc>
          <w:tcPr>
            <w:tcW w:w="277" w:type="dxa"/>
          </w:tcPr>
          <w:p w:rsidR="009540B7" w:rsidRPr="00360DE3" w:rsidRDefault="009540B7" w:rsidP="00DC37E3">
            <w:pPr>
              <w:pStyle w:val="Textpoznpodarou"/>
              <w:jc w:val="both"/>
            </w:pPr>
          </w:p>
        </w:tc>
        <w:tc>
          <w:tcPr>
            <w:tcW w:w="7391" w:type="dxa"/>
          </w:tcPr>
          <w:p w:rsidR="009540B7" w:rsidRPr="00360DE3" w:rsidRDefault="009540B7" w:rsidP="00DC37E3">
            <w:pPr>
              <w:rPr>
                <w:szCs w:val="20"/>
              </w:rPr>
            </w:pPr>
            <w:r w:rsidRPr="00360DE3">
              <w:t>Informační a komunikační činnosti</w:t>
            </w:r>
            <w:r w:rsidRPr="00360DE3">
              <w:rPr>
                <w:rStyle w:val="Znakapoznpodarou"/>
              </w:rPr>
              <w:footnoteReference w:id="111"/>
            </w:r>
            <w:r w:rsidRPr="00360DE3">
              <w:t xml:space="preserve"> představují dynamický segment služeb. Na rozdíl od většiny ostatních odvětví nezaznamenaly v posledních dvou obdobích recese výraznější útlum. Hrubá přidaná hodnota (HPH) v tomto odvětví vloni zrychlila svůj meziroční růst na 5,7 %. Zároveň zaznamenala vyšší tempo než v celé ekonomice (i službách jako celku) již pátým</w:t>
            </w:r>
            <w:r w:rsidR="00274037">
              <w:t xml:space="preserve"> rokem v řadě. To se odrazilo i</w:t>
            </w:r>
            <w:r w:rsidR="00274037" w:rsidRPr="00360DE3">
              <w:t> </w:t>
            </w:r>
            <w:r w:rsidRPr="00360DE3">
              <w:t>v míře zisku nefinančních podniků v informačních a komunikačních činnostech</w:t>
            </w:r>
            <w:r w:rsidRPr="00360DE3">
              <w:rPr>
                <w:rStyle w:val="Znakapoznpodarou"/>
              </w:rPr>
              <w:footnoteReference w:id="112"/>
            </w:r>
            <w:r w:rsidRPr="00360DE3">
              <w:t>. Ta loni činila 56</w:t>
            </w:r>
            <w:r w:rsidRPr="00360DE3">
              <w:rPr>
                <w:szCs w:val="20"/>
              </w:rPr>
              <w:t> </w:t>
            </w:r>
            <w:r w:rsidRPr="00360DE3">
              <w:t>% a patřila mezi odvětvími služeb k nejvyšším</w:t>
            </w:r>
            <w:r w:rsidRPr="00360DE3">
              <w:rPr>
                <w:rStyle w:val="Znakapoznpodarou"/>
              </w:rPr>
              <w:footnoteReference w:id="113"/>
            </w:r>
            <w:r w:rsidRPr="00360DE3">
              <w:t>. V posledníc</w:t>
            </w:r>
            <w:r w:rsidR="00775F45">
              <w:t>h deseti letech ale nelze přehlé</w:t>
            </w:r>
            <w:r w:rsidRPr="00360DE3">
              <w:t>dnout trend mírného snižování ziskovosti, její loňská hodnota tak byla zároveň minimem ve sledované řadě. V evropském srovnání však zůstává ziskovost odvětví výrazně nadprůměrná</w:t>
            </w:r>
            <w:r w:rsidR="007C13A4" w:rsidRPr="00360DE3">
              <w:t>.</w:t>
            </w:r>
            <w:r w:rsidRPr="00360DE3">
              <w:rPr>
                <w:szCs w:val="20"/>
              </w:rPr>
              <w:t xml:space="preserve"> Ovlivňují ji sílící mzdové náklady, které v tomto odvětví v letech v 2016 i 2017 rostly v Česku o více než 8 %. K jejich navyšování přispíval – více než v jiných odvětvích – dynamický růst zaměstnanosti. Oproti roku 2008 zde pracovalo o 13,6 % lidí více (po přepočtu na plné úvazky), zatímco ve službách jako celku o 4,7 % a v cel</w:t>
            </w:r>
            <w:r w:rsidR="00775F45">
              <w:rPr>
                <w:szCs w:val="20"/>
              </w:rPr>
              <w:t>é ekonomice dokonce pouze o</w:t>
            </w:r>
            <w:r w:rsidR="00775F45" w:rsidRPr="00360DE3">
              <w:rPr>
                <w:szCs w:val="20"/>
              </w:rPr>
              <w:t> </w:t>
            </w:r>
            <w:r w:rsidR="00775F45">
              <w:rPr>
                <w:szCs w:val="20"/>
              </w:rPr>
              <w:t>1,7</w:t>
            </w:r>
            <w:r w:rsidR="00775F45" w:rsidRPr="00360DE3">
              <w:rPr>
                <w:szCs w:val="20"/>
              </w:rPr>
              <w:t> </w:t>
            </w:r>
            <w:r w:rsidRPr="00360DE3">
              <w:rPr>
                <w:szCs w:val="20"/>
              </w:rPr>
              <w:t>%. Vyšší kvalifikační nároky míst</w:t>
            </w:r>
            <w:r w:rsidRPr="00360DE3">
              <w:rPr>
                <w:rStyle w:val="Znakapoznpodarou"/>
                <w:szCs w:val="20"/>
              </w:rPr>
              <w:footnoteReference w:id="114"/>
            </w:r>
            <w:r w:rsidRPr="00360DE3">
              <w:rPr>
                <w:szCs w:val="20"/>
              </w:rPr>
              <w:t xml:space="preserve"> společně s dlouhodobě neuspokojenou poptávkou po pracovnících (např. v oblasti programování) vedou k tomu, že </w:t>
            </w:r>
            <w:r w:rsidRPr="00360DE3">
              <w:rPr>
                <w:szCs w:val="20"/>
              </w:rPr>
              <w:lastRenderedPageBreak/>
              <w:t xml:space="preserve">průměrná mzda patří v tomto odvětví (spolu s finančnictvím) dlouhodobě k nejvyšším. Vloni přesahovala 51 tis. korun měsíčně. </w:t>
            </w:r>
          </w:p>
        </w:tc>
      </w:tr>
      <w:tr w:rsidR="009540B7" w:rsidRPr="00360DE3" w:rsidTr="007C13A4">
        <w:tc>
          <w:tcPr>
            <w:tcW w:w="1976" w:type="dxa"/>
            <w:vMerge w:val="restart"/>
          </w:tcPr>
          <w:p w:rsidR="009540B7" w:rsidRPr="00360DE3" w:rsidRDefault="009540B7" w:rsidP="00DC37E3">
            <w:pPr>
              <w:pStyle w:val="Marginlie"/>
              <w:rPr>
                <w:spacing w:val="0"/>
              </w:rPr>
            </w:pPr>
          </w:p>
        </w:tc>
        <w:tc>
          <w:tcPr>
            <w:tcW w:w="277" w:type="dxa"/>
            <w:vMerge w:val="restart"/>
          </w:tcPr>
          <w:p w:rsidR="009540B7" w:rsidRPr="00360DE3" w:rsidRDefault="009540B7" w:rsidP="00DC37E3">
            <w:pPr>
              <w:pStyle w:val="Textpoznpodarou"/>
              <w:jc w:val="both"/>
            </w:pPr>
          </w:p>
        </w:tc>
        <w:tc>
          <w:tcPr>
            <w:tcW w:w="7391" w:type="dxa"/>
          </w:tcPr>
          <w:p w:rsidR="009540B7" w:rsidRPr="00360DE3" w:rsidRDefault="009540B7" w:rsidP="00DC37E3">
            <w:pPr>
              <w:spacing w:after="0"/>
              <w:rPr>
                <w:b/>
              </w:rPr>
            </w:pPr>
            <w:r w:rsidRPr="00360DE3">
              <w:rPr>
                <w:b/>
              </w:rPr>
              <w:t xml:space="preserve">Graf </w:t>
            </w:r>
            <w:proofErr w:type="gramStart"/>
            <w:r w:rsidRPr="00360DE3">
              <w:rPr>
                <w:b/>
              </w:rPr>
              <w:t xml:space="preserve">15.1  </w:t>
            </w:r>
            <w:r w:rsidRPr="00360DE3">
              <w:rPr>
                <w:b/>
                <w:bCs/>
              </w:rPr>
              <w:t>Základní</w:t>
            </w:r>
            <w:proofErr w:type="gramEnd"/>
            <w:r w:rsidRPr="00360DE3">
              <w:rPr>
                <w:b/>
                <w:bCs/>
              </w:rPr>
              <w:t xml:space="preserve"> ukazatele odvětví informační a komunikační činnosti </w:t>
            </w:r>
            <w:r w:rsidRPr="00360DE3">
              <w:rPr>
                <w:b/>
              </w:rPr>
              <w:t>v ČR</w:t>
            </w:r>
          </w:p>
          <w:p w:rsidR="009540B7" w:rsidRPr="00360DE3" w:rsidRDefault="009540B7" w:rsidP="00DC37E3">
            <w:pPr>
              <w:spacing w:after="0"/>
              <w:rPr>
                <w:b/>
              </w:rPr>
            </w:pPr>
            <w:r w:rsidRPr="00360DE3">
              <w:rPr>
                <w:b/>
                <w:noProof/>
              </w:rPr>
              <w:drawing>
                <wp:inline distT="0" distB="0" distL="0" distR="0">
                  <wp:extent cx="4653890" cy="3645724"/>
                  <wp:effectExtent l="19050" t="0" r="0" b="0"/>
                  <wp:docPr id="98"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r>
      <w:tr w:rsidR="009540B7" w:rsidRPr="00360DE3" w:rsidTr="007C13A4">
        <w:trPr>
          <w:trHeight w:val="284"/>
        </w:trPr>
        <w:tc>
          <w:tcPr>
            <w:tcW w:w="1976" w:type="dxa"/>
            <w:vMerge/>
          </w:tcPr>
          <w:p w:rsidR="009540B7" w:rsidRPr="00360DE3" w:rsidRDefault="009540B7" w:rsidP="00DC37E3">
            <w:pPr>
              <w:pStyle w:val="Marginlie"/>
              <w:rPr>
                <w:spacing w:val="0"/>
              </w:rPr>
            </w:pPr>
          </w:p>
        </w:tc>
        <w:tc>
          <w:tcPr>
            <w:tcW w:w="277" w:type="dxa"/>
            <w:vMerge/>
          </w:tcPr>
          <w:p w:rsidR="009540B7" w:rsidRPr="00360DE3" w:rsidRDefault="009540B7" w:rsidP="00DC37E3">
            <w:pPr>
              <w:pStyle w:val="Textpoznpodarou"/>
              <w:jc w:val="both"/>
            </w:pPr>
          </w:p>
        </w:tc>
        <w:tc>
          <w:tcPr>
            <w:tcW w:w="7391" w:type="dxa"/>
          </w:tcPr>
          <w:p w:rsidR="009540B7" w:rsidRPr="00360DE3" w:rsidRDefault="009540B7" w:rsidP="00DC37E3">
            <w:pPr>
              <w:pStyle w:val="Zhlav"/>
              <w:spacing w:before="40" w:line="240" w:lineRule="auto"/>
              <w:rPr>
                <w:rFonts w:cs="Arial"/>
                <w:sz w:val="14"/>
                <w:szCs w:val="14"/>
                <w:lang w:eastAsia="cs-CZ"/>
              </w:rPr>
            </w:pPr>
            <w:r w:rsidRPr="00360DE3">
              <w:rPr>
                <w:rFonts w:cs="Arial"/>
                <w:sz w:val="14"/>
                <w:szCs w:val="14"/>
                <w:lang w:eastAsia="cs-CZ"/>
              </w:rPr>
              <w:t xml:space="preserve">*Do reálného vyjádření převedeno deflátorem výdajů na konečnou spotřebu domácností.      </w:t>
            </w:r>
          </w:p>
          <w:p w:rsidR="009540B7" w:rsidRPr="00360DE3" w:rsidRDefault="009540B7" w:rsidP="00775F45">
            <w:pPr>
              <w:pStyle w:val="Zhlav"/>
              <w:spacing w:before="40" w:after="240" w:line="240" w:lineRule="auto"/>
              <w:rPr>
                <w:rFonts w:cs="Arial"/>
                <w:sz w:val="14"/>
                <w:szCs w:val="14"/>
                <w:lang w:eastAsia="cs-CZ"/>
              </w:rPr>
            </w:pPr>
            <w:r w:rsidRPr="00360DE3">
              <w:rPr>
                <w:rFonts w:cs="Arial"/>
                <w:sz w:val="14"/>
                <w:szCs w:val="14"/>
                <w:lang w:eastAsia="cs-CZ"/>
              </w:rPr>
              <w:t xml:space="preserve">Zdroj: ČSÚ (národní účty) </w:t>
            </w:r>
          </w:p>
        </w:tc>
      </w:tr>
      <w:tr w:rsidR="009540B7" w:rsidRPr="00360DE3" w:rsidTr="007C13A4">
        <w:trPr>
          <w:trHeight w:val="170"/>
        </w:trPr>
        <w:tc>
          <w:tcPr>
            <w:tcW w:w="1976" w:type="dxa"/>
          </w:tcPr>
          <w:p w:rsidR="009540B7" w:rsidRPr="00360DE3" w:rsidRDefault="009540B7" w:rsidP="00DC37E3">
            <w:pPr>
              <w:pStyle w:val="Marginlie"/>
              <w:rPr>
                <w:spacing w:val="0"/>
              </w:rPr>
            </w:pPr>
            <w:r w:rsidRPr="00360DE3">
              <w:rPr>
                <w:spacing w:val="0"/>
              </w:rPr>
              <w:t>Hodinová produktivita práce v odvětví převyšovala úrovně celé ekonomiky téměř dvojnásobně.</w:t>
            </w:r>
          </w:p>
        </w:tc>
        <w:tc>
          <w:tcPr>
            <w:tcW w:w="277" w:type="dxa"/>
          </w:tcPr>
          <w:p w:rsidR="009540B7" w:rsidRPr="00360DE3" w:rsidRDefault="009540B7" w:rsidP="00DC37E3">
            <w:pPr>
              <w:pStyle w:val="Textpoznpodarou"/>
              <w:jc w:val="both"/>
            </w:pPr>
          </w:p>
        </w:tc>
        <w:tc>
          <w:tcPr>
            <w:tcW w:w="7391" w:type="dxa"/>
          </w:tcPr>
          <w:p w:rsidR="009540B7" w:rsidRPr="00360DE3" w:rsidRDefault="007C13A4" w:rsidP="007C13A4">
            <w:pPr>
              <w:spacing w:after="220"/>
              <w:rPr>
                <w:szCs w:val="20"/>
              </w:rPr>
            </w:pPr>
            <w:r w:rsidRPr="00360DE3">
              <w:rPr>
                <w:szCs w:val="20"/>
              </w:rPr>
              <w:t>V rámci odvětví existovaly výrazné rozdíly, nejvyšší hrubou měsíční mzdu pobí</w:t>
            </w:r>
            <w:r w:rsidR="00775F45">
              <w:rPr>
                <w:szCs w:val="20"/>
              </w:rPr>
              <w:t xml:space="preserve">rali zaměstnanci v segmentech s </w:t>
            </w:r>
            <w:r w:rsidRPr="00360DE3">
              <w:rPr>
                <w:szCs w:val="20"/>
              </w:rPr>
              <w:t>vysokým podílem podniků pod zahraniční kontrolou</w:t>
            </w:r>
            <w:r w:rsidRPr="00360DE3">
              <w:rPr>
                <w:rStyle w:val="Znakapoznpodarou"/>
                <w:szCs w:val="20"/>
              </w:rPr>
              <w:footnoteReference w:id="115"/>
            </w:r>
            <w:r w:rsidRPr="00360DE3">
              <w:rPr>
                <w:szCs w:val="20"/>
              </w:rPr>
              <w:t xml:space="preserve">. </w:t>
            </w:r>
            <w:r w:rsidR="009540B7" w:rsidRPr="00360DE3">
              <w:rPr>
                <w:szCs w:val="20"/>
              </w:rPr>
              <w:t>Úroveň výdělků v informačních a komunikačních činnostech souvisí také s vysokou hodinovou produktivitou práce v tomto odvětví (ta byla vloni ve srovnání s národním hospodářstvím téměř dvojnásobná). Nadprůměrnou produktivitu si v rámci tohoto odvětví udržovaly všechny oddíly, vč. těch, kde nepřevládaly podniky pod zahraniční kontrolou. Silný růst reálné hodinové produktivity práce v celém odvětví se po roce 2015 zastavil. I tak loni převyšoval úroveň roku 2010 o 21 %, dvakrát více než v celé ekonomice.</w:t>
            </w:r>
          </w:p>
        </w:tc>
      </w:tr>
      <w:tr w:rsidR="009540B7" w:rsidRPr="00360DE3" w:rsidTr="007C13A4">
        <w:trPr>
          <w:trHeight w:val="136"/>
        </w:trPr>
        <w:tc>
          <w:tcPr>
            <w:tcW w:w="1976" w:type="dxa"/>
          </w:tcPr>
          <w:p w:rsidR="009540B7" w:rsidRPr="00360DE3" w:rsidRDefault="009540B7" w:rsidP="00DC37E3">
            <w:pPr>
              <w:pStyle w:val="Marginlie"/>
              <w:rPr>
                <w:spacing w:val="0"/>
              </w:rPr>
            </w:pPr>
            <w:r w:rsidRPr="00360DE3">
              <w:rPr>
                <w:spacing w:val="0"/>
              </w:rPr>
              <w:t xml:space="preserve">Na investice směřovalo v relaci k HPH nejvíce ve filmovém a hudebním průmyslu, nejméně ve vydavatelských činnostech. </w:t>
            </w:r>
          </w:p>
        </w:tc>
        <w:tc>
          <w:tcPr>
            <w:tcW w:w="277" w:type="dxa"/>
          </w:tcPr>
          <w:p w:rsidR="009540B7" w:rsidRPr="00360DE3" w:rsidRDefault="009540B7" w:rsidP="00DC37E3">
            <w:pPr>
              <w:pStyle w:val="Textpoznpodarou"/>
              <w:jc w:val="both"/>
            </w:pPr>
          </w:p>
        </w:tc>
        <w:tc>
          <w:tcPr>
            <w:tcW w:w="7391" w:type="dxa"/>
          </w:tcPr>
          <w:p w:rsidR="009540B7" w:rsidRPr="00360DE3" w:rsidRDefault="009540B7" w:rsidP="00DC37E3">
            <w:pPr>
              <w:spacing w:after="220"/>
              <w:rPr>
                <w:szCs w:val="20"/>
              </w:rPr>
            </w:pPr>
            <w:r w:rsidRPr="00360DE3">
              <w:rPr>
                <w:szCs w:val="20"/>
              </w:rPr>
              <w:t>Přestože se míra investic v informačních a komunikačních činnostech v letech 2016 i 2017 mírně snížila, stále svou úrovní (32 %) převyšovala jak celou ekonomiku, tak i drtivou většinu odvětví služeb</w:t>
            </w:r>
            <w:r w:rsidRPr="00360DE3">
              <w:rPr>
                <w:rStyle w:val="Znakapoznpodarou"/>
                <w:szCs w:val="20"/>
              </w:rPr>
              <w:footnoteReference w:id="116"/>
            </w:r>
            <w:r w:rsidRPr="00360DE3">
              <w:rPr>
                <w:szCs w:val="20"/>
              </w:rPr>
              <w:t>. In</w:t>
            </w:r>
            <w:r w:rsidR="00775F45">
              <w:rPr>
                <w:szCs w:val="20"/>
              </w:rPr>
              <w:t>vestiční aktivita byla vysoká i</w:t>
            </w:r>
            <w:r w:rsidR="00775F45" w:rsidRPr="00360DE3">
              <w:rPr>
                <w:szCs w:val="20"/>
              </w:rPr>
              <w:t> </w:t>
            </w:r>
            <w:r w:rsidR="00775F45">
              <w:rPr>
                <w:szCs w:val="20"/>
              </w:rPr>
              <w:t>v</w:t>
            </w:r>
            <w:r w:rsidR="00775F45" w:rsidRPr="00360DE3">
              <w:rPr>
                <w:szCs w:val="20"/>
              </w:rPr>
              <w:t>  </w:t>
            </w:r>
            <w:r w:rsidRPr="00360DE3">
              <w:rPr>
                <w:szCs w:val="20"/>
              </w:rPr>
              <w:t>evropském kontextu</w:t>
            </w:r>
            <w:r w:rsidRPr="00360DE3">
              <w:rPr>
                <w:rStyle w:val="Znakapoznpodarou"/>
                <w:szCs w:val="20"/>
              </w:rPr>
              <w:footnoteReference w:id="117"/>
            </w:r>
            <w:r w:rsidRPr="00360DE3">
              <w:rPr>
                <w:szCs w:val="20"/>
              </w:rPr>
              <w:t xml:space="preserve">. V rámci sledovaného odvětví věnoval na tvorbu fixního kapitálu v relaci k HPH nejvíce filmový a hudební průmysl (loni 55 %). Na opačné straně spektra pak tradičně figurovaly vydavatelské činnosti (16 %). Ve skladbě investic v odvětví informační a komunikační činnosti dominovaly produkty duševního vlastnictví (67 %), kde šlo hlavně o počítačové programové vybavení a databáze, ale také o originální umělecká díla (filmy, zvukové nahrávky) a z menší </w:t>
            </w:r>
            <w:r w:rsidRPr="00360DE3">
              <w:rPr>
                <w:szCs w:val="20"/>
              </w:rPr>
              <w:lastRenderedPageBreak/>
              <w:t>části i o výzkum a vývoj</w:t>
            </w:r>
            <w:r w:rsidRPr="00360DE3">
              <w:rPr>
                <w:rStyle w:val="Znakapoznpodarou"/>
                <w:szCs w:val="20"/>
              </w:rPr>
              <w:footnoteReference w:id="118"/>
            </w:r>
            <w:r w:rsidRPr="00360DE3">
              <w:rPr>
                <w:szCs w:val="20"/>
              </w:rPr>
              <w:t>. Odvětví informačních a komunikačních činností loni realizovalo čtvrtinu ze všech investic do duševního vlastnictví v celé ekonomice (200 mld. korun).</w:t>
            </w:r>
          </w:p>
        </w:tc>
      </w:tr>
      <w:tr w:rsidR="009540B7" w:rsidRPr="00360DE3" w:rsidTr="007C13A4">
        <w:tc>
          <w:tcPr>
            <w:tcW w:w="1976" w:type="dxa"/>
            <w:vMerge w:val="restart"/>
          </w:tcPr>
          <w:p w:rsidR="009540B7" w:rsidRPr="00360DE3" w:rsidRDefault="009540B7" w:rsidP="00DC37E3">
            <w:pPr>
              <w:pStyle w:val="Marginlie"/>
              <w:rPr>
                <w:spacing w:val="0"/>
              </w:rPr>
            </w:pPr>
          </w:p>
        </w:tc>
        <w:tc>
          <w:tcPr>
            <w:tcW w:w="277" w:type="dxa"/>
            <w:vMerge w:val="restart"/>
          </w:tcPr>
          <w:p w:rsidR="009540B7" w:rsidRPr="00360DE3" w:rsidRDefault="009540B7" w:rsidP="00DC37E3">
            <w:pPr>
              <w:pStyle w:val="Textpoznpodarou"/>
              <w:jc w:val="both"/>
            </w:pPr>
          </w:p>
        </w:tc>
        <w:tc>
          <w:tcPr>
            <w:tcW w:w="7391" w:type="dxa"/>
          </w:tcPr>
          <w:p w:rsidR="009540B7" w:rsidRPr="00360DE3" w:rsidRDefault="009540B7" w:rsidP="00DC37E3">
            <w:pPr>
              <w:spacing w:after="0"/>
              <w:jc w:val="left"/>
              <w:rPr>
                <w:b/>
              </w:rPr>
            </w:pPr>
            <w:r w:rsidRPr="00360DE3">
              <w:rPr>
                <w:b/>
              </w:rPr>
              <w:t xml:space="preserve">Graf </w:t>
            </w:r>
            <w:proofErr w:type="gramStart"/>
            <w:r w:rsidRPr="00360DE3">
              <w:rPr>
                <w:b/>
              </w:rPr>
              <w:t>15.2  Příspěvky</w:t>
            </w:r>
            <w:proofErr w:type="gramEnd"/>
            <w:r w:rsidRPr="00360DE3">
              <w:rPr>
                <w:b/>
              </w:rPr>
              <w:t xml:space="preserve"> odvětvových oddílů k meziroční změně HPH v uskupení </w:t>
            </w:r>
            <w:r w:rsidRPr="00360DE3">
              <w:rPr>
                <w:b/>
                <w:bCs/>
              </w:rPr>
              <w:t>informační a komunikační činnosti</w:t>
            </w:r>
            <w:r w:rsidRPr="00360DE3">
              <w:t xml:space="preserve"> </w:t>
            </w:r>
            <w:r w:rsidRPr="00360DE3">
              <w:rPr>
                <w:b/>
              </w:rPr>
              <w:t>v</w:t>
            </w:r>
            <w:r w:rsidR="00775F45">
              <w:rPr>
                <w:b/>
              </w:rPr>
              <w:t> </w:t>
            </w:r>
            <w:r w:rsidRPr="00360DE3">
              <w:rPr>
                <w:b/>
              </w:rPr>
              <w:t>ČR</w:t>
            </w:r>
            <w:r w:rsidR="00775F45">
              <w:rPr>
                <w:b/>
              </w:rPr>
              <w:t xml:space="preserve"> </w:t>
            </w:r>
            <w:r w:rsidRPr="00360DE3">
              <w:t>(reálně, v procentních bodech)</w:t>
            </w:r>
          </w:p>
          <w:p w:rsidR="009540B7" w:rsidRPr="00360DE3" w:rsidRDefault="009540B7" w:rsidP="00DC37E3">
            <w:pPr>
              <w:spacing w:after="0"/>
              <w:rPr>
                <w:b/>
              </w:rPr>
            </w:pPr>
            <w:r w:rsidRPr="00360DE3">
              <w:rPr>
                <w:b/>
                <w:noProof/>
              </w:rPr>
              <w:drawing>
                <wp:inline distT="0" distB="0" distL="0" distR="0">
                  <wp:extent cx="4672940" cy="3521034"/>
                  <wp:effectExtent l="0" t="0" r="0" b="0"/>
                  <wp:docPr id="99"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r>
      <w:tr w:rsidR="009540B7" w:rsidRPr="00360DE3" w:rsidTr="007C13A4">
        <w:trPr>
          <w:trHeight w:val="284"/>
        </w:trPr>
        <w:tc>
          <w:tcPr>
            <w:tcW w:w="1976" w:type="dxa"/>
            <w:vMerge/>
          </w:tcPr>
          <w:p w:rsidR="009540B7" w:rsidRPr="00360DE3" w:rsidRDefault="009540B7" w:rsidP="00DC37E3">
            <w:pPr>
              <w:pStyle w:val="Marginlie"/>
              <w:rPr>
                <w:spacing w:val="0"/>
              </w:rPr>
            </w:pPr>
          </w:p>
        </w:tc>
        <w:tc>
          <w:tcPr>
            <w:tcW w:w="277" w:type="dxa"/>
            <w:vMerge/>
          </w:tcPr>
          <w:p w:rsidR="009540B7" w:rsidRPr="00360DE3" w:rsidRDefault="009540B7" w:rsidP="00DC37E3">
            <w:pPr>
              <w:pStyle w:val="Textpoznpodarou"/>
              <w:jc w:val="both"/>
            </w:pPr>
          </w:p>
        </w:tc>
        <w:tc>
          <w:tcPr>
            <w:tcW w:w="7391" w:type="dxa"/>
          </w:tcPr>
          <w:p w:rsidR="009540B7" w:rsidRPr="00360DE3" w:rsidRDefault="009540B7" w:rsidP="00775F45">
            <w:pPr>
              <w:pStyle w:val="Zhlav"/>
              <w:spacing w:before="40" w:after="240" w:line="240" w:lineRule="auto"/>
              <w:rPr>
                <w:rFonts w:cs="Arial"/>
                <w:sz w:val="14"/>
                <w:szCs w:val="14"/>
                <w:lang w:eastAsia="cs-CZ"/>
              </w:rPr>
            </w:pPr>
            <w:r w:rsidRPr="00360DE3">
              <w:rPr>
                <w:rFonts w:cs="Arial"/>
                <w:sz w:val="14"/>
                <w:szCs w:val="14"/>
                <w:lang w:eastAsia="cs-CZ"/>
              </w:rPr>
              <w:t xml:space="preserve">Zdroj: ČSÚ (národní účty) </w:t>
            </w:r>
          </w:p>
        </w:tc>
      </w:tr>
      <w:tr w:rsidR="009540B7" w:rsidRPr="00360DE3" w:rsidTr="007C13A4">
        <w:trPr>
          <w:trHeight w:val="170"/>
        </w:trPr>
        <w:tc>
          <w:tcPr>
            <w:tcW w:w="1976" w:type="dxa"/>
          </w:tcPr>
          <w:p w:rsidR="009540B7" w:rsidRPr="00360DE3" w:rsidRDefault="009540B7" w:rsidP="00DC37E3">
            <w:pPr>
              <w:pStyle w:val="Marginlie"/>
              <w:rPr>
                <w:spacing w:val="0"/>
              </w:rPr>
            </w:pPr>
            <w:r w:rsidRPr="00360DE3">
              <w:rPr>
                <w:spacing w:val="0"/>
              </w:rPr>
              <w:t>Na loňském růstu HPH v odvětví informačních a komunikačních činností se podílely všechny jeho segmenty vyjma filmového a hudebního průmyslu.</w:t>
            </w:r>
          </w:p>
        </w:tc>
        <w:tc>
          <w:tcPr>
            <w:tcW w:w="277" w:type="dxa"/>
          </w:tcPr>
          <w:p w:rsidR="009540B7" w:rsidRPr="00360DE3" w:rsidRDefault="009540B7" w:rsidP="00DC37E3">
            <w:pPr>
              <w:pStyle w:val="Textpoznpodarou"/>
              <w:jc w:val="both"/>
            </w:pPr>
          </w:p>
        </w:tc>
        <w:tc>
          <w:tcPr>
            <w:tcW w:w="7391" w:type="dxa"/>
          </w:tcPr>
          <w:p w:rsidR="009540B7" w:rsidRPr="00360DE3" w:rsidRDefault="009540B7" w:rsidP="00DC37E3">
            <w:pPr>
              <w:rPr>
                <w:szCs w:val="20"/>
              </w:rPr>
            </w:pPr>
            <w:r w:rsidRPr="00360DE3">
              <w:rPr>
                <w:szCs w:val="20"/>
              </w:rPr>
              <w:t xml:space="preserve">V odvětví informační a komunikační činnosti loni pracovalo 144 tis. lidí (po přepočtu na plné úvazky). </w:t>
            </w:r>
            <w:r w:rsidR="00775F45">
              <w:rPr>
                <w:szCs w:val="20"/>
              </w:rPr>
              <w:t>Největší váhu měl oddíl činností</w:t>
            </w:r>
            <w:r w:rsidRPr="00360DE3">
              <w:rPr>
                <w:szCs w:val="20"/>
              </w:rPr>
              <w:t xml:space="preserve"> v oblasti informačních technologií (56 %)</w:t>
            </w:r>
            <w:r w:rsidRPr="00360DE3">
              <w:rPr>
                <w:rStyle w:val="Znakapoznpodarou"/>
                <w:szCs w:val="20"/>
              </w:rPr>
              <w:footnoteReference w:id="119"/>
            </w:r>
            <w:r w:rsidRPr="00360DE3">
              <w:rPr>
                <w:szCs w:val="20"/>
              </w:rPr>
              <w:t>. Ten byl pro celé odvětví klíčový i z hlediska tvorby HPH (45 %). Čtvrtinou se dále podílely telekomunikační činnosti. Na loňském růstu HPH celého odvětví participovaly všechny jeho oddíly vyjma hudebního a filmového průmyslu, který nenavázal na příznivý vývoj z předchozích tří let</w:t>
            </w:r>
            <w:r w:rsidRPr="00360DE3">
              <w:rPr>
                <w:rStyle w:val="Znakapoznpodarou"/>
                <w:szCs w:val="20"/>
              </w:rPr>
              <w:footnoteReference w:id="120"/>
            </w:r>
            <w:r w:rsidRPr="00360DE3">
              <w:rPr>
                <w:szCs w:val="20"/>
              </w:rPr>
              <w:t>. Bezmála polovinu růstu HPH v odvětví zajistily činnosti v oblasti informačních technologií, třetinu pak vydavatelské činnosti, jež po slabším předchozím roku navázaly na silné oživení z let 2014 a 2015.</w:t>
            </w:r>
          </w:p>
        </w:tc>
      </w:tr>
      <w:tr w:rsidR="007C13A4" w:rsidRPr="00360DE3" w:rsidTr="007C13A4">
        <w:trPr>
          <w:trHeight w:val="170"/>
        </w:trPr>
        <w:tc>
          <w:tcPr>
            <w:tcW w:w="1976" w:type="dxa"/>
          </w:tcPr>
          <w:p w:rsidR="007C13A4" w:rsidRPr="00360DE3" w:rsidRDefault="007C13A4" w:rsidP="005D3386">
            <w:pPr>
              <w:pStyle w:val="Marginlie"/>
              <w:rPr>
                <w:spacing w:val="0"/>
              </w:rPr>
            </w:pPr>
            <w:r w:rsidRPr="00360DE3">
              <w:rPr>
                <w:spacing w:val="0"/>
              </w:rPr>
              <w:t>Nejsilnější váhu měly informační a komuni</w:t>
            </w:r>
            <w:r w:rsidR="00775F45">
              <w:rPr>
                <w:spacing w:val="0"/>
              </w:rPr>
              <w:t xml:space="preserve">kační činnosti v irské ekonomice </w:t>
            </w:r>
            <w:r w:rsidRPr="00360DE3">
              <w:rPr>
                <w:spacing w:val="0"/>
              </w:rPr>
              <w:t>a s odstupem i ve většině severských států Evropy.</w:t>
            </w:r>
          </w:p>
          <w:p w:rsidR="007C13A4" w:rsidRPr="00360DE3" w:rsidRDefault="007C13A4" w:rsidP="005D3386">
            <w:pPr>
              <w:pStyle w:val="Marginlie"/>
              <w:rPr>
                <w:spacing w:val="0"/>
              </w:rPr>
            </w:pPr>
          </w:p>
          <w:p w:rsidR="007C13A4" w:rsidRPr="00360DE3" w:rsidRDefault="007C13A4" w:rsidP="005D3386">
            <w:pPr>
              <w:pStyle w:val="Marginlie"/>
              <w:rPr>
                <w:spacing w:val="0"/>
              </w:rPr>
            </w:pPr>
            <w:r w:rsidRPr="00360DE3">
              <w:rPr>
                <w:spacing w:val="0"/>
              </w:rPr>
              <w:t xml:space="preserve">Česko patřilo loni do desítky zemí EU s nejvyšším podílem tohoto odvětví na HPH celé ekonomiky. Z pohledu </w:t>
            </w:r>
            <w:r w:rsidRPr="00360DE3">
              <w:rPr>
                <w:spacing w:val="0"/>
              </w:rPr>
              <w:lastRenderedPageBreak/>
              <w:t xml:space="preserve">podílu na zaměstnanosti ale zaostávalo. </w:t>
            </w:r>
          </w:p>
          <w:p w:rsidR="007C13A4" w:rsidRPr="00360DE3" w:rsidRDefault="007C13A4" w:rsidP="005D3386">
            <w:pPr>
              <w:pStyle w:val="Marginlie"/>
              <w:rPr>
                <w:spacing w:val="0"/>
              </w:rPr>
            </w:pPr>
          </w:p>
        </w:tc>
        <w:tc>
          <w:tcPr>
            <w:tcW w:w="277" w:type="dxa"/>
          </w:tcPr>
          <w:p w:rsidR="007C13A4" w:rsidRPr="00360DE3" w:rsidRDefault="007C13A4" w:rsidP="005D3386">
            <w:pPr>
              <w:pStyle w:val="Textpoznpodarou"/>
              <w:jc w:val="both"/>
            </w:pPr>
          </w:p>
        </w:tc>
        <w:tc>
          <w:tcPr>
            <w:tcW w:w="7391" w:type="dxa"/>
          </w:tcPr>
          <w:p w:rsidR="007C13A4" w:rsidRPr="00360DE3" w:rsidRDefault="007C13A4" w:rsidP="005D3386">
            <w:pPr>
              <w:rPr>
                <w:szCs w:val="20"/>
              </w:rPr>
            </w:pPr>
            <w:r w:rsidRPr="00360DE3">
              <w:rPr>
                <w:szCs w:val="20"/>
              </w:rPr>
              <w:t>Pozice odvětví informační a komunikační činnosti v tuzemské ekonomice dlouhodobě mírně posiluje. Zatímco v roku 2000 se na celkové tvorbě HPH podílelo 4,2 %, v roce 2017 přispělo již 5,3 %. Loňský výsledek zařadil Česko na konec první desítky zemí EU s nejvyšším podílem. Nejsilnější váhu dosahuje toto odvětví dlouhodobě v Irsku (loni vytvořilo desetinu HPH tamější ekonomiky), silné postavení má i ve většině severských států. Na informační a komunikační činnosti jsou více specializovány i některé malé ekonomiky (Lucembursko, Malta, Island). Téměř ve dvou třetinách unijních členů role tohoto odvětví (z pohledu HPH) mezi roky 2006 a 2017 posílila. Nejvíce to bylo patrné v </w:t>
            </w:r>
            <w:proofErr w:type="gramStart"/>
            <w:r w:rsidRPr="00360DE3">
              <w:rPr>
                <w:szCs w:val="20"/>
              </w:rPr>
              <w:t>Irsku (o 4 p .</w:t>
            </w:r>
            <w:proofErr w:type="spellStart"/>
            <w:r w:rsidRPr="00360DE3">
              <w:rPr>
                <w:szCs w:val="20"/>
              </w:rPr>
              <w:t>b</w:t>
            </w:r>
            <w:proofErr w:type="spellEnd"/>
            <w:r w:rsidRPr="00360DE3">
              <w:rPr>
                <w:szCs w:val="20"/>
              </w:rPr>
              <w:t>.), jenž</w:t>
            </w:r>
            <w:proofErr w:type="gramEnd"/>
            <w:r w:rsidRPr="00360DE3">
              <w:rPr>
                <w:szCs w:val="20"/>
              </w:rPr>
              <w:t xml:space="preserve"> díky svým </w:t>
            </w:r>
            <w:r w:rsidRPr="00360DE3">
              <w:rPr>
                <w:szCs w:val="20"/>
              </w:rPr>
              <w:lastRenderedPageBreak/>
              <w:t>silným transatlantickým obchodním vazbám i daňové politice aspiruje na pozici jednoho z klíčových technologických center Evropy. Ve všech hodnocených zemích disponovaly informační a komunikační silnějším postavením z pohledu HPH než v zaměstnanosti, což vypovídá o nadprůměrné produktivitě práce tohoto odvětví. Nejvyšší podíl nezaměstnanosti mělo toto odvětví i díky pokročilému stupni digitalizace ve veřejné sféře v Estonsku (4,8 %). Česko se s 2,8 % řadilo k podprůměrným, a to i v rámci novějších členských zemí EU. Nižšího podílu dosahovalo loni z našich sousedů jen Rakousko (2,6 %).</w:t>
            </w:r>
          </w:p>
        </w:tc>
      </w:tr>
      <w:tr w:rsidR="007C13A4" w:rsidRPr="00360DE3" w:rsidTr="007C13A4">
        <w:tc>
          <w:tcPr>
            <w:tcW w:w="1976" w:type="dxa"/>
            <w:vMerge w:val="restart"/>
          </w:tcPr>
          <w:p w:rsidR="007C13A4" w:rsidRPr="00360DE3" w:rsidRDefault="007C13A4" w:rsidP="00DC37E3">
            <w:pPr>
              <w:pStyle w:val="Marginlie"/>
              <w:rPr>
                <w:spacing w:val="0"/>
              </w:rPr>
            </w:pPr>
          </w:p>
        </w:tc>
        <w:tc>
          <w:tcPr>
            <w:tcW w:w="277" w:type="dxa"/>
            <w:vMerge w:val="restart"/>
          </w:tcPr>
          <w:p w:rsidR="007C13A4" w:rsidRPr="00360DE3" w:rsidRDefault="007C13A4" w:rsidP="00DC37E3">
            <w:pPr>
              <w:pStyle w:val="Textpoznpodarou"/>
              <w:jc w:val="both"/>
            </w:pPr>
          </w:p>
        </w:tc>
        <w:tc>
          <w:tcPr>
            <w:tcW w:w="7391" w:type="dxa"/>
          </w:tcPr>
          <w:p w:rsidR="007C13A4" w:rsidRPr="00360DE3" w:rsidRDefault="007C13A4" w:rsidP="00DC37E3">
            <w:pPr>
              <w:spacing w:after="0"/>
              <w:jc w:val="left"/>
              <w:rPr>
                <w:b/>
              </w:rPr>
            </w:pPr>
            <w:r w:rsidRPr="00360DE3">
              <w:rPr>
                <w:b/>
              </w:rPr>
              <w:t xml:space="preserve">Graf </w:t>
            </w:r>
            <w:proofErr w:type="gramStart"/>
            <w:r w:rsidRPr="00360DE3">
              <w:rPr>
                <w:b/>
              </w:rPr>
              <w:t>15.3  Podíl</w:t>
            </w:r>
            <w:proofErr w:type="gramEnd"/>
            <w:r w:rsidRPr="00360DE3">
              <w:rPr>
                <w:b/>
              </w:rPr>
              <w:t xml:space="preserve"> odvětví informačních a komunikačních činností na zaměstnanosti a hrubé přidané hodnotě v ekonomice</w:t>
            </w:r>
            <w:r w:rsidRPr="00360DE3">
              <w:t xml:space="preserve"> (v %, </w:t>
            </w:r>
            <w:proofErr w:type="spellStart"/>
            <w:r w:rsidRPr="00360DE3">
              <w:t>vybr</w:t>
            </w:r>
            <w:proofErr w:type="spellEnd"/>
            <w:r w:rsidRPr="00360DE3">
              <w:t>. státy Evropy)</w:t>
            </w:r>
          </w:p>
          <w:p w:rsidR="007C13A4" w:rsidRPr="00360DE3" w:rsidRDefault="00775F45" w:rsidP="00DC37E3">
            <w:pPr>
              <w:spacing w:after="0"/>
              <w:rPr>
                <w:b/>
              </w:rPr>
            </w:pPr>
            <w:r w:rsidRPr="00775F45">
              <w:rPr>
                <w:b/>
                <w:noProof/>
              </w:rPr>
              <w:drawing>
                <wp:inline distT="0" distB="0" distL="0" distR="0">
                  <wp:extent cx="4655528" cy="3562350"/>
                  <wp:effectExtent l="19050" t="0" r="0" b="0"/>
                  <wp:docPr id="39"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r>
      <w:tr w:rsidR="007C13A4" w:rsidRPr="00360DE3" w:rsidTr="007C13A4">
        <w:trPr>
          <w:trHeight w:val="284"/>
        </w:trPr>
        <w:tc>
          <w:tcPr>
            <w:tcW w:w="1976" w:type="dxa"/>
            <w:vMerge/>
          </w:tcPr>
          <w:p w:rsidR="007C13A4" w:rsidRPr="00360DE3" w:rsidRDefault="007C13A4" w:rsidP="00DC37E3">
            <w:pPr>
              <w:pStyle w:val="Marginlie"/>
              <w:rPr>
                <w:spacing w:val="0"/>
              </w:rPr>
            </w:pPr>
          </w:p>
        </w:tc>
        <w:tc>
          <w:tcPr>
            <w:tcW w:w="277" w:type="dxa"/>
            <w:vMerge/>
          </w:tcPr>
          <w:p w:rsidR="007C13A4" w:rsidRPr="00360DE3" w:rsidRDefault="007C13A4" w:rsidP="00DC37E3">
            <w:pPr>
              <w:pStyle w:val="Textpoznpodarou"/>
              <w:jc w:val="both"/>
            </w:pPr>
          </w:p>
        </w:tc>
        <w:tc>
          <w:tcPr>
            <w:tcW w:w="7391" w:type="dxa"/>
          </w:tcPr>
          <w:p w:rsidR="007C13A4" w:rsidRPr="00360DE3" w:rsidRDefault="00775F45" w:rsidP="00DC37E3">
            <w:pPr>
              <w:pStyle w:val="Zhlav"/>
              <w:spacing w:before="40" w:after="200" w:line="240" w:lineRule="auto"/>
              <w:rPr>
                <w:rFonts w:cs="Arial"/>
                <w:sz w:val="14"/>
                <w:szCs w:val="14"/>
                <w:lang w:eastAsia="cs-CZ"/>
              </w:rPr>
            </w:pPr>
            <w:r>
              <w:rPr>
                <w:rFonts w:cs="Arial"/>
                <w:sz w:val="14"/>
                <w:szCs w:val="14"/>
                <w:lang w:eastAsia="cs-CZ"/>
              </w:rPr>
              <w:t>Pozn.:Aktuáln</w:t>
            </w:r>
            <w:r w:rsidR="007C13A4" w:rsidRPr="00360DE3">
              <w:rPr>
                <w:rFonts w:cs="Arial"/>
                <w:sz w:val="14"/>
                <w:szCs w:val="14"/>
                <w:lang w:eastAsia="cs-CZ"/>
              </w:rPr>
              <w:t xml:space="preserve">í údaje o hrubé přidané hodnotě za Island a Černou Horu, Bosnu a Hercegovinu a také Turecko se vztahují k roku 2016. Údaje o zaměstnanosti nebyly za šest balkánských států k dispozici.                      Zdroj: </w:t>
            </w:r>
            <w:proofErr w:type="spellStart"/>
            <w:r w:rsidR="007C13A4" w:rsidRPr="00360DE3">
              <w:rPr>
                <w:rFonts w:cs="Arial"/>
                <w:sz w:val="14"/>
                <w:szCs w:val="14"/>
                <w:lang w:eastAsia="cs-CZ"/>
              </w:rPr>
              <w:t>Eurostat</w:t>
            </w:r>
            <w:proofErr w:type="spellEnd"/>
          </w:p>
        </w:tc>
      </w:tr>
    </w:tbl>
    <w:p w:rsidR="004C26B0" w:rsidRPr="00360DE3" w:rsidRDefault="00E212C9" w:rsidP="00141782">
      <w:pPr>
        <w:pStyle w:val="Nadpis1"/>
        <w:rPr>
          <w:lang w:eastAsia="en-US"/>
        </w:rPr>
      </w:pPr>
      <w:bookmarkStart w:id="33" w:name="_Toc527639488"/>
      <w:r w:rsidRPr="00360DE3">
        <w:rPr>
          <w:lang w:eastAsia="en-US"/>
        </w:rPr>
        <w:t>16</w:t>
      </w:r>
      <w:r w:rsidR="00141782" w:rsidRPr="00360DE3">
        <w:rPr>
          <w:lang w:eastAsia="en-US"/>
        </w:rPr>
        <w:t>. Pro</w:t>
      </w:r>
      <w:r w:rsidR="003B4331">
        <w:rPr>
          <w:lang w:eastAsia="en-US"/>
        </w:rPr>
        <w:t>fesní, vědecké, technické a administrativní</w:t>
      </w:r>
      <w:r w:rsidR="00141782" w:rsidRPr="00360DE3">
        <w:rPr>
          <w:lang w:eastAsia="en-US"/>
        </w:rPr>
        <w:t xml:space="preserve"> činnosti</w:t>
      </w:r>
      <w:bookmarkEnd w:id="33"/>
    </w:p>
    <w:tbl>
      <w:tblPr>
        <w:tblW w:w="9644" w:type="dxa"/>
        <w:tblInd w:w="-15" w:type="dxa"/>
        <w:tblLayout w:type="fixed"/>
        <w:tblCellMar>
          <w:left w:w="0" w:type="dxa"/>
          <w:right w:w="0" w:type="dxa"/>
        </w:tblCellMar>
        <w:tblLook w:val="00A0"/>
      </w:tblPr>
      <w:tblGrid>
        <w:gridCol w:w="1976"/>
        <w:gridCol w:w="277"/>
        <w:gridCol w:w="7391"/>
      </w:tblGrid>
      <w:tr w:rsidR="0063201A" w:rsidRPr="00360DE3" w:rsidTr="00DC37E3">
        <w:trPr>
          <w:trHeight w:val="145"/>
        </w:trPr>
        <w:tc>
          <w:tcPr>
            <w:tcW w:w="1976" w:type="dxa"/>
          </w:tcPr>
          <w:p w:rsidR="0063201A" w:rsidRPr="00360DE3" w:rsidRDefault="0063201A" w:rsidP="00DC37E3">
            <w:pPr>
              <w:pStyle w:val="Marginlie"/>
              <w:rPr>
                <w:spacing w:val="0"/>
              </w:rPr>
            </w:pPr>
            <w:r w:rsidRPr="00360DE3">
              <w:rPr>
                <w:spacing w:val="0"/>
              </w:rPr>
              <w:t>Profesní, vědecké, technické a administrativní činnosti mají značně různorodý charakter.</w:t>
            </w:r>
          </w:p>
          <w:p w:rsidR="0063201A" w:rsidRPr="00360DE3" w:rsidRDefault="0063201A" w:rsidP="00DC37E3">
            <w:pPr>
              <w:pStyle w:val="Marginlie"/>
              <w:rPr>
                <w:spacing w:val="0"/>
              </w:rPr>
            </w:pPr>
          </w:p>
          <w:p w:rsidR="0063201A" w:rsidRPr="00360DE3" w:rsidRDefault="0063201A" w:rsidP="00DC37E3">
            <w:pPr>
              <w:pStyle w:val="Marginlie"/>
              <w:rPr>
                <w:spacing w:val="0"/>
              </w:rPr>
            </w:pPr>
          </w:p>
          <w:p w:rsidR="0063201A" w:rsidRPr="00360DE3" w:rsidRDefault="0063201A" w:rsidP="00DC37E3">
            <w:pPr>
              <w:pStyle w:val="Marginlie"/>
              <w:rPr>
                <w:spacing w:val="0"/>
              </w:rPr>
            </w:pPr>
          </w:p>
          <w:p w:rsidR="0063201A" w:rsidRPr="00360DE3" w:rsidRDefault="0063201A" w:rsidP="00DC37E3">
            <w:pPr>
              <w:pStyle w:val="Marginlie"/>
              <w:rPr>
                <w:spacing w:val="0"/>
              </w:rPr>
            </w:pPr>
          </w:p>
          <w:p w:rsidR="0063201A" w:rsidRPr="00360DE3" w:rsidRDefault="0063201A" w:rsidP="00DC37E3">
            <w:pPr>
              <w:pStyle w:val="Marginlie"/>
              <w:rPr>
                <w:spacing w:val="0"/>
              </w:rPr>
            </w:pPr>
          </w:p>
          <w:p w:rsidR="0063201A" w:rsidRDefault="0063201A" w:rsidP="00DC37E3">
            <w:pPr>
              <w:pStyle w:val="Marginlie"/>
              <w:rPr>
                <w:spacing w:val="0"/>
              </w:rPr>
            </w:pPr>
          </w:p>
          <w:p w:rsidR="001D70E9" w:rsidRDefault="001D70E9" w:rsidP="00DC37E3">
            <w:pPr>
              <w:pStyle w:val="Marginlie"/>
              <w:rPr>
                <w:spacing w:val="0"/>
              </w:rPr>
            </w:pPr>
          </w:p>
          <w:p w:rsidR="001D70E9" w:rsidRDefault="001D70E9" w:rsidP="00DC37E3">
            <w:pPr>
              <w:pStyle w:val="Marginlie"/>
              <w:rPr>
                <w:spacing w:val="0"/>
              </w:rPr>
            </w:pPr>
          </w:p>
          <w:p w:rsidR="001D70E9" w:rsidRPr="00360DE3" w:rsidRDefault="001D70E9" w:rsidP="00DC37E3">
            <w:pPr>
              <w:pStyle w:val="Marginlie"/>
              <w:rPr>
                <w:spacing w:val="0"/>
              </w:rPr>
            </w:pPr>
          </w:p>
          <w:p w:rsidR="0063201A" w:rsidRPr="00360DE3" w:rsidRDefault="0063201A" w:rsidP="00DC37E3">
            <w:pPr>
              <w:pStyle w:val="Marginlie"/>
              <w:rPr>
                <w:spacing w:val="0"/>
              </w:rPr>
            </w:pPr>
            <w:r w:rsidRPr="00360DE3">
              <w:rPr>
                <w:spacing w:val="0"/>
              </w:rPr>
              <w:t xml:space="preserve">Hrubá přidaná hodnota (HPH) rostla v tomto uskupení již sedmým </w:t>
            </w:r>
            <w:r w:rsidRPr="00360DE3">
              <w:rPr>
                <w:spacing w:val="0"/>
              </w:rPr>
              <w:lastRenderedPageBreak/>
              <w:t>rokem v řadě.</w:t>
            </w:r>
          </w:p>
        </w:tc>
        <w:tc>
          <w:tcPr>
            <w:tcW w:w="277" w:type="dxa"/>
          </w:tcPr>
          <w:p w:rsidR="0063201A" w:rsidRPr="00360DE3" w:rsidRDefault="0063201A" w:rsidP="00DC37E3">
            <w:pPr>
              <w:pStyle w:val="Textpoznpodarou"/>
              <w:jc w:val="both"/>
            </w:pPr>
          </w:p>
        </w:tc>
        <w:tc>
          <w:tcPr>
            <w:tcW w:w="7391" w:type="dxa"/>
          </w:tcPr>
          <w:p w:rsidR="0063201A" w:rsidRPr="00360DE3" w:rsidRDefault="0063201A" w:rsidP="00DC37E3">
            <w:pPr>
              <w:spacing w:after="200"/>
            </w:pPr>
            <w:r w:rsidRPr="00360DE3">
              <w:t>Uskupení odvětví profesní, vědecké, technické a administrativní činnosti</w:t>
            </w:r>
            <w:r w:rsidRPr="00360DE3">
              <w:rPr>
                <w:rStyle w:val="Znakapoznpodarou"/>
              </w:rPr>
              <w:footnoteReference w:id="121"/>
            </w:r>
            <w:r w:rsidRPr="00360DE3">
              <w:t>, poskytující služby především podnikové sféře, představuje značně různorodý celek. Jeho dílčí odvětví se liší jak z pohledu sofistikovanosti produkovaných služeb, nároků na lidské zdroje či výši jejich odměňování, tak i strukturou ekonomických subjektů v nich působících (zastoupením nefinančních podniků, drobných podnikatelů, vládních institucí, rolí zahraničního kapitálu aj.)</w:t>
            </w:r>
            <w:r w:rsidRPr="00360DE3">
              <w:rPr>
                <w:rStyle w:val="Znakapoznpodarou"/>
              </w:rPr>
              <w:footnoteReference w:id="122"/>
            </w:r>
            <w:r w:rsidRPr="00360DE3">
              <w:t xml:space="preserve">. Hrubá přidaná hodnota (HPH) </w:t>
            </w:r>
            <w:r w:rsidR="00A329DF">
              <w:t xml:space="preserve">se </w:t>
            </w:r>
            <w:r w:rsidRPr="00360DE3">
              <w:t>v tomto sledovaném usku</w:t>
            </w:r>
            <w:r w:rsidR="00A329DF">
              <w:t>pení odvětví loni zvýšila o</w:t>
            </w:r>
            <w:r w:rsidR="00A329DF" w:rsidRPr="00360DE3">
              <w:t> </w:t>
            </w:r>
            <w:r w:rsidR="00A329DF">
              <w:t>3,2</w:t>
            </w:r>
            <w:r w:rsidR="00A329DF" w:rsidRPr="00360DE3">
              <w:t> </w:t>
            </w:r>
            <w:r w:rsidRPr="00360DE3">
              <w:t xml:space="preserve">%. Výkon odvětví rostl již sedmým rokem v řadě, v posledních dvou letech bylo ale patrné oslabování jeho meziročních temp. Stály za tím rostoucí výrobní náklady, neboť loňské navýšení </w:t>
            </w:r>
            <w:proofErr w:type="spellStart"/>
            <w:r w:rsidRPr="00360DE3">
              <w:t>mezispotřeby</w:t>
            </w:r>
            <w:proofErr w:type="spellEnd"/>
            <w:r w:rsidRPr="00360DE3">
              <w:t xml:space="preserve"> dosáhlo téměř 9 %. Samotná produkce (mající silnou vazbu na celkové tržby) totiž loni vzrostla nejvíce za posledních deset let (o 6,5 %). Celkově dobrou ekonomickou situaci většiny </w:t>
            </w:r>
            <w:r w:rsidRPr="00360DE3">
              <w:lastRenderedPageBreak/>
              <w:t>podniků v tomto odvětví potvrzovaly i loňské výsledky konjunkturálních průzkumů</w:t>
            </w:r>
            <w:r w:rsidRPr="00360DE3">
              <w:rPr>
                <w:rStyle w:val="Znakapoznpodarou"/>
              </w:rPr>
              <w:footnoteReference w:id="123"/>
            </w:r>
            <w:r w:rsidRPr="00360DE3">
              <w:t>. Míra zisku nefinančních podniků</w:t>
            </w:r>
            <w:r w:rsidRPr="00360DE3">
              <w:rPr>
                <w:rStyle w:val="Znakapoznpodarou"/>
              </w:rPr>
              <w:footnoteReference w:id="124"/>
            </w:r>
            <w:r w:rsidRPr="00360DE3">
              <w:t xml:space="preserve"> ve sledovaném odvětvovém uskupení nedoznala v posledních třech letech výrazných změn a pohybovala se mezi 38 a 39 %. Blížila se tak úrovni z konjunktury minulé dekády. Pokles ziskovosti v obou následných fázích recese pak postihl odvětví s mnohem větší intenzitou než celou ekonomiku, což souviselo s redukcí podnikových výdajů na „zbytné“ aktivity (průzkum trhu, reklama, bezpečnost, poradenství, překladatelské činnosti), omezením náboru nových pracovníků či projektových prací (architektonické a inženýrské činnosti).</w:t>
            </w:r>
          </w:p>
        </w:tc>
      </w:tr>
      <w:tr w:rsidR="0063201A" w:rsidRPr="00360DE3" w:rsidTr="00DC37E3">
        <w:tc>
          <w:tcPr>
            <w:tcW w:w="1976" w:type="dxa"/>
            <w:vMerge w:val="restart"/>
          </w:tcPr>
          <w:p w:rsidR="0063201A" w:rsidRPr="00360DE3" w:rsidRDefault="0063201A" w:rsidP="00DC37E3">
            <w:pPr>
              <w:pStyle w:val="Marginlie"/>
              <w:rPr>
                <w:spacing w:val="0"/>
              </w:rPr>
            </w:pPr>
          </w:p>
        </w:tc>
        <w:tc>
          <w:tcPr>
            <w:tcW w:w="277" w:type="dxa"/>
            <w:vMerge w:val="restart"/>
          </w:tcPr>
          <w:p w:rsidR="0063201A" w:rsidRPr="00360DE3" w:rsidRDefault="0063201A" w:rsidP="00DC37E3">
            <w:pPr>
              <w:pStyle w:val="Textpoznpodarou"/>
              <w:jc w:val="both"/>
            </w:pPr>
          </w:p>
        </w:tc>
        <w:tc>
          <w:tcPr>
            <w:tcW w:w="7391" w:type="dxa"/>
          </w:tcPr>
          <w:p w:rsidR="0063201A" w:rsidRPr="00360DE3" w:rsidRDefault="0063201A" w:rsidP="00DC37E3">
            <w:pPr>
              <w:spacing w:after="0"/>
              <w:jc w:val="left"/>
              <w:rPr>
                <w:b/>
              </w:rPr>
            </w:pPr>
            <w:r w:rsidRPr="00360DE3">
              <w:rPr>
                <w:b/>
              </w:rPr>
              <w:t xml:space="preserve">Graf 16.1  </w:t>
            </w:r>
            <w:r w:rsidRPr="00360DE3">
              <w:rPr>
                <w:b/>
                <w:bCs/>
              </w:rPr>
              <w:t xml:space="preserve">Zákl. </w:t>
            </w:r>
            <w:proofErr w:type="gramStart"/>
            <w:r w:rsidRPr="00360DE3">
              <w:rPr>
                <w:b/>
                <w:bCs/>
              </w:rPr>
              <w:t>ukazatele</w:t>
            </w:r>
            <w:proofErr w:type="gramEnd"/>
            <w:r w:rsidRPr="00360DE3">
              <w:rPr>
                <w:b/>
                <w:bCs/>
              </w:rPr>
              <w:t xml:space="preserve"> odvětví profesní, věd. </w:t>
            </w:r>
            <w:proofErr w:type="spellStart"/>
            <w:r w:rsidRPr="00360DE3">
              <w:rPr>
                <w:b/>
                <w:bCs/>
              </w:rPr>
              <w:t>technic</w:t>
            </w:r>
            <w:proofErr w:type="spellEnd"/>
            <w:r w:rsidRPr="00360DE3">
              <w:rPr>
                <w:b/>
                <w:bCs/>
              </w:rPr>
              <w:t>. a administrativní čin.</w:t>
            </w:r>
          </w:p>
          <w:p w:rsidR="0063201A" w:rsidRPr="00360DE3" w:rsidRDefault="0063201A" w:rsidP="00DC37E3">
            <w:pPr>
              <w:spacing w:after="0"/>
              <w:rPr>
                <w:b/>
              </w:rPr>
            </w:pPr>
            <w:r w:rsidRPr="00360DE3">
              <w:rPr>
                <w:b/>
                <w:noProof/>
              </w:rPr>
              <w:drawing>
                <wp:inline distT="0" distB="0" distL="0" distR="0">
                  <wp:extent cx="4653890" cy="3526971"/>
                  <wp:effectExtent l="19050" t="0" r="0" b="0"/>
                  <wp:docPr id="10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r w:rsidR="0063201A" w:rsidRPr="00360DE3" w:rsidTr="00DC37E3">
        <w:trPr>
          <w:trHeight w:val="284"/>
        </w:trPr>
        <w:tc>
          <w:tcPr>
            <w:tcW w:w="1976" w:type="dxa"/>
            <w:vMerge/>
          </w:tcPr>
          <w:p w:rsidR="0063201A" w:rsidRPr="00360DE3" w:rsidRDefault="0063201A" w:rsidP="00DC37E3">
            <w:pPr>
              <w:pStyle w:val="Marginlie"/>
              <w:rPr>
                <w:spacing w:val="0"/>
              </w:rPr>
            </w:pPr>
          </w:p>
        </w:tc>
        <w:tc>
          <w:tcPr>
            <w:tcW w:w="277" w:type="dxa"/>
            <w:vMerge/>
          </w:tcPr>
          <w:p w:rsidR="0063201A" w:rsidRPr="00360DE3" w:rsidRDefault="0063201A" w:rsidP="00DC37E3">
            <w:pPr>
              <w:pStyle w:val="Textpoznpodarou"/>
              <w:jc w:val="both"/>
            </w:pPr>
          </w:p>
        </w:tc>
        <w:tc>
          <w:tcPr>
            <w:tcW w:w="7391" w:type="dxa"/>
          </w:tcPr>
          <w:p w:rsidR="0063201A" w:rsidRPr="00360DE3" w:rsidRDefault="0063201A" w:rsidP="00A329DF">
            <w:pPr>
              <w:pStyle w:val="Zhlav"/>
              <w:spacing w:before="40" w:after="240" w:line="240" w:lineRule="auto"/>
              <w:rPr>
                <w:rFonts w:cs="Arial"/>
                <w:sz w:val="14"/>
                <w:szCs w:val="14"/>
                <w:lang w:eastAsia="cs-CZ"/>
              </w:rPr>
            </w:pPr>
            <w:r w:rsidRPr="00360DE3">
              <w:rPr>
                <w:rFonts w:cs="Arial"/>
                <w:sz w:val="14"/>
                <w:szCs w:val="14"/>
                <w:lang w:eastAsia="cs-CZ"/>
              </w:rPr>
              <w:t xml:space="preserve">*Do reálného vyjádření převedeno deflátorem výdajů na konečnou spotřebu domácností.      Zdroj: ČSÚ (národní účty) </w:t>
            </w:r>
          </w:p>
        </w:tc>
      </w:tr>
      <w:tr w:rsidR="0063201A" w:rsidRPr="00360DE3" w:rsidTr="00DC37E3">
        <w:tc>
          <w:tcPr>
            <w:tcW w:w="1976" w:type="dxa"/>
          </w:tcPr>
          <w:p w:rsidR="0063201A" w:rsidRPr="00360DE3" w:rsidRDefault="0063201A" w:rsidP="00DC37E3">
            <w:pPr>
              <w:pStyle w:val="Marginlie"/>
              <w:rPr>
                <w:spacing w:val="0"/>
              </w:rPr>
            </w:pPr>
            <w:r w:rsidRPr="00360DE3">
              <w:rPr>
                <w:spacing w:val="0"/>
              </w:rPr>
              <w:t>Tempo růstu zaměstnanosti v odvětví loni zvolnilo na šestileté minimum.</w:t>
            </w:r>
          </w:p>
          <w:p w:rsidR="0063201A" w:rsidRPr="00360DE3" w:rsidRDefault="0063201A" w:rsidP="00DC37E3">
            <w:pPr>
              <w:pStyle w:val="Marginlie"/>
              <w:rPr>
                <w:spacing w:val="0"/>
              </w:rPr>
            </w:pPr>
          </w:p>
          <w:p w:rsidR="0063201A" w:rsidRPr="00360DE3" w:rsidRDefault="0063201A" w:rsidP="00DC37E3">
            <w:pPr>
              <w:pStyle w:val="Marginlie"/>
              <w:rPr>
                <w:spacing w:val="0"/>
              </w:rPr>
            </w:pPr>
          </w:p>
          <w:p w:rsidR="0063201A" w:rsidRPr="00360DE3" w:rsidRDefault="0063201A" w:rsidP="00DC37E3">
            <w:pPr>
              <w:pStyle w:val="Marginlie"/>
              <w:rPr>
                <w:spacing w:val="0"/>
              </w:rPr>
            </w:pPr>
          </w:p>
          <w:p w:rsidR="0063201A" w:rsidRPr="00360DE3" w:rsidRDefault="0063201A" w:rsidP="00DC37E3">
            <w:pPr>
              <w:pStyle w:val="Marginlie"/>
              <w:rPr>
                <w:spacing w:val="0"/>
              </w:rPr>
            </w:pPr>
          </w:p>
          <w:p w:rsidR="0063201A" w:rsidRPr="00360DE3" w:rsidRDefault="0063201A" w:rsidP="00DC37E3">
            <w:pPr>
              <w:pStyle w:val="Marginlie"/>
              <w:rPr>
                <w:spacing w:val="0"/>
              </w:rPr>
            </w:pPr>
          </w:p>
          <w:p w:rsidR="0063201A" w:rsidRPr="00360DE3" w:rsidRDefault="0063201A" w:rsidP="00DC37E3">
            <w:pPr>
              <w:pStyle w:val="Marginlie"/>
              <w:rPr>
                <w:spacing w:val="0"/>
              </w:rPr>
            </w:pPr>
          </w:p>
          <w:p w:rsidR="0063201A" w:rsidRPr="00360DE3" w:rsidRDefault="0063201A" w:rsidP="00DC37E3">
            <w:pPr>
              <w:pStyle w:val="Marginlie"/>
              <w:rPr>
                <w:spacing w:val="0"/>
              </w:rPr>
            </w:pPr>
          </w:p>
          <w:p w:rsidR="0063201A" w:rsidRPr="00360DE3" w:rsidRDefault="0063201A" w:rsidP="00DC37E3">
            <w:pPr>
              <w:pStyle w:val="Marginlie"/>
              <w:rPr>
                <w:spacing w:val="0"/>
              </w:rPr>
            </w:pPr>
            <w:r w:rsidRPr="00360DE3">
              <w:rPr>
                <w:spacing w:val="0"/>
              </w:rPr>
              <w:t>Hodinová produktivita mírně rostla. Za úrovní národního hospodářství však nadále skoro o pětinu zaostávala.</w:t>
            </w:r>
          </w:p>
        </w:tc>
        <w:tc>
          <w:tcPr>
            <w:tcW w:w="277" w:type="dxa"/>
          </w:tcPr>
          <w:p w:rsidR="0063201A" w:rsidRPr="00360DE3" w:rsidRDefault="0063201A" w:rsidP="00DC37E3">
            <w:pPr>
              <w:pStyle w:val="Textpoznpodarou"/>
              <w:jc w:val="both"/>
            </w:pPr>
          </w:p>
        </w:tc>
        <w:tc>
          <w:tcPr>
            <w:tcW w:w="7391" w:type="dxa"/>
          </w:tcPr>
          <w:p w:rsidR="0063201A" w:rsidRPr="00360DE3" w:rsidRDefault="0063201A" w:rsidP="00DC37E3">
            <w:r w:rsidRPr="00360DE3">
              <w:t>Podobně jako ve většině ostatních odvětví je další navyšování ziskovosti podniků limitováno sílícími mzdovými náklady. Ty loni vzrostly proti roku 2016 o 7,8 %. Většina z tohoto posílení se promítla přímo do výše průměrných výdělků, neboť stavy zaměstnanců se rozšířily jen o 1,9 %, nejméně za posledních šest let. K dynamizaci tempa průměrné mzdy přispěl jak nedostatek vhodných pracovníků na trhu (při velmi nízké úrovni nezaměstnanosti), tak navyšování hranice minimální mzdy, které však mělo podstatnější dopad jen v některých dílčích odvětvích. Loňské zpomalení růstu zaměstnanosti se odrazilo i v produktivitě práce. Ta vzrostla reálně o 2,4 %, mírně vyšším tempem nežli v celé ekonomice. I tak však loni produktivita ve sledovaném odvětvovém uskupení dosahovala jen 81 % úrovně národního hospodářství a za poslední dekádu svůj odstup nezmenšila. Míra investic ve sledovaném uskupení odvětví v posle</w:t>
            </w:r>
            <w:r w:rsidR="00A329DF">
              <w:t>dních třech letech stagnovala a</w:t>
            </w:r>
            <w:r w:rsidR="00A329DF" w:rsidRPr="00360DE3">
              <w:t> </w:t>
            </w:r>
            <w:r w:rsidRPr="00360DE3">
              <w:t xml:space="preserve">držela se těsně nad 25 %. Ve srovnání s celým terciárním sektorem v ČR </w:t>
            </w:r>
            <w:r w:rsidRPr="00360DE3">
              <w:lastRenderedPageBreak/>
              <w:t>dlouhodobě mírně zaostává. Ve vztahu s celou EU je tomu naopak</w:t>
            </w:r>
            <w:r w:rsidRPr="00360DE3">
              <w:rPr>
                <w:rStyle w:val="Znakapoznpodarou"/>
              </w:rPr>
              <w:footnoteReference w:id="125"/>
            </w:r>
            <w:r w:rsidRPr="00360DE3">
              <w:t>. Ve skladbě investic se projevuje různorodost celého uskupení. Z</w:t>
            </w:r>
            <w:r w:rsidR="00A329DF">
              <w:t xml:space="preserve">atímco v profesních, vědeckých a </w:t>
            </w:r>
            <w:r w:rsidRPr="00360DE3">
              <w:t xml:space="preserve">technických činnostech proudila loni skoro polovina investic do produktů duševního vlastnictví (31 % do výzkumu a vývoje, 14 % do programového vybavení a databází), v administrativních a podpůrných činnostech cílilo 55 % investic na dopravní prostředky a 34 % na zbývající kategorie strojů a zařízení. </w:t>
            </w:r>
          </w:p>
        </w:tc>
      </w:tr>
      <w:tr w:rsidR="0063201A" w:rsidRPr="00360DE3" w:rsidTr="00DC37E3">
        <w:tc>
          <w:tcPr>
            <w:tcW w:w="1976" w:type="dxa"/>
            <w:vMerge w:val="restart"/>
          </w:tcPr>
          <w:p w:rsidR="0063201A" w:rsidRPr="00360DE3" w:rsidRDefault="0063201A" w:rsidP="00DC37E3">
            <w:pPr>
              <w:pStyle w:val="Marginlie"/>
              <w:rPr>
                <w:spacing w:val="0"/>
              </w:rPr>
            </w:pPr>
          </w:p>
        </w:tc>
        <w:tc>
          <w:tcPr>
            <w:tcW w:w="277" w:type="dxa"/>
            <w:vMerge w:val="restart"/>
          </w:tcPr>
          <w:p w:rsidR="0063201A" w:rsidRPr="00360DE3" w:rsidRDefault="0063201A" w:rsidP="00DC37E3">
            <w:pPr>
              <w:pStyle w:val="Textpoznpodarou"/>
              <w:jc w:val="both"/>
            </w:pPr>
          </w:p>
        </w:tc>
        <w:tc>
          <w:tcPr>
            <w:tcW w:w="7391" w:type="dxa"/>
          </w:tcPr>
          <w:p w:rsidR="0063201A" w:rsidRPr="00360DE3" w:rsidRDefault="0063201A" w:rsidP="00DC37E3">
            <w:pPr>
              <w:spacing w:after="0"/>
              <w:jc w:val="left"/>
            </w:pPr>
            <w:r w:rsidRPr="00360DE3">
              <w:rPr>
                <w:b/>
              </w:rPr>
              <w:t xml:space="preserve">Graf </w:t>
            </w:r>
            <w:proofErr w:type="gramStart"/>
            <w:r w:rsidRPr="00360DE3">
              <w:rPr>
                <w:b/>
              </w:rPr>
              <w:t>16.2  Příspěvky</w:t>
            </w:r>
            <w:proofErr w:type="gramEnd"/>
            <w:r w:rsidRPr="00360DE3">
              <w:rPr>
                <w:b/>
              </w:rPr>
              <w:t xml:space="preserve"> odvětvových oddílů k meziroční změně HPH v uskupení </w:t>
            </w:r>
            <w:r w:rsidRPr="00360DE3">
              <w:rPr>
                <w:b/>
                <w:bCs/>
              </w:rPr>
              <w:t xml:space="preserve">profesní, vědecké, technické a </w:t>
            </w:r>
            <w:proofErr w:type="spellStart"/>
            <w:r w:rsidRPr="00360DE3">
              <w:rPr>
                <w:b/>
                <w:bCs/>
              </w:rPr>
              <w:t>administr</w:t>
            </w:r>
            <w:proofErr w:type="spellEnd"/>
            <w:r w:rsidRPr="00360DE3">
              <w:rPr>
                <w:b/>
                <w:bCs/>
              </w:rPr>
              <w:t>. i podpůrné činnosti</w:t>
            </w:r>
            <w:r w:rsidR="001D70E9">
              <w:t xml:space="preserve"> (reálně, v p. </w:t>
            </w:r>
            <w:proofErr w:type="spellStart"/>
            <w:r w:rsidRPr="00360DE3">
              <w:t>b</w:t>
            </w:r>
            <w:proofErr w:type="spellEnd"/>
            <w:r w:rsidRPr="00360DE3">
              <w:t>.)</w:t>
            </w:r>
          </w:p>
          <w:p w:rsidR="0063201A" w:rsidRPr="00360DE3" w:rsidRDefault="0063201A" w:rsidP="00DC37E3">
            <w:pPr>
              <w:spacing w:after="0"/>
              <w:rPr>
                <w:b/>
              </w:rPr>
            </w:pPr>
            <w:r w:rsidRPr="00360DE3">
              <w:rPr>
                <w:b/>
                <w:noProof/>
              </w:rPr>
              <w:drawing>
                <wp:inline distT="0" distB="0" distL="0" distR="0">
                  <wp:extent cx="4674578" cy="3552826"/>
                  <wp:effectExtent l="19050" t="0" r="0" b="0"/>
                  <wp:docPr id="102"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r>
      <w:tr w:rsidR="0063201A" w:rsidRPr="00360DE3" w:rsidTr="00DC37E3">
        <w:trPr>
          <w:trHeight w:val="284"/>
        </w:trPr>
        <w:tc>
          <w:tcPr>
            <w:tcW w:w="1976" w:type="dxa"/>
            <w:vMerge/>
          </w:tcPr>
          <w:p w:rsidR="0063201A" w:rsidRPr="00360DE3" w:rsidRDefault="0063201A" w:rsidP="00DC37E3">
            <w:pPr>
              <w:pStyle w:val="Marginlie"/>
              <w:rPr>
                <w:spacing w:val="0"/>
              </w:rPr>
            </w:pPr>
          </w:p>
        </w:tc>
        <w:tc>
          <w:tcPr>
            <w:tcW w:w="277" w:type="dxa"/>
            <w:vMerge/>
          </w:tcPr>
          <w:p w:rsidR="0063201A" w:rsidRPr="00360DE3" w:rsidRDefault="0063201A" w:rsidP="00DC37E3">
            <w:pPr>
              <w:pStyle w:val="Textpoznpodarou"/>
              <w:jc w:val="both"/>
            </w:pPr>
          </w:p>
        </w:tc>
        <w:tc>
          <w:tcPr>
            <w:tcW w:w="7391" w:type="dxa"/>
          </w:tcPr>
          <w:p w:rsidR="0063201A" w:rsidRPr="00360DE3" w:rsidRDefault="0063201A" w:rsidP="00DC37E3">
            <w:pPr>
              <w:pStyle w:val="Zhlav"/>
              <w:spacing w:before="40" w:after="240" w:line="240" w:lineRule="auto"/>
              <w:rPr>
                <w:rFonts w:cs="Arial"/>
                <w:sz w:val="14"/>
                <w:szCs w:val="14"/>
                <w:lang w:eastAsia="cs-CZ"/>
              </w:rPr>
            </w:pPr>
            <w:r w:rsidRPr="00360DE3">
              <w:rPr>
                <w:rFonts w:cs="Arial"/>
                <w:sz w:val="14"/>
                <w:szCs w:val="14"/>
                <w:lang w:eastAsia="cs-CZ"/>
              </w:rPr>
              <w:t xml:space="preserve"> Zdroj: ČSÚ (národní účty) </w:t>
            </w:r>
          </w:p>
        </w:tc>
      </w:tr>
      <w:tr w:rsidR="0063201A" w:rsidRPr="00360DE3" w:rsidTr="00DC37E3">
        <w:trPr>
          <w:trHeight w:val="170"/>
        </w:trPr>
        <w:tc>
          <w:tcPr>
            <w:tcW w:w="1976" w:type="dxa"/>
          </w:tcPr>
          <w:p w:rsidR="0063201A" w:rsidRPr="00360DE3" w:rsidRDefault="0063201A" w:rsidP="00DC37E3">
            <w:pPr>
              <w:pStyle w:val="Marginlie"/>
              <w:rPr>
                <w:spacing w:val="0"/>
              </w:rPr>
            </w:pPr>
            <w:r w:rsidRPr="00360DE3">
              <w:rPr>
                <w:spacing w:val="0"/>
              </w:rPr>
              <w:t>K meziročnímu růstu HPH vloni přispěla většina dílčích odvětví. Dříve silná role výzkumu a vývoje či právních a účetnických činností ustoupila do pozadí.</w:t>
            </w:r>
          </w:p>
        </w:tc>
        <w:tc>
          <w:tcPr>
            <w:tcW w:w="277" w:type="dxa"/>
          </w:tcPr>
          <w:p w:rsidR="0063201A" w:rsidRPr="00360DE3" w:rsidRDefault="0063201A" w:rsidP="00DC37E3">
            <w:pPr>
              <w:pStyle w:val="Textpoznpodarou"/>
              <w:jc w:val="both"/>
            </w:pPr>
          </w:p>
        </w:tc>
        <w:tc>
          <w:tcPr>
            <w:tcW w:w="7391" w:type="dxa"/>
          </w:tcPr>
          <w:p w:rsidR="0063201A" w:rsidRPr="00360DE3" w:rsidRDefault="0063201A" w:rsidP="00DC37E3">
            <w:pPr>
              <w:spacing w:after="200"/>
              <w:rPr>
                <w:color w:val="0D0D0D"/>
                <w:szCs w:val="20"/>
              </w:rPr>
            </w:pPr>
            <w:r w:rsidRPr="00360DE3">
              <w:rPr>
                <w:color w:val="0D0D0D"/>
                <w:szCs w:val="20"/>
              </w:rPr>
              <w:t>Tempo meziročního růstu hrubé přidané hodnoty ve sledovaném odvětví bylo loni nejslabší za poslední tři roky. K vyššímu HPH ale přispěla výrazná většina dílčích odvětví. Nejvýznamnější roli měly činnosti v oblasti pronájmu a operativního leasingu, které zajistily bezmála třetinu růstu HPH v celém sledovaném uskupení. Dařilo se i architektonickým a inženýrským činnostem, jež profitovaly z oživení ve stavebnictví. Pokračoval rozvoj ve váhově okrajovém,</w:t>
            </w:r>
            <w:r w:rsidR="00A329DF">
              <w:rPr>
                <w:color w:val="0D0D0D"/>
                <w:szCs w:val="20"/>
              </w:rPr>
              <w:t xml:space="preserve"> ale dynamickém odvětví činnosti</w:t>
            </w:r>
            <w:r w:rsidRPr="00360DE3">
              <w:rPr>
                <w:color w:val="0D0D0D"/>
                <w:szCs w:val="20"/>
              </w:rPr>
              <w:t xml:space="preserve"> související se zaměstnáním</w:t>
            </w:r>
            <w:r w:rsidR="00A329DF">
              <w:rPr>
                <w:color w:val="0D0D0D"/>
                <w:szCs w:val="20"/>
              </w:rPr>
              <w:t>, ve kterém se HPH za poslední</w:t>
            </w:r>
            <w:r w:rsidRPr="00360DE3">
              <w:rPr>
                <w:color w:val="0D0D0D"/>
                <w:szCs w:val="20"/>
              </w:rPr>
              <w:t xml:space="preserve"> tři roky téměř ztrojnásobila. Naopak </w:t>
            </w:r>
            <w:proofErr w:type="spellStart"/>
            <w:r w:rsidRPr="00360DE3">
              <w:rPr>
                <w:color w:val="0D0D0D"/>
                <w:szCs w:val="20"/>
              </w:rPr>
              <w:t>prorůstová</w:t>
            </w:r>
            <w:proofErr w:type="spellEnd"/>
            <w:r w:rsidRPr="00360DE3">
              <w:rPr>
                <w:color w:val="0D0D0D"/>
                <w:szCs w:val="20"/>
              </w:rPr>
              <w:t xml:space="preserve"> role výzkumu a vývoje</w:t>
            </w:r>
            <w:r w:rsidRPr="00360DE3">
              <w:rPr>
                <w:rStyle w:val="Znakapoznpodarou"/>
                <w:color w:val="0D0D0D"/>
                <w:szCs w:val="20"/>
              </w:rPr>
              <w:footnoteReference w:id="126"/>
            </w:r>
            <w:r w:rsidRPr="00360DE3">
              <w:rPr>
                <w:color w:val="0D0D0D"/>
                <w:szCs w:val="20"/>
              </w:rPr>
              <w:t xml:space="preserve"> či váhově významných právních a účetnických činností, jež stimulovaly celé odvětví v předchozích dvou až třech letech, se výrazně omezila. Podobně jako v roce 2016 táhly loni celé odvětví dolů bezpečnostní a pátrací činnosti, jejich příspěvek byl však vzhledem k malé váze tohoto dílčího odvětví nízký. </w:t>
            </w:r>
          </w:p>
        </w:tc>
      </w:tr>
      <w:tr w:rsidR="007C13A4" w:rsidRPr="00360DE3" w:rsidTr="00DC37E3">
        <w:trPr>
          <w:trHeight w:val="170"/>
        </w:trPr>
        <w:tc>
          <w:tcPr>
            <w:tcW w:w="1976" w:type="dxa"/>
          </w:tcPr>
          <w:p w:rsidR="007C13A4" w:rsidRPr="00360DE3" w:rsidRDefault="007C13A4" w:rsidP="005D3386">
            <w:pPr>
              <w:pStyle w:val="Marginlie"/>
              <w:rPr>
                <w:spacing w:val="0"/>
              </w:rPr>
            </w:pPr>
            <w:r w:rsidRPr="00360DE3">
              <w:rPr>
                <w:spacing w:val="0"/>
              </w:rPr>
              <w:t xml:space="preserve">V důležitých ekonomických ukazatelích si stály nejlépe aktivity v oblasti pronájmu a operativního leasingu, nejhůře bezpečnostní </w:t>
            </w:r>
            <w:r w:rsidRPr="00360DE3">
              <w:rPr>
                <w:spacing w:val="0"/>
              </w:rPr>
              <w:lastRenderedPageBreak/>
              <w:t>a pátrací služby.</w:t>
            </w:r>
          </w:p>
        </w:tc>
        <w:tc>
          <w:tcPr>
            <w:tcW w:w="277" w:type="dxa"/>
          </w:tcPr>
          <w:p w:rsidR="007C13A4" w:rsidRPr="00360DE3" w:rsidRDefault="007C13A4" w:rsidP="005D3386">
            <w:pPr>
              <w:pStyle w:val="Textpoznpodarou"/>
              <w:jc w:val="both"/>
            </w:pPr>
          </w:p>
        </w:tc>
        <w:tc>
          <w:tcPr>
            <w:tcW w:w="7391" w:type="dxa"/>
          </w:tcPr>
          <w:p w:rsidR="007C13A4" w:rsidRPr="00360DE3" w:rsidRDefault="007C13A4" w:rsidP="005D3386">
            <w:pPr>
              <w:spacing w:after="220"/>
            </w:pPr>
            <w:r w:rsidRPr="00360DE3">
              <w:rPr>
                <w:szCs w:val="20"/>
              </w:rPr>
              <w:t xml:space="preserve">Mezi dílčími odvětvími v </w:t>
            </w:r>
            <w:r w:rsidRPr="00360DE3">
              <w:t xml:space="preserve">profesních, vědeckých, technických a administrativních činnostech vynikají činnosti v oblasti pronájmu a operativního leasingu. Dlouhodobě vykazují silnou investiční aktivitu a </w:t>
            </w:r>
            <w:r w:rsidR="00274037">
              <w:t>produktivitu práce, vyčnívají i</w:t>
            </w:r>
            <w:r w:rsidR="00274037" w:rsidRPr="00360DE3">
              <w:t> </w:t>
            </w:r>
            <w:r w:rsidRPr="00360DE3">
              <w:t xml:space="preserve">v ziskovosti podniků. Jen u průměrného hrubého měsíčního výdělku dosahovaly </w:t>
            </w:r>
            <w:r w:rsidRPr="00360DE3">
              <w:lastRenderedPageBreak/>
              <w:t>lepšího postavení odvětví činnosti vedení podniků i p</w:t>
            </w:r>
            <w:r w:rsidR="00274037">
              <w:t>oradenství v oblasti řízení (47</w:t>
            </w:r>
            <w:r w:rsidR="00274037" w:rsidRPr="00360DE3">
              <w:t> </w:t>
            </w:r>
            <w:r w:rsidRPr="00360DE3">
              <w:t xml:space="preserve">tis.) a výzkum a vývoj (38 tis.). Naopak většina odvětví v rámci administrativních a podpůrných činností v důležitých ekonomických ukazatelích za celou ekonomikou zřetelně zaostávala. To </w:t>
            </w:r>
            <w:r w:rsidR="00A329DF">
              <w:t xml:space="preserve">se </w:t>
            </w:r>
            <w:r w:rsidR="00274037">
              <w:t>týkalo hlavně bezpečnostních a</w:t>
            </w:r>
            <w:r w:rsidR="00274037" w:rsidRPr="00360DE3">
              <w:t> </w:t>
            </w:r>
            <w:r w:rsidRPr="00360DE3">
              <w:t>pátracích činností, jež dosahovaly nejhorších výsledků ve všech sledovaných ukazatelích</w:t>
            </w:r>
            <w:r w:rsidRPr="00360DE3">
              <w:rPr>
                <w:rStyle w:val="Znakapoznpodarou"/>
              </w:rPr>
              <w:footnoteReference w:id="127"/>
            </w:r>
            <w:r w:rsidRPr="00360DE3">
              <w:t>. V odvětví činnosti související se zaměstnáním kontrastovala přetrvávající podprůměrná výše mezd se silným růstem ziskovosti podniků</w:t>
            </w:r>
            <w:r w:rsidRPr="00360DE3">
              <w:rPr>
                <w:rStyle w:val="Znakapoznpodarou"/>
              </w:rPr>
              <w:footnoteReference w:id="128"/>
            </w:r>
            <w:r w:rsidRPr="00360DE3">
              <w:t xml:space="preserve">. </w:t>
            </w:r>
          </w:p>
        </w:tc>
      </w:tr>
      <w:tr w:rsidR="007C13A4" w:rsidRPr="00360DE3" w:rsidTr="00DC37E3">
        <w:tc>
          <w:tcPr>
            <w:tcW w:w="1976" w:type="dxa"/>
            <w:vMerge w:val="restart"/>
          </w:tcPr>
          <w:p w:rsidR="007C13A4" w:rsidRPr="00360DE3" w:rsidRDefault="007C13A4" w:rsidP="00DC37E3">
            <w:pPr>
              <w:pStyle w:val="Marginlie"/>
              <w:rPr>
                <w:spacing w:val="0"/>
              </w:rPr>
            </w:pPr>
          </w:p>
        </w:tc>
        <w:tc>
          <w:tcPr>
            <w:tcW w:w="277" w:type="dxa"/>
            <w:vMerge w:val="restart"/>
          </w:tcPr>
          <w:p w:rsidR="007C13A4" w:rsidRPr="00360DE3" w:rsidRDefault="007C13A4" w:rsidP="00DC37E3">
            <w:pPr>
              <w:pStyle w:val="Textpoznpodarou"/>
              <w:jc w:val="both"/>
            </w:pPr>
          </w:p>
        </w:tc>
        <w:tc>
          <w:tcPr>
            <w:tcW w:w="7391" w:type="dxa"/>
          </w:tcPr>
          <w:p w:rsidR="007C13A4" w:rsidRPr="00360DE3" w:rsidRDefault="007C13A4" w:rsidP="00DC37E3">
            <w:pPr>
              <w:spacing w:after="0"/>
              <w:jc w:val="left"/>
            </w:pPr>
            <w:r w:rsidRPr="00360DE3">
              <w:rPr>
                <w:b/>
              </w:rPr>
              <w:t xml:space="preserve">Graf </w:t>
            </w:r>
            <w:proofErr w:type="gramStart"/>
            <w:r w:rsidRPr="00360DE3">
              <w:rPr>
                <w:b/>
              </w:rPr>
              <w:t xml:space="preserve">16.3  </w:t>
            </w:r>
            <w:r w:rsidRPr="00360DE3">
              <w:rPr>
                <w:b/>
                <w:bCs/>
              </w:rPr>
              <w:t>Základní</w:t>
            </w:r>
            <w:proofErr w:type="gramEnd"/>
            <w:r w:rsidRPr="00360DE3">
              <w:rPr>
                <w:b/>
                <w:bCs/>
              </w:rPr>
              <w:t xml:space="preserve"> ukazatele vybraných odvětvových oddílů služeb v roce 2017</w:t>
            </w:r>
            <w:r w:rsidRPr="00360DE3">
              <w:rPr>
                <w:bCs/>
              </w:rPr>
              <w:t xml:space="preserve"> (úroveň národního hospodářství = 100)</w:t>
            </w:r>
          </w:p>
          <w:p w:rsidR="007C13A4" w:rsidRPr="00360DE3" w:rsidRDefault="00A329DF" w:rsidP="00DC37E3">
            <w:pPr>
              <w:spacing w:after="0"/>
              <w:rPr>
                <w:b/>
              </w:rPr>
            </w:pPr>
            <w:r w:rsidRPr="00A329DF">
              <w:rPr>
                <w:b/>
                <w:noProof/>
              </w:rPr>
              <w:drawing>
                <wp:inline distT="0" distB="0" distL="0" distR="0">
                  <wp:extent cx="4717022" cy="3553200"/>
                  <wp:effectExtent l="0" t="0" r="0" b="0"/>
                  <wp:docPr id="35"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r>
      <w:tr w:rsidR="007C13A4" w:rsidRPr="00360DE3" w:rsidTr="00DC37E3">
        <w:trPr>
          <w:trHeight w:val="284"/>
        </w:trPr>
        <w:tc>
          <w:tcPr>
            <w:tcW w:w="1976" w:type="dxa"/>
            <w:vMerge/>
          </w:tcPr>
          <w:p w:rsidR="007C13A4" w:rsidRPr="00360DE3" w:rsidRDefault="007C13A4" w:rsidP="00DC37E3">
            <w:pPr>
              <w:pStyle w:val="Marginlie"/>
              <w:rPr>
                <w:spacing w:val="0"/>
              </w:rPr>
            </w:pPr>
          </w:p>
        </w:tc>
        <w:tc>
          <w:tcPr>
            <w:tcW w:w="277" w:type="dxa"/>
            <w:vMerge/>
          </w:tcPr>
          <w:p w:rsidR="007C13A4" w:rsidRPr="00360DE3" w:rsidRDefault="007C13A4" w:rsidP="00DC37E3">
            <w:pPr>
              <w:pStyle w:val="Textpoznpodarou"/>
              <w:jc w:val="both"/>
            </w:pPr>
          </w:p>
        </w:tc>
        <w:tc>
          <w:tcPr>
            <w:tcW w:w="7391" w:type="dxa"/>
          </w:tcPr>
          <w:p w:rsidR="007C13A4" w:rsidRPr="00360DE3" w:rsidRDefault="007C13A4" w:rsidP="00DC37E3">
            <w:pPr>
              <w:pStyle w:val="Zhlav"/>
              <w:spacing w:before="40" w:line="240" w:lineRule="auto"/>
              <w:rPr>
                <w:rFonts w:cs="Arial"/>
                <w:sz w:val="14"/>
                <w:szCs w:val="14"/>
                <w:lang w:eastAsia="cs-CZ"/>
              </w:rPr>
            </w:pPr>
            <w:r w:rsidRPr="00360DE3">
              <w:rPr>
                <w:rFonts w:cs="Arial"/>
                <w:sz w:val="14"/>
                <w:szCs w:val="14"/>
                <w:lang w:eastAsia="cs-CZ"/>
              </w:rPr>
              <w:t>*Odvětví zahrnuje zejména specializované návrhářské činnosti, fotografické, překladatelské a tlumočnické činnosti.</w:t>
            </w:r>
          </w:p>
          <w:p w:rsidR="007C13A4" w:rsidRPr="00360DE3" w:rsidRDefault="007C13A4" w:rsidP="00DC37E3">
            <w:pPr>
              <w:pStyle w:val="Zhlav"/>
              <w:spacing w:line="240" w:lineRule="auto"/>
              <w:rPr>
                <w:rFonts w:cs="Arial"/>
                <w:sz w:val="14"/>
                <w:szCs w:val="14"/>
                <w:lang w:eastAsia="cs-CZ"/>
              </w:rPr>
            </w:pPr>
            <w:r w:rsidRPr="00360DE3">
              <w:rPr>
                <w:rFonts w:cs="Arial"/>
                <w:sz w:val="14"/>
                <w:szCs w:val="14"/>
                <w:lang w:eastAsia="cs-CZ"/>
              </w:rPr>
              <w:t xml:space="preserve">**Míra zisku se vztahuje pouze k nefinančním podnikům působícím v příslušném odvětví. </w:t>
            </w:r>
          </w:p>
          <w:p w:rsidR="007C13A4" w:rsidRPr="00360DE3" w:rsidRDefault="007C13A4" w:rsidP="00DC37E3">
            <w:pPr>
              <w:pStyle w:val="Zhlav"/>
              <w:spacing w:after="200" w:line="240" w:lineRule="auto"/>
              <w:rPr>
                <w:rFonts w:cs="Arial"/>
                <w:sz w:val="14"/>
                <w:szCs w:val="14"/>
                <w:lang w:eastAsia="cs-CZ"/>
              </w:rPr>
            </w:pPr>
            <w:r w:rsidRPr="00360DE3">
              <w:rPr>
                <w:rFonts w:cs="Arial"/>
                <w:sz w:val="14"/>
                <w:szCs w:val="14"/>
                <w:lang w:eastAsia="cs-CZ"/>
              </w:rPr>
              <w:t xml:space="preserve">Zdroj: ČSÚ (národní účty) </w:t>
            </w:r>
          </w:p>
        </w:tc>
      </w:tr>
      <w:tr w:rsidR="007C13A4" w:rsidRPr="00360DE3" w:rsidTr="00DC37E3">
        <w:trPr>
          <w:trHeight w:val="170"/>
        </w:trPr>
        <w:tc>
          <w:tcPr>
            <w:tcW w:w="1976" w:type="dxa"/>
          </w:tcPr>
          <w:p w:rsidR="007C13A4" w:rsidRPr="00360DE3" w:rsidRDefault="007C13A4" w:rsidP="00DC37E3">
            <w:pPr>
              <w:pStyle w:val="Marginlie"/>
              <w:rPr>
                <w:spacing w:val="0"/>
              </w:rPr>
            </w:pPr>
            <w:r w:rsidRPr="00360DE3">
              <w:rPr>
                <w:spacing w:val="0"/>
              </w:rPr>
              <w:t xml:space="preserve">Význam odvětví služeb pro podniky byl v tuzemské ekonomice podobně jako ve většině zemí střední </w:t>
            </w:r>
            <w:r w:rsidR="00A329DF">
              <w:rPr>
                <w:spacing w:val="0"/>
              </w:rPr>
              <w:t>a</w:t>
            </w:r>
            <w:r w:rsidR="00A329DF" w:rsidRPr="00360DE3">
              <w:rPr>
                <w:spacing w:val="0"/>
              </w:rPr>
              <w:t> </w:t>
            </w:r>
            <w:r w:rsidRPr="00360DE3">
              <w:rPr>
                <w:spacing w:val="0"/>
              </w:rPr>
              <w:t>východní Evropy ve srovnání s EU podprůměrný.</w:t>
            </w:r>
          </w:p>
        </w:tc>
        <w:tc>
          <w:tcPr>
            <w:tcW w:w="277" w:type="dxa"/>
          </w:tcPr>
          <w:p w:rsidR="007C13A4" w:rsidRPr="00360DE3" w:rsidRDefault="007C13A4" w:rsidP="00DC37E3">
            <w:pPr>
              <w:pStyle w:val="Textpoznpodarou"/>
              <w:jc w:val="both"/>
            </w:pPr>
          </w:p>
        </w:tc>
        <w:tc>
          <w:tcPr>
            <w:tcW w:w="7391" w:type="dxa"/>
          </w:tcPr>
          <w:p w:rsidR="007C13A4" w:rsidRPr="00360DE3" w:rsidRDefault="007C13A4" w:rsidP="00DC37E3">
            <w:r w:rsidRPr="00360DE3">
              <w:t>Odvětví profesní, vědecké, technické a administrativní činnosti loni vytvořilo 6,8 % HPH celé ekonomiky ČR, podíl u zaměstnanosti pak činil 8,6 %. V obou parametrech patřilo Česko v rámci EU k výrazně podprůměrným (v HPH čtvrtý, v zaměstnanosti osmý nejnižší podíl). Silné postavení měly (vyjma Řecka) starší členské státy (hlavně země Beneluxu, Francie či Velká Británie), kde se tyto služby podílely na HPH až kolem 15 % a na celkové zaměstnanosti šestinou až pětinou.</w:t>
            </w:r>
          </w:p>
        </w:tc>
      </w:tr>
    </w:tbl>
    <w:p w:rsidR="0063201A" w:rsidRPr="00360DE3" w:rsidRDefault="0063201A" w:rsidP="0063201A">
      <w:pPr>
        <w:spacing w:after="0"/>
        <w:rPr>
          <w:sz w:val="2"/>
          <w:szCs w:val="2"/>
        </w:rPr>
      </w:pPr>
    </w:p>
    <w:p w:rsidR="0060404F" w:rsidRDefault="0060404F">
      <w:pPr>
        <w:spacing w:after="0" w:line="240" w:lineRule="auto"/>
        <w:jc w:val="left"/>
        <w:rPr>
          <w:rFonts w:eastAsia="MS Gothic"/>
          <w:b/>
          <w:bCs/>
          <w:color w:val="71818C"/>
          <w:sz w:val="32"/>
          <w:szCs w:val="28"/>
          <w:lang w:eastAsia="en-US"/>
        </w:rPr>
      </w:pPr>
      <w:r>
        <w:rPr>
          <w:lang w:eastAsia="en-US"/>
        </w:rPr>
        <w:br w:type="page"/>
      </w:r>
    </w:p>
    <w:p w:rsidR="00141782" w:rsidRPr="00360DE3" w:rsidRDefault="00E212C9" w:rsidP="00141782">
      <w:pPr>
        <w:pStyle w:val="Nadpis1"/>
        <w:rPr>
          <w:lang w:eastAsia="en-US"/>
        </w:rPr>
      </w:pPr>
      <w:bookmarkStart w:id="34" w:name="_Toc527639489"/>
      <w:r w:rsidRPr="00360DE3">
        <w:rPr>
          <w:lang w:eastAsia="en-US"/>
        </w:rPr>
        <w:lastRenderedPageBreak/>
        <w:t>17</w:t>
      </w:r>
      <w:r w:rsidR="00141782" w:rsidRPr="00360DE3">
        <w:rPr>
          <w:lang w:eastAsia="en-US"/>
        </w:rPr>
        <w:t>. Veřejn</w:t>
      </w:r>
      <w:r w:rsidR="00082A55" w:rsidRPr="00360DE3">
        <w:rPr>
          <w:lang w:eastAsia="en-US"/>
        </w:rPr>
        <w:t>é služby</w:t>
      </w:r>
      <w:bookmarkEnd w:id="34"/>
    </w:p>
    <w:tbl>
      <w:tblPr>
        <w:tblW w:w="9644" w:type="dxa"/>
        <w:tblInd w:w="-15" w:type="dxa"/>
        <w:tblLayout w:type="fixed"/>
        <w:tblCellMar>
          <w:left w:w="0" w:type="dxa"/>
          <w:right w:w="0" w:type="dxa"/>
        </w:tblCellMar>
        <w:tblLook w:val="00A0"/>
      </w:tblPr>
      <w:tblGrid>
        <w:gridCol w:w="1976"/>
        <w:gridCol w:w="277"/>
        <w:gridCol w:w="7391"/>
      </w:tblGrid>
      <w:tr w:rsidR="00082A55" w:rsidRPr="00360DE3" w:rsidTr="00DC37E3">
        <w:trPr>
          <w:trHeight w:val="145"/>
        </w:trPr>
        <w:tc>
          <w:tcPr>
            <w:tcW w:w="1976" w:type="dxa"/>
          </w:tcPr>
          <w:p w:rsidR="00082A55" w:rsidRPr="00360DE3" w:rsidRDefault="00082A55" w:rsidP="00DC37E3">
            <w:pPr>
              <w:pStyle w:val="Marginlie"/>
              <w:rPr>
                <w:spacing w:val="0"/>
              </w:rPr>
            </w:pPr>
            <w:r w:rsidRPr="00360DE3">
              <w:rPr>
                <w:spacing w:val="0"/>
              </w:rPr>
              <w:t>Váha odvětví veřejných služeb v tuzemské ekonomice se dlouhodobě výrazně nemění.</w:t>
            </w:r>
          </w:p>
          <w:p w:rsidR="00082A55" w:rsidRPr="00360DE3" w:rsidRDefault="00082A55" w:rsidP="00DC37E3">
            <w:pPr>
              <w:pStyle w:val="Marginlie"/>
              <w:rPr>
                <w:spacing w:val="0"/>
              </w:rPr>
            </w:pPr>
          </w:p>
          <w:p w:rsidR="00082A55" w:rsidRPr="00360DE3" w:rsidRDefault="00082A55" w:rsidP="00DC37E3">
            <w:pPr>
              <w:pStyle w:val="Marginlie"/>
              <w:rPr>
                <w:spacing w:val="0"/>
              </w:rPr>
            </w:pPr>
          </w:p>
          <w:p w:rsidR="00082A55" w:rsidRPr="00360DE3" w:rsidRDefault="00082A55" w:rsidP="00DC37E3">
            <w:pPr>
              <w:pStyle w:val="Marginlie"/>
              <w:rPr>
                <w:spacing w:val="0"/>
              </w:rPr>
            </w:pPr>
          </w:p>
          <w:p w:rsidR="00082A55" w:rsidRPr="00360DE3" w:rsidRDefault="00082A55" w:rsidP="00DC37E3">
            <w:pPr>
              <w:pStyle w:val="Marginlie"/>
              <w:rPr>
                <w:spacing w:val="0"/>
              </w:rPr>
            </w:pPr>
          </w:p>
          <w:p w:rsidR="00082A55" w:rsidRPr="00360DE3" w:rsidRDefault="00082A55" w:rsidP="00DC37E3">
            <w:pPr>
              <w:pStyle w:val="Marginlie"/>
              <w:rPr>
                <w:spacing w:val="0"/>
              </w:rPr>
            </w:pPr>
          </w:p>
        </w:tc>
        <w:tc>
          <w:tcPr>
            <w:tcW w:w="277" w:type="dxa"/>
          </w:tcPr>
          <w:p w:rsidR="00082A55" w:rsidRPr="00360DE3" w:rsidRDefault="00082A55" w:rsidP="00DC37E3">
            <w:pPr>
              <w:pStyle w:val="Textpoznpodarou"/>
              <w:jc w:val="both"/>
            </w:pPr>
          </w:p>
        </w:tc>
        <w:tc>
          <w:tcPr>
            <w:tcW w:w="7391" w:type="dxa"/>
          </w:tcPr>
          <w:p w:rsidR="00082A55" w:rsidRPr="00360DE3" w:rsidRDefault="00082A55" w:rsidP="0060404F">
            <w:pPr>
              <w:spacing w:after="220"/>
            </w:pPr>
            <w:r w:rsidRPr="00360DE3">
              <w:t>Odvětví tzv. veřejných služeb</w:t>
            </w:r>
            <w:r w:rsidRPr="00360DE3">
              <w:rPr>
                <w:rStyle w:val="Znakapoznpodarou"/>
              </w:rPr>
              <w:footnoteReference w:id="129"/>
            </w:r>
            <w:r w:rsidRPr="00360DE3">
              <w:t xml:space="preserve"> představují významnou součást ekonomiky. Jejich klíčové poslání tkví v poskytování netržních služeb a rozdělování důchodu pomocí dotací či sociálních dávek. Odvětví spadající do veřejných služeb tvoří zároveň jádro sektoru vládních institucí. Veřejné služby se v Česku loni ve vztahu k celému národnímu hospodářství podílely 8,7 % na jeho produkci, 15,4 % na hrubé přidané hodnotě (HPH) a 18,7 % na zaměstnanosti. V kontextu historie samostatné ČR role veřejných služeb v ekonomice s menšími výkyvy spíše stagnuje.</w:t>
            </w:r>
          </w:p>
        </w:tc>
      </w:tr>
      <w:tr w:rsidR="00082A55" w:rsidRPr="00360DE3" w:rsidTr="00DC37E3">
        <w:tc>
          <w:tcPr>
            <w:tcW w:w="1976" w:type="dxa"/>
            <w:vMerge w:val="restart"/>
          </w:tcPr>
          <w:p w:rsidR="00082A55" w:rsidRPr="00360DE3" w:rsidRDefault="00082A55" w:rsidP="00DC37E3">
            <w:pPr>
              <w:pStyle w:val="Marginlie"/>
              <w:rPr>
                <w:spacing w:val="0"/>
              </w:rPr>
            </w:pPr>
          </w:p>
        </w:tc>
        <w:tc>
          <w:tcPr>
            <w:tcW w:w="277" w:type="dxa"/>
            <w:vMerge w:val="restart"/>
          </w:tcPr>
          <w:p w:rsidR="00082A55" w:rsidRPr="00360DE3" w:rsidRDefault="00082A55" w:rsidP="00DC37E3">
            <w:pPr>
              <w:pStyle w:val="Textpoznpodarou"/>
              <w:jc w:val="both"/>
            </w:pPr>
          </w:p>
        </w:tc>
        <w:tc>
          <w:tcPr>
            <w:tcW w:w="7391" w:type="dxa"/>
          </w:tcPr>
          <w:p w:rsidR="00082A55" w:rsidRPr="00360DE3" w:rsidRDefault="00082A55" w:rsidP="00DC37E3">
            <w:pPr>
              <w:spacing w:after="0"/>
              <w:rPr>
                <w:b/>
              </w:rPr>
            </w:pPr>
            <w:r w:rsidRPr="00360DE3">
              <w:rPr>
                <w:b/>
              </w:rPr>
              <w:t xml:space="preserve">Graf </w:t>
            </w:r>
            <w:proofErr w:type="gramStart"/>
            <w:r w:rsidRPr="00360DE3">
              <w:rPr>
                <w:b/>
              </w:rPr>
              <w:t xml:space="preserve">17.1  </w:t>
            </w:r>
            <w:r w:rsidRPr="00360DE3">
              <w:rPr>
                <w:b/>
                <w:bCs/>
              </w:rPr>
              <w:t>Základní</w:t>
            </w:r>
            <w:proofErr w:type="gramEnd"/>
            <w:r w:rsidRPr="00360DE3">
              <w:rPr>
                <w:b/>
                <w:bCs/>
              </w:rPr>
              <w:t xml:space="preserve"> ukazatele odvětví veřejných služeb</w:t>
            </w:r>
          </w:p>
          <w:p w:rsidR="00082A55" w:rsidRPr="00360DE3" w:rsidRDefault="00082A55" w:rsidP="00DC37E3">
            <w:pPr>
              <w:spacing w:after="0"/>
              <w:rPr>
                <w:b/>
              </w:rPr>
            </w:pPr>
            <w:r w:rsidRPr="00360DE3">
              <w:rPr>
                <w:b/>
                <w:noProof/>
              </w:rPr>
              <w:drawing>
                <wp:inline distT="0" distB="0" distL="0" distR="0">
                  <wp:extent cx="4692650" cy="3473450"/>
                  <wp:effectExtent l="19050" t="0" r="0" b="0"/>
                  <wp:docPr id="104"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r w:rsidR="00082A55" w:rsidRPr="00360DE3" w:rsidTr="00DC37E3">
        <w:trPr>
          <w:trHeight w:val="284"/>
        </w:trPr>
        <w:tc>
          <w:tcPr>
            <w:tcW w:w="1976" w:type="dxa"/>
            <w:vMerge/>
          </w:tcPr>
          <w:p w:rsidR="00082A55" w:rsidRPr="00360DE3" w:rsidRDefault="00082A55" w:rsidP="00DC37E3">
            <w:pPr>
              <w:pStyle w:val="Marginlie"/>
              <w:rPr>
                <w:spacing w:val="0"/>
              </w:rPr>
            </w:pPr>
          </w:p>
        </w:tc>
        <w:tc>
          <w:tcPr>
            <w:tcW w:w="277" w:type="dxa"/>
            <w:vMerge/>
          </w:tcPr>
          <w:p w:rsidR="00082A55" w:rsidRPr="00360DE3" w:rsidRDefault="00082A55" w:rsidP="00DC37E3">
            <w:pPr>
              <w:pStyle w:val="Textpoznpodarou"/>
              <w:jc w:val="both"/>
            </w:pPr>
          </w:p>
        </w:tc>
        <w:tc>
          <w:tcPr>
            <w:tcW w:w="7391" w:type="dxa"/>
          </w:tcPr>
          <w:p w:rsidR="00082A55" w:rsidRPr="00360DE3" w:rsidRDefault="00082A55" w:rsidP="0060404F">
            <w:pPr>
              <w:pStyle w:val="Zhlav"/>
              <w:spacing w:before="40" w:after="240" w:line="240" w:lineRule="auto"/>
              <w:rPr>
                <w:rFonts w:cs="Arial"/>
                <w:sz w:val="14"/>
                <w:szCs w:val="14"/>
                <w:lang w:eastAsia="cs-CZ"/>
              </w:rPr>
            </w:pPr>
            <w:r w:rsidRPr="00360DE3">
              <w:rPr>
                <w:rFonts w:cs="Arial"/>
                <w:sz w:val="14"/>
                <w:szCs w:val="14"/>
                <w:lang w:eastAsia="cs-CZ"/>
              </w:rPr>
              <w:t xml:space="preserve">*Do reálného vyjádření převedeno deflátorem výdajů na konečnou spotřebu domácností.      Zdroj: ČSÚ (národní účty) </w:t>
            </w:r>
          </w:p>
        </w:tc>
      </w:tr>
      <w:tr w:rsidR="0060404F" w:rsidRPr="00360DE3" w:rsidTr="00DC37E3">
        <w:trPr>
          <w:trHeight w:val="145"/>
        </w:trPr>
        <w:tc>
          <w:tcPr>
            <w:tcW w:w="1976" w:type="dxa"/>
          </w:tcPr>
          <w:p w:rsidR="0060404F" w:rsidRPr="00360DE3" w:rsidRDefault="0060404F" w:rsidP="00DC37E3">
            <w:pPr>
              <w:pStyle w:val="Marginlie"/>
              <w:rPr>
                <w:spacing w:val="0"/>
              </w:rPr>
            </w:pPr>
            <w:r w:rsidRPr="00360DE3">
              <w:rPr>
                <w:spacing w:val="0"/>
              </w:rPr>
              <w:t>I přes svou nezanedbatelnou váhu přispívají veřejné služby k růstu HPH v celé ekonomice spíše okrajově</w:t>
            </w:r>
          </w:p>
        </w:tc>
        <w:tc>
          <w:tcPr>
            <w:tcW w:w="277" w:type="dxa"/>
          </w:tcPr>
          <w:p w:rsidR="0060404F" w:rsidRPr="00360DE3" w:rsidRDefault="0060404F" w:rsidP="00DC37E3">
            <w:pPr>
              <w:pStyle w:val="Textpoznpodarou"/>
              <w:jc w:val="both"/>
            </w:pPr>
          </w:p>
        </w:tc>
        <w:tc>
          <w:tcPr>
            <w:tcW w:w="7391" w:type="dxa"/>
          </w:tcPr>
          <w:p w:rsidR="0060404F" w:rsidRPr="00360DE3" w:rsidRDefault="00DE4C19" w:rsidP="0060404F">
            <w:pPr>
              <w:spacing w:after="0"/>
            </w:pPr>
            <w:r>
              <w:t>HPH v odvětví veřejných služeb</w:t>
            </w:r>
            <w:r w:rsidR="0060404F" w:rsidRPr="00360DE3">
              <w:t xml:space="preserve"> </w:t>
            </w:r>
            <w:r w:rsidR="0060404F">
              <w:t xml:space="preserve">se </w:t>
            </w:r>
            <w:r w:rsidR="0060404F" w:rsidRPr="00360DE3">
              <w:t xml:space="preserve">navyšovala již šestým rokem v řadě, </w:t>
            </w:r>
            <w:r w:rsidR="0060404F">
              <w:t xml:space="preserve">růst však </w:t>
            </w:r>
            <w:r w:rsidR="0060404F" w:rsidRPr="00360DE3">
              <w:t xml:space="preserve">vyjma posledních dvou let </w:t>
            </w:r>
            <w:r w:rsidR="0060404F">
              <w:t xml:space="preserve">nepřekročil </w:t>
            </w:r>
            <w:r w:rsidR="0060404F" w:rsidRPr="00360DE3">
              <w:t>1 %. Za celé šestileté období činil průměrný roční příspěvek odvětví k růstu celé ekonomiky je</w:t>
            </w:r>
            <w:r w:rsidR="00274037">
              <w:t xml:space="preserve">n 0,1 p. </w:t>
            </w:r>
            <w:proofErr w:type="spellStart"/>
            <w:r w:rsidR="00274037">
              <w:t>b</w:t>
            </w:r>
            <w:proofErr w:type="spellEnd"/>
            <w:r w:rsidR="00274037">
              <w:t>. HPH v letech 2016 i</w:t>
            </w:r>
            <w:r w:rsidR="00274037" w:rsidRPr="00360DE3">
              <w:t> </w:t>
            </w:r>
            <w:r w:rsidR="0060404F" w:rsidRPr="00360DE3">
              <w:t>2017 ve všech dílčích odvětvích veřejných služeb posílila. K růstu celého odvětví loni z poloviny přispělo vzdělávání, ve dvou předešlých letech ho ale táhl nejvíce váhově dominantní oddíl veřejná správa, obrana a povinné sociální zabezpečení. Vzhledem k nižší materiálové i energetické náročnosti produkce</w:t>
            </w:r>
            <w:r w:rsidR="0060404F" w:rsidRPr="00360DE3">
              <w:rPr>
                <w:rStyle w:val="Znakapoznpodarou"/>
              </w:rPr>
              <w:footnoteReference w:id="130"/>
            </w:r>
            <w:r w:rsidR="0060404F" w:rsidRPr="00360DE3">
              <w:t xml:space="preserve"> i „neziskového“ charakteru</w:t>
            </w:r>
            <w:r w:rsidR="0060404F" w:rsidRPr="00360DE3">
              <w:rPr>
                <w:rStyle w:val="Znakapoznpodarou"/>
              </w:rPr>
              <w:footnoteReference w:id="131"/>
            </w:r>
            <w:r w:rsidR="0060404F" w:rsidRPr="00360DE3">
              <w:t xml:space="preserve"> většiny odvětví veřejných služeb je zde vývoj přidané hodnoty silněji provázaný s objemem výdajů na mzdy a platy.</w:t>
            </w:r>
          </w:p>
        </w:tc>
      </w:tr>
      <w:tr w:rsidR="00082A55" w:rsidRPr="00360DE3" w:rsidTr="00DC37E3">
        <w:trPr>
          <w:trHeight w:val="145"/>
        </w:trPr>
        <w:tc>
          <w:tcPr>
            <w:tcW w:w="1976" w:type="dxa"/>
          </w:tcPr>
          <w:p w:rsidR="00082A55" w:rsidRPr="00360DE3" w:rsidRDefault="00082A55" w:rsidP="00DC37E3">
            <w:pPr>
              <w:pStyle w:val="Marginlie"/>
              <w:rPr>
                <w:spacing w:val="0"/>
              </w:rPr>
            </w:pPr>
            <w:r w:rsidRPr="00360DE3">
              <w:rPr>
                <w:spacing w:val="0"/>
              </w:rPr>
              <w:lastRenderedPageBreak/>
              <w:t>Výdaje na mzdy a platy ve veřejných službách rostly již druhým rokem v řadě rychleji než v celé ekonomice.</w:t>
            </w:r>
          </w:p>
        </w:tc>
        <w:tc>
          <w:tcPr>
            <w:tcW w:w="277" w:type="dxa"/>
          </w:tcPr>
          <w:p w:rsidR="00082A55" w:rsidRPr="00360DE3" w:rsidRDefault="00082A55" w:rsidP="00DC37E3">
            <w:pPr>
              <w:pStyle w:val="Textpoznpodarou"/>
              <w:jc w:val="both"/>
            </w:pPr>
          </w:p>
        </w:tc>
        <w:tc>
          <w:tcPr>
            <w:tcW w:w="7391" w:type="dxa"/>
          </w:tcPr>
          <w:p w:rsidR="00082A55" w:rsidRPr="00360DE3" w:rsidRDefault="00082A55" w:rsidP="00DC37E3">
            <w:r w:rsidRPr="00360DE3">
              <w:t>Tempo růstu výdajů na mzdy a platy (po zohlednění cenových vlivů) po roce 2012 zrychlovalo. Za loňský rok činilo již 7,4 % a druhým rokem převýšilo hodnotu v celé ekonomice. V úhrnu za celé období po roce 2010 však byl růst těchto výdajů s národním hospodářstvím srovnatelný</w:t>
            </w:r>
            <w:r w:rsidRPr="00360DE3">
              <w:rPr>
                <w:rStyle w:val="Znakapoznpodarou"/>
              </w:rPr>
              <w:footnoteReference w:id="132"/>
            </w:r>
            <w:r w:rsidRPr="00360DE3">
              <w:t>, neboť v období fiskální konsolidace (2011 a 2012) výdaje na mzdy a platy ve veřejných službách na rozdíl od ostatních částí ekonomiky klesaly. Růst počtu pracovníků veřejných služeb</w:t>
            </w:r>
            <w:r w:rsidRPr="00360DE3">
              <w:rPr>
                <w:rStyle w:val="Znakapoznpodarou"/>
              </w:rPr>
              <w:footnoteReference w:id="133"/>
            </w:r>
            <w:r w:rsidRPr="00360DE3">
              <w:t xml:space="preserve"> dosáhl po roce 2015 nejvyšších meziročních temp v historii v samostatné ČR. Přestože se zaměstnanost navyšovala plošně, mezi dílčími odvětvími loni vyčnívaly dosud relativně málo rozvinuté pobytové služby sociální péče (+6,3 %) i ambulantní nebo terénní sociální služby (+5,3 %). Růst zaměstnanosti výrazně zrychlil ve vzdělávání. </w:t>
            </w:r>
          </w:p>
        </w:tc>
      </w:tr>
      <w:tr w:rsidR="00082A55" w:rsidRPr="00360DE3" w:rsidTr="00DC37E3">
        <w:trPr>
          <w:trHeight w:val="170"/>
        </w:trPr>
        <w:tc>
          <w:tcPr>
            <w:tcW w:w="1976" w:type="dxa"/>
          </w:tcPr>
          <w:p w:rsidR="00082A55" w:rsidRPr="00360DE3" w:rsidRDefault="00082A55" w:rsidP="00DC37E3">
            <w:pPr>
              <w:pStyle w:val="Marginlie"/>
              <w:rPr>
                <w:spacing w:val="0"/>
              </w:rPr>
            </w:pPr>
            <w:r w:rsidRPr="00360DE3">
              <w:rPr>
                <w:spacing w:val="0"/>
              </w:rPr>
              <w:t>Hodinová produktivita práce ve veřejných službách klesala, její dosažená úroveň je ve srovnání s celou ekonomikou dlouhodobě nižší.</w:t>
            </w:r>
          </w:p>
        </w:tc>
        <w:tc>
          <w:tcPr>
            <w:tcW w:w="277" w:type="dxa"/>
          </w:tcPr>
          <w:p w:rsidR="00082A55" w:rsidRPr="00360DE3" w:rsidRDefault="00082A55" w:rsidP="00DC37E3">
            <w:pPr>
              <w:pStyle w:val="Textpoznpodarou"/>
              <w:jc w:val="both"/>
            </w:pPr>
          </w:p>
        </w:tc>
        <w:tc>
          <w:tcPr>
            <w:tcW w:w="7391" w:type="dxa"/>
          </w:tcPr>
          <w:p w:rsidR="00082A55" w:rsidRPr="00360DE3" w:rsidRDefault="00082A55" w:rsidP="00DC37E3">
            <w:r w:rsidRPr="00360DE3">
              <w:t>Oživení zaměstnanosti při slabší dynamice HPH vyústilo v pokles hodinové produktivity práce. Ta byla vloni ve veřejných službách oproti roku 2010 p 5 % nižší (v celé ekonomice vzrostla o 11 %). Na této disproporci se nejvíce podílelo odvětví zdravotní péče. V roce 2017 dosahovala úroveň nominální hodinové produktivity práce ve veřejných službách 84 % výše národního hospodářství. Nad touto hladinou se udržovala jen v odvětví veřejné správy, obrany a sociálního zabezpečení.</w:t>
            </w:r>
          </w:p>
        </w:tc>
      </w:tr>
      <w:tr w:rsidR="00082A55" w:rsidRPr="00360DE3" w:rsidTr="00DC37E3">
        <w:trPr>
          <w:trHeight w:val="170"/>
        </w:trPr>
        <w:tc>
          <w:tcPr>
            <w:tcW w:w="1976" w:type="dxa"/>
          </w:tcPr>
          <w:p w:rsidR="00082A55" w:rsidRPr="00360DE3" w:rsidRDefault="00082A55" w:rsidP="00DC37E3">
            <w:pPr>
              <w:pStyle w:val="Marginlie"/>
              <w:rPr>
                <w:spacing w:val="0"/>
              </w:rPr>
            </w:pPr>
          </w:p>
        </w:tc>
        <w:tc>
          <w:tcPr>
            <w:tcW w:w="277" w:type="dxa"/>
          </w:tcPr>
          <w:p w:rsidR="00082A55" w:rsidRPr="00360DE3" w:rsidRDefault="00082A55" w:rsidP="00DC37E3">
            <w:pPr>
              <w:pStyle w:val="Textpoznpodarou"/>
              <w:jc w:val="both"/>
            </w:pPr>
          </w:p>
        </w:tc>
        <w:tc>
          <w:tcPr>
            <w:tcW w:w="7391" w:type="dxa"/>
          </w:tcPr>
          <w:p w:rsidR="00082A55" w:rsidRPr="00360DE3" w:rsidRDefault="00082A55" w:rsidP="00DC37E3">
            <w:pPr>
              <w:spacing w:after="0"/>
              <w:rPr>
                <w:bCs/>
              </w:rPr>
            </w:pPr>
            <w:r w:rsidRPr="00360DE3">
              <w:rPr>
                <w:b/>
              </w:rPr>
              <w:t xml:space="preserve">Graf 17.2  </w:t>
            </w:r>
            <w:r w:rsidRPr="00360DE3">
              <w:rPr>
                <w:b/>
                <w:bCs/>
              </w:rPr>
              <w:t xml:space="preserve">Investice* dle věcného členění </w:t>
            </w:r>
            <w:r w:rsidRPr="00360DE3">
              <w:rPr>
                <w:bCs/>
              </w:rPr>
              <w:t xml:space="preserve">(v mld. korun, běžné ceny) </w:t>
            </w:r>
            <w:r w:rsidRPr="00360DE3">
              <w:rPr>
                <w:b/>
                <w:bCs/>
              </w:rPr>
              <w:t xml:space="preserve">a celková výše investic* </w:t>
            </w:r>
            <w:r w:rsidRPr="00360DE3">
              <w:rPr>
                <w:bCs/>
              </w:rPr>
              <w:t xml:space="preserve">(stále ceny, rok 2010=100) </w:t>
            </w:r>
            <w:r w:rsidRPr="00360DE3">
              <w:rPr>
                <w:b/>
                <w:bCs/>
              </w:rPr>
              <w:t>v hlavních odvětvích veřejných služeb</w:t>
            </w:r>
          </w:p>
          <w:p w:rsidR="00082A55" w:rsidRPr="00360DE3" w:rsidRDefault="00082A55" w:rsidP="00DC37E3">
            <w:pPr>
              <w:spacing w:after="0"/>
              <w:rPr>
                <w:b/>
              </w:rPr>
            </w:pPr>
            <w:r w:rsidRPr="00360DE3">
              <w:rPr>
                <w:b/>
                <w:noProof/>
              </w:rPr>
              <w:drawing>
                <wp:inline distT="0" distB="0" distL="0" distR="0">
                  <wp:extent cx="4692650" cy="3600450"/>
                  <wp:effectExtent l="19050" t="0" r="0" b="0"/>
                  <wp:docPr id="105"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r w:rsidR="00082A55" w:rsidRPr="00360DE3" w:rsidTr="00DC37E3">
        <w:trPr>
          <w:trHeight w:val="170"/>
        </w:trPr>
        <w:tc>
          <w:tcPr>
            <w:tcW w:w="1976" w:type="dxa"/>
          </w:tcPr>
          <w:p w:rsidR="00082A55" w:rsidRPr="00360DE3" w:rsidRDefault="00082A55" w:rsidP="00DC37E3">
            <w:pPr>
              <w:pStyle w:val="Marginlie"/>
              <w:rPr>
                <w:spacing w:val="0"/>
              </w:rPr>
            </w:pPr>
          </w:p>
        </w:tc>
        <w:tc>
          <w:tcPr>
            <w:tcW w:w="277" w:type="dxa"/>
          </w:tcPr>
          <w:p w:rsidR="00082A55" w:rsidRPr="00360DE3" w:rsidRDefault="00082A55" w:rsidP="00DC37E3">
            <w:pPr>
              <w:pStyle w:val="Textpoznpodarou"/>
              <w:jc w:val="both"/>
            </w:pPr>
          </w:p>
        </w:tc>
        <w:tc>
          <w:tcPr>
            <w:tcW w:w="7391" w:type="dxa"/>
          </w:tcPr>
          <w:p w:rsidR="00082A55" w:rsidRPr="00360DE3" w:rsidRDefault="00082A55" w:rsidP="00DC37E3">
            <w:pPr>
              <w:pStyle w:val="Zhlav"/>
              <w:spacing w:before="40" w:line="240" w:lineRule="auto"/>
              <w:rPr>
                <w:rFonts w:cs="Arial"/>
                <w:sz w:val="14"/>
                <w:szCs w:val="14"/>
                <w:lang w:eastAsia="cs-CZ"/>
              </w:rPr>
            </w:pPr>
            <w:r w:rsidRPr="00360DE3">
              <w:rPr>
                <w:rFonts w:cs="Arial"/>
                <w:sz w:val="14"/>
                <w:szCs w:val="14"/>
                <w:lang w:eastAsia="cs-CZ"/>
              </w:rPr>
              <w:t xml:space="preserve">* Investicemi se rozumí </w:t>
            </w:r>
            <w:r w:rsidRPr="00360DE3">
              <w:rPr>
                <w:rFonts w:cs="Arial"/>
                <w:bCs/>
                <w:sz w:val="14"/>
                <w:szCs w:val="14"/>
              </w:rPr>
              <w:t>tvorba hrubého fixního kapitálu (THFK).</w:t>
            </w:r>
          </w:p>
          <w:p w:rsidR="00082A55" w:rsidRPr="00360DE3" w:rsidRDefault="00082A55" w:rsidP="00DC37E3">
            <w:pPr>
              <w:pStyle w:val="Zhlav"/>
              <w:spacing w:after="220" w:line="240" w:lineRule="auto"/>
              <w:rPr>
                <w:rFonts w:cs="Arial"/>
                <w:sz w:val="14"/>
                <w:szCs w:val="14"/>
                <w:lang w:eastAsia="cs-CZ"/>
              </w:rPr>
            </w:pPr>
            <w:r w:rsidRPr="00360DE3">
              <w:rPr>
                <w:rFonts w:cs="Arial"/>
                <w:sz w:val="14"/>
                <w:szCs w:val="14"/>
                <w:lang w:eastAsia="cs-CZ"/>
              </w:rPr>
              <w:t xml:space="preserve">Zdroj: ČSÚ (národní účty) </w:t>
            </w:r>
          </w:p>
        </w:tc>
      </w:tr>
      <w:tr w:rsidR="00082A55" w:rsidRPr="00360DE3" w:rsidTr="00DC37E3">
        <w:trPr>
          <w:trHeight w:val="170"/>
        </w:trPr>
        <w:tc>
          <w:tcPr>
            <w:tcW w:w="1976" w:type="dxa"/>
          </w:tcPr>
          <w:p w:rsidR="00082A55" w:rsidRPr="00360DE3" w:rsidRDefault="00082A55" w:rsidP="00DC37E3">
            <w:pPr>
              <w:pStyle w:val="Marginlie"/>
              <w:rPr>
                <w:spacing w:val="0"/>
              </w:rPr>
            </w:pPr>
            <w:r w:rsidRPr="00360DE3">
              <w:rPr>
                <w:spacing w:val="0"/>
              </w:rPr>
              <w:t xml:space="preserve">Výše průměrných výdělků se mezi dílčími odvětvími služeb výrazně odlišovala. </w:t>
            </w:r>
            <w:r w:rsidRPr="00360DE3">
              <w:rPr>
                <w:spacing w:val="0"/>
              </w:rPr>
              <w:lastRenderedPageBreak/>
              <w:t>Výrazně nepříznivé postavení sociálních služeb i péče či kultury nadále přetrvávalo.</w:t>
            </w:r>
          </w:p>
        </w:tc>
        <w:tc>
          <w:tcPr>
            <w:tcW w:w="277" w:type="dxa"/>
          </w:tcPr>
          <w:p w:rsidR="00082A55" w:rsidRPr="00360DE3" w:rsidRDefault="00082A55" w:rsidP="00DC37E3">
            <w:pPr>
              <w:pStyle w:val="Textpoznpodarou"/>
              <w:jc w:val="both"/>
            </w:pPr>
          </w:p>
        </w:tc>
        <w:tc>
          <w:tcPr>
            <w:tcW w:w="7391" w:type="dxa"/>
          </w:tcPr>
          <w:p w:rsidR="00082A55" w:rsidRPr="00360DE3" w:rsidRDefault="00082A55" w:rsidP="00DC37E3">
            <w:r w:rsidRPr="00360DE3">
              <w:t>Objem mezd a platů v relaci na jednoho zaměstnance</w:t>
            </w:r>
            <w:r w:rsidRPr="00360DE3">
              <w:rPr>
                <w:vertAlign w:val="superscript"/>
              </w:rPr>
              <w:t>6</w:t>
            </w:r>
            <w:r w:rsidRPr="00360DE3">
              <w:t xml:space="preserve"> vzrostl ve veřejných službách během loňska o 6,7 %, podobným tempem jako v celé ekonomice. </w:t>
            </w:r>
            <w:r w:rsidRPr="00360DE3">
              <w:lastRenderedPageBreak/>
              <w:t>Růstová tempa se mezi dílčími odvětvími veřejných služeb zásadně nelišila, což však neplatilo o průměrné dosa</w:t>
            </w:r>
            <w:r w:rsidR="00DE4C19">
              <w:t>žené výši</w:t>
            </w:r>
            <w:r w:rsidRPr="00360DE3">
              <w:t xml:space="preserve"> výdělků. Ta </w:t>
            </w:r>
            <w:proofErr w:type="gramStart"/>
            <w:r w:rsidRPr="00360DE3">
              <w:t>se</w:t>
            </w:r>
            <w:proofErr w:type="gramEnd"/>
            <w:r w:rsidRPr="00360DE3">
              <w:t xml:space="preserve"> v tomto odvětví pohybovala </w:t>
            </w:r>
            <w:proofErr w:type="gramStart"/>
            <w:r w:rsidRPr="00360DE3">
              <w:t>desetinu</w:t>
            </w:r>
            <w:proofErr w:type="gramEnd"/>
            <w:r w:rsidRPr="00360DE3">
              <w:t xml:space="preserve"> nad úrovní národního hospodářství. Tuto hladinu ale dlouhodobě převyšuje jen ve veřejné správě, obraně a sociálním zabezpečení (loni o 31 %)</w:t>
            </w:r>
            <w:r w:rsidRPr="00360DE3">
              <w:rPr>
                <w:rStyle w:val="Znakapoznpodarou"/>
              </w:rPr>
              <w:footnoteReference w:id="134"/>
            </w:r>
            <w:r w:rsidRPr="00360DE3">
              <w:t xml:space="preserve"> a ve zdravotní péči (o 11 %). Naopak i přes dílčí zlepšení v roce 2017 setrvávaly průměrné výdělky v oblasti sociálních služeb i péče, podobně jako v oblasti kultury o pětinu až čtvrtinu pod úrovní celé ekonomiky. Těsně pod touto hladinou se nacházely (navzdory vysoké kvalifikační úrovni zaměstnanců)</w:t>
            </w:r>
            <w:r w:rsidRPr="00360DE3">
              <w:rPr>
                <w:rStyle w:val="Znakapoznpodarou"/>
              </w:rPr>
              <w:footnoteReference w:id="135"/>
            </w:r>
            <w:r w:rsidRPr="00360DE3">
              <w:t xml:space="preserve"> rovněž výdělky ve vzdělávání.</w:t>
            </w:r>
          </w:p>
        </w:tc>
      </w:tr>
      <w:tr w:rsidR="00082A55" w:rsidRPr="00360DE3" w:rsidTr="00DC37E3">
        <w:trPr>
          <w:trHeight w:val="170"/>
        </w:trPr>
        <w:tc>
          <w:tcPr>
            <w:tcW w:w="1976" w:type="dxa"/>
          </w:tcPr>
          <w:p w:rsidR="00082A55" w:rsidRPr="00360DE3" w:rsidRDefault="00082A55" w:rsidP="00DC37E3">
            <w:pPr>
              <w:pStyle w:val="Marginlie"/>
              <w:rPr>
                <w:spacing w:val="0"/>
              </w:rPr>
            </w:pPr>
            <w:r w:rsidRPr="00360DE3">
              <w:rPr>
                <w:spacing w:val="0"/>
              </w:rPr>
              <w:lastRenderedPageBreak/>
              <w:t>Míra investic ve veřejných službách za úrovní v celé ekonomice dlouhodobě zaostává. Výjimkou byl jen mimořádný rok 2015 ovlivněný silnými finančními toky z rozpočtu EU.</w:t>
            </w:r>
          </w:p>
        </w:tc>
        <w:tc>
          <w:tcPr>
            <w:tcW w:w="277" w:type="dxa"/>
          </w:tcPr>
          <w:p w:rsidR="00082A55" w:rsidRPr="00360DE3" w:rsidRDefault="00082A55" w:rsidP="00DC37E3">
            <w:pPr>
              <w:pStyle w:val="Textpoznpodarou"/>
              <w:jc w:val="both"/>
            </w:pPr>
          </w:p>
        </w:tc>
        <w:tc>
          <w:tcPr>
            <w:tcW w:w="7391" w:type="dxa"/>
          </w:tcPr>
          <w:p w:rsidR="00082A55" w:rsidRPr="00360DE3" w:rsidRDefault="00082A55" w:rsidP="00DC37E3">
            <w:r w:rsidRPr="00360DE3">
              <w:t xml:space="preserve">Odvětví veřejných služeb plní funkci významného zaměstnavatele, nezanedbatelnou roli mají ale i v oblasti investic. Vloni vytvářely 11 % hrubého fixního kapitálu (THFK) v národním hospodářství, resp. více než šestinu v rámci celého terciárního sektoru. Míru investic (podíl THFK na HPH) ve veřejných službách ovlivňují vedle hospodářského cyklu i výrazné nepravidelnosti v čerpání prostředků z rozpočtu EU, což je dobře patrné na lokálních extrémech v letech 2013, 2015 i 2016. Relativní investiční aktivita ve veřejných službách za hodnotami v celé ekonomice (i zbývající části služeb) dlouhodobě zaostává (těsně se k nim přiblížila jen v mimořádném roce 2015). Po prudkém propadu v roce 2016, kdy zde míra investic sestoupila nejníže od měnové krize z konce 90. let, došlo loni k dílčímu oživení (nárůst o 2 p. </w:t>
            </w:r>
            <w:proofErr w:type="spellStart"/>
            <w:r w:rsidRPr="00360DE3">
              <w:t>b</w:t>
            </w:r>
            <w:proofErr w:type="spellEnd"/>
            <w:r w:rsidRPr="00360DE3">
              <w:t xml:space="preserve">. </w:t>
            </w:r>
            <w:proofErr w:type="gramStart"/>
            <w:r w:rsidRPr="00360DE3">
              <w:t>na</w:t>
            </w:r>
            <w:proofErr w:type="gramEnd"/>
            <w:r w:rsidRPr="00360DE3">
              <w:t xml:space="preserve"> 19 %).</w:t>
            </w:r>
          </w:p>
        </w:tc>
      </w:tr>
      <w:tr w:rsidR="00082A55" w:rsidRPr="00360DE3" w:rsidTr="00DC37E3">
        <w:trPr>
          <w:trHeight w:val="170"/>
        </w:trPr>
        <w:tc>
          <w:tcPr>
            <w:tcW w:w="1976" w:type="dxa"/>
          </w:tcPr>
          <w:p w:rsidR="00082A55" w:rsidRPr="00360DE3" w:rsidRDefault="00082A55" w:rsidP="00DC37E3">
            <w:pPr>
              <w:pStyle w:val="Marginlie"/>
              <w:rPr>
                <w:spacing w:val="0"/>
              </w:rPr>
            </w:pPr>
            <w:r w:rsidRPr="00360DE3">
              <w:rPr>
                <w:spacing w:val="0"/>
              </w:rPr>
              <w:t>Investiční náročnost i věcná skladba investic se v rámci veřejných služeb výrazně odlišují.</w:t>
            </w:r>
          </w:p>
          <w:p w:rsidR="00082A55" w:rsidRPr="00360DE3" w:rsidRDefault="00082A55" w:rsidP="00DC37E3">
            <w:pPr>
              <w:pStyle w:val="Marginlie"/>
              <w:rPr>
                <w:spacing w:val="0"/>
              </w:rPr>
            </w:pPr>
          </w:p>
          <w:p w:rsidR="00082A55" w:rsidRPr="00360DE3" w:rsidRDefault="00082A55" w:rsidP="00DC37E3">
            <w:pPr>
              <w:pStyle w:val="Marginlie"/>
              <w:rPr>
                <w:spacing w:val="0"/>
              </w:rPr>
            </w:pPr>
          </w:p>
          <w:p w:rsidR="00082A55" w:rsidRPr="00360DE3" w:rsidRDefault="00082A55" w:rsidP="00DC37E3">
            <w:pPr>
              <w:pStyle w:val="Marginlie"/>
              <w:rPr>
                <w:spacing w:val="0"/>
              </w:rPr>
            </w:pPr>
          </w:p>
          <w:p w:rsidR="00082A55" w:rsidRPr="00360DE3" w:rsidRDefault="00082A55" w:rsidP="00DC37E3">
            <w:pPr>
              <w:pStyle w:val="Marginlie"/>
              <w:rPr>
                <w:spacing w:val="0"/>
              </w:rPr>
            </w:pPr>
          </w:p>
          <w:p w:rsidR="00082A55" w:rsidRPr="00360DE3" w:rsidRDefault="00082A55" w:rsidP="00DC37E3">
            <w:pPr>
              <w:pStyle w:val="Marginlie"/>
              <w:rPr>
                <w:spacing w:val="0"/>
              </w:rPr>
            </w:pPr>
          </w:p>
          <w:p w:rsidR="00082A55" w:rsidRPr="00360DE3" w:rsidRDefault="00082A55" w:rsidP="00DC37E3">
            <w:pPr>
              <w:pStyle w:val="Marginlie"/>
              <w:rPr>
                <w:spacing w:val="0"/>
              </w:rPr>
            </w:pPr>
          </w:p>
          <w:p w:rsidR="00082A55" w:rsidRPr="00360DE3" w:rsidRDefault="00082A55" w:rsidP="00DC37E3">
            <w:pPr>
              <w:pStyle w:val="Marginlie"/>
              <w:rPr>
                <w:spacing w:val="0"/>
              </w:rPr>
            </w:pPr>
          </w:p>
          <w:p w:rsidR="00082A55" w:rsidRPr="00360DE3" w:rsidRDefault="00082A55" w:rsidP="00DC37E3">
            <w:pPr>
              <w:pStyle w:val="Marginlie"/>
              <w:rPr>
                <w:spacing w:val="0"/>
              </w:rPr>
            </w:pPr>
          </w:p>
          <w:p w:rsidR="00082A55" w:rsidRPr="00360DE3" w:rsidRDefault="00082A55" w:rsidP="00DC37E3">
            <w:pPr>
              <w:pStyle w:val="Marginlie"/>
              <w:rPr>
                <w:spacing w:val="0"/>
              </w:rPr>
            </w:pPr>
            <w:r w:rsidRPr="00360DE3">
              <w:rPr>
                <w:spacing w:val="0"/>
              </w:rPr>
              <w:t xml:space="preserve">Navzdory dílčímu oživení setrvala loňská výše investic (v nominálním i reálním vyjádření) ve všech odvětvích veřejných služeb pod úrovní roku 2015. </w:t>
            </w:r>
          </w:p>
          <w:p w:rsidR="00082A55" w:rsidRPr="00360DE3" w:rsidRDefault="00082A55" w:rsidP="00DC37E3">
            <w:pPr>
              <w:pStyle w:val="Marginlie"/>
              <w:rPr>
                <w:spacing w:val="0"/>
              </w:rPr>
            </w:pPr>
          </w:p>
        </w:tc>
        <w:tc>
          <w:tcPr>
            <w:tcW w:w="277" w:type="dxa"/>
          </w:tcPr>
          <w:p w:rsidR="00082A55" w:rsidRPr="00360DE3" w:rsidRDefault="00082A55" w:rsidP="00DC37E3">
            <w:pPr>
              <w:pStyle w:val="Textpoznpodarou"/>
              <w:jc w:val="both"/>
            </w:pPr>
          </w:p>
        </w:tc>
        <w:tc>
          <w:tcPr>
            <w:tcW w:w="7391" w:type="dxa"/>
          </w:tcPr>
          <w:p w:rsidR="00082A55" w:rsidRPr="00360DE3" w:rsidRDefault="00082A55" w:rsidP="00DC37E3">
            <w:pPr>
              <w:spacing w:after="230"/>
            </w:pPr>
            <w:r w:rsidRPr="00360DE3">
              <w:t>Z pohledu investiční náročnosti se dílčí odvětví veřejných služeb výrazně odlišují. Vyšší je tradičně ve veřejné správě, obraně a sociálním zabezpečení a také v malém odvětví činnosti knihoven, archivů, muzeí a jiných kulturních zařízení (v obou odvětvích činila loni míra investic shodn</w:t>
            </w:r>
            <w:r w:rsidR="00274037">
              <w:t>ě 29 %). Naopak ve vzdělávání i</w:t>
            </w:r>
            <w:r w:rsidR="00274037" w:rsidRPr="00360DE3">
              <w:t> </w:t>
            </w:r>
            <w:r w:rsidRPr="00360DE3">
              <w:t xml:space="preserve">celé oblasti zdravotnictví nedosahovalo ani poloviny úrovně národního hospodářství. Jednotlivé segmenty sevřených služeb jsou také dlouhodobě „specializované“ na různé oblasti investic. Ve váhově dominantním segmentu veřejné správy, obrany a sociálního zabezpečení tvořily loni budovy a stavby 73 % všech investic (THFK). Jednalo se z velké části i výstavbu či údržbu dopravní infrastruktury. Tato oblast byla také v roce 2016 nejvíce poznamenána pomalým náběhem čerpání evropských fondů na počátku nového programového období. Ve vzdělávání dlouhodobě převládají investice do duševního vlastnictví (zejména vědy a výzkumu). I v tomto odvětví došlo po roce 2015 investičnímu útlumu, týkal se však převážně váhově okrajových oblastí investic do budov, strojů a zařízení. Ty naopak mají typicky nejvýznamnější roli ve zdravotnictví. Celková výše investic – jak v nominálním, tak i reálném vyjádření – ve všech třech hlavních odvětvích veřejných služeb loni za úrovní z roku 2015 stále zaostávala. </w:t>
            </w:r>
          </w:p>
        </w:tc>
      </w:tr>
      <w:tr w:rsidR="00082A55" w:rsidRPr="00360DE3" w:rsidTr="00DC37E3">
        <w:trPr>
          <w:trHeight w:val="170"/>
        </w:trPr>
        <w:tc>
          <w:tcPr>
            <w:tcW w:w="1976" w:type="dxa"/>
          </w:tcPr>
          <w:p w:rsidR="00082A55" w:rsidRPr="00360DE3" w:rsidRDefault="00082A55" w:rsidP="00DC37E3">
            <w:pPr>
              <w:pStyle w:val="Marginlie"/>
              <w:rPr>
                <w:spacing w:val="0"/>
              </w:rPr>
            </w:pPr>
            <w:r w:rsidRPr="00360DE3">
              <w:rPr>
                <w:spacing w:val="0"/>
              </w:rPr>
              <w:t>I přes silný pokles v roce 2016 zůstává investiční aktivita veřejných služeb v Česku vyšší než v EU.</w:t>
            </w:r>
          </w:p>
        </w:tc>
        <w:tc>
          <w:tcPr>
            <w:tcW w:w="277" w:type="dxa"/>
          </w:tcPr>
          <w:p w:rsidR="00082A55" w:rsidRPr="00360DE3" w:rsidRDefault="00082A55" w:rsidP="00DC37E3">
            <w:pPr>
              <w:pStyle w:val="Textpoznpodarou"/>
              <w:jc w:val="both"/>
            </w:pPr>
          </w:p>
        </w:tc>
        <w:tc>
          <w:tcPr>
            <w:tcW w:w="7391" w:type="dxa"/>
          </w:tcPr>
          <w:p w:rsidR="00082A55" w:rsidRPr="00360DE3" w:rsidRDefault="00082A55" w:rsidP="00DC37E3">
            <w:pPr>
              <w:spacing w:after="230"/>
            </w:pPr>
            <w:r w:rsidRPr="00360DE3">
              <w:t>Navzdory silnému propadu v roce 2016 zůstává míra investic ve veřejných službách</w:t>
            </w:r>
            <w:r w:rsidRPr="00360DE3">
              <w:rPr>
                <w:rStyle w:val="Znakapoznpodarou"/>
              </w:rPr>
              <w:footnoteReference w:id="136"/>
            </w:r>
            <w:r w:rsidRPr="00360DE3">
              <w:t xml:space="preserve">  stále nad úrovní EU (v tomto roce či</w:t>
            </w:r>
            <w:r w:rsidR="00274037">
              <w:t>nila v Česku 17 %, v celé EU 14</w:t>
            </w:r>
            <w:r w:rsidR="00274037" w:rsidRPr="00360DE3">
              <w:t> </w:t>
            </w:r>
            <w:r w:rsidRPr="00360DE3">
              <w:t xml:space="preserve">%). Česku tak v roce 2016 mezi unijními členy patřilo dvanácté místo, lépe si z našich sousedů vedlo jen Německo. Nejvyšší investiční aktivitou v Unii se dlouhodobě vyznačuje Rumunsko (2 až 2,5 vyšší než ČR). Relativně více než v Česku investují veřejné služby také v pobaltských státech, naopak nejnižší </w:t>
            </w:r>
            <w:r w:rsidRPr="00360DE3">
              <w:lastRenderedPageBreak/>
              <w:t>hodnoty mezi novějšími členy EU zaznamenává dlouhodobě Polsko. V drtivé většině států EU investiční aktivita ve veřejných službách za úrovní v ostatních částech ekonomiky tradičně zaostává. Opačně je tomu dlouho</w:t>
            </w:r>
            <w:r w:rsidR="00DE4C19">
              <w:t>době v Rumunsku, Litvě, Lotyšsku</w:t>
            </w:r>
            <w:r w:rsidRPr="00360DE3">
              <w:t>, Lucembursku a v posledních třech letech také v Řecku.</w:t>
            </w:r>
          </w:p>
        </w:tc>
      </w:tr>
      <w:tr w:rsidR="00082A55" w:rsidRPr="00360DE3" w:rsidTr="00DC37E3">
        <w:trPr>
          <w:trHeight w:val="170"/>
        </w:trPr>
        <w:tc>
          <w:tcPr>
            <w:tcW w:w="1976" w:type="dxa"/>
          </w:tcPr>
          <w:p w:rsidR="00082A55" w:rsidRPr="00360DE3" w:rsidRDefault="00082A55" w:rsidP="00DC37E3">
            <w:pPr>
              <w:pStyle w:val="Marginlie"/>
              <w:rPr>
                <w:spacing w:val="0"/>
              </w:rPr>
            </w:pPr>
            <w:r w:rsidRPr="00360DE3">
              <w:rPr>
                <w:spacing w:val="0"/>
              </w:rPr>
              <w:lastRenderedPageBreak/>
              <w:t>Odvětví veřejných služeb hrají významnou roli v ekonomikách severských států i většiny zemí Beneluxu.</w:t>
            </w:r>
          </w:p>
          <w:p w:rsidR="00082A55" w:rsidRPr="00360DE3" w:rsidRDefault="00082A55" w:rsidP="00DC37E3">
            <w:pPr>
              <w:pStyle w:val="Marginlie"/>
              <w:rPr>
                <w:spacing w:val="0"/>
              </w:rPr>
            </w:pPr>
          </w:p>
          <w:p w:rsidR="00082A55" w:rsidRPr="00360DE3" w:rsidRDefault="00082A55" w:rsidP="00DC37E3">
            <w:pPr>
              <w:pStyle w:val="Marginlie"/>
              <w:rPr>
                <w:spacing w:val="0"/>
              </w:rPr>
            </w:pPr>
          </w:p>
          <w:p w:rsidR="00082A55" w:rsidRPr="00360DE3" w:rsidRDefault="00082A55" w:rsidP="00DC37E3">
            <w:pPr>
              <w:pStyle w:val="Marginlie"/>
              <w:rPr>
                <w:spacing w:val="0"/>
              </w:rPr>
            </w:pPr>
          </w:p>
          <w:p w:rsidR="00082A55" w:rsidRPr="00360DE3" w:rsidRDefault="00082A55" w:rsidP="00DC37E3">
            <w:pPr>
              <w:pStyle w:val="Marginlie"/>
              <w:rPr>
                <w:spacing w:val="0"/>
              </w:rPr>
            </w:pPr>
          </w:p>
        </w:tc>
        <w:tc>
          <w:tcPr>
            <w:tcW w:w="277" w:type="dxa"/>
          </w:tcPr>
          <w:p w:rsidR="00082A55" w:rsidRPr="00360DE3" w:rsidRDefault="00082A55" w:rsidP="00DC37E3">
            <w:pPr>
              <w:pStyle w:val="Textpoznpodarou"/>
              <w:jc w:val="both"/>
            </w:pPr>
          </w:p>
        </w:tc>
        <w:tc>
          <w:tcPr>
            <w:tcW w:w="7391" w:type="dxa"/>
          </w:tcPr>
          <w:p w:rsidR="00082A55" w:rsidRPr="00360DE3" w:rsidRDefault="00082A55" w:rsidP="0060404F">
            <w:pPr>
              <w:spacing w:after="220"/>
            </w:pPr>
            <w:r w:rsidRPr="00360DE3">
              <w:t>Význam veřejných služeb v celé ekonomice lze dobře ilustrovat jejich podílem na zaměstnanosti a přidané hodnotě. V roce 2016 zřetelně převyšovala v obou těchto kritériích průměr celé EU šestice zemí – Švédsko, Dánsko, Finsko, Belgie, Nizozemsko a Francie. Silná role státu v těchto ekonomikách souvisí s robustními příjmy veřejných rozpočtů podpořenými i vyšším zdaněním práce. V opačné pozici byla většina států střední a východní Evropy</w:t>
            </w:r>
            <w:r w:rsidRPr="00360DE3">
              <w:rPr>
                <w:rStyle w:val="Znakapoznpodarou"/>
              </w:rPr>
              <w:footnoteReference w:id="137"/>
            </w:r>
            <w:r w:rsidRPr="00360DE3">
              <w:t xml:space="preserve"> a též Lucembursko a země z jižního křídla </w:t>
            </w:r>
            <w:proofErr w:type="spellStart"/>
            <w:r w:rsidRPr="00360DE3">
              <w:t>Eurozóny</w:t>
            </w:r>
            <w:proofErr w:type="spellEnd"/>
            <w:r w:rsidRPr="00360DE3">
              <w:t xml:space="preserve">. Zatímco v Rumunsku tvořila odvětví veřejných služeb méně než sedminu všech obsazených pracovních míst, ve Švédsku to bylo 2,5krát více. </w:t>
            </w:r>
          </w:p>
        </w:tc>
      </w:tr>
      <w:tr w:rsidR="00082A55" w:rsidRPr="00360DE3" w:rsidTr="00DC37E3">
        <w:trPr>
          <w:trHeight w:val="170"/>
        </w:trPr>
        <w:tc>
          <w:tcPr>
            <w:tcW w:w="1976" w:type="dxa"/>
          </w:tcPr>
          <w:p w:rsidR="00082A55" w:rsidRPr="00360DE3" w:rsidRDefault="00082A55" w:rsidP="00DC37E3">
            <w:pPr>
              <w:pStyle w:val="Marginlie"/>
              <w:rPr>
                <w:spacing w:val="0"/>
              </w:rPr>
            </w:pPr>
          </w:p>
        </w:tc>
        <w:tc>
          <w:tcPr>
            <w:tcW w:w="277" w:type="dxa"/>
          </w:tcPr>
          <w:p w:rsidR="00082A55" w:rsidRPr="00360DE3" w:rsidRDefault="00082A55" w:rsidP="00DC37E3">
            <w:pPr>
              <w:pStyle w:val="Textpoznpodarou"/>
              <w:jc w:val="both"/>
            </w:pPr>
          </w:p>
        </w:tc>
        <w:tc>
          <w:tcPr>
            <w:tcW w:w="7391" w:type="dxa"/>
          </w:tcPr>
          <w:p w:rsidR="00082A55" w:rsidRPr="00360DE3" w:rsidRDefault="00082A55" w:rsidP="00DC37E3">
            <w:pPr>
              <w:spacing w:after="0"/>
              <w:rPr>
                <w:b/>
              </w:rPr>
            </w:pPr>
            <w:r w:rsidRPr="00360DE3">
              <w:rPr>
                <w:b/>
              </w:rPr>
              <w:t xml:space="preserve">Graf </w:t>
            </w:r>
            <w:proofErr w:type="gramStart"/>
            <w:r w:rsidRPr="00360DE3">
              <w:rPr>
                <w:b/>
              </w:rPr>
              <w:t>17.3  Podíl</w:t>
            </w:r>
            <w:proofErr w:type="gramEnd"/>
            <w:r w:rsidRPr="00360DE3">
              <w:rPr>
                <w:b/>
              </w:rPr>
              <w:t xml:space="preserve"> veřejných služeb* na celkové zaměstnanosti (ve </w:t>
            </w:r>
            <w:proofErr w:type="spellStart"/>
            <w:r w:rsidRPr="00360DE3">
              <w:rPr>
                <w:b/>
              </w:rPr>
              <w:t>fyz</w:t>
            </w:r>
            <w:proofErr w:type="spellEnd"/>
            <w:r w:rsidRPr="00360DE3">
              <w:rPr>
                <w:b/>
              </w:rPr>
              <w:t>. osobách)</w:t>
            </w:r>
            <w:r w:rsidRPr="00360DE3">
              <w:t xml:space="preserve"> </w:t>
            </w:r>
            <w:r w:rsidRPr="00360DE3">
              <w:rPr>
                <w:b/>
              </w:rPr>
              <w:t>a hrubé přidané hodnotě</w:t>
            </w:r>
            <w:r w:rsidRPr="00360DE3">
              <w:t xml:space="preserve"> (vybrané evropské státy, v %)</w:t>
            </w:r>
          </w:p>
          <w:p w:rsidR="00082A55" w:rsidRPr="00360DE3" w:rsidRDefault="00082A55" w:rsidP="00DC37E3">
            <w:pPr>
              <w:spacing w:after="0"/>
            </w:pPr>
            <w:r w:rsidRPr="00360DE3">
              <w:rPr>
                <w:noProof/>
              </w:rPr>
              <w:drawing>
                <wp:inline distT="0" distB="0" distL="0" distR="0">
                  <wp:extent cx="4631564" cy="3678288"/>
                  <wp:effectExtent l="19050" t="0" r="0" b="0"/>
                  <wp:docPr id="106"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r w:rsidR="00082A55" w:rsidRPr="00360DE3" w:rsidTr="00DC37E3">
        <w:trPr>
          <w:trHeight w:val="170"/>
        </w:trPr>
        <w:tc>
          <w:tcPr>
            <w:tcW w:w="1976" w:type="dxa"/>
          </w:tcPr>
          <w:p w:rsidR="00082A55" w:rsidRPr="00360DE3" w:rsidRDefault="00082A55" w:rsidP="00DC37E3">
            <w:pPr>
              <w:pStyle w:val="Marginlie"/>
              <w:rPr>
                <w:spacing w:val="0"/>
              </w:rPr>
            </w:pPr>
          </w:p>
        </w:tc>
        <w:tc>
          <w:tcPr>
            <w:tcW w:w="277" w:type="dxa"/>
          </w:tcPr>
          <w:p w:rsidR="00082A55" w:rsidRPr="00360DE3" w:rsidRDefault="00082A55" w:rsidP="00DC37E3">
            <w:pPr>
              <w:pStyle w:val="Textpoznpodarou"/>
              <w:jc w:val="both"/>
            </w:pPr>
          </w:p>
        </w:tc>
        <w:tc>
          <w:tcPr>
            <w:tcW w:w="7391" w:type="dxa"/>
          </w:tcPr>
          <w:p w:rsidR="00082A55" w:rsidRPr="00360DE3" w:rsidRDefault="00082A55" w:rsidP="00DC37E3">
            <w:pPr>
              <w:spacing w:after="0" w:line="240" w:lineRule="auto"/>
              <w:rPr>
                <w:sz w:val="14"/>
                <w:szCs w:val="14"/>
              </w:rPr>
            </w:pPr>
            <w:r w:rsidRPr="00360DE3">
              <w:rPr>
                <w:sz w:val="14"/>
                <w:szCs w:val="14"/>
              </w:rPr>
              <w:t xml:space="preserve">*Pro účely mezinárodního srovnání zahrnuje odvětví: O - Veřejná správa a obrana, povinné sociální zabezpečení, </w:t>
            </w:r>
          </w:p>
          <w:p w:rsidR="00082A55" w:rsidRPr="00360DE3" w:rsidRDefault="00082A55" w:rsidP="00DC37E3">
            <w:pPr>
              <w:spacing w:after="0" w:line="240" w:lineRule="auto"/>
              <w:rPr>
                <w:sz w:val="14"/>
                <w:szCs w:val="14"/>
              </w:rPr>
            </w:pPr>
            <w:r w:rsidRPr="00360DE3">
              <w:rPr>
                <w:sz w:val="14"/>
                <w:szCs w:val="14"/>
              </w:rPr>
              <w:t>P – Vzdělávání, Q 86 – Zdravotní péče, Q 87 až 89 – Pobytové služby sociální péče, Ambulantní nebo terénní sociální služby. R90 až 92 – Tvůrčí, umělecké a zábavní činnosti, činnosti knihoven, archivů, muzeí a jiných kulturních zařízení, činnosti heren, kasin a sázkových kanceláří.</w:t>
            </w:r>
          </w:p>
          <w:p w:rsidR="003B4331" w:rsidRDefault="00082A55" w:rsidP="003B4331">
            <w:pPr>
              <w:spacing w:after="0" w:line="240" w:lineRule="auto"/>
              <w:rPr>
                <w:sz w:val="14"/>
                <w:szCs w:val="14"/>
              </w:rPr>
            </w:pPr>
            <w:r w:rsidRPr="00360DE3">
              <w:rPr>
                <w:sz w:val="14"/>
                <w:szCs w:val="14"/>
              </w:rPr>
              <w:t>Pozn.: Za Norsko odpovídají nejaktuálnější údaje stavu z roku 2015. Za Švýcarsko a Maltu není v údajích o HPH zahrnuto odvětví R90 až 92. U Lichtenštejnska nebyly údaje o HPH dostupné.</w:t>
            </w:r>
          </w:p>
          <w:p w:rsidR="00082A55" w:rsidRPr="00360DE3" w:rsidRDefault="00082A55" w:rsidP="00DC37E3">
            <w:pPr>
              <w:spacing w:after="200" w:line="240" w:lineRule="auto"/>
              <w:rPr>
                <w:sz w:val="14"/>
                <w:szCs w:val="14"/>
              </w:rPr>
            </w:pPr>
            <w:r w:rsidRPr="00360DE3">
              <w:rPr>
                <w:sz w:val="14"/>
                <w:szCs w:val="14"/>
              </w:rPr>
              <w:t xml:space="preserve">Zdroj: </w:t>
            </w:r>
            <w:proofErr w:type="spellStart"/>
            <w:r w:rsidRPr="00360DE3">
              <w:rPr>
                <w:sz w:val="14"/>
                <w:szCs w:val="14"/>
              </w:rPr>
              <w:t>Eurostat</w:t>
            </w:r>
            <w:proofErr w:type="spellEnd"/>
          </w:p>
        </w:tc>
      </w:tr>
      <w:tr w:rsidR="0060404F" w:rsidRPr="00360DE3" w:rsidTr="00DC37E3">
        <w:trPr>
          <w:trHeight w:val="170"/>
        </w:trPr>
        <w:tc>
          <w:tcPr>
            <w:tcW w:w="1976" w:type="dxa"/>
          </w:tcPr>
          <w:p w:rsidR="0060404F" w:rsidRPr="00360DE3" w:rsidRDefault="0060404F" w:rsidP="00F162B3">
            <w:pPr>
              <w:pStyle w:val="Marginlie"/>
              <w:rPr>
                <w:spacing w:val="0"/>
              </w:rPr>
            </w:pPr>
            <w:r w:rsidRPr="00360DE3">
              <w:rPr>
                <w:spacing w:val="0"/>
              </w:rPr>
              <w:t>Výrazné rozdíly v podílu zdravotní a hlavně sociální péče a služeb mezi státy EU souvisí s jejich ekonomickou vyspělostí i demografickým stárnutím.</w:t>
            </w:r>
          </w:p>
          <w:p w:rsidR="0060404F" w:rsidRPr="00360DE3" w:rsidRDefault="0060404F" w:rsidP="00F162B3">
            <w:pPr>
              <w:pStyle w:val="Marginlie"/>
              <w:rPr>
                <w:spacing w:val="0"/>
              </w:rPr>
            </w:pPr>
          </w:p>
          <w:p w:rsidR="0060404F" w:rsidRPr="00360DE3" w:rsidRDefault="0060404F" w:rsidP="00F162B3">
            <w:pPr>
              <w:pStyle w:val="Marginlie"/>
              <w:rPr>
                <w:spacing w:val="0"/>
              </w:rPr>
            </w:pPr>
          </w:p>
          <w:p w:rsidR="0060404F" w:rsidRPr="00360DE3" w:rsidRDefault="0060404F" w:rsidP="00F162B3">
            <w:pPr>
              <w:pStyle w:val="Marginlie"/>
              <w:rPr>
                <w:spacing w:val="0"/>
              </w:rPr>
            </w:pPr>
            <w:r w:rsidRPr="00360DE3">
              <w:rPr>
                <w:spacing w:val="0"/>
              </w:rPr>
              <w:lastRenderedPageBreak/>
              <w:t>Zaměstnanost ve veřejných službách zůstává v Česku podprůměrná, a to i ve srovnání se státy střední a východní Evropy.</w:t>
            </w:r>
          </w:p>
        </w:tc>
        <w:tc>
          <w:tcPr>
            <w:tcW w:w="277" w:type="dxa"/>
          </w:tcPr>
          <w:p w:rsidR="0060404F" w:rsidRPr="00360DE3" w:rsidRDefault="0060404F" w:rsidP="00F162B3">
            <w:pPr>
              <w:pStyle w:val="Textpoznpodarou"/>
              <w:jc w:val="both"/>
            </w:pPr>
          </w:p>
        </w:tc>
        <w:tc>
          <w:tcPr>
            <w:tcW w:w="7391" w:type="dxa"/>
          </w:tcPr>
          <w:p w:rsidR="0060404F" w:rsidRPr="00360DE3" w:rsidRDefault="0060404F" w:rsidP="00F162B3">
            <w:pPr>
              <w:spacing w:after="220"/>
            </w:pPr>
            <w:r w:rsidRPr="00360DE3">
              <w:t>V pozadí obrovských rozdílů mezi státy stojí především odvětví zdravotní a sociální péče, jenž v ekonomicky nejvyspělejších státech EU obvykle tvoří převažující část zaměstnanosti ve veřejných službách. To souvisí nejen s celkovou ekono</w:t>
            </w:r>
            <w:r w:rsidR="00DE4C19">
              <w:t xml:space="preserve">mickou vyspělostí států, ale i s </w:t>
            </w:r>
            <w:r w:rsidRPr="00360DE3">
              <w:t xml:space="preserve">úrovní a dynamikou demografického stárnutí. I ve vzdělávání vévodí z pohledu zaměstnanosti Evropě většina severských států či Velká Británie, silné postavení má rovněž Pobaltí. Naopak relativní velikost </w:t>
            </w:r>
            <w:r w:rsidRPr="00360DE3">
              <w:lastRenderedPageBreak/>
              <w:t>odvětví veřejné správy, obrany a sociálního zabezpečení s celkovou ekonomickou vyspělostí nesouvisí. Roli hraje složitost organizace veřejné správy (např. územně-správní uspořádání), ale i různá velikost silových složek státu (armáda, policie). Ve všech pěti dílčích odvětvích veřejných služeb byl v roce 2016 jejich podíl na celkové zaměstnanosti v ČR nižší než v EU a vyjma zdravotní péče i slabší než v zemích, jež vstoupily do EU po roce 2000.</w:t>
            </w:r>
          </w:p>
        </w:tc>
      </w:tr>
      <w:tr w:rsidR="0060404F" w:rsidRPr="00360DE3" w:rsidTr="00DC37E3">
        <w:trPr>
          <w:trHeight w:val="170"/>
        </w:trPr>
        <w:tc>
          <w:tcPr>
            <w:tcW w:w="1976" w:type="dxa"/>
          </w:tcPr>
          <w:p w:rsidR="0060404F" w:rsidRPr="00360DE3" w:rsidRDefault="0060404F" w:rsidP="00DC37E3">
            <w:pPr>
              <w:pStyle w:val="Marginlie"/>
              <w:rPr>
                <w:spacing w:val="0"/>
              </w:rPr>
            </w:pPr>
            <w:r w:rsidRPr="00360DE3">
              <w:rPr>
                <w:spacing w:val="0"/>
              </w:rPr>
              <w:lastRenderedPageBreak/>
              <w:t xml:space="preserve">Význam odvětví veřejných služeb za posledních deset let ve výrazné většině evropských států vzrostl. </w:t>
            </w:r>
          </w:p>
        </w:tc>
        <w:tc>
          <w:tcPr>
            <w:tcW w:w="277" w:type="dxa"/>
          </w:tcPr>
          <w:p w:rsidR="0060404F" w:rsidRPr="00360DE3" w:rsidRDefault="0060404F" w:rsidP="00DC37E3">
            <w:pPr>
              <w:pStyle w:val="Textpoznpodarou"/>
              <w:jc w:val="both"/>
            </w:pPr>
          </w:p>
        </w:tc>
        <w:tc>
          <w:tcPr>
            <w:tcW w:w="7391" w:type="dxa"/>
          </w:tcPr>
          <w:p w:rsidR="0060404F" w:rsidRPr="00360DE3" w:rsidRDefault="0060404F" w:rsidP="00DC37E3">
            <w:r w:rsidRPr="00360DE3">
              <w:t xml:space="preserve">Produktivita práce ve veřejných službách byla v rámci všech sledovaných států pod úrovní ostatních odvětví ekonomiky, byť v Řecku, Kypru a Rumunsku šlo o minimální rozdíl. Mezi roky 2006 a 2016 klesl podíl veřejných služeb na národním HPH jen v šesti státech EU (významněji jen v Irsku a Portugalsku). V ČR podobně jako v Maďarsku stagnoval, nejvíce vzrostl v Estonsku (o </w:t>
            </w:r>
            <w:proofErr w:type="gramStart"/>
            <w:r w:rsidRPr="00360DE3">
              <w:t>3,4 p .</w:t>
            </w:r>
            <w:proofErr w:type="spellStart"/>
            <w:r w:rsidRPr="00360DE3">
              <w:t>b</w:t>
            </w:r>
            <w:proofErr w:type="spellEnd"/>
            <w:r w:rsidRPr="00360DE3">
              <w:t>.) a Španělsku</w:t>
            </w:r>
            <w:proofErr w:type="gramEnd"/>
            <w:r w:rsidRPr="00360DE3">
              <w:t xml:space="preserve"> (2,5 p. b).</w:t>
            </w:r>
          </w:p>
        </w:tc>
      </w:tr>
      <w:tr w:rsidR="0060404F" w:rsidRPr="00360DE3" w:rsidTr="00DC37E3">
        <w:trPr>
          <w:trHeight w:val="170"/>
        </w:trPr>
        <w:tc>
          <w:tcPr>
            <w:tcW w:w="1976" w:type="dxa"/>
          </w:tcPr>
          <w:p w:rsidR="0060404F" w:rsidRPr="00360DE3" w:rsidRDefault="0060404F" w:rsidP="00DC37E3">
            <w:pPr>
              <w:pStyle w:val="Marginlie"/>
              <w:rPr>
                <w:spacing w:val="0"/>
              </w:rPr>
            </w:pPr>
          </w:p>
        </w:tc>
        <w:tc>
          <w:tcPr>
            <w:tcW w:w="277" w:type="dxa"/>
          </w:tcPr>
          <w:p w:rsidR="0060404F" w:rsidRPr="00360DE3" w:rsidRDefault="0060404F" w:rsidP="00DC37E3">
            <w:pPr>
              <w:pStyle w:val="Textpoznpodarou"/>
              <w:jc w:val="both"/>
            </w:pPr>
          </w:p>
        </w:tc>
        <w:tc>
          <w:tcPr>
            <w:tcW w:w="7391" w:type="dxa"/>
          </w:tcPr>
          <w:p w:rsidR="0060404F" w:rsidRPr="00360DE3" w:rsidRDefault="0060404F" w:rsidP="00DC37E3">
            <w:pPr>
              <w:spacing w:after="0"/>
            </w:pPr>
            <w:r w:rsidRPr="00360DE3">
              <w:rPr>
                <w:b/>
              </w:rPr>
              <w:t xml:space="preserve">Graf </w:t>
            </w:r>
            <w:proofErr w:type="gramStart"/>
            <w:r w:rsidRPr="00360DE3">
              <w:rPr>
                <w:b/>
              </w:rPr>
              <w:t>17.4</w:t>
            </w:r>
            <w:r w:rsidRPr="00360DE3">
              <w:t xml:space="preserve">  </w:t>
            </w:r>
            <w:r w:rsidRPr="00360DE3">
              <w:rPr>
                <w:b/>
              </w:rPr>
              <w:t>Výdaje</w:t>
            </w:r>
            <w:proofErr w:type="gramEnd"/>
            <w:r w:rsidRPr="00360DE3">
              <w:rPr>
                <w:b/>
              </w:rPr>
              <w:t xml:space="preserve"> na zdravotnictví v ČR podle druhu péče</w:t>
            </w:r>
            <w:r w:rsidRPr="00360DE3">
              <w:t xml:space="preserve"> (v mld. korun, </w:t>
            </w:r>
            <w:proofErr w:type="spellStart"/>
            <w:r w:rsidRPr="00360DE3">
              <w:t>b.c</w:t>
            </w:r>
            <w:proofErr w:type="spellEnd"/>
            <w:r w:rsidRPr="00360DE3">
              <w:t>.)</w:t>
            </w:r>
          </w:p>
          <w:p w:rsidR="0060404F" w:rsidRPr="00360DE3" w:rsidRDefault="0060404F" w:rsidP="00DC37E3">
            <w:pPr>
              <w:spacing w:after="0"/>
            </w:pPr>
            <w:r w:rsidRPr="00360DE3">
              <w:rPr>
                <w:noProof/>
              </w:rPr>
              <w:drawing>
                <wp:inline distT="0" distB="0" distL="0" distR="0">
                  <wp:extent cx="4690753" cy="3669476"/>
                  <wp:effectExtent l="0" t="0" r="0" b="0"/>
                  <wp:docPr id="63"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r>
      <w:tr w:rsidR="0060404F" w:rsidRPr="00360DE3" w:rsidTr="00DC37E3">
        <w:trPr>
          <w:trHeight w:val="170"/>
        </w:trPr>
        <w:tc>
          <w:tcPr>
            <w:tcW w:w="1976" w:type="dxa"/>
          </w:tcPr>
          <w:p w:rsidR="0060404F" w:rsidRPr="00360DE3" w:rsidRDefault="0060404F" w:rsidP="00DC37E3">
            <w:pPr>
              <w:pStyle w:val="Marginlie"/>
              <w:rPr>
                <w:spacing w:val="0"/>
              </w:rPr>
            </w:pPr>
          </w:p>
        </w:tc>
        <w:tc>
          <w:tcPr>
            <w:tcW w:w="277" w:type="dxa"/>
          </w:tcPr>
          <w:p w:rsidR="0060404F" w:rsidRPr="00360DE3" w:rsidRDefault="0060404F" w:rsidP="00DC37E3">
            <w:pPr>
              <w:pStyle w:val="Textpoznpodarou"/>
              <w:jc w:val="both"/>
            </w:pPr>
          </w:p>
        </w:tc>
        <w:tc>
          <w:tcPr>
            <w:tcW w:w="7391" w:type="dxa"/>
          </w:tcPr>
          <w:p w:rsidR="0060404F" w:rsidRPr="00360DE3" w:rsidRDefault="0060404F" w:rsidP="00DC37E3">
            <w:pPr>
              <w:spacing w:after="220"/>
              <w:rPr>
                <w:sz w:val="16"/>
                <w:szCs w:val="16"/>
              </w:rPr>
            </w:pPr>
            <w:r w:rsidRPr="00360DE3">
              <w:rPr>
                <w:sz w:val="16"/>
                <w:szCs w:val="16"/>
              </w:rPr>
              <w:t>*Zahrnují laboratorní služby, zobrazovací metody a dopravu pacientů.                                    Zdroj: ČSÚ</w:t>
            </w:r>
          </w:p>
        </w:tc>
      </w:tr>
      <w:tr w:rsidR="0060404F" w:rsidRPr="00360DE3" w:rsidTr="00DC37E3">
        <w:trPr>
          <w:trHeight w:val="170"/>
        </w:trPr>
        <w:tc>
          <w:tcPr>
            <w:tcW w:w="1976" w:type="dxa"/>
          </w:tcPr>
          <w:p w:rsidR="0060404F" w:rsidRPr="00360DE3" w:rsidRDefault="0060404F" w:rsidP="00DC37E3">
            <w:pPr>
              <w:pStyle w:val="Marginlie"/>
              <w:rPr>
                <w:spacing w:val="0"/>
              </w:rPr>
            </w:pPr>
            <w:r w:rsidRPr="00360DE3">
              <w:rPr>
                <w:spacing w:val="0"/>
              </w:rPr>
              <w:t>Tempo růstu celkových výdajů na zdravotní péči v roce 2016 zrychlilo. Na růstu se podílely všechny hlavní zdroje financování.</w:t>
            </w:r>
          </w:p>
        </w:tc>
        <w:tc>
          <w:tcPr>
            <w:tcW w:w="277" w:type="dxa"/>
          </w:tcPr>
          <w:p w:rsidR="0060404F" w:rsidRPr="00360DE3" w:rsidRDefault="0060404F" w:rsidP="00DC37E3">
            <w:pPr>
              <w:pStyle w:val="Textpoznpodarou"/>
              <w:jc w:val="both"/>
            </w:pPr>
          </w:p>
        </w:tc>
        <w:tc>
          <w:tcPr>
            <w:tcW w:w="7391" w:type="dxa"/>
          </w:tcPr>
          <w:p w:rsidR="0060404F" w:rsidRPr="00360DE3" w:rsidRDefault="0060404F" w:rsidP="00DC37E3">
            <w:r w:rsidRPr="00360DE3">
              <w:rPr>
                <w:szCs w:val="20"/>
              </w:rPr>
              <w:t>Z mezinárodního srovnání plyne, že zdravotní péče, vč. navazující sociální péče a</w:t>
            </w:r>
            <w:r w:rsidRPr="00360DE3">
              <w:t> </w:t>
            </w:r>
            <w:r w:rsidRPr="00360DE3">
              <w:rPr>
                <w:szCs w:val="20"/>
              </w:rPr>
              <w:t xml:space="preserve">služeb představují v rámci veřejných služeb v Česku odvětví s největší růstovým potenciálem. </w:t>
            </w:r>
            <w:r w:rsidRPr="00360DE3">
              <w:t>Celkové výdaje na zdravotní péči dosáhly v roce 2016 v ČR 362 mld. korun</w:t>
            </w:r>
            <w:r w:rsidRPr="00360DE3">
              <w:rPr>
                <w:rStyle w:val="Znakapoznpodarou"/>
              </w:rPr>
              <w:footnoteReference w:id="138"/>
            </w:r>
            <w:r w:rsidRPr="00360DE3">
              <w:t xml:space="preserve"> a meziročně posílily o 2,7 % (nejvyšším tempem ve srovnatelné řadě od roku 2010). Na růstu se podílely všechny hlavní zdroje financování, nejvíce váhově dominantní výdaje ze státního rozpočtu, které meziročně posílily o 3,3 mld. korun. </w:t>
            </w:r>
          </w:p>
        </w:tc>
      </w:tr>
      <w:tr w:rsidR="0060404F" w:rsidRPr="00360DE3" w:rsidTr="00DC37E3">
        <w:trPr>
          <w:trHeight w:val="170"/>
        </w:trPr>
        <w:tc>
          <w:tcPr>
            <w:tcW w:w="1976" w:type="dxa"/>
          </w:tcPr>
          <w:p w:rsidR="003B4331" w:rsidRDefault="003B4331" w:rsidP="00DC37E3">
            <w:pPr>
              <w:pStyle w:val="Marginlie"/>
              <w:rPr>
                <w:spacing w:val="0"/>
              </w:rPr>
            </w:pPr>
          </w:p>
          <w:p w:rsidR="003B4331" w:rsidRDefault="003B4331" w:rsidP="00DC37E3">
            <w:pPr>
              <w:pStyle w:val="Marginlie"/>
              <w:rPr>
                <w:spacing w:val="0"/>
              </w:rPr>
            </w:pPr>
          </w:p>
          <w:p w:rsidR="003B4331" w:rsidRDefault="003B4331" w:rsidP="00DC37E3">
            <w:pPr>
              <w:pStyle w:val="Marginlie"/>
              <w:rPr>
                <w:spacing w:val="0"/>
              </w:rPr>
            </w:pPr>
          </w:p>
          <w:p w:rsidR="0060404F" w:rsidRPr="00360DE3" w:rsidRDefault="0060404F" w:rsidP="00DC37E3">
            <w:pPr>
              <w:pStyle w:val="Marginlie"/>
              <w:rPr>
                <w:spacing w:val="0"/>
              </w:rPr>
            </w:pPr>
            <w:r w:rsidRPr="00360DE3">
              <w:rPr>
                <w:spacing w:val="0"/>
              </w:rPr>
              <w:lastRenderedPageBreak/>
              <w:t>Nejrychleji se v posledních letech zvyšují výdaje na dlouhodobou péči pro chronicky nemocné.</w:t>
            </w:r>
          </w:p>
          <w:p w:rsidR="0060404F" w:rsidRPr="00360DE3" w:rsidRDefault="0060404F" w:rsidP="00DC37E3">
            <w:pPr>
              <w:pStyle w:val="Marginlie"/>
              <w:rPr>
                <w:spacing w:val="0"/>
              </w:rPr>
            </w:pPr>
          </w:p>
          <w:p w:rsidR="0060404F" w:rsidRPr="00360DE3" w:rsidRDefault="0060404F" w:rsidP="00DC37E3">
            <w:pPr>
              <w:pStyle w:val="Marginlie"/>
              <w:rPr>
                <w:spacing w:val="0"/>
              </w:rPr>
            </w:pPr>
          </w:p>
          <w:p w:rsidR="0060404F" w:rsidRPr="00360DE3" w:rsidRDefault="0060404F" w:rsidP="00DC37E3">
            <w:pPr>
              <w:pStyle w:val="Marginlie"/>
              <w:rPr>
                <w:spacing w:val="0"/>
              </w:rPr>
            </w:pPr>
          </w:p>
          <w:p w:rsidR="0060404F" w:rsidRPr="00360DE3" w:rsidRDefault="0060404F" w:rsidP="00DC37E3">
            <w:pPr>
              <w:pStyle w:val="Marginlie"/>
              <w:rPr>
                <w:spacing w:val="0"/>
              </w:rPr>
            </w:pPr>
          </w:p>
          <w:p w:rsidR="0060404F" w:rsidRPr="00360DE3" w:rsidRDefault="0060404F" w:rsidP="00DC37E3">
            <w:pPr>
              <w:pStyle w:val="Marginlie"/>
              <w:rPr>
                <w:spacing w:val="0"/>
              </w:rPr>
            </w:pPr>
          </w:p>
          <w:p w:rsidR="0060404F" w:rsidRPr="00360DE3" w:rsidRDefault="0060404F" w:rsidP="00DC37E3">
            <w:pPr>
              <w:pStyle w:val="Marginlie"/>
              <w:rPr>
                <w:spacing w:val="0"/>
              </w:rPr>
            </w:pPr>
          </w:p>
          <w:p w:rsidR="0060404F" w:rsidRPr="00360DE3" w:rsidRDefault="0060404F" w:rsidP="00DC37E3">
            <w:pPr>
              <w:pStyle w:val="Marginlie"/>
              <w:rPr>
                <w:spacing w:val="0"/>
              </w:rPr>
            </w:pPr>
            <w:r w:rsidRPr="00360DE3">
              <w:rPr>
                <w:spacing w:val="0"/>
              </w:rPr>
              <w:t>Sedmina všech výdajů na zdravotní péči šla přímo z kapes domácností. Míra jejich spoluúčastí mírně rostla již třetím rokem v řadě.</w:t>
            </w:r>
          </w:p>
        </w:tc>
        <w:tc>
          <w:tcPr>
            <w:tcW w:w="277" w:type="dxa"/>
          </w:tcPr>
          <w:p w:rsidR="0060404F" w:rsidRPr="00360DE3" w:rsidRDefault="0060404F" w:rsidP="00DC37E3">
            <w:pPr>
              <w:pStyle w:val="Textpoznpodarou"/>
              <w:jc w:val="both"/>
            </w:pPr>
          </w:p>
        </w:tc>
        <w:tc>
          <w:tcPr>
            <w:tcW w:w="7391" w:type="dxa"/>
          </w:tcPr>
          <w:p w:rsidR="0060404F" w:rsidRPr="00360DE3" w:rsidRDefault="0060404F" w:rsidP="00DC37E3">
            <w:pPr>
              <w:rPr>
                <w:szCs w:val="20"/>
              </w:rPr>
            </w:pPr>
            <w:r w:rsidRPr="00360DE3">
              <w:t>Z hlediska druhu táhla celkové výdaje hlavně dlouhodobá péče</w:t>
            </w:r>
            <w:r w:rsidRPr="00360DE3">
              <w:rPr>
                <w:rStyle w:val="Znakapoznpodarou"/>
              </w:rPr>
              <w:footnoteReference w:id="139"/>
            </w:r>
            <w:r w:rsidRPr="00360DE3">
              <w:t xml:space="preserve">, jež v roce 2016 tvořila již 18,1 % všech nákladů na zdravotní péči. Podobného podílu dosáhla </w:t>
            </w:r>
            <w:r w:rsidRPr="00360DE3">
              <w:lastRenderedPageBreak/>
              <w:t>i ambulantní léčebná péče. Naopak u v minulosti dominantní lůžkové léčebné péče pokračovala redukce a objem výdajů se přiblížil 50 mld. korun</w:t>
            </w:r>
            <w:r w:rsidRPr="00360DE3">
              <w:rPr>
                <w:rStyle w:val="Znakapoznpodarou"/>
              </w:rPr>
              <w:footnoteReference w:id="140"/>
            </w:r>
            <w:r w:rsidRPr="00360DE3">
              <w:t>. Přestože stomatologická péče tvoří v posledních letech stabilně jen 5 % výdajů na zdravotní péči, zaujímá zvláštní postavení, neboť od roku 2015 hradí většinu nákladů na tuto péči přímo domácnosti (v roce 2016 činil podíl nákladů domácností již 53 %). Domácnosti hradily také necelou čtvrtinu celkových nákladů rehabilitační péče (především lázeňská péče) i výdajů na léky na předpis. Více než ze tří pětin si pak přispívaly na terapeutické pomůcky (z toho u dioptrických brýlí a jiných výrobků oční optiky přesáhla spoluúčast 90 %). Celkově se domácnosti na financování veškeré zdravotní péče v roce 2016 podílely 14,2 %, spoluúčast po roce 2013 mírně rostla. Téměř polovina všech výdajů domácností na zdravotní péči (51 mld. korun v roce 2016) směřovala na léky i zdravotnický materiál, pětina na stomatologickou péči, sedmina na ostatní ambulantní péči, osmina na terapeutické pomůcky. Dle statistky rodinných účtů se výdaje na zdraví na celkových spotřebních vydáních domácností v roce 2016 podílely 2,6 %.</w:t>
            </w:r>
          </w:p>
        </w:tc>
      </w:tr>
      <w:tr w:rsidR="0060404F" w:rsidRPr="00360DE3" w:rsidTr="00DC37E3">
        <w:trPr>
          <w:trHeight w:val="170"/>
        </w:trPr>
        <w:tc>
          <w:tcPr>
            <w:tcW w:w="1976" w:type="dxa"/>
          </w:tcPr>
          <w:p w:rsidR="0060404F" w:rsidRPr="00360DE3" w:rsidRDefault="0060404F" w:rsidP="00DC37E3">
            <w:pPr>
              <w:pStyle w:val="Marginlie"/>
              <w:rPr>
                <w:spacing w:val="0"/>
              </w:rPr>
            </w:pPr>
          </w:p>
        </w:tc>
        <w:tc>
          <w:tcPr>
            <w:tcW w:w="277" w:type="dxa"/>
          </w:tcPr>
          <w:p w:rsidR="0060404F" w:rsidRPr="00360DE3" w:rsidRDefault="0060404F" w:rsidP="00DC37E3">
            <w:pPr>
              <w:pStyle w:val="Textpoznpodarou"/>
              <w:jc w:val="both"/>
            </w:pPr>
          </w:p>
        </w:tc>
        <w:tc>
          <w:tcPr>
            <w:tcW w:w="7391" w:type="dxa"/>
          </w:tcPr>
          <w:p w:rsidR="0060404F" w:rsidRPr="00360DE3" w:rsidRDefault="0060404F" w:rsidP="00DC37E3">
            <w:pPr>
              <w:spacing w:after="0"/>
              <w:rPr>
                <w:szCs w:val="20"/>
              </w:rPr>
            </w:pPr>
            <w:r w:rsidRPr="00360DE3">
              <w:rPr>
                <w:b/>
                <w:szCs w:val="20"/>
              </w:rPr>
              <w:t xml:space="preserve">Graf </w:t>
            </w:r>
            <w:proofErr w:type="gramStart"/>
            <w:r w:rsidRPr="00360DE3">
              <w:rPr>
                <w:b/>
                <w:szCs w:val="20"/>
              </w:rPr>
              <w:t>17.5</w:t>
            </w:r>
            <w:r w:rsidRPr="00360DE3">
              <w:rPr>
                <w:szCs w:val="20"/>
              </w:rPr>
              <w:t xml:space="preserve">  </w:t>
            </w:r>
            <w:r w:rsidRPr="00360DE3">
              <w:rPr>
                <w:b/>
                <w:szCs w:val="20"/>
              </w:rPr>
              <w:t>Dočasná</w:t>
            </w:r>
            <w:proofErr w:type="gramEnd"/>
            <w:r w:rsidRPr="00360DE3">
              <w:rPr>
                <w:b/>
                <w:szCs w:val="20"/>
              </w:rPr>
              <w:t xml:space="preserve"> pracovní neschopnost*</w:t>
            </w:r>
            <w:r w:rsidRPr="00360DE3">
              <w:rPr>
                <w:szCs w:val="20"/>
              </w:rPr>
              <w:t xml:space="preserve"> (v %), </w:t>
            </w:r>
            <w:r w:rsidRPr="00360DE3">
              <w:rPr>
                <w:b/>
                <w:szCs w:val="20"/>
              </w:rPr>
              <w:t xml:space="preserve">její doba </w:t>
            </w:r>
            <w:r w:rsidR="00DE4C19">
              <w:rPr>
                <w:b/>
                <w:szCs w:val="20"/>
              </w:rPr>
              <w:t xml:space="preserve">průměrná </w:t>
            </w:r>
            <w:r w:rsidRPr="00360DE3">
              <w:rPr>
                <w:b/>
                <w:szCs w:val="20"/>
              </w:rPr>
              <w:t>trvání</w:t>
            </w:r>
            <w:r w:rsidRPr="00360DE3">
              <w:rPr>
                <w:szCs w:val="20"/>
              </w:rPr>
              <w:t xml:space="preserve"> (ve dnech) </w:t>
            </w:r>
            <w:r w:rsidRPr="00360DE3">
              <w:rPr>
                <w:b/>
                <w:szCs w:val="20"/>
              </w:rPr>
              <w:t>a</w:t>
            </w:r>
            <w:r w:rsidRPr="00360DE3">
              <w:rPr>
                <w:szCs w:val="20"/>
              </w:rPr>
              <w:t xml:space="preserve"> </w:t>
            </w:r>
            <w:r w:rsidRPr="00360DE3">
              <w:rPr>
                <w:b/>
                <w:szCs w:val="20"/>
              </w:rPr>
              <w:t>vyplacené dávky nemocenského pojištění ze státního rozpočtu ČR</w:t>
            </w:r>
            <w:r w:rsidRPr="00360DE3">
              <w:rPr>
                <w:szCs w:val="20"/>
              </w:rPr>
              <w:t xml:space="preserve"> (mld. korun)</w:t>
            </w:r>
          </w:p>
          <w:p w:rsidR="0060404F" w:rsidRPr="00360DE3" w:rsidRDefault="0060404F" w:rsidP="00DC37E3">
            <w:pPr>
              <w:spacing w:after="0"/>
              <w:rPr>
                <w:szCs w:val="20"/>
              </w:rPr>
            </w:pPr>
            <w:r w:rsidRPr="00360DE3">
              <w:rPr>
                <w:noProof/>
                <w:szCs w:val="20"/>
              </w:rPr>
              <w:drawing>
                <wp:inline distT="0" distB="0" distL="0" distR="0">
                  <wp:extent cx="4722001" cy="3690544"/>
                  <wp:effectExtent l="19050" t="0" r="2399" b="0"/>
                  <wp:docPr id="64"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r>
      <w:tr w:rsidR="0060404F" w:rsidRPr="00360DE3" w:rsidTr="00DC37E3">
        <w:trPr>
          <w:trHeight w:val="170"/>
        </w:trPr>
        <w:tc>
          <w:tcPr>
            <w:tcW w:w="1976" w:type="dxa"/>
          </w:tcPr>
          <w:p w:rsidR="0060404F" w:rsidRPr="00360DE3" w:rsidRDefault="0060404F" w:rsidP="00DC37E3">
            <w:pPr>
              <w:pStyle w:val="Marginlie"/>
              <w:rPr>
                <w:spacing w:val="0"/>
              </w:rPr>
            </w:pPr>
          </w:p>
        </w:tc>
        <w:tc>
          <w:tcPr>
            <w:tcW w:w="277" w:type="dxa"/>
          </w:tcPr>
          <w:p w:rsidR="0060404F" w:rsidRPr="00360DE3" w:rsidRDefault="0060404F" w:rsidP="00DC37E3">
            <w:pPr>
              <w:pStyle w:val="Textpoznpodarou"/>
              <w:jc w:val="both"/>
            </w:pPr>
          </w:p>
        </w:tc>
        <w:tc>
          <w:tcPr>
            <w:tcW w:w="7391" w:type="dxa"/>
          </w:tcPr>
          <w:p w:rsidR="0060404F" w:rsidRPr="00360DE3" w:rsidRDefault="0060404F" w:rsidP="00DC37E3">
            <w:pPr>
              <w:spacing w:after="0" w:line="240" w:lineRule="auto"/>
              <w:rPr>
                <w:rFonts w:cs="Arial"/>
                <w:sz w:val="16"/>
                <w:szCs w:val="16"/>
              </w:rPr>
            </w:pPr>
            <w:r w:rsidRPr="00360DE3">
              <w:rPr>
                <w:rFonts w:cs="Arial"/>
                <w:sz w:val="16"/>
                <w:szCs w:val="16"/>
              </w:rPr>
              <w:t>*Udává, kolik ze 100 pojištěnců je průměrně každý den v pracovní neschopnosti pro nemoc či úraz.</w:t>
            </w:r>
          </w:p>
          <w:p w:rsidR="0060404F" w:rsidRPr="00360DE3" w:rsidRDefault="0060404F" w:rsidP="00DC37E3">
            <w:pPr>
              <w:spacing w:after="200"/>
              <w:rPr>
                <w:rFonts w:cs="Arial"/>
                <w:sz w:val="16"/>
                <w:szCs w:val="16"/>
              </w:rPr>
            </w:pPr>
            <w:r w:rsidRPr="00360DE3">
              <w:rPr>
                <w:rFonts w:cs="Arial"/>
                <w:sz w:val="16"/>
                <w:szCs w:val="16"/>
              </w:rPr>
              <w:t>Zdroj: ČSÚ, ČSSZ, MF ČR</w:t>
            </w:r>
          </w:p>
        </w:tc>
      </w:tr>
      <w:tr w:rsidR="0060404F" w:rsidRPr="00360DE3" w:rsidTr="00DC37E3">
        <w:trPr>
          <w:trHeight w:val="170"/>
        </w:trPr>
        <w:tc>
          <w:tcPr>
            <w:tcW w:w="1976" w:type="dxa"/>
          </w:tcPr>
          <w:p w:rsidR="0060404F" w:rsidRPr="00360DE3" w:rsidRDefault="0060404F" w:rsidP="00F162B3">
            <w:pPr>
              <w:pStyle w:val="Marginlie"/>
              <w:rPr>
                <w:spacing w:val="0"/>
              </w:rPr>
            </w:pPr>
            <w:r w:rsidRPr="00360DE3">
              <w:rPr>
                <w:spacing w:val="0"/>
              </w:rPr>
              <w:t xml:space="preserve">Podíl běžných výdajů na zdravotní péči vztažený k HDP řadil Česko v EU až na konec druhé desítky. </w:t>
            </w:r>
          </w:p>
          <w:p w:rsidR="0060404F" w:rsidRPr="00360DE3" w:rsidRDefault="0060404F" w:rsidP="00F162B3">
            <w:pPr>
              <w:pStyle w:val="Marginlie"/>
              <w:rPr>
                <w:spacing w:val="0"/>
              </w:rPr>
            </w:pPr>
          </w:p>
          <w:p w:rsidR="0060404F" w:rsidRPr="00360DE3" w:rsidRDefault="0060404F" w:rsidP="00F162B3">
            <w:pPr>
              <w:pStyle w:val="Marginlie"/>
              <w:rPr>
                <w:spacing w:val="0"/>
              </w:rPr>
            </w:pPr>
          </w:p>
          <w:p w:rsidR="0060404F" w:rsidRPr="00360DE3" w:rsidRDefault="0060404F" w:rsidP="00F162B3">
            <w:pPr>
              <w:pStyle w:val="Marginlie"/>
              <w:rPr>
                <w:spacing w:val="0"/>
              </w:rPr>
            </w:pPr>
          </w:p>
          <w:p w:rsidR="0060404F" w:rsidRPr="00360DE3" w:rsidRDefault="0060404F" w:rsidP="00F162B3">
            <w:pPr>
              <w:pStyle w:val="Marginlie"/>
              <w:rPr>
                <w:spacing w:val="0"/>
              </w:rPr>
            </w:pPr>
            <w:r w:rsidRPr="00360DE3">
              <w:rPr>
                <w:spacing w:val="0"/>
              </w:rPr>
              <w:lastRenderedPageBreak/>
              <w:t xml:space="preserve">ČR mezi nejvyspělejšími státy vyniká vysokým podílem veřejných zdrojů na celkovém financování </w:t>
            </w:r>
            <w:r w:rsidR="00DE4C19">
              <w:rPr>
                <w:spacing w:val="0"/>
              </w:rPr>
              <w:t xml:space="preserve">zdravotní </w:t>
            </w:r>
            <w:r w:rsidRPr="00360DE3">
              <w:rPr>
                <w:spacing w:val="0"/>
              </w:rPr>
              <w:t xml:space="preserve">péče i nízkou přímou spoluúčastí domácností </w:t>
            </w:r>
          </w:p>
        </w:tc>
        <w:tc>
          <w:tcPr>
            <w:tcW w:w="277" w:type="dxa"/>
          </w:tcPr>
          <w:p w:rsidR="0060404F" w:rsidRPr="00360DE3" w:rsidRDefault="0060404F" w:rsidP="00F162B3">
            <w:pPr>
              <w:pStyle w:val="Textpoznpodarou"/>
              <w:jc w:val="both"/>
            </w:pPr>
          </w:p>
        </w:tc>
        <w:tc>
          <w:tcPr>
            <w:tcW w:w="7391" w:type="dxa"/>
          </w:tcPr>
          <w:p w:rsidR="0060404F" w:rsidRPr="00360DE3" w:rsidRDefault="0060404F" w:rsidP="00F162B3">
            <w:pPr>
              <w:spacing w:after="220"/>
              <w:rPr>
                <w:szCs w:val="20"/>
              </w:rPr>
            </w:pPr>
            <w:r w:rsidRPr="00360DE3">
              <w:rPr>
                <w:szCs w:val="20"/>
              </w:rPr>
              <w:t xml:space="preserve">Podíl celkových běžných výdajů na zdravotní péči mezi lety 2010 a 2013 stagnoval (na 8,4 %). V dalším období ale již tyto výdaje nestačily držet tempo se svižným růstem ekonomiky a v roce 2016 činil jejich podíl jen 7,6 %. Ten řadil Česko mezi státy EU až na konec druhé desítky. Podobnou pozici měly i Chorvatsko a Maďarsko, lépe na tom z novějších členů Unie byly jen Slovinsko a Bulharsko. Celé EU v roce 2015 vévodily Francie, Německo a Švédsko (s podílem mírně přes </w:t>
            </w:r>
            <w:r w:rsidRPr="00360DE3">
              <w:rPr>
                <w:szCs w:val="20"/>
              </w:rPr>
              <w:lastRenderedPageBreak/>
              <w:t>11 %)</w:t>
            </w:r>
            <w:r w:rsidRPr="00360DE3">
              <w:rPr>
                <w:rStyle w:val="Znakapoznpodarou"/>
                <w:szCs w:val="20"/>
              </w:rPr>
              <w:footnoteReference w:id="141"/>
            </w:r>
            <w:r w:rsidRPr="00360DE3">
              <w:rPr>
                <w:szCs w:val="20"/>
              </w:rPr>
              <w:t>. Z pohledu celkových výdajů (vyjádřených v paritě kupní síly) na obyvatele patřilo Česku v rámci EU 15. místo (těsně z</w:t>
            </w:r>
            <w:r w:rsidR="00274037">
              <w:rPr>
                <w:szCs w:val="20"/>
              </w:rPr>
              <w:t>a Slovinskem, ale před Řeckem i</w:t>
            </w:r>
            <w:r w:rsidR="00274037" w:rsidRPr="00360DE3">
              <w:t> </w:t>
            </w:r>
            <w:r w:rsidRPr="00360DE3">
              <w:rPr>
                <w:szCs w:val="20"/>
              </w:rPr>
              <w:t>Portugalskem). Česko naopak vyniká strukturou financování zdravotní péče – vysokým podílem veřejných zdrojů (83 %, po Německu, Dánsku a Švédsku čtvrtým nejvyšším v EU) a relativně nízkou spoluúčastí domácností, vč. soukromého pojištění (po Německu druhou nejnižší v EU).</w:t>
            </w:r>
          </w:p>
        </w:tc>
      </w:tr>
      <w:tr w:rsidR="0060404F" w:rsidRPr="00360DE3" w:rsidTr="00DC37E3">
        <w:trPr>
          <w:trHeight w:val="170"/>
        </w:trPr>
        <w:tc>
          <w:tcPr>
            <w:tcW w:w="1976" w:type="dxa"/>
          </w:tcPr>
          <w:p w:rsidR="0060404F" w:rsidRPr="00360DE3" w:rsidRDefault="0060404F" w:rsidP="00DC37E3">
            <w:pPr>
              <w:pStyle w:val="Marginlie"/>
              <w:rPr>
                <w:spacing w:val="0"/>
              </w:rPr>
            </w:pPr>
            <w:r w:rsidRPr="00360DE3">
              <w:rPr>
                <w:spacing w:val="0"/>
              </w:rPr>
              <w:lastRenderedPageBreak/>
              <w:t>Průměrné procento dočasné pracovní neschopnosti se navyšovalo již pátým rokem v řadě, růstové tempo ale sláblo.</w:t>
            </w:r>
          </w:p>
          <w:p w:rsidR="0060404F" w:rsidRPr="00360DE3" w:rsidRDefault="0060404F" w:rsidP="00DC37E3">
            <w:pPr>
              <w:pStyle w:val="Marginlie"/>
              <w:rPr>
                <w:spacing w:val="0"/>
              </w:rPr>
            </w:pPr>
          </w:p>
          <w:p w:rsidR="0060404F" w:rsidRPr="00360DE3" w:rsidRDefault="0060404F" w:rsidP="00DC37E3">
            <w:pPr>
              <w:pStyle w:val="Marginlie"/>
              <w:rPr>
                <w:spacing w:val="0"/>
              </w:rPr>
            </w:pPr>
          </w:p>
          <w:p w:rsidR="0060404F" w:rsidRPr="00360DE3" w:rsidRDefault="0060404F" w:rsidP="00DC37E3">
            <w:pPr>
              <w:pStyle w:val="Marginlie"/>
              <w:rPr>
                <w:spacing w:val="0"/>
              </w:rPr>
            </w:pPr>
          </w:p>
          <w:p w:rsidR="0060404F" w:rsidRPr="00360DE3" w:rsidRDefault="0060404F" w:rsidP="00DC37E3">
            <w:pPr>
              <w:pStyle w:val="Marginlie"/>
              <w:rPr>
                <w:spacing w:val="0"/>
              </w:rPr>
            </w:pPr>
          </w:p>
          <w:p w:rsidR="0060404F" w:rsidRPr="00360DE3" w:rsidRDefault="0060404F" w:rsidP="00DE4C19">
            <w:pPr>
              <w:pStyle w:val="Marginlie"/>
              <w:rPr>
                <w:spacing w:val="0"/>
              </w:rPr>
            </w:pPr>
            <w:r w:rsidRPr="00360DE3">
              <w:rPr>
                <w:spacing w:val="0"/>
              </w:rPr>
              <w:t xml:space="preserve">Navzdory plynulému růstu státem </w:t>
            </w:r>
            <w:r w:rsidR="00DE4C19" w:rsidRPr="00360DE3">
              <w:rPr>
                <w:spacing w:val="0"/>
              </w:rPr>
              <w:t xml:space="preserve">vyplacených </w:t>
            </w:r>
            <w:r w:rsidRPr="00360DE3">
              <w:rPr>
                <w:spacing w:val="0"/>
              </w:rPr>
              <w:t>dávek nemocenského pojištění zůstal tento účet v přebytku.</w:t>
            </w:r>
          </w:p>
        </w:tc>
        <w:tc>
          <w:tcPr>
            <w:tcW w:w="277" w:type="dxa"/>
          </w:tcPr>
          <w:p w:rsidR="0060404F" w:rsidRPr="00360DE3" w:rsidRDefault="0060404F" w:rsidP="00DC37E3">
            <w:pPr>
              <w:pStyle w:val="Textpoznpodarou"/>
              <w:jc w:val="both"/>
            </w:pPr>
          </w:p>
        </w:tc>
        <w:tc>
          <w:tcPr>
            <w:tcW w:w="7391" w:type="dxa"/>
          </w:tcPr>
          <w:p w:rsidR="0060404F" w:rsidRPr="00360DE3" w:rsidRDefault="0060404F" w:rsidP="00DC37E3">
            <w:pPr>
              <w:spacing w:after="0"/>
              <w:rPr>
                <w:szCs w:val="20"/>
              </w:rPr>
            </w:pPr>
            <w:r w:rsidRPr="00360DE3">
              <w:rPr>
                <w:szCs w:val="20"/>
              </w:rPr>
              <w:t xml:space="preserve">Výdaje na zdravotní péči souvisí také se zdravotním stavem obyvatelstva. Přestože významná část výdajů je spojena se seniorskou populací, v roce 2016 směřovalo 51 % všech výdajů zdravotních pojišťoven na péči na osoby v produktivním věku (20 až 64 let). Vyšší nemocnost není jen zátěží pro veřejné finance, ale ovlivňuje i výrobní kapacity a konkurenceschopnost podniků. Průměrné procento </w:t>
            </w:r>
            <w:r w:rsidR="00A537F0">
              <w:rPr>
                <w:szCs w:val="20"/>
              </w:rPr>
              <w:t xml:space="preserve">celkové dočasné </w:t>
            </w:r>
            <w:r w:rsidRPr="00360DE3">
              <w:rPr>
                <w:szCs w:val="20"/>
              </w:rPr>
              <w:t>pracovní neschopnosti, jehož vývoj nebyl na rozdíl od předchozí dekády výrazněji ovlivněn změ</w:t>
            </w:r>
            <w:r w:rsidR="00DE4C19">
              <w:rPr>
                <w:szCs w:val="20"/>
              </w:rPr>
              <w:t>nami legislativy, činilo vloni 4,26</w:t>
            </w:r>
            <w:r w:rsidRPr="00360DE3">
              <w:rPr>
                <w:szCs w:val="20"/>
              </w:rPr>
              <w:t xml:space="preserve"> % a rostlo již pátým rokem v řadě (tempo růstu však ochabovalo)</w:t>
            </w:r>
            <w:r w:rsidR="00A537F0">
              <w:rPr>
                <w:rStyle w:val="Znakapoznpodarou"/>
                <w:szCs w:val="20"/>
              </w:rPr>
              <w:footnoteReference w:id="142"/>
            </w:r>
            <w:r w:rsidRPr="00360DE3">
              <w:rPr>
                <w:szCs w:val="20"/>
              </w:rPr>
              <w:t xml:space="preserve">. Plynule se naopak zvyšovaly vyplacené dávky nemocenského pojištění, </w:t>
            </w:r>
            <w:proofErr w:type="spellStart"/>
            <w:r w:rsidRPr="00360DE3">
              <w:rPr>
                <w:szCs w:val="20"/>
              </w:rPr>
              <w:t>mj</w:t>
            </w:r>
            <w:proofErr w:type="spellEnd"/>
            <w:r w:rsidRPr="00360DE3">
              <w:rPr>
                <w:szCs w:val="20"/>
              </w:rPr>
              <w:t xml:space="preserve"> i vlivem vyššího počtu pojištěnců a růstu mezd (s dopadem na vyměřovací základy). Účet nemocenského pojištění zůstal nadále v mírném přebytku (vloni +3,1 mld. korun). Pracovní neschopnost tradičně vykazuje významné rozdíly mezi regiony i odvětvími</w:t>
            </w:r>
            <w:r w:rsidRPr="00360DE3">
              <w:rPr>
                <w:rStyle w:val="Znakapoznpodarou"/>
                <w:szCs w:val="20"/>
              </w:rPr>
              <w:footnoteReference w:id="143"/>
            </w:r>
            <w:r w:rsidRPr="00360DE3">
              <w:rPr>
                <w:szCs w:val="20"/>
              </w:rPr>
              <w:t xml:space="preserve">. </w:t>
            </w:r>
          </w:p>
        </w:tc>
      </w:tr>
    </w:tbl>
    <w:p w:rsidR="00F46502" w:rsidRPr="00360DE3" w:rsidRDefault="00F46502" w:rsidP="00BE6186"/>
    <w:sectPr w:rsidR="00F46502" w:rsidRPr="00360DE3" w:rsidSect="006F5416">
      <w:headerReference w:type="even" r:id="rId77"/>
      <w:headerReference w:type="default" r:id="rId78"/>
      <w:footerReference w:type="even" r:id="rId79"/>
      <w:footerReference w:type="default" r:id="rId80"/>
      <w:pgSz w:w="11906" w:h="16838" w:code="9"/>
      <w:pgMar w:top="1134" w:right="1134" w:bottom="1418" w:left="1134" w:header="680" w:footer="68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62A7A" w:rsidRDefault="00162A7A" w:rsidP="00E71A58">
      <w:r>
        <w:separator/>
      </w:r>
    </w:p>
  </w:endnote>
  <w:endnote w:type="continuationSeparator" w:id="0">
    <w:p w:rsidR="00162A7A" w:rsidRDefault="00162A7A" w:rsidP="00E71A5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20002A87" w:usb1="00000000" w:usb2="00000000"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inion Pro">
    <w:charset w:val="00"/>
    <w:family w:val="auto"/>
    <w:pitch w:val="variable"/>
    <w:sig w:usb0="00000003" w:usb1="00000000" w:usb2="00000000" w:usb3="00000000" w:csb0="00000001" w:csb1="00000000"/>
  </w:font>
  <w:font w:name="Times New Roman CE obyèejné">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rial CE">
    <w:panose1 w:val="020B0604020202020204"/>
    <w:charset w:val="EE"/>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5DC" w:rsidRPr="00932443" w:rsidRDefault="00C805DC" w:rsidP="00A418BC">
    <w:pPr>
      <w:pStyle w:val="Zpat"/>
      <w:rPr>
        <w:szCs w:val="16"/>
      </w:rPr>
    </w:pPr>
    <w:r>
      <w:rPr>
        <w:szCs w:val="16"/>
        <w:lang w:eastAsia="cs-CZ"/>
      </w:rPr>
      <w:drawing>
        <wp:anchor distT="0" distB="0" distL="114300" distR="114300" simplePos="0" relativeHeight="251658240" behindDoc="0" locked="0" layoutInCell="1" allowOverlap="1">
          <wp:simplePos x="0" y="0"/>
          <wp:positionH relativeFrom="column">
            <wp:align>right</wp:align>
          </wp:positionH>
          <wp:positionV relativeFrom="paragraph">
            <wp:posOffset>-64770</wp:posOffset>
          </wp:positionV>
          <wp:extent cx="428625" cy="201295"/>
          <wp:effectExtent l="0" t="0" r="3175" b="1905"/>
          <wp:wrapNone/>
          <wp:docPr id="15" name="Picture 15" descr="CSU RGB CZ 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SU RGB CZ logo-01"/>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8625" cy="201295"/>
                  </a:xfrm>
                  <a:prstGeom prst="rect">
                    <a:avLst/>
                  </a:prstGeom>
                  <a:noFill/>
                  <a:ln>
                    <a:noFill/>
                  </a:ln>
                </pic:spPr>
              </pic:pic>
            </a:graphicData>
          </a:graphic>
        </wp:anchor>
      </w:drawing>
    </w:r>
    <w:r w:rsidR="00783C17" w:rsidRPr="00932443">
      <w:rPr>
        <w:szCs w:val="16"/>
      </w:rPr>
      <w:fldChar w:fldCharType="begin"/>
    </w:r>
    <w:r w:rsidRPr="00932443">
      <w:rPr>
        <w:szCs w:val="16"/>
      </w:rPr>
      <w:instrText>PAGE   \* MERGEFORMAT</w:instrText>
    </w:r>
    <w:r w:rsidR="00783C17" w:rsidRPr="00932443">
      <w:rPr>
        <w:szCs w:val="16"/>
      </w:rPr>
      <w:fldChar w:fldCharType="separate"/>
    </w:r>
    <w:r w:rsidR="00D279B8">
      <w:rPr>
        <w:szCs w:val="16"/>
      </w:rPr>
      <w:t>4</w:t>
    </w:r>
    <w:r w:rsidR="00783C17" w:rsidRPr="00932443">
      <w:rPr>
        <w:szCs w:val="16"/>
      </w:rPr>
      <w:fldChar w:fldCharType="end"/>
    </w:r>
    <w:r w:rsidRPr="00932443">
      <w:rPr>
        <w:szCs w:val="16"/>
      </w:rPr>
      <w:tab/>
    </w:r>
    <w:r>
      <w:rPr>
        <w:szCs w:val="16"/>
      </w:rPr>
      <w:t>2017</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5DC" w:rsidRPr="00932443" w:rsidRDefault="00C805DC" w:rsidP="00A418BC">
    <w:pPr>
      <w:pStyle w:val="Zpat"/>
      <w:rPr>
        <w:szCs w:val="16"/>
      </w:rPr>
    </w:pPr>
    <w:r>
      <w:rPr>
        <w:szCs w:val="16"/>
        <w:lang w:eastAsia="cs-CZ"/>
      </w:rPr>
      <w:drawing>
        <wp:anchor distT="0" distB="0" distL="114300" distR="114300" simplePos="0" relativeHeight="251657216" behindDoc="0" locked="0" layoutInCell="1" allowOverlap="1">
          <wp:simplePos x="0" y="0"/>
          <wp:positionH relativeFrom="column">
            <wp:align>left</wp:align>
          </wp:positionH>
          <wp:positionV relativeFrom="paragraph">
            <wp:posOffset>-122555</wp:posOffset>
          </wp:positionV>
          <wp:extent cx="510540" cy="272415"/>
          <wp:effectExtent l="0" t="0" r="0" b="6985"/>
          <wp:wrapNone/>
          <wp:docPr id="16" name="Picture 16" descr="CSU RGB CZ log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SU RGB CZ logo-02"/>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0540" cy="272415"/>
                  </a:xfrm>
                  <a:prstGeom prst="rect">
                    <a:avLst/>
                  </a:prstGeom>
                  <a:noFill/>
                  <a:ln>
                    <a:noFill/>
                  </a:ln>
                </pic:spPr>
              </pic:pic>
            </a:graphicData>
          </a:graphic>
        </wp:anchor>
      </w:drawing>
    </w:r>
    <w:r w:rsidRPr="00932443">
      <w:rPr>
        <w:szCs w:val="16"/>
      </w:rPr>
      <w:tab/>
    </w:r>
    <w:r>
      <w:rPr>
        <w:rStyle w:val="ZpatChar"/>
        <w:szCs w:val="16"/>
      </w:rPr>
      <w:t>2017</w:t>
    </w:r>
    <w:r w:rsidRPr="00932443">
      <w:rPr>
        <w:szCs w:val="16"/>
      </w:rPr>
      <w:tab/>
    </w:r>
    <w:r w:rsidR="00783C17" w:rsidRPr="00932443">
      <w:rPr>
        <w:rStyle w:val="ZpatChar"/>
        <w:szCs w:val="16"/>
      </w:rPr>
      <w:fldChar w:fldCharType="begin"/>
    </w:r>
    <w:r w:rsidRPr="00932443">
      <w:rPr>
        <w:rStyle w:val="ZpatChar"/>
        <w:szCs w:val="16"/>
      </w:rPr>
      <w:instrText>PAGE   \* MERGEFORMAT</w:instrText>
    </w:r>
    <w:r w:rsidR="00783C17" w:rsidRPr="00932443">
      <w:rPr>
        <w:rStyle w:val="ZpatChar"/>
        <w:szCs w:val="16"/>
      </w:rPr>
      <w:fldChar w:fldCharType="separate"/>
    </w:r>
    <w:r w:rsidR="00D279B8">
      <w:rPr>
        <w:rStyle w:val="ZpatChar"/>
        <w:szCs w:val="16"/>
      </w:rPr>
      <w:t>3</w:t>
    </w:r>
    <w:r w:rsidR="00783C17" w:rsidRPr="00932443">
      <w:rPr>
        <w:rStyle w:val="ZpatChar"/>
        <w:szCs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62A7A" w:rsidRDefault="00162A7A" w:rsidP="00E71A58">
      <w:r>
        <w:separator/>
      </w:r>
    </w:p>
  </w:footnote>
  <w:footnote w:type="continuationSeparator" w:id="0">
    <w:p w:rsidR="00162A7A" w:rsidRDefault="00162A7A" w:rsidP="00E71A58">
      <w:r>
        <w:continuationSeparator/>
      </w:r>
    </w:p>
  </w:footnote>
  <w:footnote w:id="1">
    <w:p w:rsidR="00C805DC" w:rsidRPr="002E4A56" w:rsidRDefault="00C805DC" w:rsidP="00F46502">
      <w:pPr>
        <w:pStyle w:val="Textpoznpodarou"/>
        <w:rPr>
          <w:sz w:val="16"/>
          <w:szCs w:val="16"/>
        </w:rPr>
      </w:pPr>
      <w:r w:rsidRPr="002E4A56">
        <w:rPr>
          <w:rStyle w:val="Znakapoznpodarou"/>
          <w:sz w:val="16"/>
          <w:szCs w:val="16"/>
        </w:rPr>
        <w:footnoteRef/>
      </w:r>
      <w:r w:rsidRPr="002E4A56">
        <w:rPr>
          <w:sz w:val="16"/>
          <w:szCs w:val="16"/>
        </w:rPr>
        <w:t xml:space="preserve"> Po vyloučení dovozu pro konečné užití</w:t>
      </w:r>
    </w:p>
  </w:footnote>
  <w:footnote w:id="2">
    <w:p w:rsidR="00C805DC" w:rsidRPr="00A74D5A" w:rsidRDefault="00C805DC" w:rsidP="00F46502">
      <w:pPr>
        <w:pStyle w:val="Textpoznpodarou"/>
        <w:rPr>
          <w:sz w:val="16"/>
          <w:szCs w:val="16"/>
        </w:rPr>
      </w:pPr>
      <w:r w:rsidRPr="00A74D5A">
        <w:rPr>
          <w:rStyle w:val="Znakapoznpodarou"/>
          <w:sz w:val="16"/>
          <w:szCs w:val="16"/>
        </w:rPr>
        <w:footnoteRef/>
      </w:r>
      <w:r w:rsidRPr="00A74D5A">
        <w:rPr>
          <w:sz w:val="16"/>
          <w:szCs w:val="16"/>
        </w:rPr>
        <w:t xml:space="preserve"> Investiční aktivitu tehdy ovlivnilo rychlé dočerpávání prostředků z evropských fondů.</w:t>
      </w:r>
    </w:p>
  </w:footnote>
  <w:footnote w:id="3">
    <w:p w:rsidR="00B30358" w:rsidRPr="00B30358" w:rsidRDefault="00B30358">
      <w:pPr>
        <w:pStyle w:val="Textpoznpodarou"/>
        <w:rPr>
          <w:rFonts w:cs="Arial"/>
          <w:sz w:val="16"/>
          <w:szCs w:val="16"/>
        </w:rPr>
      </w:pPr>
      <w:r w:rsidRPr="00B30358">
        <w:rPr>
          <w:rStyle w:val="Znakapoznpodarou"/>
          <w:rFonts w:cs="Arial"/>
          <w:sz w:val="16"/>
          <w:szCs w:val="16"/>
        </w:rPr>
        <w:footnoteRef/>
      </w:r>
      <w:r w:rsidRPr="00B30358">
        <w:rPr>
          <w:rFonts w:cs="Arial"/>
          <w:sz w:val="16"/>
          <w:szCs w:val="16"/>
        </w:rPr>
        <w:t xml:space="preserve"> Jde o odvětví </w:t>
      </w:r>
      <w:r w:rsidRPr="00B30358">
        <w:rPr>
          <w:rFonts w:cs="Arial"/>
          <w:bCs/>
          <w:sz w:val="16"/>
          <w:szCs w:val="16"/>
        </w:rPr>
        <w:t>Veřejná správa a obrana, vzdělávání, zdravotní a sociální péče</w:t>
      </w:r>
      <w:r>
        <w:rPr>
          <w:rFonts w:cs="Arial"/>
          <w:bCs/>
          <w:sz w:val="16"/>
          <w:szCs w:val="16"/>
        </w:rPr>
        <w:t>.</w:t>
      </w:r>
    </w:p>
  </w:footnote>
  <w:footnote w:id="4">
    <w:p w:rsidR="00B30358" w:rsidRPr="0065379C" w:rsidRDefault="00B30358" w:rsidP="00F46502">
      <w:pPr>
        <w:pStyle w:val="Textpoznpodarou"/>
        <w:rPr>
          <w:sz w:val="16"/>
          <w:szCs w:val="16"/>
        </w:rPr>
      </w:pPr>
      <w:r w:rsidRPr="0065379C">
        <w:rPr>
          <w:rStyle w:val="Znakapoznpodarou"/>
          <w:sz w:val="16"/>
          <w:szCs w:val="16"/>
        </w:rPr>
        <w:footnoteRef/>
      </w:r>
      <w:r w:rsidRPr="0065379C">
        <w:rPr>
          <w:sz w:val="16"/>
          <w:szCs w:val="16"/>
        </w:rPr>
        <w:t xml:space="preserve"> Zemi často využívají velké technologické firmy jako své daňové sídlo (např. </w:t>
      </w:r>
      <w:proofErr w:type="spellStart"/>
      <w:r w:rsidRPr="0065379C">
        <w:rPr>
          <w:sz w:val="16"/>
          <w:szCs w:val="16"/>
        </w:rPr>
        <w:t>Google</w:t>
      </w:r>
      <w:proofErr w:type="spellEnd"/>
      <w:r w:rsidRPr="0065379C">
        <w:rPr>
          <w:sz w:val="16"/>
          <w:szCs w:val="16"/>
        </w:rPr>
        <w:t xml:space="preserve">, </w:t>
      </w:r>
      <w:proofErr w:type="spellStart"/>
      <w:r w:rsidRPr="0065379C">
        <w:rPr>
          <w:sz w:val="16"/>
          <w:szCs w:val="16"/>
        </w:rPr>
        <w:t>Facebook</w:t>
      </w:r>
      <w:proofErr w:type="spellEnd"/>
      <w:r w:rsidRPr="0065379C">
        <w:rPr>
          <w:sz w:val="16"/>
          <w:szCs w:val="16"/>
        </w:rPr>
        <w:t>, atd.). Přesuny vychylují jednotlivé ukazatele národních účtů</w:t>
      </w:r>
      <w:r>
        <w:rPr>
          <w:sz w:val="16"/>
          <w:szCs w:val="16"/>
        </w:rPr>
        <w:t xml:space="preserve"> (příkladem může být 25,1% růst HDP v roce 2015)</w:t>
      </w:r>
      <w:r w:rsidRPr="0065379C">
        <w:rPr>
          <w:sz w:val="16"/>
          <w:szCs w:val="16"/>
        </w:rPr>
        <w:t>.</w:t>
      </w:r>
      <w:r>
        <w:rPr>
          <w:sz w:val="16"/>
          <w:szCs w:val="16"/>
        </w:rPr>
        <w:t xml:space="preserve"> </w:t>
      </w:r>
    </w:p>
  </w:footnote>
  <w:footnote w:id="5">
    <w:p w:rsidR="00C805DC" w:rsidRPr="009034CA" w:rsidRDefault="00C805DC" w:rsidP="00F46502">
      <w:pPr>
        <w:pStyle w:val="Textpoznpodarou"/>
        <w:rPr>
          <w:sz w:val="16"/>
          <w:szCs w:val="16"/>
        </w:rPr>
      </w:pPr>
      <w:r w:rsidRPr="009034CA">
        <w:rPr>
          <w:rStyle w:val="Znakapoznpodarou"/>
          <w:sz w:val="16"/>
          <w:szCs w:val="16"/>
        </w:rPr>
        <w:footnoteRef/>
      </w:r>
      <w:r w:rsidRPr="009034CA">
        <w:rPr>
          <w:sz w:val="16"/>
          <w:szCs w:val="16"/>
        </w:rPr>
        <w:t xml:space="preserve"> Příčiny lze hledat v nepříznivých </w:t>
      </w:r>
      <w:r>
        <w:rPr>
          <w:sz w:val="16"/>
          <w:szCs w:val="16"/>
        </w:rPr>
        <w:t xml:space="preserve">povětrnostních </w:t>
      </w:r>
      <w:r w:rsidRPr="009034CA">
        <w:rPr>
          <w:sz w:val="16"/>
          <w:szCs w:val="16"/>
        </w:rPr>
        <w:t xml:space="preserve">podmínkách loňského jara, které ovlivnily úrodu ovoce v celém středoevropském prostoru. Výsledkem bylo zdražení jablek o 44,1 % (průmyslová o 71,7 %), broskví o 37,5 % a ostatního ovoce o 22,9 %. </w:t>
      </w:r>
    </w:p>
  </w:footnote>
  <w:footnote w:id="6">
    <w:p w:rsidR="00C805DC" w:rsidRPr="001802AA" w:rsidRDefault="00C805DC" w:rsidP="00BE6186">
      <w:pPr>
        <w:pStyle w:val="Textpoznpodarou"/>
        <w:rPr>
          <w:rFonts w:cs="Arial"/>
          <w:sz w:val="16"/>
          <w:szCs w:val="16"/>
        </w:rPr>
      </w:pPr>
      <w:r w:rsidRPr="001802AA">
        <w:rPr>
          <w:rStyle w:val="Znakapoznpodarou"/>
          <w:rFonts w:cs="Arial"/>
          <w:sz w:val="16"/>
          <w:szCs w:val="16"/>
        </w:rPr>
        <w:footnoteRef/>
      </w:r>
      <w:r>
        <w:rPr>
          <w:rFonts w:cs="Arial"/>
          <w:sz w:val="16"/>
          <w:szCs w:val="16"/>
        </w:rPr>
        <w:t xml:space="preserve"> Č</w:t>
      </w:r>
      <w:r w:rsidRPr="001802AA">
        <w:rPr>
          <w:rFonts w:cs="Arial"/>
          <w:sz w:val="16"/>
          <w:szCs w:val="16"/>
        </w:rPr>
        <w:t>asové řady čtvrtletních sektorových účtů</w:t>
      </w:r>
    </w:p>
  </w:footnote>
  <w:footnote w:id="7">
    <w:p w:rsidR="00C805DC" w:rsidRPr="001802AA" w:rsidRDefault="00C805DC" w:rsidP="00BE6186">
      <w:pPr>
        <w:pStyle w:val="Textpoznpodarou"/>
        <w:rPr>
          <w:rFonts w:cs="Arial"/>
          <w:sz w:val="16"/>
          <w:szCs w:val="16"/>
        </w:rPr>
      </w:pPr>
      <w:r w:rsidRPr="001802AA">
        <w:rPr>
          <w:rStyle w:val="Znakapoznpodarou"/>
          <w:rFonts w:cs="Arial"/>
          <w:sz w:val="16"/>
          <w:szCs w:val="16"/>
        </w:rPr>
        <w:footnoteRef/>
      </w:r>
      <w:r w:rsidRPr="001802AA">
        <w:rPr>
          <w:rFonts w:cs="Arial"/>
          <w:sz w:val="16"/>
          <w:szCs w:val="16"/>
        </w:rPr>
        <w:t xml:space="preserve"> </w:t>
      </w:r>
      <w:proofErr w:type="spellStart"/>
      <w:r w:rsidRPr="001802AA">
        <w:rPr>
          <w:rStyle w:val="odkaz-style-wrapper"/>
          <w:rFonts w:cs="Arial"/>
          <w:bCs/>
          <w:sz w:val="16"/>
          <w:szCs w:val="16"/>
        </w:rPr>
        <w:t>Nerezidenti</w:t>
      </w:r>
      <w:proofErr w:type="spellEnd"/>
      <w:r w:rsidRPr="001802AA">
        <w:rPr>
          <w:rStyle w:val="odkaz-style-wrapper"/>
          <w:rFonts w:cs="Arial"/>
          <w:bCs/>
          <w:sz w:val="16"/>
          <w:szCs w:val="16"/>
        </w:rPr>
        <w:t xml:space="preserve"> </w:t>
      </w:r>
      <w:r w:rsidRPr="001802AA">
        <w:rPr>
          <w:rStyle w:val="odkaz-style-wrapper"/>
          <w:rFonts w:cs="Arial"/>
          <w:sz w:val="16"/>
          <w:szCs w:val="16"/>
        </w:rPr>
        <w:t>představují seskupení jednotek bez ohledu na charakteristiku jejich funkcí a zdrojů. Jsou to např. zastupitelské úřady cizích států nebo mezinárodní organizace, které byly založeny a fungují na základě mezinárodních dohod nebo oddělené části mateřských společností (např. pobočky výrobních podniků, bank a pojišťovacích společností).</w:t>
      </w:r>
    </w:p>
  </w:footnote>
  <w:footnote w:id="8">
    <w:p w:rsidR="00C805DC" w:rsidRPr="001802AA" w:rsidRDefault="00C805DC" w:rsidP="00C466D2">
      <w:pPr>
        <w:pStyle w:val="Textpoznpodarou"/>
        <w:rPr>
          <w:rFonts w:cs="Arial"/>
          <w:sz w:val="16"/>
          <w:szCs w:val="16"/>
        </w:rPr>
      </w:pPr>
      <w:r w:rsidRPr="001802AA">
        <w:rPr>
          <w:rStyle w:val="Znakapoznpodarou"/>
          <w:rFonts w:cs="Arial"/>
          <w:sz w:val="16"/>
          <w:szCs w:val="16"/>
        </w:rPr>
        <w:footnoteRef/>
      </w:r>
      <w:r w:rsidRPr="001802AA">
        <w:rPr>
          <w:rFonts w:cs="Arial"/>
          <w:sz w:val="16"/>
          <w:szCs w:val="16"/>
        </w:rPr>
        <w:t xml:space="preserve"> Údaje statistiky zahraničního obchodu v národním pojetí v nominálním vyjádření. Hodnota vývozu je zachycena v cenách FOB, tj. včetně nákladů souvisejících s dopravou na hranice ČR. Dovoz uvedený níže v této kapitole je v cenách CIF, tj. včetně nákladů souvisejících s dopravou v zahraničí na hranice ČR.</w:t>
      </w:r>
    </w:p>
  </w:footnote>
  <w:footnote w:id="9">
    <w:p w:rsidR="00C805DC" w:rsidRPr="0089525B" w:rsidRDefault="00C805DC" w:rsidP="005D3386">
      <w:pPr>
        <w:pStyle w:val="Textpoznpodarou"/>
        <w:rPr>
          <w:sz w:val="16"/>
          <w:szCs w:val="16"/>
        </w:rPr>
      </w:pPr>
      <w:r w:rsidRPr="0089525B">
        <w:rPr>
          <w:rStyle w:val="Znakapoznpodarou"/>
          <w:sz w:val="16"/>
          <w:szCs w:val="16"/>
        </w:rPr>
        <w:footnoteRef/>
      </w:r>
      <w:r w:rsidRPr="0089525B">
        <w:rPr>
          <w:sz w:val="16"/>
          <w:szCs w:val="16"/>
        </w:rPr>
        <w:t xml:space="preserve"> Pokud není uvedeno jinak, vychází všechny údaje o zaměstnanosti v této kapitole z údajů národních účtů.</w:t>
      </w:r>
    </w:p>
  </w:footnote>
  <w:footnote w:id="10">
    <w:p w:rsidR="00C805DC" w:rsidRPr="00783594" w:rsidRDefault="00C805DC" w:rsidP="005D3386">
      <w:pPr>
        <w:pStyle w:val="Textpoznpodarou"/>
        <w:jc w:val="both"/>
        <w:rPr>
          <w:spacing w:val="-2"/>
          <w:sz w:val="16"/>
          <w:szCs w:val="16"/>
        </w:rPr>
      </w:pPr>
      <w:r w:rsidRPr="00783594">
        <w:rPr>
          <w:rStyle w:val="Znakapoznpodarou"/>
          <w:spacing w:val="-2"/>
          <w:sz w:val="16"/>
          <w:szCs w:val="16"/>
        </w:rPr>
        <w:footnoteRef/>
      </w:r>
      <w:r w:rsidRPr="00783594">
        <w:rPr>
          <w:spacing w:val="-2"/>
          <w:sz w:val="16"/>
          <w:szCs w:val="16"/>
        </w:rPr>
        <w:t xml:space="preserve"> Ze 13 zemí střední a východní Evropy, jež vstoupily do EU po roce 2000, zaznamenaly loni slabší tempo zaměstnanosti jen </w:t>
      </w:r>
      <w:r>
        <w:rPr>
          <w:spacing w:val="-2"/>
          <w:sz w:val="16"/>
          <w:szCs w:val="16"/>
        </w:rPr>
        <w:t>Polsko (+1,4</w:t>
      </w:r>
      <w:r w:rsidRPr="0089525B">
        <w:rPr>
          <w:sz w:val="16"/>
          <w:szCs w:val="16"/>
        </w:rPr>
        <w:t> </w:t>
      </w:r>
      <w:r w:rsidRPr="00783594">
        <w:rPr>
          <w:spacing w:val="-2"/>
          <w:sz w:val="16"/>
          <w:szCs w:val="16"/>
        </w:rPr>
        <w:t>%), Lotyško (+0,6 %) a Litva (-0,5 %).  Na Slovensku a Maďarsku zaměstnanost posílila mírně přes 2 %, ve Slovinsku téměř o 3 %.</w:t>
      </w:r>
    </w:p>
  </w:footnote>
  <w:footnote w:id="11">
    <w:p w:rsidR="00C805DC" w:rsidRPr="0063116B" w:rsidRDefault="00C805DC" w:rsidP="005D3386">
      <w:pPr>
        <w:pStyle w:val="Textpoznpodarou"/>
        <w:rPr>
          <w:sz w:val="16"/>
          <w:szCs w:val="16"/>
        </w:rPr>
      </w:pPr>
      <w:r w:rsidRPr="0063116B">
        <w:rPr>
          <w:rStyle w:val="Znakapoznpodarou"/>
          <w:sz w:val="16"/>
          <w:szCs w:val="16"/>
        </w:rPr>
        <w:footnoteRef/>
      </w:r>
      <w:r w:rsidRPr="0063116B">
        <w:rPr>
          <w:sz w:val="16"/>
          <w:szCs w:val="16"/>
        </w:rPr>
        <w:t xml:space="preserve"> Dle sezónně očištěných údajů. Dosavadní rekord z konce konjunkturního roku 2008 byl překonán o více než 130 tis. osob.</w:t>
      </w:r>
    </w:p>
  </w:footnote>
  <w:footnote w:id="12">
    <w:p w:rsidR="00C805DC" w:rsidRPr="001D0752" w:rsidRDefault="00C805DC" w:rsidP="00360DE3">
      <w:pPr>
        <w:pStyle w:val="Textpoznpodarou"/>
        <w:rPr>
          <w:sz w:val="16"/>
          <w:szCs w:val="16"/>
        </w:rPr>
      </w:pPr>
      <w:r w:rsidRPr="001D0752">
        <w:rPr>
          <w:rStyle w:val="Znakapoznpodarou"/>
          <w:sz w:val="16"/>
          <w:szCs w:val="16"/>
        </w:rPr>
        <w:footnoteRef/>
      </w:r>
      <w:r w:rsidRPr="001D0752">
        <w:rPr>
          <w:sz w:val="16"/>
          <w:szCs w:val="16"/>
        </w:rPr>
        <w:t xml:space="preserve"> Naopak pokles počtu drobných podnikatelů (</w:t>
      </w:r>
      <w:proofErr w:type="spellStart"/>
      <w:r w:rsidRPr="001D0752">
        <w:rPr>
          <w:sz w:val="16"/>
          <w:szCs w:val="16"/>
        </w:rPr>
        <w:t>sebezaměstnaných</w:t>
      </w:r>
      <w:proofErr w:type="spellEnd"/>
      <w:r w:rsidRPr="001D0752">
        <w:rPr>
          <w:sz w:val="16"/>
          <w:szCs w:val="16"/>
        </w:rPr>
        <w:t xml:space="preserve">) </w:t>
      </w:r>
      <w:r>
        <w:rPr>
          <w:sz w:val="16"/>
          <w:szCs w:val="16"/>
        </w:rPr>
        <w:t xml:space="preserve">se loni ve stavebnictví </w:t>
      </w:r>
      <w:r w:rsidRPr="001D0752">
        <w:rPr>
          <w:sz w:val="16"/>
          <w:szCs w:val="16"/>
        </w:rPr>
        <w:t xml:space="preserve">po pěti letech zastavil. </w:t>
      </w:r>
    </w:p>
  </w:footnote>
  <w:footnote w:id="13">
    <w:p w:rsidR="00C805DC" w:rsidRPr="008754A3" w:rsidRDefault="00C805DC" w:rsidP="005D3386">
      <w:pPr>
        <w:pStyle w:val="Textpoznpodarou"/>
        <w:rPr>
          <w:sz w:val="16"/>
          <w:szCs w:val="16"/>
        </w:rPr>
      </w:pPr>
      <w:r w:rsidRPr="008754A3">
        <w:rPr>
          <w:rStyle w:val="Znakapoznpodarou"/>
          <w:sz w:val="16"/>
          <w:szCs w:val="16"/>
        </w:rPr>
        <w:footnoteRef/>
      </w:r>
      <w:r w:rsidRPr="008754A3">
        <w:rPr>
          <w:sz w:val="16"/>
          <w:szCs w:val="16"/>
        </w:rPr>
        <w:t xml:space="preserve"> Ve srovnání se státy Evropského sdružení volného obchodu, však již bylo </w:t>
      </w:r>
      <w:r>
        <w:rPr>
          <w:sz w:val="16"/>
          <w:szCs w:val="16"/>
        </w:rPr>
        <w:t xml:space="preserve">loni </w:t>
      </w:r>
      <w:r w:rsidRPr="008754A3">
        <w:rPr>
          <w:sz w:val="16"/>
          <w:szCs w:val="16"/>
        </w:rPr>
        <w:t>postavení Če</w:t>
      </w:r>
      <w:r>
        <w:rPr>
          <w:sz w:val="16"/>
          <w:szCs w:val="16"/>
        </w:rPr>
        <w:t>ska méně impozantní. Vyšší parti</w:t>
      </w:r>
      <w:r w:rsidRPr="008754A3">
        <w:rPr>
          <w:sz w:val="16"/>
          <w:szCs w:val="16"/>
        </w:rPr>
        <w:t>cipace dosahovali muži na Islandu (90,5 %) i ve Švýcarsku (86,8 %).</w:t>
      </w:r>
    </w:p>
  </w:footnote>
  <w:footnote w:id="14">
    <w:p w:rsidR="00C805DC" w:rsidRPr="00BA302E" w:rsidRDefault="00C805DC" w:rsidP="005D3386">
      <w:pPr>
        <w:pStyle w:val="Textpoznpodarou"/>
        <w:jc w:val="both"/>
        <w:rPr>
          <w:sz w:val="16"/>
          <w:szCs w:val="16"/>
        </w:rPr>
      </w:pPr>
      <w:r w:rsidRPr="00BA302E">
        <w:rPr>
          <w:rStyle w:val="Znakapoznpodarou"/>
          <w:sz w:val="16"/>
          <w:szCs w:val="16"/>
        </w:rPr>
        <w:footnoteRef/>
      </w:r>
      <w:r>
        <w:rPr>
          <w:sz w:val="16"/>
          <w:szCs w:val="16"/>
        </w:rPr>
        <w:t xml:space="preserve"> N</w:t>
      </w:r>
      <w:r w:rsidRPr="00BA302E">
        <w:rPr>
          <w:sz w:val="16"/>
          <w:szCs w:val="16"/>
        </w:rPr>
        <w:t>ecelých 44 % žen ve věku 20-49 let s nejmladším dítětem do 6 let byla loni v ČR zaměstnána. Nižší</w:t>
      </w:r>
      <w:r>
        <w:rPr>
          <w:sz w:val="16"/>
          <w:szCs w:val="16"/>
        </w:rPr>
        <w:t xml:space="preserve">ch hodnot </w:t>
      </w:r>
      <w:r w:rsidRPr="00BA302E">
        <w:rPr>
          <w:sz w:val="16"/>
          <w:szCs w:val="16"/>
        </w:rPr>
        <w:t xml:space="preserve">dosahovaly </w:t>
      </w:r>
      <w:r>
        <w:rPr>
          <w:sz w:val="16"/>
          <w:szCs w:val="16"/>
        </w:rPr>
        <w:t xml:space="preserve">v EU </w:t>
      </w:r>
      <w:r w:rsidRPr="00BA302E">
        <w:rPr>
          <w:sz w:val="16"/>
          <w:szCs w:val="16"/>
        </w:rPr>
        <w:t xml:space="preserve">jen Polsko a Maďarsko (shodně 42 %). V některých severských státech či zemích Beneluxu, ale také např. ve Slovinsku </w:t>
      </w:r>
      <w:r>
        <w:rPr>
          <w:sz w:val="16"/>
          <w:szCs w:val="16"/>
        </w:rPr>
        <w:t>i</w:t>
      </w:r>
      <w:r w:rsidRPr="00BA302E">
        <w:rPr>
          <w:sz w:val="16"/>
          <w:szCs w:val="16"/>
        </w:rPr>
        <w:t xml:space="preserve"> Portugalsku </w:t>
      </w:r>
      <w:r>
        <w:rPr>
          <w:sz w:val="16"/>
          <w:szCs w:val="16"/>
        </w:rPr>
        <w:t>takto pracovaly</w:t>
      </w:r>
      <w:r w:rsidRPr="00BA302E">
        <w:rPr>
          <w:sz w:val="16"/>
          <w:szCs w:val="16"/>
        </w:rPr>
        <w:t xml:space="preserve"> až o tři čtvrtiny žen.</w:t>
      </w:r>
    </w:p>
  </w:footnote>
  <w:footnote w:id="15">
    <w:p w:rsidR="00C805DC" w:rsidRPr="00F673C3" w:rsidRDefault="00C805DC" w:rsidP="005D3386">
      <w:pPr>
        <w:pStyle w:val="Textpoznpodarou"/>
        <w:rPr>
          <w:sz w:val="16"/>
          <w:szCs w:val="16"/>
        </w:rPr>
      </w:pPr>
      <w:r w:rsidRPr="00F673C3">
        <w:rPr>
          <w:rStyle w:val="Znakapoznpodarou"/>
          <w:sz w:val="16"/>
          <w:szCs w:val="16"/>
        </w:rPr>
        <w:footnoteRef/>
      </w:r>
      <w:r w:rsidRPr="00F673C3">
        <w:rPr>
          <w:sz w:val="16"/>
          <w:szCs w:val="16"/>
        </w:rPr>
        <w:t xml:space="preserve"> Podíl 20-49letých žen (s nejmladším dítětem ve věku do 6 let) pracujících na zkrácené úvazky se mezi roky 2014 a 2017 zvýšil z 19 na 23 %, obdobně u žen pracujících z domova ze 7 na 13 %.</w:t>
      </w:r>
    </w:p>
  </w:footnote>
  <w:footnote w:id="16">
    <w:p w:rsidR="00C805DC" w:rsidRPr="004634A9" w:rsidRDefault="00C805DC" w:rsidP="005D3386">
      <w:pPr>
        <w:pStyle w:val="Textpoznpodarou"/>
        <w:rPr>
          <w:sz w:val="16"/>
          <w:szCs w:val="16"/>
        </w:rPr>
      </w:pPr>
      <w:r w:rsidRPr="004634A9">
        <w:rPr>
          <w:rStyle w:val="Znakapoznpodarou"/>
          <w:sz w:val="16"/>
          <w:szCs w:val="16"/>
        </w:rPr>
        <w:footnoteRef/>
      </w:r>
      <w:r w:rsidRPr="004634A9">
        <w:rPr>
          <w:sz w:val="16"/>
          <w:szCs w:val="16"/>
        </w:rPr>
        <w:t xml:space="preserve"> Ze 129 tis. nezaměstnaných (dle metodiky ILO) jich ve 4. čtvrtletí 2017</w:t>
      </w:r>
      <w:r>
        <w:rPr>
          <w:sz w:val="16"/>
          <w:szCs w:val="16"/>
        </w:rPr>
        <w:t xml:space="preserve"> bylo bez práce méně než dva měsíce 38 tis. méně než půl rok pak v kumulaci 62 tis.</w:t>
      </w:r>
    </w:p>
  </w:footnote>
  <w:footnote w:id="17">
    <w:p w:rsidR="00C805DC" w:rsidRPr="003F10B3" w:rsidRDefault="00C805DC" w:rsidP="005D3386">
      <w:pPr>
        <w:pStyle w:val="Textpoznpodarou"/>
        <w:jc w:val="both"/>
        <w:rPr>
          <w:sz w:val="16"/>
          <w:szCs w:val="16"/>
        </w:rPr>
      </w:pPr>
      <w:r w:rsidRPr="003F10B3">
        <w:rPr>
          <w:rStyle w:val="Znakapoznpodarou"/>
          <w:sz w:val="16"/>
          <w:szCs w:val="16"/>
        </w:rPr>
        <w:footnoteRef/>
      </w:r>
      <w:r w:rsidRPr="003F10B3">
        <w:rPr>
          <w:sz w:val="16"/>
          <w:szCs w:val="16"/>
        </w:rPr>
        <w:t xml:space="preserve"> Česko se ve všech pětiletých skupinách pohybovalo v první dvojici zemí s nejnižší mírou nezaměstnanosti. O primát se „přetahovalo“ s Německem, Velkou Británií, Rumunskem či Maltou.</w:t>
      </w:r>
    </w:p>
  </w:footnote>
  <w:footnote w:id="18">
    <w:p w:rsidR="00C805DC" w:rsidRPr="001F3A0A" w:rsidRDefault="00C805DC" w:rsidP="005D3386">
      <w:pPr>
        <w:pStyle w:val="Textpoznpodarou"/>
        <w:jc w:val="both"/>
        <w:rPr>
          <w:sz w:val="16"/>
          <w:szCs w:val="16"/>
        </w:rPr>
      </w:pPr>
      <w:r w:rsidRPr="001F3A0A">
        <w:rPr>
          <w:rStyle w:val="Znakapoznpodarou"/>
          <w:sz w:val="16"/>
          <w:szCs w:val="16"/>
        </w:rPr>
        <w:footnoteRef/>
      </w:r>
      <w:r w:rsidRPr="001F3A0A">
        <w:rPr>
          <w:sz w:val="16"/>
          <w:szCs w:val="16"/>
        </w:rPr>
        <w:t xml:space="preserve"> Česko se tak přiblížilo zemím (severské státy, Velká Británie) s flexibilnějším trhem práce, kde významnou část nezaměstnanosti tvoří obvykle její frikční složka. Naopak v Řecku (73 %) či Itálii (59 %) zůstával podíl nezaměstnaných déle než rok na celkové nezaměstnanosti vysoký. To platilo i pro Slovensko (62 %), třebaže jeho pokles celkové míry nezaměstnanosti byl v posledních třech letech dynamický (z 13,2 % na 8,2 %).</w:t>
      </w:r>
    </w:p>
  </w:footnote>
  <w:footnote w:id="19">
    <w:p w:rsidR="00C805DC" w:rsidRPr="00AA5EA1" w:rsidRDefault="00C805DC" w:rsidP="005D3386">
      <w:pPr>
        <w:pStyle w:val="Textpoznpodarou"/>
        <w:rPr>
          <w:sz w:val="16"/>
          <w:szCs w:val="16"/>
        </w:rPr>
      </w:pPr>
      <w:r w:rsidRPr="00AA5EA1">
        <w:rPr>
          <w:rStyle w:val="Znakapoznpodarou"/>
          <w:sz w:val="16"/>
          <w:szCs w:val="16"/>
        </w:rPr>
        <w:footnoteRef/>
      </w:r>
      <w:r w:rsidRPr="00AA5EA1">
        <w:rPr>
          <w:sz w:val="16"/>
          <w:szCs w:val="16"/>
        </w:rPr>
        <w:t xml:space="preserve"> Cekem šlo o 103 tis. míst, v drtivé většině byly určeny pro </w:t>
      </w:r>
      <w:proofErr w:type="spellStart"/>
      <w:r w:rsidRPr="00AA5EA1">
        <w:rPr>
          <w:sz w:val="16"/>
          <w:szCs w:val="16"/>
        </w:rPr>
        <w:t>nízkokvalifikované</w:t>
      </w:r>
      <w:proofErr w:type="spellEnd"/>
      <w:r w:rsidRPr="00AA5EA1">
        <w:rPr>
          <w:sz w:val="16"/>
          <w:szCs w:val="16"/>
        </w:rPr>
        <w:t xml:space="preserve"> zaměstnance (55 % spadalo do kategorie </w:t>
      </w:r>
      <w:r w:rsidRPr="00AA5EA1">
        <w:rPr>
          <w:rFonts w:eastAsia="Times New Roman" w:cs="Arial"/>
          <w:color w:val="000000"/>
          <w:sz w:val="16"/>
          <w:szCs w:val="16"/>
        </w:rPr>
        <w:t>obsluhy strojů a zařízen</w:t>
      </w:r>
      <w:r>
        <w:rPr>
          <w:rFonts w:eastAsia="Times New Roman" w:cs="Arial"/>
          <w:color w:val="000000"/>
          <w:sz w:val="16"/>
          <w:szCs w:val="16"/>
        </w:rPr>
        <w:t>í</w:t>
      </w:r>
      <w:r w:rsidRPr="00AA5EA1">
        <w:rPr>
          <w:rFonts w:eastAsia="Times New Roman" w:cs="Arial"/>
          <w:color w:val="000000"/>
          <w:sz w:val="16"/>
          <w:szCs w:val="16"/>
        </w:rPr>
        <w:t xml:space="preserve"> či pomocné a nekvalifikované pracovníky, dalších 22 % do skupiny řemeslníci a opraváři</w:t>
      </w:r>
      <w:r>
        <w:rPr>
          <w:rFonts w:eastAsia="Times New Roman" w:cs="Arial"/>
          <w:color w:val="000000"/>
          <w:sz w:val="16"/>
          <w:szCs w:val="16"/>
        </w:rPr>
        <w:t>)</w:t>
      </w:r>
      <w:r w:rsidRPr="00AA5EA1">
        <w:rPr>
          <w:rFonts w:eastAsia="Times New Roman" w:cs="Arial"/>
          <w:color w:val="000000"/>
          <w:sz w:val="16"/>
          <w:szCs w:val="16"/>
        </w:rPr>
        <w:t xml:space="preserve">. </w:t>
      </w:r>
    </w:p>
  </w:footnote>
  <w:footnote w:id="20">
    <w:p w:rsidR="00C805DC" w:rsidRDefault="00C805DC" w:rsidP="005D3386">
      <w:pPr>
        <w:pStyle w:val="Textpoznpodarou"/>
        <w:jc w:val="both"/>
      </w:pPr>
      <w:r>
        <w:rPr>
          <w:rStyle w:val="Znakapoznpodarou"/>
        </w:rPr>
        <w:footnoteRef/>
      </w:r>
      <w:r>
        <w:t xml:space="preserve"> </w:t>
      </w:r>
      <w:r>
        <w:rPr>
          <w:sz w:val="16"/>
          <w:szCs w:val="16"/>
        </w:rPr>
        <w:t>Dle kvalifikovaných odhadů MPSV</w:t>
      </w:r>
      <w:r w:rsidRPr="00577979">
        <w:rPr>
          <w:sz w:val="16"/>
          <w:szCs w:val="16"/>
        </w:rPr>
        <w:t xml:space="preserve"> vzrostl během roku 2017 poče</w:t>
      </w:r>
      <w:r>
        <w:rPr>
          <w:sz w:val="16"/>
          <w:szCs w:val="16"/>
        </w:rPr>
        <w:t xml:space="preserve">t cizinců v pozici zaměstnanců </w:t>
      </w:r>
      <w:r w:rsidRPr="00577979">
        <w:rPr>
          <w:sz w:val="16"/>
          <w:szCs w:val="16"/>
        </w:rPr>
        <w:t>o 87 tis.</w:t>
      </w:r>
      <w:r>
        <w:rPr>
          <w:sz w:val="16"/>
          <w:szCs w:val="16"/>
        </w:rPr>
        <w:t xml:space="preserve"> Téměř třetinu z tohoto nárůstu tvořili občané Ukrajiny.</w:t>
      </w:r>
      <w:r w:rsidRPr="00577979">
        <w:rPr>
          <w:sz w:val="16"/>
          <w:szCs w:val="16"/>
        </w:rPr>
        <w:t xml:space="preserve"> Na konci roku 2017 tak v zaměs</w:t>
      </w:r>
      <w:r>
        <w:rPr>
          <w:sz w:val="16"/>
          <w:szCs w:val="16"/>
        </w:rPr>
        <w:t>tnaneckých pozicích v ČR</w:t>
      </w:r>
      <w:r w:rsidRPr="00577979">
        <w:rPr>
          <w:sz w:val="16"/>
          <w:szCs w:val="16"/>
        </w:rPr>
        <w:t xml:space="preserve"> pracovalo </w:t>
      </w:r>
      <w:r>
        <w:rPr>
          <w:sz w:val="16"/>
          <w:szCs w:val="16"/>
        </w:rPr>
        <w:t xml:space="preserve">celkem </w:t>
      </w:r>
      <w:r w:rsidRPr="00577979">
        <w:rPr>
          <w:sz w:val="16"/>
          <w:szCs w:val="16"/>
        </w:rPr>
        <w:t>472 ti</w:t>
      </w:r>
      <w:r>
        <w:rPr>
          <w:sz w:val="16"/>
          <w:szCs w:val="16"/>
        </w:rPr>
        <w:t xml:space="preserve">s. cizích státních příslušníků (70 % z nich byli občany EU). Bezmála třetina cizinců působila ve zpracovatelském průmyslu a spolu s odvětvím administrativních a podpůrných činností (kam patří z velké části agenturní pracovníci) to byla skoro polovina. Z pohledu kvalifikací byla třetina cizinců řazena jako pomocní a nekvalifikovaní pracovníci, pětina pak v kategorii </w:t>
      </w:r>
      <w:r w:rsidRPr="005C57CC">
        <w:rPr>
          <w:sz w:val="16"/>
          <w:szCs w:val="16"/>
        </w:rPr>
        <w:t>obsluha strojů a zařízení, montéři.</w:t>
      </w:r>
      <w:r>
        <w:rPr>
          <w:sz w:val="16"/>
          <w:szCs w:val="16"/>
        </w:rPr>
        <w:t xml:space="preserve"> Do celkového počtu pracujících cizinců v ČR je třeba ještě připočítat osoby s</w:t>
      </w:r>
      <w:r w:rsidRPr="00DE086E">
        <w:rPr>
          <w:sz w:val="16"/>
          <w:szCs w:val="16"/>
        </w:rPr>
        <w:t xml:space="preserve"> platným živnostenským oprávněním</w:t>
      </w:r>
      <w:r>
        <w:rPr>
          <w:sz w:val="16"/>
          <w:szCs w:val="16"/>
        </w:rPr>
        <w:t xml:space="preserve"> (87 tis.), jejichž četnost však v posledních dvou letech rostla jen velmi pozvolna. Polovinu podnikajících cizinců tvořili v součtu občané Ukrajiny a Vietnamu. </w:t>
      </w:r>
    </w:p>
  </w:footnote>
  <w:footnote w:id="21">
    <w:p w:rsidR="00C805DC" w:rsidRPr="00E93575" w:rsidRDefault="00C805DC" w:rsidP="00EA0840">
      <w:pPr>
        <w:pStyle w:val="Textpoznpodarou"/>
        <w:jc w:val="both"/>
        <w:rPr>
          <w:spacing w:val="-2"/>
          <w:sz w:val="16"/>
          <w:szCs w:val="16"/>
        </w:rPr>
      </w:pPr>
      <w:r w:rsidRPr="00E93575">
        <w:rPr>
          <w:rStyle w:val="Znakapoznpodarou"/>
          <w:spacing w:val="-2"/>
          <w:sz w:val="16"/>
          <w:szCs w:val="16"/>
        </w:rPr>
        <w:footnoteRef/>
      </w:r>
      <w:r w:rsidRPr="00E93575">
        <w:rPr>
          <w:spacing w:val="-2"/>
          <w:sz w:val="16"/>
          <w:szCs w:val="16"/>
        </w:rPr>
        <w:t xml:space="preserve"> Míra nezaměstnanosti je zde z důvodu datové dosažitelnosti nahrazena ukazatelem „podíl registrovaných uchazečů o práci na bydlícím obyvatelstvu ve věku 15-64 let“. Z hodnocených území obvodů pověřených obecních úřadů jich mez</w:t>
      </w:r>
      <w:r>
        <w:rPr>
          <w:spacing w:val="-2"/>
          <w:sz w:val="16"/>
          <w:szCs w:val="16"/>
        </w:rPr>
        <w:t>iroční pokles nezaměstnanosti o</w:t>
      </w:r>
      <w:r w:rsidRPr="00E93575">
        <w:rPr>
          <w:spacing w:val="-2"/>
          <w:sz w:val="16"/>
          <w:szCs w:val="16"/>
        </w:rPr>
        <w:t xml:space="preserve"> alespoň 0,5 p. </w:t>
      </w:r>
      <w:proofErr w:type="spellStart"/>
      <w:r w:rsidRPr="00E93575">
        <w:rPr>
          <w:spacing w:val="-2"/>
          <w:sz w:val="16"/>
          <w:szCs w:val="16"/>
        </w:rPr>
        <w:t>b</w:t>
      </w:r>
      <w:proofErr w:type="spellEnd"/>
      <w:r w:rsidRPr="00E93575">
        <w:rPr>
          <w:spacing w:val="-2"/>
          <w:sz w:val="16"/>
          <w:szCs w:val="16"/>
        </w:rPr>
        <w:t xml:space="preserve">. </w:t>
      </w:r>
      <w:proofErr w:type="gramStart"/>
      <w:r w:rsidRPr="00E93575">
        <w:rPr>
          <w:spacing w:val="-2"/>
          <w:sz w:val="16"/>
          <w:szCs w:val="16"/>
        </w:rPr>
        <w:t>loni</w:t>
      </w:r>
      <w:proofErr w:type="gramEnd"/>
      <w:r w:rsidRPr="00E93575">
        <w:rPr>
          <w:spacing w:val="-2"/>
          <w:sz w:val="16"/>
          <w:szCs w:val="16"/>
        </w:rPr>
        <w:t xml:space="preserve"> zaznamenalo 95 %.</w:t>
      </w:r>
    </w:p>
  </w:footnote>
  <w:footnote w:id="22">
    <w:p w:rsidR="00C805DC" w:rsidRPr="00E93575" w:rsidRDefault="00C805DC" w:rsidP="005D3386">
      <w:pPr>
        <w:pStyle w:val="Textpoznpodarou"/>
        <w:jc w:val="both"/>
        <w:rPr>
          <w:spacing w:val="-4"/>
          <w:sz w:val="16"/>
          <w:szCs w:val="16"/>
        </w:rPr>
      </w:pPr>
      <w:r w:rsidRPr="00E93575">
        <w:rPr>
          <w:rStyle w:val="Znakapoznpodarou"/>
          <w:spacing w:val="-4"/>
          <w:sz w:val="16"/>
          <w:szCs w:val="16"/>
        </w:rPr>
        <w:footnoteRef/>
      </w:r>
      <w:r w:rsidRPr="00E93575">
        <w:rPr>
          <w:spacing w:val="-4"/>
          <w:sz w:val="16"/>
          <w:szCs w:val="16"/>
        </w:rPr>
        <w:t xml:space="preserve"> Není-li uvedeno jinak, pochází údaje o mzdách v této kapitole z údajů národních účtů. </w:t>
      </w:r>
      <w:r w:rsidRPr="00E93575">
        <w:rPr>
          <w:iCs/>
          <w:color w:val="0D0D0D" w:themeColor="text1" w:themeTint="F2"/>
          <w:spacing w:val="-4"/>
          <w:sz w:val="16"/>
          <w:szCs w:val="16"/>
        </w:rPr>
        <w:t>Zahrnují veškeré příjmy ze zaměst</w:t>
      </w:r>
      <w:r>
        <w:rPr>
          <w:iCs/>
          <w:color w:val="0D0D0D" w:themeColor="text1" w:themeTint="F2"/>
          <w:spacing w:val="-4"/>
          <w:sz w:val="16"/>
          <w:szCs w:val="16"/>
        </w:rPr>
        <w:t>nání, a to v peněžní i</w:t>
      </w:r>
      <w:r w:rsidRPr="00E93575">
        <w:rPr>
          <w:spacing w:val="-2"/>
          <w:sz w:val="16"/>
          <w:szCs w:val="16"/>
        </w:rPr>
        <w:t> </w:t>
      </w:r>
      <w:r w:rsidRPr="00E93575">
        <w:rPr>
          <w:iCs/>
          <w:color w:val="0D0D0D" w:themeColor="text1" w:themeTint="F2"/>
          <w:spacing w:val="-4"/>
          <w:sz w:val="16"/>
          <w:szCs w:val="16"/>
        </w:rPr>
        <w:t xml:space="preserve">naturální podobě (zaměstnanecké </w:t>
      </w:r>
      <w:proofErr w:type="spellStart"/>
      <w:r w:rsidRPr="00E93575">
        <w:rPr>
          <w:iCs/>
          <w:color w:val="0D0D0D" w:themeColor="text1" w:themeTint="F2"/>
          <w:spacing w:val="-4"/>
          <w:sz w:val="16"/>
          <w:szCs w:val="16"/>
        </w:rPr>
        <w:t>benefity</w:t>
      </w:r>
      <w:proofErr w:type="spellEnd"/>
      <w:r w:rsidRPr="00E93575">
        <w:rPr>
          <w:iCs/>
          <w:color w:val="0D0D0D" w:themeColor="text1" w:themeTint="F2"/>
          <w:spacing w:val="-4"/>
          <w:sz w:val="16"/>
          <w:szCs w:val="16"/>
        </w:rPr>
        <w:t>). Na rozdíl od podnikových statistik je v údajích promítnut i odhad vlivu šedé ekonomiky.</w:t>
      </w:r>
    </w:p>
  </w:footnote>
  <w:footnote w:id="23">
    <w:p w:rsidR="00C805DC" w:rsidRPr="0010367D" w:rsidRDefault="00C805DC" w:rsidP="00360DE3">
      <w:pPr>
        <w:pStyle w:val="Textpoznpodarou"/>
        <w:jc w:val="both"/>
        <w:rPr>
          <w:sz w:val="16"/>
          <w:szCs w:val="16"/>
        </w:rPr>
      </w:pPr>
      <w:r w:rsidRPr="0010367D">
        <w:rPr>
          <w:rStyle w:val="Znakapoznpodarou"/>
          <w:sz w:val="16"/>
          <w:szCs w:val="16"/>
        </w:rPr>
        <w:footnoteRef/>
      </w:r>
      <w:r w:rsidRPr="0010367D">
        <w:rPr>
          <w:sz w:val="16"/>
          <w:szCs w:val="16"/>
        </w:rPr>
        <w:t xml:space="preserve"> Z definitivních údajů o úplných nákladech práce za rok 2016 vyplývá, že sociální požitky (tvoří</w:t>
      </w:r>
      <w:r>
        <w:rPr>
          <w:sz w:val="16"/>
          <w:szCs w:val="16"/>
        </w:rPr>
        <w:t>cí</w:t>
      </w:r>
      <w:r w:rsidRPr="0010367D">
        <w:rPr>
          <w:sz w:val="16"/>
          <w:szCs w:val="16"/>
        </w:rPr>
        <w:t xml:space="preserve"> významnou část </w:t>
      </w:r>
      <w:proofErr w:type="spellStart"/>
      <w:r w:rsidRPr="0010367D">
        <w:rPr>
          <w:sz w:val="16"/>
          <w:szCs w:val="16"/>
        </w:rPr>
        <w:t>benefitů</w:t>
      </w:r>
      <w:proofErr w:type="spellEnd"/>
      <w:r w:rsidRPr="0010367D">
        <w:rPr>
          <w:sz w:val="16"/>
          <w:szCs w:val="16"/>
        </w:rPr>
        <w:t xml:space="preserve"> zachycenou v nepřímých nákladech práce) dále navýšily přímé náklady práce (obsahují</w:t>
      </w:r>
      <w:r>
        <w:rPr>
          <w:sz w:val="16"/>
          <w:szCs w:val="16"/>
        </w:rPr>
        <w:t>cí</w:t>
      </w:r>
      <w:r w:rsidRPr="0010367D">
        <w:rPr>
          <w:sz w:val="16"/>
          <w:szCs w:val="16"/>
        </w:rPr>
        <w:t xml:space="preserve"> mzdy a platy za vykonanou práci a také náhrady mezd placené zaměstnavatelem) v celé ekonomice o 1,5 %, v peněžnictví a pojišťovnictví </w:t>
      </w:r>
      <w:r>
        <w:rPr>
          <w:sz w:val="16"/>
          <w:szCs w:val="16"/>
        </w:rPr>
        <w:t xml:space="preserve">pak </w:t>
      </w:r>
      <w:r w:rsidRPr="0010367D">
        <w:rPr>
          <w:sz w:val="16"/>
          <w:szCs w:val="16"/>
        </w:rPr>
        <w:t xml:space="preserve">o 2,6 %. Významnou roli měly též v odvětví </w:t>
      </w:r>
      <w:r>
        <w:rPr>
          <w:sz w:val="16"/>
          <w:szCs w:val="16"/>
        </w:rPr>
        <w:t>v</w:t>
      </w:r>
      <w:r w:rsidRPr="0010367D">
        <w:rPr>
          <w:sz w:val="16"/>
          <w:szCs w:val="16"/>
        </w:rPr>
        <w:t xml:space="preserve">ýroba a rozvod elektřiny, plynu, tepla a klimatizovaného vzduchu (4,7 %), </w:t>
      </w:r>
      <w:r>
        <w:rPr>
          <w:sz w:val="16"/>
          <w:szCs w:val="16"/>
        </w:rPr>
        <w:t>z</w:t>
      </w:r>
      <w:r w:rsidRPr="0010367D">
        <w:rPr>
          <w:sz w:val="16"/>
          <w:szCs w:val="16"/>
        </w:rPr>
        <w:t xml:space="preserve">ásobování vodou; činnosti související s odpadními vodami, odpady a sanacemi (2,6 %), </w:t>
      </w:r>
      <w:r>
        <w:rPr>
          <w:sz w:val="16"/>
          <w:szCs w:val="16"/>
        </w:rPr>
        <w:t>v</w:t>
      </w:r>
      <w:r w:rsidRPr="0010367D">
        <w:rPr>
          <w:sz w:val="16"/>
          <w:szCs w:val="16"/>
        </w:rPr>
        <w:t>eřejná správa a obrana; povinné sociální zabezpečení</w:t>
      </w:r>
      <w:r>
        <w:rPr>
          <w:sz w:val="16"/>
          <w:szCs w:val="16"/>
        </w:rPr>
        <w:t xml:space="preserve"> (2,5 %) a t</w:t>
      </w:r>
      <w:r w:rsidRPr="0010367D">
        <w:rPr>
          <w:sz w:val="16"/>
          <w:szCs w:val="16"/>
        </w:rPr>
        <w:t xml:space="preserve">ěžba a dobývání (2,3 %). </w:t>
      </w:r>
      <w:r>
        <w:rPr>
          <w:sz w:val="16"/>
          <w:szCs w:val="16"/>
        </w:rPr>
        <w:t xml:space="preserve">V rozšířeném pojetí </w:t>
      </w:r>
      <w:proofErr w:type="spellStart"/>
      <w:r>
        <w:rPr>
          <w:sz w:val="16"/>
          <w:szCs w:val="16"/>
        </w:rPr>
        <w:t>benefitů</w:t>
      </w:r>
      <w:proofErr w:type="spellEnd"/>
      <w:r>
        <w:rPr>
          <w:sz w:val="16"/>
          <w:szCs w:val="16"/>
        </w:rPr>
        <w:t xml:space="preserve"> (zahrnujících vedle sociálních požitků i náklady na školení, ošatné, </w:t>
      </w:r>
      <w:r w:rsidRPr="0010367D">
        <w:rPr>
          <w:sz w:val="16"/>
          <w:szCs w:val="16"/>
        </w:rPr>
        <w:t>nadstandardní programy sociálního zabezpečení</w:t>
      </w:r>
      <w:r>
        <w:rPr>
          <w:sz w:val="16"/>
          <w:szCs w:val="16"/>
        </w:rPr>
        <w:t xml:space="preserve"> či odstupné) jejich poměr (vztažený k přímým nákladům práce) v peněžnictví a pojišťovnictví přesáhl 6 %.</w:t>
      </w:r>
      <w:r w:rsidR="00336E03">
        <w:rPr>
          <w:sz w:val="16"/>
          <w:szCs w:val="16"/>
        </w:rPr>
        <w:t xml:space="preserve"> </w:t>
      </w:r>
      <w:r>
        <w:rPr>
          <w:sz w:val="16"/>
          <w:szCs w:val="16"/>
        </w:rPr>
        <w:t>Ve výrobě</w:t>
      </w:r>
      <w:r w:rsidRPr="0010367D">
        <w:rPr>
          <w:sz w:val="16"/>
          <w:szCs w:val="16"/>
        </w:rPr>
        <w:t xml:space="preserve"> a rozvod</w:t>
      </w:r>
      <w:r>
        <w:rPr>
          <w:sz w:val="16"/>
          <w:szCs w:val="16"/>
        </w:rPr>
        <w:t>u</w:t>
      </w:r>
      <w:r w:rsidRPr="0010367D">
        <w:rPr>
          <w:sz w:val="16"/>
          <w:szCs w:val="16"/>
        </w:rPr>
        <w:t xml:space="preserve"> elektřiny, plynu, tepla a klimatizovaného vzduchu</w:t>
      </w:r>
      <w:r>
        <w:rPr>
          <w:sz w:val="16"/>
          <w:szCs w:val="16"/>
        </w:rPr>
        <w:t xml:space="preserve"> se </w:t>
      </w:r>
      <w:r w:rsidR="00336E03">
        <w:rPr>
          <w:sz w:val="16"/>
          <w:szCs w:val="16"/>
        </w:rPr>
        <w:t xml:space="preserve">pak </w:t>
      </w:r>
      <w:r>
        <w:rPr>
          <w:sz w:val="16"/>
          <w:szCs w:val="16"/>
        </w:rPr>
        <w:t>dokonce blížil 10 %.</w:t>
      </w:r>
    </w:p>
  </w:footnote>
  <w:footnote w:id="24">
    <w:p w:rsidR="00C805DC" w:rsidRPr="00960B76" w:rsidRDefault="00C805DC" w:rsidP="005D3386">
      <w:pPr>
        <w:pStyle w:val="Normlnweb"/>
        <w:spacing w:before="120" w:beforeAutospacing="0" w:after="0" w:afterAutospacing="0"/>
        <w:jc w:val="both"/>
        <w:rPr>
          <w:rFonts w:ascii="Arial" w:hAnsi="Arial" w:cs="Arial"/>
          <w:sz w:val="16"/>
          <w:szCs w:val="16"/>
        </w:rPr>
      </w:pPr>
      <w:r w:rsidRPr="003B03BB">
        <w:rPr>
          <w:rStyle w:val="Znakapoznpodarou"/>
          <w:rFonts w:ascii="Arial" w:hAnsi="Arial" w:cs="Arial"/>
          <w:sz w:val="16"/>
          <w:szCs w:val="16"/>
        </w:rPr>
        <w:footnoteRef/>
      </w:r>
      <w:r w:rsidRPr="003B03BB">
        <w:rPr>
          <w:rFonts w:ascii="Arial" w:hAnsi="Arial" w:cs="Arial"/>
          <w:sz w:val="16"/>
          <w:szCs w:val="16"/>
        </w:rPr>
        <w:t xml:space="preserve"> </w:t>
      </w:r>
      <w:r>
        <w:rPr>
          <w:rFonts w:ascii="Arial" w:hAnsi="Arial" w:cs="Arial"/>
          <w:color w:val="0D0D0D" w:themeColor="text1" w:themeTint="F2"/>
          <w:spacing w:val="-2"/>
          <w:sz w:val="16"/>
          <w:szCs w:val="16"/>
        </w:rPr>
        <w:t>Ta vychází z</w:t>
      </w:r>
      <w:r w:rsidRPr="003B03BB">
        <w:rPr>
          <w:rFonts w:ascii="Arial" w:hAnsi="Arial" w:cs="Arial"/>
          <w:color w:val="0D0D0D" w:themeColor="text1" w:themeTint="F2"/>
          <w:spacing w:val="-2"/>
          <w:sz w:val="16"/>
          <w:szCs w:val="16"/>
        </w:rPr>
        <w:t xml:space="preserve"> </w:t>
      </w:r>
      <w:r>
        <w:rPr>
          <w:rFonts w:ascii="Arial" w:hAnsi="Arial" w:cs="Arial"/>
          <w:sz w:val="16"/>
          <w:szCs w:val="16"/>
        </w:rPr>
        <w:t>údajů</w:t>
      </w:r>
      <w:r w:rsidRPr="003B03BB">
        <w:rPr>
          <w:rFonts w:ascii="Arial" w:hAnsi="Arial" w:cs="Arial"/>
          <w:sz w:val="16"/>
          <w:szCs w:val="16"/>
        </w:rPr>
        <w:t xml:space="preserve"> o</w:t>
      </w:r>
      <w:r>
        <w:rPr>
          <w:rFonts w:ascii="Arial" w:hAnsi="Arial" w:cs="Arial"/>
          <w:sz w:val="16"/>
          <w:szCs w:val="16"/>
        </w:rPr>
        <w:t xml:space="preserve"> výdělcích (doplněných dalšími </w:t>
      </w:r>
      <w:proofErr w:type="spellStart"/>
      <w:r>
        <w:rPr>
          <w:rFonts w:ascii="Arial" w:hAnsi="Arial" w:cs="Arial"/>
          <w:sz w:val="16"/>
          <w:szCs w:val="16"/>
        </w:rPr>
        <w:t>sociodemografickými</w:t>
      </w:r>
      <w:proofErr w:type="spellEnd"/>
      <w:r>
        <w:rPr>
          <w:rFonts w:ascii="Arial" w:hAnsi="Arial" w:cs="Arial"/>
          <w:sz w:val="16"/>
          <w:szCs w:val="16"/>
        </w:rPr>
        <w:t xml:space="preserve"> charakteristikami) jednotlivých zaměstnanců</w:t>
      </w:r>
      <w:r w:rsidRPr="003B03BB">
        <w:rPr>
          <w:rFonts w:ascii="Arial" w:hAnsi="Arial" w:cs="Arial"/>
          <w:sz w:val="16"/>
          <w:szCs w:val="16"/>
        </w:rPr>
        <w:t xml:space="preserve">. </w:t>
      </w:r>
      <w:r>
        <w:rPr>
          <w:rFonts w:ascii="Arial" w:hAnsi="Arial" w:cs="Arial"/>
          <w:sz w:val="16"/>
          <w:szCs w:val="16"/>
        </w:rPr>
        <w:t>Průměrná mzda ze strukturálního šetření</w:t>
      </w:r>
      <w:r w:rsidRPr="003B03BB">
        <w:rPr>
          <w:rFonts w:ascii="Arial" w:hAnsi="Arial" w:cs="Arial"/>
          <w:sz w:val="16"/>
          <w:szCs w:val="16"/>
        </w:rPr>
        <w:t xml:space="preserve"> je vypočtena poměřením s placenou dobou zaměstnance (nezahrnuje se neplacená nepřítomnos</w:t>
      </w:r>
      <w:r>
        <w:rPr>
          <w:rFonts w:ascii="Arial" w:hAnsi="Arial" w:cs="Arial"/>
          <w:sz w:val="16"/>
          <w:szCs w:val="16"/>
        </w:rPr>
        <w:t>t v práci, např. pro nemoc), nezapočítávají</w:t>
      </w:r>
      <w:r w:rsidRPr="003B03BB">
        <w:rPr>
          <w:rFonts w:ascii="Arial" w:hAnsi="Arial" w:cs="Arial"/>
          <w:sz w:val="16"/>
          <w:szCs w:val="16"/>
        </w:rPr>
        <w:t xml:space="preserve"> se ale zaměstnanci s týdenním úvazkem kratším než 30 hodin</w:t>
      </w:r>
      <w:r>
        <w:rPr>
          <w:rFonts w:ascii="Arial" w:hAnsi="Arial" w:cs="Arial"/>
          <w:sz w:val="16"/>
          <w:szCs w:val="16"/>
        </w:rPr>
        <w:t>. Oproti tomu v podnikových zjišťováních</w:t>
      </w:r>
      <w:r w:rsidRPr="003B03BB">
        <w:rPr>
          <w:rFonts w:ascii="Arial" w:hAnsi="Arial" w:cs="Arial"/>
          <w:sz w:val="16"/>
          <w:szCs w:val="16"/>
        </w:rPr>
        <w:t xml:space="preserve"> je </w:t>
      </w:r>
      <w:r>
        <w:rPr>
          <w:rFonts w:ascii="Arial" w:hAnsi="Arial" w:cs="Arial"/>
          <w:sz w:val="16"/>
          <w:szCs w:val="16"/>
        </w:rPr>
        <w:t xml:space="preserve">mzda </w:t>
      </w:r>
      <w:r w:rsidRPr="003B03BB">
        <w:rPr>
          <w:rFonts w:ascii="Arial" w:hAnsi="Arial" w:cs="Arial"/>
          <w:sz w:val="16"/>
          <w:szCs w:val="16"/>
        </w:rPr>
        <w:t xml:space="preserve">vypočtena poměřením s evidenčním počtem zaměstnanců </w:t>
      </w:r>
      <w:r>
        <w:rPr>
          <w:rFonts w:ascii="Arial" w:hAnsi="Arial" w:cs="Arial"/>
          <w:sz w:val="16"/>
          <w:szCs w:val="16"/>
        </w:rPr>
        <w:t xml:space="preserve">za celý ekonomický subjekt </w:t>
      </w:r>
      <w:r w:rsidRPr="003B03BB">
        <w:rPr>
          <w:rFonts w:ascii="Arial" w:hAnsi="Arial" w:cs="Arial"/>
          <w:sz w:val="16"/>
          <w:szCs w:val="16"/>
        </w:rPr>
        <w:t>(zaměstnanci s krátkodobou neplacenou nepřítomností jsou zahrnuti) bez ohledu na délku jejich týdenního úvazku.</w:t>
      </w:r>
    </w:p>
  </w:footnote>
  <w:footnote w:id="25">
    <w:p w:rsidR="00C805DC" w:rsidRPr="00735B7D" w:rsidRDefault="00C805DC" w:rsidP="005D3386">
      <w:pPr>
        <w:pStyle w:val="Textpoznpodarou"/>
        <w:jc w:val="both"/>
        <w:rPr>
          <w:sz w:val="16"/>
          <w:szCs w:val="16"/>
        </w:rPr>
      </w:pPr>
      <w:r w:rsidRPr="00735B7D">
        <w:rPr>
          <w:rStyle w:val="Znakapoznpodarou"/>
          <w:sz w:val="16"/>
          <w:szCs w:val="16"/>
        </w:rPr>
        <w:footnoteRef/>
      </w:r>
      <w:r w:rsidRPr="00735B7D">
        <w:rPr>
          <w:sz w:val="16"/>
          <w:szCs w:val="16"/>
        </w:rPr>
        <w:t xml:space="preserve"> </w:t>
      </w:r>
      <w:r w:rsidRPr="00735B7D">
        <w:rPr>
          <w:rFonts w:cs="Arial"/>
          <w:color w:val="000000"/>
          <w:sz w:val="16"/>
          <w:szCs w:val="16"/>
        </w:rPr>
        <w:t>Představuje rozdíl mezi průměrnými hrubými hodinovými výdělky mužských a ženských zaměstnanců vyjádřený jako procento průměrných hrubých hodinových výdělků mužských zaměstnanců. Populace zahrnuje všechny výdělečně činné zaměstnance v podnicích s 10 a více zaměstnanci a zařazen</w:t>
      </w:r>
      <w:r>
        <w:rPr>
          <w:rFonts w:cs="Arial"/>
          <w:color w:val="000000"/>
          <w:sz w:val="16"/>
          <w:szCs w:val="16"/>
        </w:rPr>
        <w:t xml:space="preserve">é </w:t>
      </w:r>
      <w:r w:rsidRPr="00735B7D">
        <w:rPr>
          <w:rFonts w:cs="Arial"/>
          <w:color w:val="000000"/>
          <w:sz w:val="16"/>
          <w:szCs w:val="16"/>
        </w:rPr>
        <w:t xml:space="preserve">dle </w:t>
      </w:r>
      <w:r>
        <w:rPr>
          <w:rFonts w:cs="Arial"/>
          <w:color w:val="000000"/>
          <w:sz w:val="16"/>
          <w:szCs w:val="16"/>
        </w:rPr>
        <w:t xml:space="preserve">klasifikace </w:t>
      </w:r>
      <w:r w:rsidRPr="00735B7D">
        <w:rPr>
          <w:rFonts w:cs="Arial"/>
          <w:color w:val="000000"/>
          <w:sz w:val="16"/>
          <w:szCs w:val="16"/>
        </w:rPr>
        <w:t>NACE</w:t>
      </w:r>
      <w:r>
        <w:rPr>
          <w:rFonts w:cs="Arial"/>
          <w:color w:val="000000"/>
          <w:sz w:val="16"/>
          <w:szCs w:val="16"/>
        </w:rPr>
        <w:t xml:space="preserve"> do sekcí B až S (s výjimkou sekce</w:t>
      </w:r>
      <w:r w:rsidRPr="00735B7D">
        <w:rPr>
          <w:rFonts w:cs="Arial"/>
          <w:color w:val="000000"/>
          <w:sz w:val="16"/>
          <w:szCs w:val="16"/>
        </w:rPr>
        <w:t xml:space="preserve"> O). Ukazatel vychází z metodiky šetření o struktuře výdělků.</w:t>
      </w:r>
    </w:p>
  </w:footnote>
  <w:footnote w:id="26">
    <w:p w:rsidR="00C805DC" w:rsidRPr="005332F0" w:rsidRDefault="00C805DC" w:rsidP="005D3386">
      <w:pPr>
        <w:pStyle w:val="Textpoznpodarou"/>
        <w:jc w:val="both"/>
        <w:rPr>
          <w:sz w:val="16"/>
          <w:szCs w:val="16"/>
        </w:rPr>
      </w:pPr>
      <w:r w:rsidRPr="005332F0">
        <w:rPr>
          <w:rStyle w:val="Znakapoznpodarou"/>
          <w:sz w:val="16"/>
          <w:szCs w:val="16"/>
        </w:rPr>
        <w:footnoteRef/>
      </w:r>
      <w:r w:rsidRPr="005332F0">
        <w:rPr>
          <w:sz w:val="16"/>
          <w:szCs w:val="16"/>
        </w:rPr>
        <w:t xml:space="preserve"> Z podrobnějšího členění je patrné, že v rámci těchto dvou skupin si loni relativně nejvíce </w:t>
      </w:r>
      <w:r>
        <w:rPr>
          <w:sz w:val="16"/>
          <w:szCs w:val="16"/>
        </w:rPr>
        <w:t xml:space="preserve">v průměru </w:t>
      </w:r>
      <w:r w:rsidRPr="005332F0">
        <w:rPr>
          <w:sz w:val="16"/>
          <w:szCs w:val="16"/>
        </w:rPr>
        <w:t>polepši</w:t>
      </w:r>
      <w:r>
        <w:rPr>
          <w:sz w:val="16"/>
          <w:szCs w:val="16"/>
        </w:rPr>
        <w:t>li montážní dělníci (+9,0</w:t>
      </w:r>
      <w:r w:rsidRPr="005332F0">
        <w:rPr>
          <w:sz w:val="16"/>
          <w:szCs w:val="16"/>
        </w:rPr>
        <w:t> </w:t>
      </w:r>
      <w:r>
        <w:rPr>
          <w:sz w:val="16"/>
          <w:szCs w:val="16"/>
        </w:rPr>
        <w:t>%) a</w:t>
      </w:r>
      <w:r>
        <w:rPr>
          <w:rFonts w:cs="Arial"/>
          <w:sz w:val="16"/>
          <w:szCs w:val="16"/>
        </w:rPr>
        <w:t> </w:t>
      </w:r>
      <w:r w:rsidRPr="005332F0">
        <w:rPr>
          <w:sz w:val="16"/>
          <w:szCs w:val="16"/>
        </w:rPr>
        <w:t xml:space="preserve">zpracovatelé potravin, dřeva a textilu (+8,7 %). </w:t>
      </w:r>
    </w:p>
  </w:footnote>
  <w:footnote w:id="27">
    <w:p w:rsidR="00C805DC" w:rsidRPr="00F2433F" w:rsidRDefault="00C805DC" w:rsidP="005D3386">
      <w:pPr>
        <w:pStyle w:val="Textpoznpodarou"/>
        <w:rPr>
          <w:sz w:val="16"/>
          <w:szCs w:val="16"/>
        </w:rPr>
      </w:pPr>
      <w:r w:rsidRPr="00F2433F">
        <w:rPr>
          <w:rStyle w:val="Znakapoznpodarou"/>
          <w:sz w:val="16"/>
          <w:szCs w:val="16"/>
        </w:rPr>
        <w:footnoteRef/>
      </w:r>
      <w:r w:rsidRPr="00F2433F">
        <w:rPr>
          <w:sz w:val="16"/>
          <w:szCs w:val="16"/>
        </w:rPr>
        <w:t xml:space="preserve"> Z pohledu průměrné mzdy si polepšili především pomocní pracovníci při přípravě jídla (+11,1 %)</w:t>
      </w:r>
      <w:r>
        <w:rPr>
          <w:sz w:val="16"/>
          <w:szCs w:val="16"/>
        </w:rPr>
        <w:t>. Uklízečům a pomocníkům vzrostly výdělky o necelých 8 %, jejich hrubá měsíční výše ale ani poté nepřesáhla 15 tis. korun a patřila vůbec k nejnižším v celé ekonomice.</w:t>
      </w:r>
    </w:p>
  </w:footnote>
  <w:footnote w:id="28">
    <w:p w:rsidR="00C805DC" w:rsidRPr="0026743D" w:rsidRDefault="00C805DC" w:rsidP="005D3386">
      <w:pPr>
        <w:pStyle w:val="Textpoznpodarou"/>
        <w:jc w:val="both"/>
        <w:rPr>
          <w:spacing w:val="-2"/>
          <w:sz w:val="16"/>
          <w:szCs w:val="16"/>
        </w:rPr>
      </w:pPr>
      <w:r w:rsidRPr="0026743D">
        <w:rPr>
          <w:rStyle w:val="Znakapoznpodarou"/>
          <w:spacing w:val="-2"/>
          <w:sz w:val="16"/>
          <w:szCs w:val="16"/>
        </w:rPr>
        <w:footnoteRef/>
      </w:r>
      <w:r w:rsidRPr="0026743D">
        <w:rPr>
          <w:spacing w:val="-2"/>
          <w:sz w:val="16"/>
          <w:szCs w:val="16"/>
        </w:rPr>
        <w:t xml:space="preserve"> V roce 2017 disponovalo vysokoško</w:t>
      </w:r>
      <w:r w:rsidR="0026743D" w:rsidRPr="0026743D">
        <w:rPr>
          <w:spacing w:val="-2"/>
          <w:sz w:val="16"/>
          <w:szCs w:val="16"/>
        </w:rPr>
        <w:t>lským vzděláním (magisterského či</w:t>
      </w:r>
      <w:r w:rsidRPr="0026743D">
        <w:rPr>
          <w:spacing w:val="-2"/>
          <w:sz w:val="16"/>
          <w:szCs w:val="16"/>
        </w:rPr>
        <w:t xml:space="preserve"> doktorského stupně) 61 % zaměstnanců v kategorii specialistů, 51 % u zákonodárců, vedoucích a řídících pracovníků a pětina u technických a odborných pracovníků (více než dvě třetiny zaměstnanců v této kategorii mělo středoškolské vzdělání s maturitou, popř. vyšší odborné vzdělání či vysokoškolské vzdělání v bakalářském stupni).</w:t>
      </w:r>
    </w:p>
  </w:footnote>
  <w:footnote w:id="29">
    <w:p w:rsidR="00C805DC" w:rsidRPr="005B1D68" w:rsidRDefault="00C805DC" w:rsidP="009C03C8">
      <w:pPr>
        <w:pStyle w:val="Textpoznpodarou"/>
        <w:jc w:val="both"/>
        <w:rPr>
          <w:sz w:val="16"/>
          <w:szCs w:val="16"/>
        </w:rPr>
      </w:pPr>
      <w:r w:rsidRPr="005B1D68">
        <w:rPr>
          <w:rStyle w:val="Znakapoznpodarou"/>
          <w:sz w:val="16"/>
          <w:szCs w:val="16"/>
        </w:rPr>
        <w:footnoteRef/>
      </w:r>
      <w:r w:rsidRPr="005B1D68">
        <w:rPr>
          <w:sz w:val="16"/>
          <w:szCs w:val="16"/>
        </w:rPr>
        <w:t xml:space="preserve"> Z dvaceti hlavních odvětvových sekcí absentují pouze v peněžnictví a pojišťovnictví (kde výrazně dominuje sektor finančních institucí), veřejné, správě, obraně a sociálním zabezpečení (vládní sektor) a ve váhově téměř zanedbatelném odvětví činností domácností jako zaměstnavatelů (domácího personálu) a producentů blíže neurčených výrobků a služeb pro vlastní spotřebu. Naopak klíčová je role nefinančních podniků v průmyslu (v roce 2017 vytvářely 93 % přidané hodnoty tohoto odvětví), informačních a komunikačních činnostech (92 %), obchodu (85 %) a administrativních a podpůrných </w:t>
      </w:r>
      <w:proofErr w:type="gramStart"/>
      <w:r w:rsidRPr="005B1D68">
        <w:rPr>
          <w:sz w:val="16"/>
          <w:szCs w:val="16"/>
        </w:rPr>
        <w:t>činnostech</w:t>
      </w:r>
      <w:proofErr w:type="gramEnd"/>
      <w:r w:rsidRPr="005B1D68">
        <w:rPr>
          <w:sz w:val="16"/>
          <w:szCs w:val="16"/>
        </w:rPr>
        <w:t xml:space="preserve"> (83 %).</w:t>
      </w:r>
    </w:p>
  </w:footnote>
  <w:footnote w:id="30">
    <w:p w:rsidR="00C805DC" w:rsidRDefault="00C805DC" w:rsidP="009C03C8">
      <w:pPr>
        <w:pStyle w:val="Textpoznpodarou"/>
      </w:pPr>
      <w:r w:rsidRPr="005B1D68">
        <w:rPr>
          <w:rStyle w:val="Znakapoznpodarou"/>
          <w:sz w:val="16"/>
          <w:szCs w:val="16"/>
        </w:rPr>
        <w:footnoteRef/>
      </w:r>
      <w:r w:rsidRPr="005B1D68">
        <w:rPr>
          <w:sz w:val="16"/>
          <w:szCs w:val="16"/>
        </w:rPr>
        <w:t xml:space="preserve"> Zaměstnanost je uvedena v pojetí národních účtů.</w:t>
      </w:r>
    </w:p>
  </w:footnote>
  <w:footnote w:id="31">
    <w:p w:rsidR="00C805DC" w:rsidRPr="00624848" w:rsidRDefault="00C805DC" w:rsidP="009C03C8">
      <w:pPr>
        <w:pStyle w:val="Textpoznpodarou"/>
        <w:rPr>
          <w:sz w:val="16"/>
          <w:szCs w:val="16"/>
        </w:rPr>
      </w:pPr>
      <w:r w:rsidRPr="00624848">
        <w:rPr>
          <w:rStyle w:val="Znakapoznpodarou"/>
          <w:sz w:val="16"/>
          <w:szCs w:val="16"/>
        </w:rPr>
        <w:footnoteRef/>
      </w:r>
      <w:r w:rsidRPr="00624848">
        <w:rPr>
          <w:sz w:val="16"/>
          <w:szCs w:val="16"/>
        </w:rPr>
        <w:t xml:space="preserve"> Ne zdaleka všechny rozdělované důchody společností v sektoru nefinančních podniků náleží nerezidentům (např. dividendy plynoucí z veřejných nefinančních podniků mohou být později i příjmem státního rozpočtu).</w:t>
      </w:r>
      <w:r>
        <w:rPr>
          <w:sz w:val="16"/>
          <w:szCs w:val="16"/>
        </w:rPr>
        <w:t xml:space="preserve"> V roce 2016 dosáhl čistý odliv dividend z tohoto sektoru 405 mld. korun, z toho odliv z nefinančních podniků pod zahraniční kontrolou se rovnal „jen“ 236 mld. korun.</w:t>
      </w:r>
    </w:p>
  </w:footnote>
  <w:footnote w:id="32">
    <w:p w:rsidR="00C805DC" w:rsidRPr="00E6155C" w:rsidRDefault="00C805DC" w:rsidP="009C03C8">
      <w:pPr>
        <w:pStyle w:val="Textpoznpodarou"/>
        <w:rPr>
          <w:sz w:val="16"/>
          <w:szCs w:val="16"/>
        </w:rPr>
      </w:pPr>
      <w:r w:rsidRPr="00E6155C">
        <w:rPr>
          <w:rStyle w:val="Znakapoznpodarou"/>
          <w:sz w:val="16"/>
          <w:szCs w:val="16"/>
        </w:rPr>
        <w:footnoteRef/>
      </w:r>
      <w:r w:rsidRPr="00E6155C">
        <w:rPr>
          <w:sz w:val="16"/>
          <w:szCs w:val="16"/>
        </w:rPr>
        <w:t xml:space="preserve"> Vyjadřuje podíl hrubých úspor na hrubé přidané hodnotě.</w:t>
      </w:r>
    </w:p>
  </w:footnote>
  <w:footnote w:id="33">
    <w:p w:rsidR="00C805DC" w:rsidRPr="00436F65" w:rsidRDefault="00C805DC" w:rsidP="0026743D">
      <w:pPr>
        <w:pStyle w:val="Textpoznpodarou"/>
        <w:jc w:val="both"/>
        <w:rPr>
          <w:sz w:val="16"/>
          <w:szCs w:val="16"/>
        </w:rPr>
      </w:pPr>
      <w:r w:rsidRPr="00436F65">
        <w:rPr>
          <w:rStyle w:val="Znakapoznpodarou"/>
          <w:sz w:val="16"/>
          <w:szCs w:val="16"/>
        </w:rPr>
        <w:footnoteRef/>
      </w:r>
      <w:r w:rsidRPr="00436F65">
        <w:rPr>
          <w:sz w:val="16"/>
          <w:szCs w:val="16"/>
        </w:rPr>
        <w:t xml:space="preserve"> Investice v širším pojetí (prostřednictvím tvorby hrubého kapitálu) vzrostly loni svižněji – o necelých 5 %.</w:t>
      </w:r>
      <w:r>
        <w:rPr>
          <w:sz w:val="16"/>
          <w:szCs w:val="16"/>
        </w:rPr>
        <w:t xml:space="preserve"> </w:t>
      </w:r>
      <w:r w:rsidR="0026743D">
        <w:rPr>
          <w:sz w:val="16"/>
          <w:szCs w:val="16"/>
        </w:rPr>
        <w:t>Meziroční z</w:t>
      </w:r>
      <w:r>
        <w:rPr>
          <w:sz w:val="16"/>
          <w:szCs w:val="16"/>
        </w:rPr>
        <w:t>měna stavu zásob čítala 42</w:t>
      </w:r>
      <w:r w:rsidRPr="00436F65">
        <w:rPr>
          <w:sz w:val="16"/>
          <w:szCs w:val="16"/>
        </w:rPr>
        <w:t> </w:t>
      </w:r>
      <w:r>
        <w:rPr>
          <w:sz w:val="16"/>
          <w:szCs w:val="16"/>
        </w:rPr>
        <w:t>mld. korun, nejvíce za posledních devět let.</w:t>
      </w:r>
    </w:p>
  </w:footnote>
  <w:footnote w:id="34">
    <w:p w:rsidR="00C805DC" w:rsidRPr="005B327D" w:rsidRDefault="00C805DC" w:rsidP="009C03C8">
      <w:pPr>
        <w:pStyle w:val="Textpoznpodarou"/>
        <w:rPr>
          <w:sz w:val="16"/>
          <w:szCs w:val="16"/>
        </w:rPr>
      </w:pPr>
      <w:r w:rsidRPr="005B327D">
        <w:rPr>
          <w:rStyle w:val="Znakapoznpodarou"/>
          <w:sz w:val="16"/>
          <w:szCs w:val="16"/>
        </w:rPr>
        <w:footnoteRef/>
      </w:r>
      <w:r w:rsidRPr="005B327D">
        <w:rPr>
          <w:sz w:val="16"/>
          <w:szCs w:val="16"/>
        </w:rPr>
        <w:t xml:space="preserve"> Bez chybějících aktuálních údajů za Maďarsko, Chorvatsko a Maltu.</w:t>
      </w:r>
    </w:p>
  </w:footnote>
  <w:footnote w:id="35">
    <w:p w:rsidR="00C805DC" w:rsidRPr="00BE2C39" w:rsidRDefault="00C805DC" w:rsidP="009C03C8">
      <w:pPr>
        <w:pStyle w:val="Textpoznpodarou"/>
        <w:rPr>
          <w:sz w:val="16"/>
          <w:szCs w:val="16"/>
        </w:rPr>
      </w:pPr>
      <w:r w:rsidRPr="00BE2C39">
        <w:rPr>
          <w:rStyle w:val="Znakapoznpodarou"/>
          <w:sz w:val="16"/>
          <w:szCs w:val="16"/>
        </w:rPr>
        <w:footnoteRef/>
      </w:r>
      <w:r w:rsidRPr="00BE2C39">
        <w:rPr>
          <w:sz w:val="16"/>
          <w:szCs w:val="16"/>
        </w:rPr>
        <w:t xml:space="preserve"> </w:t>
      </w:r>
      <w:r w:rsidRPr="00BE2C39">
        <w:rPr>
          <w:rFonts w:cs="Arial"/>
          <w:spacing w:val="-4"/>
          <w:sz w:val="16"/>
          <w:szCs w:val="16"/>
        </w:rPr>
        <w:t>To zčásti souvisí se specifickou odvětvovou skladbou (</w:t>
      </w:r>
      <w:r>
        <w:rPr>
          <w:rFonts w:cs="Arial"/>
          <w:spacing w:val="-4"/>
          <w:sz w:val="16"/>
          <w:szCs w:val="16"/>
        </w:rPr>
        <w:t xml:space="preserve">se silnějším </w:t>
      </w:r>
      <w:r w:rsidRPr="00BE2C39">
        <w:rPr>
          <w:rFonts w:cs="Arial"/>
          <w:spacing w:val="-4"/>
          <w:sz w:val="16"/>
          <w:szCs w:val="16"/>
        </w:rPr>
        <w:t>zastoupení</w:t>
      </w:r>
      <w:r>
        <w:rPr>
          <w:rFonts w:cs="Arial"/>
          <w:spacing w:val="-4"/>
          <w:sz w:val="16"/>
          <w:szCs w:val="16"/>
        </w:rPr>
        <w:t>m</w:t>
      </w:r>
      <w:r w:rsidRPr="00BE2C39">
        <w:rPr>
          <w:rFonts w:cs="Arial"/>
          <w:spacing w:val="-4"/>
          <w:sz w:val="16"/>
          <w:szCs w:val="16"/>
        </w:rPr>
        <w:t xml:space="preserve"> veřejných podniků v investičně náročných oborech</w:t>
      </w:r>
      <w:r>
        <w:rPr>
          <w:rFonts w:cs="Arial"/>
          <w:spacing w:val="-4"/>
          <w:sz w:val="16"/>
          <w:szCs w:val="16"/>
        </w:rPr>
        <w:t xml:space="preserve"> – energetiky, dopravy a skladování či výzkumu a vývoje).</w:t>
      </w:r>
    </w:p>
  </w:footnote>
  <w:footnote w:id="36">
    <w:p w:rsidR="00C805DC" w:rsidRPr="00631300" w:rsidRDefault="00C805DC" w:rsidP="00C96D08">
      <w:pPr>
        <w:pStyle w:val="Textpoznpodarou"/>
        <w:rPr>
          <w:sz w:val="16"/>
          <w:szCs w:val="16"/>
        </w:rPr>
      </w:pPr>
      <w:r w:rsidRPr="00631300">
        <w:rPr>
          <w:rStyle w:val="Znakapoznpodarou"/>
          <w:sz w:val="16"/>
          <w:szCs w:val="16"/>
        </w:rPr>
        <w:footnoteRef/>
      </w:r>
      <w:r w:rsidRPr="00631300">
        <w:rPr>
          <w:sz w:val="16"/>
          <w:szCs w:val="16"/>
        </w:rPr>
        <w:t xml:space="preserve"> Z</w:t>
      </w:r>
      <w:r w:rsidRPr="00631300">
        <w:rPr>
          <w:rStyle w:val="odkaz-style-wrapper"/>
          <w:rFonts w:ascii="Arial CE" w:hAnsi="Arial CE"/>
          <w:sz w:val="16"/>
          <w:szCs w:val="16"/>
        </w:rPr>
        <w:t>ákladní činností finančních institucí je finanční zprostředkování nebo finanční pomocná činnost; jsou to např. banky, úvěrová družstva, investiční fondy a společnosti, finančně leasingové společnosti, holdingové finanční společnosti, burzy n</w:t>
      </w:r>
      <w:r>
        <w:rPr>
          <w:rStyle w:val="odkaz-style-wrapper"/>
          <w:rFonts w:ascii="Arial CE" w:hAnsi="Arial CE"/>
          <w:sz w:val="16"/>
          <w:szCs w:val="16"/>
        </w:rPr>
        <w:t>ebo pojišťovny a penzijní fondy. Kromě komerčních subjektů je do sektoru finančních institucí zahrnuta i centrální banka, její podíl na HPH celého sektoru tvoří přibližně 1 %.</w:t>
      </w:r>
    </w:p>
  </w:footnote>
  <w:footnote w:id="37">
    <w:p w:rsidR="00C805DC" w:rsidRPr="001A7ADD" w:rsidRDefault="00C805DC" w:rsidP="00C96D08">
      <w:pPr>
        <w:pStyle w:val="Textpoznpodarou"/>
        <w:rPr>
          <w:sz w:val="16"/>
          <w:szCs w:val="16"/>
        </w:rPr>
      </w:pPr>
      <w:r w:rsidRPr="001A7ADD">
        <w:rPr>
          <w:rStyle w:val="Znakapoznpodarou"/>
          <w:sz w:val="16"/>
          <w:szCs w:val="16"/>
        </w:rPr>
        <w:footnoteRef/>
      </w:r>
      <w:r w:rsidRPr="001A7ADD">
        <w:rPr>
          <w:sz w:val="16"/>
          <w:szCs w:val="16"/>
        </w:rPr>
        <w:t xml:space="preserve"> Podíl hrubého provozního přebytku na hrubé přidané hodnotě.</w:t>
      </w:r>
    </w:p>
  </w:footnote>
  <w:footnote w:id="38">
    <w:p w:rsidR="00C805DC" w:rsidRPr="003F0B1D" w:rsidRDefault="00C805DC" w:rsidP="00C96D08">
      <w:pPr>
        <w:pStyle w:val="Textpoznpodarou"/>
        <w:rPr>
          <w:sz w:val="16"/>
          <w:szCs w:val="16"/>
        </w:rPr>
      </w:pPr>
      <w:r w:rsidRPr="003F0B1D">
        <w:rPr>
          <w:rStyle w:val="Znakapoznpodarou"/>
          <w:sz w:val="16"/>
          <w:szCs w:val="16"/>
        </w:rPr>
        <w:footnoteRef/>
      </w:r>
      <w:r w:rsidRPr="003F0B1D">
        <w:rPr>
          <w:sz w:val="16"/>
          <w:szCs w:val="16"/>
        </w:rPr>
        <w:t xml:space="preserve"> Podíl výdajů na tvorbu hrubého fixního kapitálu a hrubé přidané hodnoty.</w:t>
      </w:r>
    </w:p>
  </w:footnote>
  <w:footnote w:id="39">
    <w:p w:rsidR="00C805DC" w:rsidRPr="00351C06" w:rsidRDefault="00C805DC" w:rsidP="00C96D08">
      <w:pPr>
        <w:pStyle w:val="Textpoznpodarou"/>
        <w:rPr>
          <w:sz w:val="16"/>
          <w:szCs w:val="16"/>
        </w:rPr>
      </w:pPr>
      <w:r w:rsidRPr="00351C06">
        <w:rPr>
          <w:rStyle w:val="Znakapoznpodarou"/>
          <w:sz w:val="16"/>
          <w:szCs w:val="16"/>
        </w:rPr>
        <w:footnoteRef/>
      </w:r>
      <w:r w:rsidRPr="00351C06">
        <w:rPr>
          <w:sz w:val="16"/>
          <w:szCs w:val="16"/>
        </w:rPr>
        <w:t xml:space="preserve"> Počet úvazků na plnou pracovní dobu.</w:t>
      </w:r>
    </w:p>
  </w:footnote>
  <w:footnote w:id="40">
    <w:p w:rsidR="00C805DC" w:rsidRPr="00C814FC" w:rsidRDefault="00C805DC" w:rsidP="00C466D2">
      <w:pPr>
        <w:pStyle w:val="Textpoznpodarou"/>
        <w:rPr>
          <w:sz w:val="16"/>
          <w:szCs w:val="16"/>
        </w:rPr>
      </w:pPr>
      <w:r w:rsidRPr="00C814FC">
        <w:rPr>
          <w:rStyle w:val="Znakapoznpodarou"/>
          <w:sz w:val="16"/>
          <w:szCs w:val="16"/>
        </w:rPr>
        <w:footnoteRef/>
      </w:r>
      <w:r w:rsidRPr="00C814FC">
        <w:rPr>
          <w:sz w:val="16"/>
          <w:szCs w:val="16"/>
        </w:rPr>
        <w:t xml:space="preserve"> Průměrná hrubá měsíční mzda na přepočtené počty zaměstnanců</w:t>
      </w:r>
      <w:r>
        <w:rPr>
          <w:sz w:val="16"/>
          <w:szCs w:val="16"/>
        </w:rPr>
        <w:t>, kumulace ze čtvrtletního zjišťování</w:t>
      </w:r>
      <w:r w:rsidRPr="00C814FC">
        <w:rPr>
          <w:sz w:val="16"/>
          <w:szCs w:val="16"/>
        </w:rPr>
        <w:t xml:space="preserve">. </w:t>
      </w:r>
    </w:p>
  </w:footnote>
  <w:footnote w:id="41">
    <w:p w:rsidR="00C805DC" w:rsidRPr="00552C2D" w:rsidRDefault="00C805DC" w:rsidP="00C96D08">
      <w:pPr>
        <w:pStyle w:val="Textpoznpodarou"/>
        <w:rPr>
          <w:sz w:val="16"/>
          <w:szCs w:val="16"/>
        </w:rPr>
      </w:pPr>
      <w:r w:rsidRPr="00552C2D">
        <w:rPr>
          <w:rStyle w:val="Znakapoznpodarou"/>
          <w:sz w:val="16"/>
          <w:szCs w:val="16"/>
        </w:rPr>
        <w:footnoteRef/>
      </w:r>
      <w:r w:rsidRPr="00552C2D">
        <w:rPr>
          <w:sz w:val="16"/>
          <w:szCs w:val="16"/>
        </w:rPr>
        <w:t xml:space="preserve"> Režim využívající úrokových sazeb k dosažení stanoveného cíle měnové politiky.</w:t>
      </w:r>
      <w:r>
        <w:rPr>
          <w:sz w:val="16"/>
          <w:szCs w:val="16"/>
        </w:rPr>
        <w:t xml:space="preserve"> Pokles </w:t>
      </w:r>
      <w:proofErr w:type="spellStart"/>
      <w:r>
        <w:rPr>
          <w:sz w:val="16"/>
          <w:szCs w:val="16"/>
        </w:rPr>
        <w:t>měnověpolitických</w:t>
      </w:r>
      <w:proofErr w:type="spellEnd"/>
      <w:r>
        <w:rPr>
          <w:sz w:val="16"/>
          <w:szCs w:val="16"/>
        </w:rPr>
        <w:t xml:space="preserve"> úrokových sazeb na tzv. technickou nulu v mnoha zemích znemožňoval tuto standardní cestu. Jedním z možných řešení bylo využití kurzu jako alternativního měnového nástroje.</w:t>
      </w:r>
    </w:p>
  </w:footnote>
  <w:footnote w:id="42">
    <w:p w:rsidR="00C805DC" w:rsidRPr="00202B22" w:rsidRDefault="00C805DC" w:rsidP="00C96D08">
      <w:pPr>
        <w:pStyle w:val="Textpoznpodarou"/>
        <w:rPr>
          <w:sz w:val="16"/>
          <w:szCs w:val="16"/>
        </w:rPr>
      </w:pPr>
      <w:r w:rsidRPr="00202B22">
        <w:rPr>
          <w:rStyle w:val="Znakapoznpodarou"/>
          <w:sz w:val="16"/>
          <w:szCs w:val="16"/>
        </w:rPr>
        <w:footnoteRef/>
      </w:r>
      <w:r w:rsidRPr="00202B22">
        <w:rPr>
          <w:sz w:val="16"/>
          <w:szCs w:val="16"/>
        </w:rPr>
        <w:t xml:space="preserve"> </w:t>
      </w:r>
      <w:r>
        <w:rPr>
          <w:sz w:val="16"/>
          <w:szCs w:val="16"/>
        </w:rPr>
        <w:t xml:space="preserve">Reálný růst vypočítán </w:t>
      </w:r>
      <w:r w:rsidRPr="00202B22">
        <w:rPr>
          <w:sz w:val="16"/>
          <w:szCs w:val="16"/>
        </w:rPr>
        <w:t>pomocí deflátoru výdajů na spotřebu domácností.</w:t>
      </w:r>
    </w:p>
  </w:footnote>
  <w:footnote w:id="43">
    <w:p w:rsidR="00C805DC" w:rsidRPr="00406F21" w:rsidRDefault="00C805DC" w:rsidP="00C96D08">
      <w:pPr>
        <w:pStyle w:val="Textpoznpodarou"/>
        <w:rPr>
          <w:sz w:val="16"/>
          <w:szCs w:val="16"/>
        </w:rPr>
      </w:pPr>
      <w:r w:rsidRPr="00406F21">
        <w:rPr>
          <w:rStyle w:val="Znakapoznpodarou"/>
          <w:sz w:val="16"/>
          <w:szCs w:val="16"/>
        </w:rPr>
        <w:footnoteRef/>
      </w:r>
      <w:r w:rsidRPr="00406F21">
        <w:rPr>
          <w:sz w:val="16"/>
          <w:szCs w:val="16"/>
        </w:rPr>
        <w:t xml:space="preserve"> Obecně jsou trvanlivé statky ty, které lze používat opakovaně nebo kontinuálně po časové období jednoho roku a více. </w:t>
      </w:r>
      <w:r>
        <w:rPr>
          <w:sz w:val="16"/>
          <w:szCs w:val="16"/>
        </w:rPr>
        <w:t>Dělíme je na statky</w:t>
      </w:r>
      <w:r w:rsidRPr="00406F21">
        <w:rPr>
          <w:sz w:val="16"/>
          <w:szCs w:val="16"/>
        </w:rPr>
        <w:t xml:space="preserve"> dlouhodobé spotřeby</w:t>
      </w:r>
      <w:r>
        <w:rPr>
          <w:sz w:val="16"/>
          <w:szCs w:val="16"/>
        </w:rPr>
        <w:t xml:space="preserve">, kam se </w:t>
      </w:r>
      <w:r w:rsidRPr="00406F21">
        <w:rPr>
          <w:sz w:val="16"/>
          <w:szCs w:val="16"/>
        </w:rPr>
        <w:t>řadí mimo jiné motorová vozidla, nábytek, ledničky, pračky, hudební vybavení, počítačové vybavení či šperky</w:t>
      </w:r>
      <w:r>
        <w:rPr>
          <w:sz w:val="16"/>
          <w:szCs w:val="16"/>
        </w:rPr>
        <w:t xml:space="preserve"> a s</w:t>
      </w:r>
      <w:r w:rsidRPr="00406F21">
        <w:rPr>
          <w:sz w:val="16"/>
          <w:szCs w:val="16"/>
        </w:rPr>
        <w:t>třednědob</w:t>
      </w:r>
      <w:r>
        <w:rPr>
          <w:sz w:val="16"/>
          <w:szCs w:val="16"/>
        </w:rPr>
        <w:t>é spotřeby, která</w:t>
      </w:r>
      <w:r w:rsidRPr="00406F21">
        <w:rPr>
          <w:sz w:val="16"/>
          <w:szCs w:val="16"/>
        </w:rPr>
        <w:t xml:space="preserve"> zahrnuje oblečení, obuv, potřeby v domácnosti, vybavení pro sport a knihy.</w:t>
      </w:r>
    </w:p>
  </w:footnote>
  <w:footnote w:id="44">
    <w:p w:rsidR="00C805DC" w:rsidRPr="00406F21" w:rsidRDefault="00C805DC" w:rsidP="00C96D08">
      <w:pPr>
        <w:pStyle w:val="Textpoznpodarou"/>
        <w:rPr>
          <w:sz w:val="16"/>
          <w:szCs w:val="16"/>
        </w:rPr>
      </w:pPr>
      <w:r w:rsidRPr="00406F21">
        <w:rPr>
          <w:rStyle w:val="Znakapoznpodarou"/>
          <w:sz w:val="16"/>
          <w:szCs w:val="16"/>
        </w:rPr>
        <w:footnoteRef/>
      </w:r>
      <w:r w:rsidRPr="00406F21">
        <w:rPr>
          <w:sz w:val="16"/>
          <w:szCs w:val="16"/>
        </w:rPr>
        <w:t xml:space="preserve"> Údaje o spotřebě podle trvanlivosti i účelové struktuře výdajů jsou v národním pojetí</w:t>
      </w:r>
    </w:p>
  </w:footnote>
  <w:footnote w:id="45">
    <w:p w:rsidR="00C805DC" w:rsidRPr="00406F21" w:rsidRDefault="00C805DC" w:rsidP="00C96D08">
      <w:pPr>
        <w:pStyle w:val="Textpoznpodarou"/>
        <w:rPr>
          <w:sz w:val="16"/>
          <w:szCs w:val="16"/>
        </w:rPr>
      </w:pPr>
      <w:r w:rsidRPr="00406F21">
        <w:rPr>
          <w:rStyle w:val="Znakapoznpodarou"/>
          <w:sz w:val="16"/>
          <w:szCs w:val="16"/>
        </w:rPr>
        <w:footnoteRef/>
      </w:r>
      <w:r w:rsidRPr="00406F21">
        <w:rPr>
          <w:sz w:val="16"/>
          <w:szCs w:val="16"/>
        </w:rPr>
        <w:t xml:space="preserve"> Jedná se o potraviny, nápoje, tabák, farmaceutické výrobky, pohonné hmoty, kosmetiku apod.</w:t>
      </w:r>
    </w:p>
  </w:footnote>
  <w:footnote w:id="46">
    <w:p w:rsidR="00C805DC" w:rsidRDefault="00C805DC" w:rsidP="00C96D08">
      <w:pPr>
        <w:pStyle w:val="Normlnweb"/>
        <w:spacing w:before="0" w:beforeAutospacing="0"/>
      </w:pPr>
      <w:r w:rsidRPr="002F08C0">
        <w:rPr>
          <w:rStyle w:val="Znakapoznpodarou"/>
          <w:rFonts w:ascii="Arial" w:hAnsi="Arial" w:cs="Arial"/>
          <w:sz w:val="16"/>
          <w:szCs w:val="16"/>
        </w:rPr>
        <w:footnoteRef/>
      </w:r>
      <w:r w:rsidRPr="002F08C0">
        <w:rPr>
          <w:rFonts w:ascii="Arial" w:hAnsi="Arial" w:cs="Arial"/>
          <w:sz w:val="16"/>
          <w:szCs w:val="16"/>
        </w:rPr>
        <w:t xml:space="preserve"> </w:t>
      </w:r>
      <w:r>
        <w:rPr>
          <w:rFonts w:ascii="Arial" w:hAnsi="Arial" w:cs="Arial"/>
          <w:sz w:val="16"/>
          <w:szCs w:val="16"/>
        </w:rPr>
        <w:t>Jde o transfery od vládních institucí nebo NISD. P</w:t>
      </w:r>
      <w:r w:rsidRPr="002F08C0">
        <w:rPr>
          <w:rFonts w:ascii="Arial" w:hAnsi="Arial" w:cs="Arial"/>
          <w:sz w:val="16"/>
          <w:szCs w:val="16"/>
        </w:rPr>
        <w:t>ředstavují hodnotu zboží a služeb poskytnutých zejména ve formě zdravotní a sociální péče, vzdělání, bydlení.</w:t>
      </w:r>
    </w:p>
  </w:footnote>
  <w:footnote w:id="47">
    <w:p w:rsidR="00C805DC" w:rsidRPr="00233DA3" w:rsidRDefault="00C805DC" w:rsidP="00C96D08">
      <w:pPr>
        <w:pStyle w:val="Textpoznpodarou"/>
        <w:rPr>
          <w:sz w:val="16"/>
          <w:szCs w:val="16"/>
        </w:rPr>
      </w:pPr>
      <w:r w:rsidRPr="00233DA3">
        <w:rPr>
          <w:rStyle w:val="Znakapoznpodarou"/>
          <w:sz w:val="16"/>
          <w:szCs w:val="16"/>
        </w:rPr>
        <w:footnoteRef/>
      </w:r>
      <w:r w:rsidRPr="00233DA3">
        <w:rPr>
          <w:sz w:val="16"/>
          <w:szCs w:val="16"/>
        </w:rPr>
        <w:t xml:space="preserve"> Zahrnuje především zdravotní pojišťovny.</w:t>
      </w:r>
    </w:p>
  </w:footnote>
  <w:footnote w:id="48">
    <w:p w:rsidR="00C805DC" w:rsidRDefault="00C805DC" w:rsidP="004C5FBF">
      <w:pPr>
        <w:pStyle w:val="Textpoznpodarou"/>
        <w:jc w:val="both"/>
      </w:pPr>
      <w:r w:rsidRPr="00E35053">
        <w:rPr>
          <w:rStyle w:val="Znakapoznpodarou"/>
          <w:sz w:val="16"/>
          <w:szCs w:val="16"/>
        </w:rPr>
        <w:footnoteRef/>
      </w:r>
      <w:r w:rsidRPr="00E35053">
        <w:rPr>
          <w:sz w:val="16"/>
          <w:szCs w:val="16"/>
        </w:rPr>
        <w:t xml:space="preserve"> </w:t>
      </w:r>
      <w:r>
        <w:rPr>
          <w:spacing w:val="-2"/>
          <w:sz w:val="16"/>
          <w:szCs w:val="16"/>
        </w:rPr>
        <w:t>P</w:t>
      </w:r>
      <w:r w:rsidRPr="00E35053">
        <w:rPr>
          <w:spacing w:val="-2"/>
          <w:sz w:val="16"/>
          <w:szCs w:val="16"/>
        </w:rPr>
        <w:t xml:space="preserve">rimární sektor </w:t>
      </w:r>
      <w:r>
        <w:rPr>
          <w:spacing w:val="-2"/>
          <w:sz w:val="16"/>
          <w:szCs w:val="16"/>
        </w:rPr>
        <w:t xml:space="preserve">je zde </w:t>
      </w:r>
      <w:r w:rsidRPr="00E35053">
        <w:rPr>
          <w:spacing w:val="-2"/>
          <w:sz w:val="16"/>
          <w:szCs w:val="16"/>
        </w:rPr>
        <w:t>pojímán v užším vymezení. Zahrnuje odvětvové oddíly rostlinná, živočišná výroba, myslivost</w:t>
      </w:r>
      <w:r w:rsidRPr="00E35053">
        <w:rPr>
          <w:spacing w:val="-2"/>
          <w:sz w:val="16"/>
          <w:szCs w:val="16"/>
          <w:lang w:val="en-US"/>
        </w:rPr>
        <w:t xml:space="preserve">; </w:t>
      </w:r>
      <w:r w:rsidRPr="00E35053">
        <w:rPr>
          <w:spacing w:val="-2"/>
          <w:sz w:val="16"/>
          <w:szCs w:val="16"/>
        </w:rPr>
        <w:t>lesnictví a těžba dřeva</w:t>
      </w:r>
      <w:r w:rsidRPr="00E35053">
        <w:rPr>
          <w:spacing w:val="-2"/>
          <w:sz w:val="16"/>
          <w:szCs w:val="16"/>
          <w:lang w:val="en-US"/>
        </w:rPr>
        <w:t>;</w:t>
      </w:r>
      <w:r w:rsidRPr="00E35053">
        <w:rPr>
          <w:spacing w:val="-2"/>
          <w:sz w:val="16"/>
          <w:szCs w:val="16"/>
        </w:rPr>
        <w:t xml:space="preserve"> rybolov a akvakultura. Není zde naopak zahrnuto odvětví těžby a dobývání, jehož vývoj je </w:t>
      </w:r>
      <w:r>
        <w:rPr>
          <w:spacing w:val="-2"/>
          <w:sz w:val="16"/>
          <w:szCs w:val="16"/>
        </w:rPr>
        <w:t>stručně nastíněn</w:t>
      </w:r>
      <w:r w:rsidRPr="00E35053">
        <w:rPr>
          <w:spacing w:val="-2"/>
          <w:sz w:val="16"/>
          <w:szCs w:val="16"/>
        </w:rPr>
        <w:t xml:space="preserve"> v kap. 3.2 (Průmysl).</w:t>
      </w:r>
    </w:p>
  </w:footnote>
  <w:footnote w:id="49">
    <w:p w:rsidR="00C805DC" w:rsidRPr="00E35053" w:rsidRDefault="00C805DC" w:rsidP="004C5FBF">
      <w:pPr>
        <w:pStyle w:val="Textpoznpodarou"/>
        <w:jc w:val="both"/>
        <w:rPr>
          <w:sz w:val="16"/>
          <w:szCs w:val="16"/>
        </w:rPr>
      </w:pPr>
      <w:r w:rsidRPr="00E35053">
        <w:rPr>
          <w:rStyle w:val="Znakapoznpodarou"/>
          <w:sz w:val="16"/>
          <w:szCs w:val="16"/>
        </w:rPr>
        <w:footnoteRef/>
      </w:r>
      <w:r w:rsidRPr="00E35053">
        <w:rPr>
          <w:sz w:val="16"/>
          <w:szCs w:val="16"/>
        </w:rPr>
        <w:t xml:space="preserve"> </w:t>
      </w:r>
      <w:r w:rsidRPr="00E35053">
        <w:rPr>
          <w:spacing w:val="-2"/>
          <w:sz w:val="16"/>
          <w:szCs w:val="16"/>
        </w:rPr>
        <w:t xml:space="preserve">Pokud není uvedeno jinak, vychází všechny údaje v této </w:t>
      </w:r>
      <w:r>
        <w:rPr>
          <w:spacing w:val="-2"/>
          <w:sz w:val="16"/>
          <w:szCs w:val="16"/>
        </w:rPr>
        <w:t>kapitole z dat národních účtů. K</w:t>
      </w:r>
      <w:r w:rsidRPr="00E35053">
        <w:rPr>
          <w:spacing w:val="-2"/>
          <w:sz w:val="16"/>
          <w:szCs w:val="16"/>
        </w:rPr>
        <w:t>de je to relevantní, jsou očištěny o cenové vlivy.</w:t>
      </w:r>
    </w:p>
  </w:footnote>
  <w:footnote w:id="50">
    <w:p w:rsidR="00C805DC" w:rsidRPr="00CB5EF1" w:rsidRDefault="00C805DC" w:rsidP="004C5FBF">
      <w:pPr>
        <w:pStyle w:val="Textpoznpodarou"/>
        <w:jc w:val="both"/>
        <w:rPr>
          <w:sz w:val="16"/>
          <w:szCs w:val="16"/>
        </w:rPr>
      </w:pPr>
      <w:r w:rsidRPr="00CB5EF1">
        <w:rPr>
          <w:rStyle w:val="Znakapoznpodarou"/>
          <w:sz w:val="16"/>
          <w:szCs w:val="16"/>
        </w:rPr>
        <w:footnoteRef/>
      </w:r>
      <w:r w:rsidRPr="00CB5EF1">
        <w:rPr>
          <w:sz w:val="16"/>
          <w:szCs w:val="16"/>
        </w:rPr>
        <w:t xml:space="preserve"> Primární</w:t>
      </w:r>
      <w:r>
        <w:rPr>
          <w:sz w:val="16"/>
          <w:szCs w:val="16"/>
        </w:rPr>
        <w:t xml:space="preserve"> sektor s</w:t>
      </w:r>
      <w:r w:rsidRPr="00CB5EF1">
        <w:rPr>
          <w:sz w:val="16"/>
          <w:szCs w:val="16"/>
        </w:rPr>
        <w:t xml:space="preserve">e na rozdíl od drtivé většiny </w:t>
      </w:r>
      <w:r>
        <w:rPr>
          <w:sz w:val="16"/>
          <w:szCs w:val="16"/>
        </w:rPr>
        <w:t>ostatních odvětví ekonomiky vyznačuje výrazně nižší dominací nefinančních podniků ve prospěch vyšší role drobných podnikatelů (v národním účetnictví zařazených do sektoru domácností). Tato skutečnost je ještě více než v Česku patrná ve starších členských státech EU. V ČR vytvářely vloni nefinanční podniky jak v zemědělství, tak i v lesnictví necelých 60 % HPH těchto dílčích odvětví. Dominovaly (94 %) jen v tuzemských podmínkách zcela okrajovém segmentu rybářství (podílejícího se na přidané hodnotě celého primárního sektoru jen 0,5 %).</w:t>
      </w:r>
    </w:p>
  </w:footnote>
  <w:footnote w:id="51">
    <w:p w:rsidR="00C805DC" w:rsidRPr="002D1580" w:rsidRDefault="00C805DC" w:rsidP="001A0D6B">
      <w:pPr>
        <w:pStyle w:val="Textpoznpodarou"/>
        <w:rPr>
          <w:sz w:val="16"/>
          <w:szCs w:val="16"/>
        </w:rPr>
      </w:pPr>
      <w:r w:rsidRPr="002D1580">
        <w:rPr>
          <w:rStyle w:val="Znakapoznpodarou"/>
          <w:sz w:val="16"/>
          <w:szCs w:val="16"/>
        </w:rPr>
        <w:footnoteRef/>
      </w:r>
      <w:r w:rsidRPr="002D1580">
        <w:rPr>
          <w:sz w:val="16"/>
          <w:szCs w:val="16"/>
        </w:rPr>
        <w:t xml:space="preserve"> Loňská míra investic byla v primárním sektoru čtvrtá nejvyšší v historii samostatné ČR a za dosud rekordní úrovní z roku 2012 (41 %) zaostala jen nepatrně. </w:t>
      </w:r>
      <w:r>
        <w:rPr>
          <w:sz w:val="16"/>
          <w:szCs w:val="16"/>
        </w:rPr>
        <w:t>Na relativně vysoké investiční aktivitě celého sektoru se podílela většina dílčích odvětví, vyjma lesnictví a těžby dřeva, ve které i přes pokračující růst loni dosahovala jen 17 % (a patřila naopak v rámci celé ekonomiky k výrazně podprůměrným).</w:t>
      </w:r>
    </w:p>
  </w:footnote>
  <w:footnote w:id="52">
    <w:p w:rsidR="00C805DC" w:rsidRPr="00D5293C" w:rsidRDefault="00C805DC" w:rsidP="001A0D6B">
      <w:pPr>
        <w:pStyle w:val="Textpoznpodarou"/>
        <w:rPr>
          <w:sz w:val="16"/>
          <w:szCs w:val="16"/>
        </w:rPr>
      </w:pPr>
      <w:r w:rsidRPr="00D5293C">
        <w:rPr>
          <w:rStyle w:val="Znakapoznpodarou"/>
          <w:sz w:val="16"/>
          <w:szCs w:val="16"/>
        </w:rPr>
        <w:footnoteRef/>
      </w:r>
      <w:r w:rsidRPr="00D5293C">
        <w:rPr>
          <w:sz w:val="16"/>
          <w:szCs w:val="16"/>
        </w:rPr>
        <w:t xml:space="preserve"> Menší podíl měly vloni na úrovní 22 odvětvových sekcí ekonomiky jen činnosti v oblasti nemovitostí.</w:t>
      </w:r>
    </w:p>
  </w:footnote>
  <w:footnote w:id="53">
    <w:p w:rsidR="00C805DC" w:rsidRPr="000B3B41" w:rsidRDefault="00C805DC" w:rsidP="004C5FBF">
      <w:pPr>
        <w:pStyle w:val="Textpoznpodarou"/>
        <w:rPr>
          <w:spacing w:val="-2"/>
          <w:sz w:val="16"/>
          <w:szCs w:val="16"/>
        </w:rPr>
      </w:pPr>
      <w:r w:rsidRPr="000B3B41">
        <w:rPr>
          <w:rStyle w:val="Znakapoznpodarou"/>
          <w:spacing w:val="-2"/>
          <w:sz w:val="16"/>
          <w:szCs w:val="16"/>
        </w:rPr>
        <w:footnoteRef/>
      </w:r>
      <w:r w:rsidRPr="000B3B41">
        <w:rPr>
          <w:spacing w:val="-2"/>
          <w:sz w:val="16"/>
          <w:szCs w:val="16"/>
        </w:rPr>
        <w:t xml:space="preserve"> Údajů týkajících se trhu práce (zaměstnanost, mzdy) vychází z národních účtů a jsou přepočteny na plné úvazky.</w:t>
      </w:r>
    </w:p>
  </w:footnote>
  <w:footnote w:id="54">
    <w:p w:rsidR="00C805DC" w:rsidRPr="004637D6" w:rsidRDefault="00C805DC" w:rsidP="004C5FBF">
      <w:pPr>
        <w:pStyle w:val="Textpoznpodarou"/>
        <w:rPr>
          <w:spacing w:val="-2"/>
          <w:sz w:val="16"/>
          <w:szCs w:val="16"/>
        </w:rPr>
      </w:pPr>
      <w:r w:rsidRPr="004637D6">
        <w:rPr>
          <w:rStyle w:val="Znakapoznpodarou"/>
          <w:spacing w:val="-2"/>
          <w:sz w:val="16"/>
          <w:szCs w:val="16"/>
        </w:rPr>
        <w:footnoteRef/>
      </w:r>
      <w:r w:rsidRPr="004637D6">
        <w:rPr>
          <w:spacing w:val="-2"/>
          <w:sz w:val="16"/>
          <w:szCs w:val="16"/>
        </w:rPr>
        <w:t xml:space="preserve"> Dle výsledků Strukturálního šetření v zemědělství v roce 2016 bylo z celkového počtu pravidelně zaměstnaných osob v zemědělství v ČR (130 tis</w:t>
      </w:r>
      <w:r>
        <w:rPr>
          <w:spacing w:val="-2"/>
          <w:sz w:val="16"/>
          <w:szCs w:val="16"/>
        </w:rPr>
        <w:t>.</w:t>
      </w:r>
      <w:r w:rsidRPr="004637D6">
        <w:rPr>
          <w:spacing w:val="-2"/>
          <w:sz w:val="16"/>
          <w:szCs w:val="16"/>
        </w:rPr>
        <w:t xml:space="preserve">) 36 % ve věku 55 a více let (v Jihomoravském a Zlínském kraji téměř 40 %). Naopak do 35 let bylo v ČR </w:t>
      </w:r>
      <w:r>
        <w:rPr>
          <w:spacing w:val="-2"/>
          <w:sz w:val="16"/>
          <w:szCs w:val="16"/>
        </w:rPr>
        <w:t xml:space="preserve">jen 18 % </w:t>
      </w:r>
      <w:r w:rsidRPr="004637D6">
        <w:rPr>
          <w:spacing w:val="-2"/>
          <w:sz w:val="16"/>
          <w:szCs w:val="16"/>
        </w:rPr>
        <w:t>pracovníků.</w:t>
      </w:r>
    </w:p>
  </w:footnote>
  <w:footnote w:id="55">
    <w:p w:rsidR="00C805DC" w:rsidRPr="000B3B41" w:rsidRDefault="00C805DC" w:rsidP="004C5FBF">
      <w:pPr>
        <w:pStyle w:val="Textpoznpodarou"/>
        <w:rPr>
          <w:spacing w:val="-2"/>
          <w:sz w:val="16"/>
          <w:szCs w:val="16"/>
        </w:rPr>
      </w:pPr>
      <w:r w:rsidRPr="000B3B41">
        <w:rPr>
          <w:rStyle w:val="Znakapoznpodarou"/>
          <w:spacing w:val="-2"/>
          <w:sz w:val="16"/>
          <w:szCs w:val="16"/>
        </w:rPr>
        <w:footnoteRef/>
      </w:r>
      <w:r w:rsidRPr="000B3B41">
        <w:rPr>
          <w:spacing w:val="-2"/>
          <w:sz w:val="16"/>
          <w:szCs w:val="16"/>
        </w:rPr>
        <w:t xml:space="preserve"> Zahrnují veškeré příjmy ze zaměstnání – jak v peněžní, tak i </w:t>
      </w:r>
      <w:r>
        <w:rPr>
          <w:spacing w:val="-2"/>
          <w:sz w:val="16"/>
          <w:szCs w:val="16"/>
        </w:rPr>
        <w:t xml:space="preserve">v </w:t>
      </w:r>
      <w:r w:rsidRPr="000B3B41">
        <w:rPr>
          <w:spacing w:val="-2"/>
          <w:sz w:val="16"/>
          <w:szCs w:val="16"/>
        </w:rPr>
        <w:t>naturální podobě.</w:t>
      </w:r>
    </w:p>
  </w:footnote>
  <w:footnote w:id="56">
    <w:p w:rsidR="00C805DC" w:rsidRPr="000B3B41" w:rsidRDefault="00C805DC" w:rsidP="004C5FBF">
      <w:pPr>
        <w:pStyle w:val="Textpoznpodarou"/>
        <w:rPr>
          <w:spacing w:val="-2"/>
          <w:sz w:val="16"/>
          <w:szCs w:val="16"/>
        </w:rPr>
      </w:pPr>
      <w:r w:rsidRPr="000B3B41">
        <w:rPr>
          <w:rStyle w:val="Znakapoznpodarou"/>
          <w:spacing w:val="-2"/>
          <w:sz w:val="16"/>
          <w:szCs w:val="16"/>
        </w:rPr>
        <w:footnoteRef/>
      </w:r>
      <w:r w:rsidRPr="000B3B41">
        <w:rPr>
          <w:spacing w:val="-2"/>
          <w:sz w:val="16"/>
          <w:szCs w:val="16"/>
        </w:rPr>
        <w:t xml:space="preserve"> Ve váhově dominantním odvětví primárního sektoru – rostlinné a živočišné výrobě i myslivosti – dosahovala vloni hodinová produktivita práce 60 % úrovně národního hospodářství.</w:t>
      </w:r>
    </w:p>
  </w:footnote>
  <w:footnote w:id="57">
    <w:p w:rsidR="00C805DC" w:rsidRPr="000B3B41" w:rsidRDefault="00C805DC" w:rsidP="004C5FBF">
      <w:pPr>
        <w:pStyle w:val="Zkladntext"/>
        <w:spacing w:before="0" w:line="240" w:lineRule="auto"/>
        <w:rPr>
          <w:rFonts w:ascii="Arial" w:hAnsi="Arial" w:cs="Arial"/>
          <w:spacing w:val="-4"/>
          <w:sz w:val="16"/>
          <w:szCs w:val="16"/>
        </w:rPr>
      </w:pPr>
      <w:r w:rsidRPr="000B3B41">
        <w:rPr>
          <w:rStyle w:val="Znakapoznpodarou"/>
          <w:rFonts w:ascii="Arial" w:hAnsi="Arial" w:cs="Arial"/>
          <w:spacing w:val="-4"/>
          <w:sz w:val="16"/>
          <w:szCs w:val="16"/>
        </w:rPr>
        <w:footnoteRef/>
      </w:r>
      <w:r w:rsidRPr="000B3B41">
        <w:rPr>
          <w:rFonts w:ascii="Arial" w:hAnsi="Arial" w:cs="Arial"/>
          <w:spacing w:val="-4"/>
          <w:sz w:val="16"/>
          <w:szCs w:val="16"/>
        </w:rPr>
        <w:t xml:space="preserve"> Souhrnný zemědělský účet (SZÚ) nezahrnuje jednotky produkující jen pro vlastní spotřebu (zahrádky a chov hospodářských zvířat u domácností). Zemědělská produkce pro vlastní spotřebu rolníků, jejichž hospodářství překročí spodní prahovou hodnotu, je ale součástí SZÚ.</w:t>
      </w:r>
    </w:p>
  </w:footnote>
  <w:footnote w:id="58">
    <w:p w:rsidR="00C805DC" w:rsidRPr="002B3B69" w:rsidRDefault="00C805DC" w:rsidP="004C5FBF">
      <w:pPr>
        <w:pStyle w:val="Textpoznpodarou"/>
        <w:jc w:val="both"/>
        <w:rPr>
          <w:sz w:val="16"/>
          <w:szCs w:val="16"/>
        </w:rPr>
      </w:pPr>
      <w:r w:rsidRPr="002B3B69">
        <w:rPr>
          <w:rStyle w:val="Znakapoznpodarou"/>
          <w:sz w:val="16"/>
          <w:szCs w:val="16"/>
        </w:rPr>
        <w:footnoteRef/>
      </w:r>
      <w:r w:rsidRPr="002B3B69">
        <w:rPr>
          <w:sz w:val="16"/>
          <w:szCs w:val="16"/>
        </w:rPr>
        <w:t xml:space="preserve"> To v roce 2017 platilo pro patnáct států EU. Šlo většinou o novějších členské státy a </w:t>
      </w:r>
      <w:r>
        <w:rPr>
          <w:sz w:val="16"/>
          <w:szCs w:val="16"/>
        </w:rPr>
        <w:t xml:space="preserve">dále </w:t>
      </w:r>
      <w:r w:rsidRPr="002B3B69">
        <w:rPr>
          <w:sz w:val="16"/>
          <w:szCs w:val="16"/>
        </w:rPr>
        <w:t>také o většinu středomořských států.</w:t>
      </w:r>
      <w:r>
        <w:rPr>
          <w:sz w:val="16"/>
          <w:szCs w:val="16"/>
        </w:rPr>
        <w:t xml:space="preserve"> Ze zemí, které vstoupily do EU</w:t>
      </w:r>
      <w:r w:rsidRPr="002B3B69">
        <w:rPr>
          <w:sz w:val="16"/>
          <w:szCs w:val="16"/>
        </w:rPr>
        <w:t xml:space="preserve"> po roce 2000</w:t>
      </w:r>
      <w:r>
        <w:rPr>
          <w:sz w:val="16"/>
          <w:szCs w:val="16"/>
        </w:rPr>
        <w:t>,</w:t>
      </w:r>
      <w:r w:rsidRPr="002B3B69">
        <w:rPr>
          <w:sz w:val="16"/>
          <w:szCs w:val="16"/>
        </w:rPr>
        <w:t xml:space="preserve"> </w:t>
      </w:r>
      <w:r>
        <w:rPr>
          <w:sz w:val="16"/>
          <w:szCs w:val="16"/>
        </w:rPr>
        <w:t>vykazovaly</w:t>
      </w:r>
      <w:r w:rsidRPr="002B3B69">
        <w:rPr>
          <w:sz w:val="16"/>
          <w:szCs w:val="16"/>
        </w:rPr>
        <w:t xml:space="preserve"> vyšší specializaci zemědělství na ži</w:t>
      </w:r>
      <w:r>
        <w:rPr>
          <w:sz w:val="16"/>
          <w:szCs w:val="16"/>
        </w:rPr>
        <w:t>vočišnou výrobu jen</w:t>
      </w:r>
      <w:r w:rsidRPr="002B3B69">
        <w:rPr>
          <w:sz w:val="16"/>
          <w:szCs w:val="16"/>
        </w:rPr>
        <w:t xml:space="preserve"> Polsko</w:t>
      </w:r>
      <w:r>
        <w:rPr>
          <w:sz w:val="16"/>
          <w:szCs w:val="16"/>
        </w:rPr>
        <w:t xml:space="preserve"> (53 %) a také některé malé ekonomiky (Malty, Kypr, Estonsko).</w:t>
      </w:r>
    </w:p>
  </w:footnote>
  <w:footnote w:id="59">
    <w:p w:rsidR="00C805DC" w:rsidRPr="00C83B8F" w:rsidRDefault="00C805DC" w:rsidP="004C5FBF">
      <w:pPr>
        <w:pStyle w:val="Textpoznpodarou"/>
        <w:jc w:val="both"/>
        <w:rPr>
          <w:sz w:val="16"/>
          <w:szCs w:val="16"/>
        </w:rPr>
      </w:pPr>
      <w:r w:rsidRPr="00C83B8F">
        <w:rPr>
          <w:rStyle w:val="Znakapoznpodarou"/>
          <w:sz w:val="16"/>
          <w:szCs w:val="16"/>
        </w:rPr>
        <w:footnoteRef/>
      </w:r>
      <w:r w:rsidRPr="00C83B8F">
        <w:rPr>
          <w:sz w:val="16"/>
          <w:szCs w:val="16"/>
        </w:rPr>
        <w:t xml:space="preserve"> Sklizeň obilovin (8,60 mil. tun) byla čtvrtá nejvyšší v historii sledování (od roku 1918), u samotné pšenic</w:t>
      </w:r>
      <w:r>
        <w:rPr>
          <w:sz w:val="16"/>
          <w:szCs w:val="16"/>
        </w:rPr>
        <w:t>e (5,45 mil, tun) se dokonce jednalo o</w:t>
      </w:r>
      <w:r w:rsidRPr="002B3B69">
        <w:rPr>
          <w:sz w:val="16"/>
          <w:szCs w:val="16"/>
        </w:rPr>
        <w:t> </w:t>
      </w:r>
      <w:r w:rsidRPr="00C83B8F">
        <w:rPr>
          <w:sz w:val="16"/>
          <w:szCs w:val="16"/>
        </w:rPr>
        <w:t xml:space="preserve">absolutní rekord. </w:t>
      </w:r>
    </w:p>
  </w:footnote>
  <w:footnote w:id="60">
    <w:p w:rsidR="00C805DC" w:rsidRPr="006C2210" w:rsidRDefault="00C805DC" w:rsidP="004C5FBF">
      <w:pPr>
        <w:pStyle w:val="Textpoznpodarou"/>
        <w:jc w:val="both"/>
        <w:rPr>
          <w:sz w:val="16"/>
          <w:szCs w:val="16"/>
        </w:rPr>
      </w:pPr>
      <w:r w:rsidRPr="006C2210">
        <w:rPr>
          <w:rStyle w:val="Znakapoznpodarou"/>
          <w:sz w:val="16"/>
          <w:szCs w:val="16"/>
        </w:rPr>
        <w:footnoteRef/>
      </w:r>
      <w:r w:rsidRPr="006C2210">
        <w:rPr>
          <w:sz w:val="16"/>
          <w:szCs w:val="16"/>
        </w:rPr>
        <w:t xml:space="preserve"> Nižší skli</w:t>
      </w:r>
      <w:r>
        <w:rPr>
          <w:sz w:val="16"/>
          <w:szCs w:val="16"/>
        </w:rPr>
        <w:t>zeň obilovin se týkala hlavně</w:t>
      </w:r>
      <w:r w:rsidRPr="006C2210">
        <w:rPr>
          <w:sz w:val="16"/>
          <w:szCs w:val="16"/>
        </w:rPr>
        <w:t xml:space="preserve"> kukuřice na zrno (-25 %), žita (-22 %), ječmene (-7 %) a ovsa (</w:t>
      </w:r>
      <w:r>
        <w:rPr>
          <w:sz w:val="16"/>
          <w:szCs w:val="16"/>
        </w:rPr>
        <w:t>-6 %). Byla důsledkem</w:t>
      </w:r>
      <w:r w:rsidRPr="006C2210">
        <w:rPr>
          <w:sz w:val="16"/>
          <w:szCs w:val="16"/>
        </w:rPr>
        <w:t xml:space="preserve"> významného poklesu produkčních ploch. Naopak u </w:t>
      </w:r>
      <w:r>
        <w:rPr>
          <w:sz w:val="16"/>
          <w:szCs w:val="16"/>
        </w:rPr>
        <w:t xml:space="preserve">pšenice, jakožto </w:t>
      </w:r>
      <w:r w:rsidRPr="006C2210">
        <w:rPr>
          <w:sz w:val="16"/>
          <w:szCs w:val="16"/>
        </w:rPr>
        <w:t xml:space="preserve">váhově </w:t>
      </w:r>
      <w:r>
        <w:rPr>
          <w:sz w:val="16"/>
          <w:szCs w:val="16"/>
        </w:rPr>
        <w:t>dominantní obiloviny (tvořící v roce 2017 téměř dvě třetiny objemu sklizených obilovin),</w:t>
      </w:r>
      <w:r w:rsidRPr="006C2210">
        <w:rPr>
          <w:sz w:val="16"/>
          <w:szCs w:val="16"/>
        </w:rPr>
        <w:t xml:space="preserve"> </w:t>
      </w:r>
      <w:r>
        <w:rPr>
          <w:sz w:val="16"/>
          <w:szCs w:val="16"/>
        </w:rPr>
        <w:t>zůstaly loni jak produkční plocha, tak i hektarové výnosy oproti desetiletému průměru nezměněny.</w:t>
      </w:r>
    </w:p>
  </w:footnote>
  <w:footnote w:id="61">
    <w:p w:rsidR="00C805DC" w:rsidRPr="003D0C02" w:rsidRDefault="00C805DC" w:rsidP="004C5FBF">
      <w:pPr>
        <w:pStyle w:val="Textpoznpodarou"/>
        <w:jc w:val="both"/>
        <w:rPr>
          <w:sz w:val="16"/>
          <w:szCs w:val="16"/>
        </w:rPr>
      </w:pPr>
      <w:r w:rsidRPr="003D0C02">
        <w:rPr>
          <w:rStyle w:val="Znakapoznpodarou"/>
          <w:sz w:val="16"/>
          <w:szCs w:val="16"/>
        </w:rPr>
        <w:footnoteRef/>
      </w:r>
      <w:r w:rsidRPr="003D0C02">
        <w:rPr>
          <w:sz w:val="16"/>
          <w:szCs w:val="16"/>
        </w:rPr>
        <w:t xml:space="preserve"> K poklesu hektarových výnosů oproti dlouhodobému průměru došlo loni především u váhově dominantní olejniny – řepky (o 8</w:t>
      </w:r>
      <w:r>
        <w:rPr>
          <w:sz w:val="16"/>
          <w:szCs w:val="16"/>
        </w:rPr>
        <w:t xml:space="preserve"> %) a</w:t>
      </w:r>
      <w:r w:rsidRPr="003D0C02">
        <w:rPr>
          <w:sz w:val="16"/>
          <w:szCs w:val="16"/>
        </w:rPr>
        <w:t xml:space="preserve"> dále také u máku (o 14 %). </w:t>
      </w:r>
      <w:r>
        <w:rPr>
          <w:sz w:val="16"/>
          <w:szCs w:val="16"/>
        </w:rPr>
        <w:t>U obou těchto plodin přitom patří Česko dlouhodobě k nejvýznamnějším producentům v EU. V roce 2016 vytvářela řepka v tuzemsku 10,7 % celkové produkce zemědělského odvětví – nejvíce ze všech států celé EU (1,8 %). S výraznějším odstupem následovaly Lotyško (7,6 %), Slovensko (</w:t>
      </w:r>
      <w:proofErr w:type="gramStart"/>
      <w:r>
        <w:rPr>
          <w:sz w:val="16"/>
          <w:szCs w:val="16"/>
        </w:rPr>
        <w:t>6,4 % ) a dále</w:t>
      </w:r>
      <w:proofErr w:type="gramEnd"/>
      <w:r>
        <w:rPr>
          <w:sz w:val="16"/>
          <w:szCs w:val="16"/>
        </w:rPr>
        <w:t xml:space="preserve"> pak ostatní státy Pobaltí.  </w:t>
      </w:r>
    </w:p>
  </w:footnote>
  <w:footnote w:id="62">
    <w:p w:rsidR="00C805DC" w:rsidRPr="00056A87" w:rsidRDefault="00C805DC" w:rsidP="004C5FBF">
      <w:pPr>
        <w:pStyle w:val="Textpoznpodarou"/>
        <w:rPr>
          <w:sz w:val="16"/>
          <w:szCs w:val="16"/>
        </w:rPr>
      </w:pPr>
      <w:r w:rsidRPr="00056A87">
        <w:rPr>
          <w:rStyle w:val="Znakapoznpodarou"/>
          <w:sz w:val="16"/>
          <w:szCs w:val="16"/>
        </w:rPr>
        <w:footnoteRef/>
      </w:r>
      <w:r w:rsidRPr="00056A87">
        <w:rPr>
          <w:sz w:val="16"/>
          <w:szCs w:val="16"/>
        </w:rPr>
        <w:t xml:space="preserve"> Zatímco hodnota produkce (ve stálých cenách) klesla v ovocnářství meziročně o téměř pětinu, u čerstvé zeleniny o necelá 3 %. </w:t>
      </w:r>
    </w:p>
  </w:footnote>
  <w:footnote w:id="63">
    <w:p w:rsidR="00C805DC" w:rsidRPr="00443C7A" w:rsidRDefault="00C805DC" w:rsidP="004C5FBF">
      <w:pPr>
        <w:pStyle w:val="Textpoznpodarou"/>
        <w:jc w:val="both"/>
        <w:rPr>
          <w:sz w:val="16"/>
          <w:szCs w:val="16"/>
        </w:rPr>
      </w:pPr>
      <w:r w:rsidRPr="00443C7A">
        <w:rPr>
          <w:rStyle w:val="Znakapoznpodarou"/>
          <w:sz w:val="16"/>
          <w:szCs w:val="16"/>
        </w:rPr>
        <w:footnoteRef/>
      </w:r>
      <w:r w:rsidRPr="00443C7A">
        <w:rPr>
          <w:sz w:val="16"/>
          <w:szCs w:val="16"/>
        </w:rPr>
        <w:t xml:space="preserve"> V roce 2016 šlo o 52 % sklizně ovoce, 24 % konzumní zeleniny a 16 % brambor (z celkové sklizně zemědělského </w:t>
      </w:r>
      <w:r>
        <w:rPr>
          <w:sz w:val="16"/>
          <w:szCs w:val="16"/>
        </w:rPr>
        <w:t>sektoru i</w:t>
      </w:r>
      <w:r w:rsidRPr="00443C7A">
        <w:rPr>
          <w:sz w:val="16"/>
          <w:szCs w:val="16"/>
        </w:rPr>
        <w:t> </w:t>
      </w:r>
      <w:r>
        <w:rPr>
          <w:sz w:val="16"/>
          <w:szCs w:val="16"/>
        </w:rPr>
        <w:t>domácností stojících mimo</w:t>
      </w:r>
      <w:r w:rsidRPr="00443C7A">
        <w:rPr>
          <w:sz w:val="16"/>
          <w:szCs w:val="16"/>
        </w:rPr>
        <w:t xml:space="preserve"> něj).</w:t>
      </w:r>
    </w:p>
  </w:footnote>
  <w:footnote w:id="64">
    <w:p w:rsidR="00C805DC" w:rsidRPr="00455262" w:rsidRDefault="00C805DC" w:rsidP="004C5FBF">
      <w:pPr>
        <w:pStyle w:val="Textpoznpodarou"/>
        <w:jc w:val="both"/>
        <w:rPr>
          <w:color w:val="0D0D0D" w:themeColor="text1" w:themeTint="F2"/>
          <w:sz w:val="16"/>
          <w:szCs w:val="16"/>
        </w:rPr>
      </w:pPr>
      <w:r w:rsidRPr="00455262">
        <w:rPr>
          <w:rStyle w:val="Znakapoznpodarou"/>
          <w:color w:val="0D0D0D" w:themeColor="text1" w:themeTint="F2"/>
          <w:sz w:val="16"/>
          <w:szCs w:val="16"/>
        </w:rPr>
        <w:footnoteRef/>
      </w:r>
      <w:r w:rsidRPr="00455262">
        <w:rPr>
          <w:color w:val="0D0D0D" w:themeColor="text1" w:themeTint="F2"/>
          <w:sz w:val="16"/>
          <w:szCs w:val="16"/>
        </w:rPr>
        <w:t xml:space="preserve"> Dle údajů ze soupisu hospodářských zvířat (k 1. dubnu 2018) vzrostl meziročně počet prasat o 4,5 % (na 1,56 mil. kusů, i tak šlo ale o druhou nejnižší četnost v historii). Posilovaly především stavy selat a mladých prasat. Souběžně došlo také k významnému zvýšení stavu drůbeže (o desetinu, na 23,57 mil. kusů, nejvyšší stavy za posledních osm let). Relativně nejvíce přibývalo slepic (+17 %) a z méně četných podkategorií pak kachen (+42 %). V případě skotu se počty meziročně významně nezměnily (1,42 mil. kusů). </w:t>
      </w:r>
    </w:p>
  </w:footnote>
  <w:footnote w:id="65">
    <w:p w:rsidR="00C805DC" w:rsidRPr="00455262" w:rsidRDefault="00C805DC" w:rsidP="004C5FBF">
      <w:pPr>
        <w:pStyle w:val="Textpoznpodarou"/>
        <w:jc w:val="both"/>
        <w:rPr>
          <w:color w:val="0D0D0D" w:themeColor="text1" w:themeTint="F2"/>
          <w:spacing w:val="-4"/>
          <w:sz w:val="16"/>
          <w:szCs w:val="16"/>
        </w:rPr>
      </w:pPr>
      <w:r w:rsidRPr="00455262">
        <w:rPr>
          <w:rStyle w:val="Znakapoznpodarou"/>
          <w:color w:val="0D0D0D" w:themeColor="text1" w:themeTint="F2"/>
          <w:sz w:val="16"/>
          <w:szCs w:val="16"/>
        </w:rPr>
        <w:footnoteRef/>
      </w:r>
      <w:r w:rsidRPr="00455262">
        <w:rPr>
          <w:color w:val="0D0D0D" w:themeColor="text1" w:themeTint="F2"/>
          <w:sz w:val="16"/>
          <w:szCs w:val="16"/>
        </w:rPr>
        <w:t xml:space="preserve"> V posledním čtvrtletí 2017 </w:t>
      </w:r>
      <w:r w:rsidRPr="00455262">
        <w:rPr>
          <w:color w:val="0D0D0D" w:themeColor="text1" w:themeTint="F2"/>
          <w:spacing w:val="-4"/>
          <w:sz w:val="16"/>
          <w:szCs w:val="16"/>
        </w:rPr>
        <w:t>prodávali zemědělci mléko (v jakost</w:t>
      </w:r>
      <w:r>
        <w:rPr>
          <w:color w:val="0D0D0D" w:themeColor="text1" w:themeTint="F2"/>
          <w:spacing w:val="-4"/>
          <w:sz w:val="16"/>
          <w:szCs w:val="16"/>
        </w:rPr>
        <w:t xml:space="preserve">ní třídě Q) v průměru za 9,11 korun za litr. </w:t>
      </w:r>
      <w:r w:rsidRPr="00455262">
        <w:rPr>
          <w:color w:val="0D0D0D" w:themeColor="text1" w:themeTint="F2"/>
          <w:spacing w:val="-4"/>
          <w:sz w:val="16"/>
          <w:szCs w:val="16"/>
        </w:rPr>
        <w:t xml:space="preserve">To bylo o bezmála polovinu více než ve 3. čtvrtletí 2016, </w:t>
      </w:r>
      <w:r>
        <w:rPr>
          <w:color w:val="0D0D0D" w:themeColor="text1" w:themeTint="F2"/>
          <w:spacing w:val="-4"/>
          <w:sz w:val="16"/>
          <w:szCs w:val="16"/>
        </w:rPr>
        <w:t>kdy rekordně nízká cena (6,15 korun</w:t>
      </w:r>
      <w:r w:rsidRPr="00455262">
        <w:rPr>
          <w:color w:val="0D0D0D" w:themeColor="text1" w:themeTint="F2"/>
          <w:spacing w:val="-4"/>
          <w:sz w:val="16"/>
          <w:szCs w:val="16"/>
        </w:rPr>
        <w:t xml:space="preserve"> za litr, nejnižší od roku 2009) odrážela primárně přetlak produkce v zemích EU (vlivem restrikcí uvalených na dovoz zemědělských produktů i potravin do Ruska umocněných dále zrušením dlouhodobě platných mléčných kvót v EU v dubnu 2015)</w:t>
      </w:r>
    </w:p>
  </w:footnote>
  <w:footnote w:id="66">
    <w:p w:rsidR="00C805DC" w:rsidRPr="00E332ED" w:rsidRDefault="00C805DC" w:rsidP="004C5FBF">
      <w:pPr>
        <w:pStyle w:val="Textpoznpodarou"/>
        <w:rPr>
          <w:sz w:val="16"/>
          <w:szCs w:val="16"/>
        </w:rPr>
      </w:pPr>
      <w:r w:rsidRPr="00455262">
        <w:rPr>
          <w:rStyle w:val="Znakapoznpodarou"/>
          <w:color w:val="0D0D0D" w:themeColor="text1" w:themeTint="F2"/>
          <w:sz w:val="16"/>
          <w:szCs w:val="16"/>
        </w:rPr>
        <w:footnoteRef/>
      </w:r>
      <w:r w:rsidRPr="00455262">
        <w:rPr>
          <w:color w:val="0D0D0D" w:themeColor="text1" w:themeTint="F2"/>
          <w:sz w:val="16"/>
          <w:szCs w:val="16"/>
        </w:rPr>
        <w:t xml:space="preserve"> Průměrná dojivost připadající na 1 krávu dosáhla 8,22 tis litrů za rok. Proti roku 2007 se zvýšila o čtvrtinu.</w:t>
      </w:r>
    </w:p>
  </w:footnote>
  <w:footnote w:id="67">
    <w:p w:rsidR="00C805DC" w:rsidRPr="00C6152B" w:rsidRDefault="00C805DC">
      <w:pPr>
        <w:pStyle w:val="Textpoznpodarou"/>
        <w:rPr>
          <w:spacing w:val="-2"/>
          <w:sz w:val="16"/>
          <w:szCs w:val="16"/>
        </w:rPr>
      </w:pPr>
      <w:r w:rsidRPr="00C6152B">
        <w:rPr>
          <w:rStyle w:val="Znakapoznpodarou"/>
          <w:spacing w:val="-2"/>
          <w:sz w:val="16"/>
          <w:szCs w:val="16"/>
        </w:rPr>
        <w:footnoteRef/>
      </w:r>
      <w:r w:rsidRPr="00C6152B">
        <w:rPr>
          <w:spacing w:val="-2"/>
          <w:sz w:val="16"/>
          <w:szCs w:val="16"/>
        </w:rPr>
        <w:t xml:space="preserve"> Významná část snášky vajec je realizovaná mimo zemědělský sektor (v domácn</w:t>
      </w:r>
      <w:r>
        <w:rPr>
          <w:spacing w:val="-2"/>
          <w:sz w:val="16"/>
          <w:szCs w:val="16"/>
        </w:rPr>
        <w:t>ostech). Při jejich zahnutí</w:t>
      </w:r>
      <w:r w:rsidRPr="00C6152B">
        <w:rPr>
          <w:spacing w:val="-2"/>
          <w:sz w:val="16"/>
          <w:szCs w:val="16"/>
        </w:rPr>
        <w:t xml:space="preserve"> by </w:t>
      </w:r>
      <w:r>
        <w:rPr>
          <w:spacing w:val="-2"/>
          <w:sz w:val="16"/>
          <w:szCs w:val="16"/>
        </w:rPr>
        <w:t xml:space="preserve">celkový růst </w:t>
      </w:r>
      <w:r w:rsidRPr="00C6152B">
        <w:rPr>
          <w:spacing w:val="-2"/>
          <w:sz w:val="16"/>
          <w:szCs w:val="16"/>
        </w:rPr>
        <w:t>činil jen 5,7 %.</w:t>
      </w:r>
    </w:p>
  </w:footnote>
  <w:footnote w:id="68">
    <w:p w:rsidR="00C805DC" w:rsidRPr="00E8198F" w:rsidRDefault="00C805DC" w:rsidP="004C5FBF">
      <w:pPr>
        <w:pStyle w:val="Textpoznpodarou"/>
        <w:rPr>
          <w:spacing w:val="-2"/>
          <w:sz w:val="16"/>
          <w:szCs w:val="16"/>
        </w:rPr>
      </w:pPr>
      <w:r w:rsidRPr="00E8198F">
        <w:rPr>
          <w:rStyle w:val="Znakapoznpodarou"/>
          <w:spacing w:val="-2"/>
          <w:sz w:val="16"/>
          <w:szCs w:val="16"/>
        </w:rPr>
        <w:footnoteRef/>
      </w:r>
      <w:r w:rsidRPr="00E8198F">
        <w:rPr>
          <w:spacing w:val="-2"/>
          <w:sz w:val="16"/>
          <w:szCs w:val="16"/>
        </w:rPr>
        <w:t xml:space="preserve"> Údaje z národního poje kdy rekordně nízká cena (</w:t>
      </w:r>
      <w:proofErr w:type="spellStart"/>
      <w:r w:rsidRPr="00E8198F">
        <w:rPr>
          <w:spacing w:val="-2"/>
          <w:sz w:val="16"/>
          <w:szCs w:val="16"/>
        </w:rPr>
        <w:t>tí</w:t>
      </w:r>
      <w:proofErr w:type="spellEnd"/>
      <w:r w:rsidRPr="00E8198F">
        <w:rPr>
          <w:spacing w:val="-2"/>
          <w:sz w:val="16"/>
          <w:szCs w:val="16"/>
        </w:rPr>
        <w:t xml:space="preserve"> zahraničního obchodu věcně členěného dle klasifikace produkce (CZ-CPA).</w:t>
      </w:r>
    </w:p>
  </w:footnote>
  <w:footnote w:id="69">
    <w:p w:rsidR="00C805DC" w:rsidRPr="00E8198F" w:rsidRDefault="00C805DC" w:rsidP="004C5FBF">
      <w:pPr>
        <w:pStyle w:val="Textpoznpodarou"/>
        <w:rPr>
          <w:spacing w:val="-3"/>
          <w:sz w:val="16"/>
          <w:szCs w:val="16"/>
        </w:rPr>
      </w:pPr>
      <w:r w:rsidRPr="00E8198F">
        <w:rPr>
          <w:rStyle w:val="Znakapoznpodarou"/>
          <w:spacing w:val="-3"/>
          <w:sz w:val="16"/>
          <w:szCs w:val="16"/>
        </w:rPr>
        <w:footnoteRef/>
      </w:r>
      <w:r w:rsidRPr="00E8198F">
        <w:rPr>
          <w:spacing w:val="-3"/>
          <w:sz w:val="16"/>
          <w:szCs w:val="16"/>
        </w:rPr>
        <w:t xml:space="preserve"> Vedle zemědělské prvovýroby zahrnuje i většinu produktů zpracovatelského průmyslu (ty ještě více prohlubovaly negativní saldo obchodu).</w:t>
      </w:r>
    </w:p>
  </w:footnote>
  <w:footnote w:id="70">
    <w:p w:rsidR="00C805DC" w:rsidRPr="00E8198F" w:rsidRDefault="00C805DC" w:rsidP="004C5FBF">
      <w:pPr>
        <w:pStyle w:val="Textpoznpodarou"/>
        <w:jc w:val="both"/>
        <w:rPr>
          <w:spacing w:val="-2"/>
          <w:sz w:val="16"/>
          <w:szCs w:val="16"/>
        </w:rPr>
      </w:pPr>
      <w:r w:rsidRPr="00E8198F">
        <w:rPr>
          <w:rStyle w:val="Znakapoznpodarou"/>
          <w:spacing w:val="-2"/>
          <w:sz w:val="16"/>
          <w:szCs w:val="16"/>
        </w:rPr>
        <w:footnoteRef/>
      </w:r>
      <w:r w:rsidRPr="00E8198F">
        <w:rPr>
          <w:spacing w:val="-2"/>
          <w:sz w:val="16"/>
          <w:szCs w:val="16"/>
        </w:rPr>
        <w:t xml:space="preserve"> Loňská těžba dřeva byla nejvyšší v historii samostatné ČR (19,4 mil. m</w:t>
      </w:r>
      <w:r w:rsidRPr="00E8198F">
        <w:rPr>
          <w:spacing w:val="-2"/>
          <w:sz w:val="16"/>
          <w:szCs w:val="16"/>
          <w:vertAlign w:val="superscript"/>
        </w:rPr>
        <w:t>3</w:t>
      </w:r>
      <w:r w:rsidRPr="00E8198F">
        <w:rPr>
          <w:spacing w:val="-2"/>
          <w:sz w:val="16"/>
          <w:szCs w:val="16"/>
        </w:rPr>
        <w:t xml:space="preserve"> bez kůry). Meziročně vzrostla o desetinu, výhradně vlivem vysokého objemu nahodilé těžby (61 % veškeré těžby, šlo nejvyšší podíl za posledních devět let). Nárůst těžby se týkal jen jehličnatých stromů, u listnatých v úhrnu došlo k meziročnímu poklesu o 2,4 %. Z celkového objemu nahodilé těžby dřeva v ČR připadala loni polovina na těžbu hmyzovou, více než třetina</w:t>
      </w:r>
      <w:r>
        <w:rPr>
          <w:spacing w:val="-2"/>
          <w:sz w:val="16"/>
          <w:szCs w:val="16"/>
        </w:rPr>
        <w:t xml:space="preserve"> pak</w:t>
      </w:r>
      <w:r w:rsidRPr="00E8198F">
        <w:rPr>
          <w:spacing w:val="-2"/>
          <w:sz w:val="16"/>
          <w:szCs w:val="16"/>
        </w:rPr>
        <w:t xml:space="preserve"> souvisela s nepříznivými vlivy počasí. Rozložení těžby podle krajů</w:t>
      </w:r>
      <w:r>
        <w:rPr>
          <w:spacing w:val="-2"/>
          <w:sz w:val="16"/>
          <w:szCs w:val="16"/>
        </w:rPr>
        <w:t xml:space="preserve"> </w:t>
      </w:r>
      <w:r w:rsidRPr="00E8198F">
        <w:rPr>
          <w:spacing w:val="-2"/>
          <w:sz w:val="16"/>
          <w:szCs w:val="16"/>
        </w:rPr>
        <w:t>spíše než jejich celkovou lesnatost odráželo četnost a intenzitu výskytu kalamitních situací. Téměř 30 % celorepublikové těžby bylo realizováno v Moravskoslezském a Olomouckém kraji, v nichž drtivou většinu tvořila těžba nahodilá (více než 90 %).</w:t>
      </w:r>
    </w:p>
  </w:footnote>
  <w:footnote w:id="71">
    <w:p w:rsidR="00C805DC" w:rsidRPr="00D44265" w:rsidRDefault="00C805DC" w:rsidP="004C5FBF">
      <w:pPr>
        <w:pStyle w:val="Textpoznpodarou"/>
        <w:jc w:val="both"/>
        <w:rPr>
          <w:sz w:val="16"/>
          <w:szCs w:val="16"/>
        </w:rPr>
      </w:pPr>
      <w:r w:rsidRPr="00D44265">
        <w:rPr>
          <w:rStyle w:val="Znakapoznpodarou"/>
          <w:sz w:val="16"/>
          <w:szCs w:val="16"/>
        </w:rPr>
        <w:footnoteRef/>
      </w:r>
      <w:r w:rsidRPr="00D44265">
        <w:rPr>
          <w:sz w:val="16"/>
          <w:szCs w:val="16"/>
        </w:rPr>
        <w:t xml:space="preserve"> Z pohledu fyzického objemu (v m</w:t>
      </w:r>
      <w:r w:rsidRPr="00D44265">
        <w:rPr>
          <w:sz w:val="16"/>
          <w:szCs w:val="16"/>
          <w:vertAlign w:val="superscript"/>
        </w:rPr>
        <w:t>3</w:t>
      </w:r>
      <w:r w:rsidRPr="00D44265">
        <w:rPr>
          <w:sz w:val="16"/>
          <w:szCs w:val="16"/>
        </w:rPr>
        <w:t>) bylo v roce 2015 Česko pátým největším vývozcem dřeva mezi státy EU (po Švédsku, Finsku, Německu a Rakousku). Na celkovém exportu 28 zemí EU se podílelo 6,5 %.</w:t>
      </w:r>
    </w:p>
  </w:footnote>
  <w:footnote w:id="72">
    <w:p w:rsidR="00C805DC" w:rsidRDefault="00C805DC" w:rsidP="003F3890">
      <w:pPr>
        <w:pStyle w:val="Textpoznpodarou"/>
      </w:pPr>
      <w:r>
        <w:rPr>
          <w:rStyle w:val="Znakapoznpodarou"/>
        </w:rPr>
        <w:footnoteRef/>
      </w:r>
      <w:r>
        <w:t xml:space="preserve"> </w:t>
      </w:r>
      <w:r w:rsidRPr="00A918BF">
        <w:rPr>
          <w:spacing w:val="-2"/>
          <w:sz w:val="16"/>
          <w:szCs w:val="16"/>
        </w:rPr>
        <w:t>Pokud není uvedeno jinak, vychází všechny údaje v této kapitole z dat národních účtů a kde je to relevantní, jsou očištěny o cenové vlivy.</w:t>
      </w:r>
    </w:p>
  </w:footnote>
  <w:footnote w:id="73">
    <w:p w:rsidR="00C805DC" w:rsidRPr="00A232D0" w:rsidRDefault="00C805DC" w:rsidP="003F3890">
      <w:pPr>
        <w:pStyle w:val="Textpoznpodarou"/>
        <w:jc w:val="both"/>
        <w:rPr>
          <w:sz w:val="16"/>
          <w:szCs w:val="16"/>
        </w:rPr>
      </w:pPr>
      <w:r w:rsidRPr="00A232D0">
        <w:rPr>
          <w:rStyle w:val="Znakapoznpodarou"/>
          <w:sz w:val="16"/>
          <w:szCs w:val="16"/>
        </w:rPr>
        <w:footnoteRef/>
      </w:r>
      <w:r w:rsidRPr="00A232D0">
        <w:rPr>
          <w:sz w:val="16"/>
          <w:szCs w:val="16"/>
        </w:rPr>
        <w:t xml:space="preserve"> Poměr </w:t>
      </w:r>
      <w:proofErr w:type="spellStart"/>
      <w:r w:rsidRPr="00A232D0">
        <w:rPr>
          <w:sz w:val="16"/>
          <w:szCs w:val="16"/>
        </w:rPr>
        <w:t>mezispotřeby</w:t>
      </w:r>
      <w:proofErr w:type="spellEnd"/>
      <w:r w:rsidRPr="00A232D0">
        <w:rPr>
          <w:sz w:val="16"/>
          <w:szCs w:val="16"/>
        </w:rPr>
        <w:t xml:space="preserve"> k HPH (v běžných cenách) </w:t>
      </w:r>
      <w:r>
        <w:rPr>
          <w:sz w:val="16"/>
          <w:szCs w:val="16"/>
        </w:rPr>
        <w:t>dosáhl vloni v průmyslu 0,72 (v celé ekonomice 0,61). V samotném zpracovatelském průmyslu činila obdobná relace dokonce 0,73 a byla nejvyšší ze všech 19 hodnocených odvětvových sekcí ekonomiky. Vysokou náročností vstupů na finální produkt (0,64) se vyznačovala také energetika.</w:t>
      </w:r>
    </w:p>
  </w:footnote>
  <w:footnote w:id="74">
    <w:p w:rsidR="00C805DC" w:rsidRPr="001D4736" w:rsidRDefault="00C805DC" w:rsidP="001A0D6B">
      <w:pPr>
        <w:pStyle w:val="Textpoznpodarou"/>
        <w:jc w:val="both"/>
        <w:rPr>
          <w:sz w:val="16"/>
          <w:szCs w:val="16"/>
        </w:rPr>
      </w:pPr>
      <w:r w:rsidRPr="001D4736">
        <w:rPr>
          <w:rStyle w:val="Znakapoznpodarou"/>
          <w:sz w:val="16"/>
          <w:szCs w:val="16"/>
        </w:rPr>
        <w:footnoteRef/>
      </w:r>
      <w:r w:rsidRPr="001D4736">
        <w:rPr>
          <w:sz w:val="16"/>
          <w:szCs w:val="16"/>
        </w:rPr>
        <w:t xml:space="preserve"> Zatímco hodnota </w:t>
      </w:r>
      <w:r>
        <w:rPr>
          <w:sz w:val="16"/>
          <w:szCs w:val="16"/>
        </w:rPr>
        <w:t xml:space="preserve">nových </w:t>
      </w:r>
      <w:r w:rsidRPr="001D4736">
        <w:rPr>
          <w:sz w:val="16"/>
          <w:szCs w:val="16"/>
        </w:rPr>
        <w:t>průmyslových zakázek ze zahraničí loni posílila o 4,5 %, růst tuzemských zak</w:t>
      </w:r>
      <w:r>
        <w:rPr>
          <w:sz w:val="16"/>
          <w:szCs w:val="16"/>
        </w:rPr>
        <w:t>ázek (po slabších letech 2015 i</w:t>
      </w:r>
      <w:r w:rsidRPr="00A918BF">
        <w:rPr>
          <w:spacing w:val="-2"/>
          <w:sz w:val="16"/>
          <w:szCs w:val="16"/>
        </w:rPr>
        <w:t> </w:t>
      </w:r>
      <w:r w:rsidRPr="001D4736">
        <w:rPr>
          <w:sz w:val="16"/>
          <w:szCs w:val="16"/>
        </w:rPr>
        <w:t>2016) akceleroval na 14,6 %</w:t>
      </w:r>
      <w:r>
        <w:rPr>
          <w:sz w:val="16"/>
          <w:szCs w:val="16"/>
        </w:rPr>
        <w:t xml:space="preserve">, což bylo </w:t>
      </w:r>
      <w:r w:rsidRPr="001D4736">
        <w:rPr>
          <w:sz w:val="16"/>
          <w:szCs w:val="16"/>
        </w:rPr>
        <w:t>nejvyšší tempo za posledních jedenáct let.</w:t>
      </w:r>
    </w:p>
  </w:footnote>
  <w:footnote w:id="75">
    <w:p w:rsidR="00C805DC" w:rsidRPr="007A4FF1" w:rsidRDefault="00C805DC" w:rsidP="003F3890">
      <w:pPr>
        <w:pStyle w:val="Textpoznpodarou"/>
        <w:jc w:val="both"/>
        <w:rPr>
          <w:sz w:val="16"/>
          <w:szCs w:val="16"/>
        </w:rPr>
      </w:pPr>
      <w:r w:rsidRPr="007A4FF1">
        <w:rPr>
          <w:rStyle w:val="Znakapoznpodarou"/>
          <w:sz w:val="16"/>
          <w:szCs w:val="16"/>
        </w:rPr>
        <w:footnoteRef/>
      </w:r>
      <w:r w:rsidRPr="007A4FF1">
        <w:rPr>
          <w:sz w:val="16"/>
          <w:szCs w:val="16"/>
        </w:rPr>
        <w:t xml:space="preserve"> Vyjadřuje podíl hrubého provozního přebytku na hrubé přidané hodnotě </w:t>
      </w:r>
      <w:r>
        <w:rPr>
          <w:sz w:val="16"/>
          <w:szCs w:val="16"/>
        </w:rPr>
        <w:t xml:space="preserve">(HPH) </w:t>
      </w:r>
      <w:r w:rsidRPr="007A4FF1">
        <w:rPr>
          <w:sz w:val="16"/>
          <w:szCs w:val="16"/>
        </w:rPr>
        <w:t>podnikové sféry. Ráz odvětví průmyslu výrazně určují právě nefinanční podniky</w:t>
      </w:r>
      <w:r>
        <w:rPr>
          <w:sz w:val="16"/>
          <w:szCs w:val="16"/>
        </w:rPr>
        <w:t>, jejichž role navíc v čase mírně posiluje</w:t>
      </w:r>
      <w:r w:rsidRPr="007A4FF1">
        <w:rPr>
          <w:sz w:val="16"/>
          <w:szCs w:val="16"/>
        </w:rPr>
        <w:t>. Ty</w:t>
      </w:r>
      <w:r>
        <w:rPr>
          <w:sz w:val="16"/>
          <w:szCs w:val="16"/>
        </w:rPr>
        <w:t>to podniky</w:t>
      </w:r>
      <w:r w:rsidRPr="007A4FF1">
        <w:rPr>
          <w:sz w:val="16"/>
          <w:szCs w:val="16"/>
        </w:rPr>
        <w:t xml:space="preserve"> </w:t>
      </w:r>
      <w:r>
        <w:rPr>
          <w:sz w:val="16"/>
          <w:szCs w:val="16"/>
        </w:rPr>
        <w:t xml:space="preserve">se </w:t>
      </w:r>
      <w:r w:rsidRPr="007A4FF1">
        <w:rPr>
          <w:sz w:val="16"/>
          <w:szCs w:val="16"/>
        </w:rPr>
        <w:t>v roce 2017</w:t>
      </w:r>
      <w:r>
        <w:rPr>
          <w:sz w:val="16"/>
          <w:szCs w:val="16"/>
        </w:rPr>
        <w:t xml:space="preserve"> na HPH celého průmyslu podílely již 93,2 %, ze zbylé části měli největší váhu drobní podnikatelé (6,6 %). Nefinanční podniky dosahovaly relativně slabšího podílu jen v šesti poměrně malých zpracovatelských oborech: výrobě oděvů (59 %), dřevozpracujícím (67 %), nábytkářském (71 %) a farmaceutickém </w:t>
      </w:r>
      <w:proofErr w:type="gramStart"/>
      <w:r>
        <w:rPr>
          <w:sz w:val="16"/>
          <w:szCs w:val="16"/>
        </w:rPr>
        <w:t>průmyslu</w:t>
      </w:r>
      <w:proofErr w:type="gramEnd"/>
      <w:r>
        <w:rPr>
          <w:sz w:val="16"/>
          <w:szCs w:val="16"/>
        </w:rPr>
        <w:t xml:space="preserve"> (76 %), výrobě nápojů (77 %) a tiskárenství (78 %).</w:t>
      </w:r>
    </w:p>
  </w:footnote>
  <w:footnote w:id="76">
    <w:p w:rsidR="00C805DC" w:rsidRPr="00864AEF" w:rsidRDefault="00C805DC" w:rsidP="003F3890">
      <w:pPr>
        <w:pStyle w:val="Textpoznpodarou"/>
        <w:jc w:val="both"/>
        <w:rPr>
          <w:color w:val="0D0D0D" w:themeColor="text1" w:themeTint="F2"/>
          <w:sz w:val="16"/>
          <w:szCs w:val="16"/>
        </w:rPr>
      </w:pPr>
      <w:r w:rsidRPr="00864AEF">
        <w:rPr>
          <w:rStyle w:val="Znakapoznpodarou"/>
          <w:color w:val="0D0D0D" w:themeColor="text1" w:themeTint="F2"/>
          <w:sz w:val="16"/>
          <w:szCs w:val="16"/>
        </w:rPr>
        <w:footnoteRef/>
      </w:r>
      <w:r w:rsidRPr="00864AEF">
        <w:rPr>
          <w:color w:val="0D0D0D" w:themeColor="text1" w:themeTint="F2"/>
          <w:sz w:val="16"/>
          <w:szCs w:val="16"/>
        </w:rPr>
        <w:t xml:space="preserve"> P</w:t>
      </w:r>
      <w:r w:rsidRPr="00864AEF">
        <w:rPr>
          <w:iCs/>
          <w:color w:val="0D0D0D" w:themeColor="text1" w:themeTint="F2"/>
          <w:sz w:val="16"/>
          <w:szCs w:val="16"/>
        </w:rPr>
        <w:t xml:space="preserve">růměrný měsíční příjem ze zaměstnání je definován jako podíl mezd a platů za národní hospodářství v průměru za měsíc a počtu zaměstnanců přepočtených na plný úvazek. Ukazatel mezd a platů zahrnuje veškeré příjmy ze zaměstnání, a to v peněžní i naturální podobě (zaměstnanecké </w:t>
      </w:r>
      <w:proofErr w:type="spellStart"/>
      <w:r w:rsidRPr="00864AEF">
        <w:rPr>
          <w:iCs/>
          <w:color w:val="0D0D0D" w:themeColor="text1" w:themeTint="F2"/>
          <w:sz w:val="16"/>
          <w:szCs w:val="16"/>
        </w:rPr>
        <w:t>benefity</w:t>
      </w:r>
      <w:proofErr w:type="spellEnd"/>
      <w:r w:rsidRPr="00864AEF">
        <w:rPr>
          <w:iCs/>
          <w:color w:val="0D0D0D" w:themeColor="text1" w:themeTint="F2"/>
          <w:sz w:val="16"/>
          <w:szCs w:val="16"/>
        </w:rPr>
        <w:t>) bez ohledu na to, jestli byly oficiálně přiznány nebo ne. Ukazatel počtu zaměstnanců na plný úvazek zahrnuje veškeré formy zaměstnání, formální i neformální. Jsou zde zahrnuty i různé formy dohod.</w:t>
      </w:r>
    </w:p>
  </w:footnote>
  <w:footnote w:id="77">
    <w:p w:rsidR="00C805DC" w:rsidRPr="00BF720E" w:rsidRDefault="00C805DC" w:rsidP="003F3890">
      <w:pPr>
        <w:pStyle w:val="Textpoznpodarou"/>
        <w:jc w:val="both"/>
        <w:rPr>
          <w:spacing w:val="-2"/>
          <w:sz w:val="16"/>
          <w:szCs w:val="16"/>
        </w:rPr>
      </w:pPr>
      <w:r w:rsidRPr="00BF720E">
        <w:rPr>
          <w:rStyle w:val="Znakapoznpodarou"/>
          <w:spacing w:val="-2"/>
          <w:sz w:val="16"/>
          <w:szCs w:val="16"/>
        </w:rPr>
        <w:footnoteRef/>
      </w:r>
      <w:r w:rsidRPr="00BF720E">
        <w:rPr>
          <w:spacing w:val="-2"/>
          <w:sz w:val="16"/>
          <w:szCs w:val="16"/>
        </w:rPr>
        <w:t xml:space="preserve"> Zahrnuje stroje a zařízení</w:t>
      </w:r>
      <w:r>
        <w:rPr>
          <w:spacing w:val="-2"/>
          <w:sz w:val="16"/>
          <w:szCs w:val="16"/>
        </w:rPr>
        <w:t xml:space="preserve"> vyjma </w:t>
      </w:r>
      <w:proofErr w:type="spellStart"/>
      <w:r>
        <w:rPr>
          <w:spacing w:val="-2"/>
          <w:sz w:val="16"/>
          <w:szCs w:val="16"/>
        </w:rPr>
        <w:t>dopr</w:t>
      </w:r>
      <w:proofErr w:type="spellEnd"/>
      <w:r>
        <w:rPr>
          <w:spacing w:val="-2"/>
          <w:sz w:val="16"/>
          <w:szCs w:val="16"/>
        </w:rPr>
        <w:t>.</w:t>
      </w:r>
      <w:r w:rsidRPr="00BF720E">
        <w:rPr>
          <w:spacing w:val="-2"/>
          <w:sz w:val="16"/>
          <w:szCs w:val="16"/>
        </w:rPr>
        <w:t xml:space="preserve"> prostředků a prostředků informačních a komunikačních technologií (ty tvoří samostatnou kategorii). </w:t>
      </w:r>
    </w:p>
  </w:footnote>
  <w:footnote w:id="78">
    <w:p w:rsidR="00C805DC" w:rsidRPr="00BF720E" w:rsidRDefault="00C805DC" w:rsidP="003F3890">
      <w:pPr>
        <w:pStyle w:val="Textpoznpodarou"/>
        <w:jc w:val="both"/>
        <w:rPr>
          <w:sz w:val="16"/>
          <w:szCs w:val="16"/>
        </w:rPr>
      </w:pPr>
      <w:r w:rsidRPr="00BF720E">
        <w:rPr>
          <w:rStyle w:val="Znakapoznpodarou"/>
          <w:spacing w:val="-2"/>
          <w:sz w:val="16"/>
          <w:szCs w:val="16"/>
        </w:rPr>
        <w:footnoteRef/>
      </w:r>
      <w:r w:rsidRPr="00BF720E">
        <w:rPr>
          <w:spacing w:val="-2"/>
          <w:sz w:val="16"/>
          <w:szCs w:val="16"/>
        </w:rPr>
        <w:t xml:space="preserve"> Silnější postavení v rámci sekcí průmyslu mají </w:t>
      </w:r>
      <w:r>
        <w:rPr>
          <w:spacing w:val="-2"/>
          <w:sz w:val="16"/>
          <w:szCs w:val="16"/>
        </w:rPr>
        <w:t xml:space="preserve">dopravní prostředky </w:t>
      </w:r>
      <w:r w:rsidRPr="00BF720E">
        <w:rPr>
          <w:spacing w:val="-2"/>
          <w:sz w:val="16"/>
          <w:szCs w:val="16"/>
        </w:rPr>
        <w:t>jen v odvětví zásobování vodou, činnosti souvisejí</w:t>
      </w:r>
      <w:r>
        <w:rPr>
          <w:spacing w:val="-2"/>
          <w:sz w:val="16"/>
          <w:szCs w:val="16"/>
        </w:rPr>
        <w:t>cí s odpadními vodami, odpady a</w:t>
      </w:r>
      <w:r w:rsidRPr="00BF720E">
        <w:rPr>
          <w:spacing w:val="-2"/>
          <w:sz w:val="16"/>
          <w:szCs w:val="16"/>
        </w:rPr>
        <w:t> sanacemi, kde dlouhodobě tvoří čtvrtinu až pětinu investic.</w:t>
      </w:r>
    </w:p>
  </w:footnote>
  <w:footnote w:id="79">
    <w:p w:rsidR="00C805DC" w:rsidRPr="002B775D" w:rsidRDefault="00C805DC" w:rsidP="003F3890">
      <w:pPr>
        <w:pStyle w:val="Textpoznpodarou"/>
        <w:rPr>
          <w:spacing w:val="-2"/>
          <w:sz w:val="16"/>
          <w:szCs w:val="16"/>
        </w:rPr>
      </w:pPr>
      <w:r w:rsidRPr="002B775D">
        <w:rPr>
          <w:rStyle w:val="Znakapoznpodarou"/>
          <w:spacing w:val="-2"/>
          <w:sz w:val="16"/>
          <w:szCs w:val="16"/>
        </w:rPr>
        <w:footnoteRef/>
      </w:r>
      <w:r w:rsidRPr="002B775D">
        <w:rPr>
          <w:spacing w:val="-2"/>
          <w:sz w:val="16"/>
          <w:szCs w:val="16"/>
        </w:rPr>
        <w:t xml:space="preserve"> Na přidané hodnotě celého průmyslu se výroba motorových vozidel loni podílela 17,8 %, v případě produkce byl podíl dokonce čtvrtinový.</w:t>
      </w:r>
    </w:p>
  </w:footnote>
  <w:footnote w:id="80">
    <w:p w:rsidR="00C805DC" w:rsidRPr="005303FF" w:rsidRDefault="00C805DC" w:rsidP="003F3890">
      <w:pPr>
        <w:pStyle w:val="Textpoznpodarou"/>
        <w:rPr>
          <w:sz w:val="16"/>
          <w:szCs w:val="16"/>
        </w:rPr>
      </w:pPr>
      <w:r w:rsidRPr="005303FF">
        <w:rPr>
          <w:rStyle w:val="Znakapoznpodarou"/>
          <w:sz w:val="16"/>
          <w:szCs w:val="16"/>
        </w:rPr>
        <w:footnoteRef/>
      </w:r>
      <w:r w:rsidRPr="005303FF">
        <w:rPr>
          <w:sz w:val="16"/>
          <w:szCs w:val="16"/>
        </w:rPr>
        <w:t xml:space="preserve"> Na celkových nominálních tržbách tohoto odvětví se dlouhodobě podílí více než třemi čtvrtinami.</w:t>
      </w:r>
    </w:p>
  </w:footnote>
  <w:footnote w:id="81">
    <w:p w:rsidR="00C805DC" w:rsidRPr="00C547CB" w:rsidRDefault="00C805DC" w:rsidP="003F3890">
      <w:pPr>
        <w:pStyle w:val="Textpoznpodarou"/>
        <w:jc w:val="both"/>
        <w:rPr>
          <w:sz w:val="16"/>
          <w:szCs w:val="16"/>
        </w:rPr>
      </w:pPr>
      <w:r w:rsidRPr="00C547CB">
        <w:rPr>
          <w:rStyle w:val="Znakapoznpodarou"/>
          <w:sz w:val="16"/>
          <w:szCs w:val="16"/>
        </w:rPr>
        <w:footnoteRef/>
      </w:r>
      <w:r w:rsidRPr="00C547CB">
        <w:rPr>
          <w:sz w:val="16"/>
          <w:szCs w:val="16"/>
        </w:rPr>
        <w:t xml:space="preserve"> </w:t>
      </w:r>
      <w:r>
        <w:rPr>
          <w:color w:val="0D0D0D" w:themeColor="text1" w:themeTint="F2"/>
          <w:sz w:val="16"/>
          <w:szCs w:val="16"/>
        </w:rPr>
        <w:t>D</w:t>
      </w:r>
      <w:r w:rsidRPr="006E5A49">
        <w:rPr>
          <w:color w:val="0D0D0D" w:themeColor="text1" w:themeTint="F2"/>
          <w:sz w:val="16"/>
          <w:szCs w:val="16"/>
        </w:rPr>
        <w:t>le údajů Sdružení automobilového</w:t>
      </w:r>
      <w:r>
        <w:rPr>
          <w:color w:val="0D0D0D" w:themeColor="text1" w:themeTint="F2"/>
          <w:sz w:val="16"/>
          <w:szCs w:val="16"/>
        </w:rPr>
        <w:t xml:space="preserve"> průmyslu bylo vloni v Česku vyrobeno 1,41 mil.</w:t>
      </w:r>
      <w:r w:rsidRPr="00EC671E">
        <w:rPr>
          <w:color w:val="0D0D0D" w:themeColor="text1" w:themeTint="F2"/>
          <w:sz w:val="16"/>
          <w:szCs w:val="16"/>
        </w:rPr>
        <w:t xml:space="preserve"> oso</w:t>
      </w:r>
      <w:r>
        <w:rPr>
          <w:color w:val="0D0D0D" w:themeColor="text1" w:themeTint="F2"/>
          <w:sz w:val="16"/>
          <w:szCs w:val="16"/>
        </w:rPr>
        <w:t>bních automobilů, meziročně o 5,2 % více.</w:t>
      </w:r>
    </w:p>
  </w:footnote>
  <w:footnote w:id="82">
    <w:p w:rsidR="00C805DC" w:rsidRPr="002478DC" w:rsidRDefault="00C805DC" w:rsidP="003F3890">
      <w:pPr>
        <w:pStyle w:val="Textpoznpodarou"/>
        <w:jc w:val="both"/>
        <w:rPr>
          <w:sz w:val="16"/>
          <w:szCs w:val="16"/>
        </w:rPr>
      </w:pPr>
      <w:r w:rsidRPr="002478DC">
        <w:rPr>
          <w:rStyle w:val="Znakapoznpodarou"/>
          <w:sz w:val="16"/>
          <w:szCs w:val="16"/>
        </w:rPr>
        <w:footnoteRef/>
      </w:r>
      <w:r w:rsidRPr="002478DC">
        <w:rPr>
          <w:sz w:val="16"/>
          <w:szCs w:val="16"/>
        </w:rPr>
        <w:t xml:space="preserve"> Objem vyplacených mezd a platů na jednoho zaměstnance (po přepočtu na celé úvazky) dosáhl loni v tomto odvětví 35,6 tis. korun měsíčně a byl srovnatelný s výdělky v těžbě </w:t>
      </w:r>
      <w:r>
        <w:rPr>
          <w:sz w:val="16"/>
          <w:szCs w:val="16"/>
        </w:rPr>
        <w:t xml:space="preserve">a dobývání či </w:t>
      </w:r>
      <w:r w:rsidRPr="002478DC">
        <w:rPr>
          <w:sz w:val="16"/>
          <w:szCs w:val="16"/>
        </w:rPr>
        <w:t xml:space="preserve">v chemickém a farmaceutickém průmyslu. Na výrazně vyšší výdělky si v rámci průmyslu přišli jen zaměstnanci v energetice (48,4 tis.). </w:t>
      </w:r>
      <w:r>
        <w:rPr>
          <w:sz w:val="16"/>
          <w:szCs w:val="16"/>
        </w:rPr>
        <w:t>Výši průměrných výdělků v některých průmyslových oborech významněji ovlivňují i agenturní pracovníci.</w:t>
      </w:r>
    </w:p>
  </w:footnote>
  <w:footnote w:id="83">
    <w:p w:rsidR="00C805DC" w:rsidRPr="000D4171" w:rsidRDefault="00C805DC" w:rsidP="003F3890">
      <w:pPr>
        <w:pStyle w:val="Textpoznpodarou"/>
        <w:rPr>
          <w:sz w:val="16"/>
          <w:szCs w:val="16"/>
        </w:rPr>
      </w:pPr>
      <w:r w:rsidRPr="000D4171">
        <w:rPr>
          <w:rStyle w:val="Znakapoznpodarou"/>
          <w:sz w:val="16"/>
          <w:szCs w:val="16"/>
        </w:rPr>
        <w:footnoteRef/>
      </w:r>
      <w:r w:rsidRPr="000D4171">
        <w:rPr>
          <w:sz w:val="16"/>
          <w:szCs w:val="16"/>
        </w:rPr>
        <w:t xml:space="preserve"> V chemickém průmyslu činil nárůst přidané hodnoty 64 %, ve výrobě motoro</w:t>
      </w:r>
      <w:r>
        <w:rPr>
          <w:sz w:val="16"/>
          <w:szCs w:val="16"/>
        </w:rPr>
        <w:t>vých vozidel 42 %. V celém průmyslu se rovnal 22 %.</w:t>
      </w:r>
    </w:p>
  </w:footnote>
  <w:footnote w:id="84">
    <w:p w:rsidR="00C805DC" w:rsidRPr="00E204A1" w:rsidRDefault="00C805DC" w:rsidP="003F3890">
      <w:pPr>
        <w:pStyle w:val="Textpoznpodarou"/>
        <w:jc w:val="both"/>
        <w:rPr>
          <w:spacing w:val="-2"/>
          <w:sz w:val="16"/>
          <w:szCs w:val="16"/>
        </w:rPr>
      </w:pPr>
      <w:r w:rsidRPr="00E204A1">
        <w:rPr>
          <w:rStyle w:val="Znakapoznpodarou"/>
          <w:spacing w:val="-3"/>
          <w:sz w:val="16"/>
          <w:szCs w:val="16"/>
        </w:rPr>
        <w:footnoteRef/>
      </w:r>
      <w:r w:rsidRPr="00E204A1">
        <w:rPr>
          <w:spacing w:val="-3"/>
          <w:sz w:val="16"/>
          <w:szCs w:val="16"/>
        </w:rPr>
        <w:t xml:space="preserve"> V EU činil v roce 2016 podíl energetiky na HPH v průmyslu 9,5 %. Z našich sousedů měly vyšší podíl Slovensko (11,0 %) i Polsko (11,5 %).</w:t>
      </w:r>
      <w:r>
        <w:rPr>
          <w:spacing w:val="-2"/>
          <w:sz w:val="16"/>
          <w:szCs w:val="16"/>
        </w:rPr>
        <w:t xml:space="preserve"> Celé EU vévodil Kypr (20 %), více jak 15% podílu dosahovalo Bulharsko, Řecko a Portugalsko. Méně jak 8 % pak převážně nížinné státy (Maďarsko, Dánsko, Nizozemsko, Německo, Irsko). Z ostatních zemí Evropy vyčnívaly Černá Hora (35 %), Albánie (28 %) a Island (24 %).</w:t>
      </w:r>
    </w:p>
  </w:footnote>
  <w:footnote w:id="85">
    <w:p w:rsidR="00C805DC" w:rsidRPr="00A26B69" w:rsidRDefault="00C805DC" w:rsidP="003F3890">
      <w:pPr>
        <w:pStyle w:val="Textpoznpodarou"/>
        <w:jc w:val="both"/>
        <w:rPr>
          <w:sz w:val="16"/>
          <w:szCs w:val="16"/>
        </w:rPr>
      </w:pPr>
      <w:r w:rsidRPr="00E204A1">
        <w:rPr>
          <w:rStyle w:val="Znakapoznpodarou"/>
          <w:spacing w:val="-2"/>
          <w:sz w:val="16"/>
          <w:szCs w:val="16"/>
        </w:rPr>
        <w:footnoteRef/>
      </w:r>
      <w:r w:rsidRPr="00E204A1">
        <w:rPr>
          <w:spacing w:val="-2"/>
          <w:sz w:val="16"/>
          <w:szCs w:val="16"/>
        </w:rPr>
        <w:t xml:space="preserve"> S 36 tis. zaměstnanci (po přepočtu na plné úvazky) patřilo v roce 2017 odvětví výroby a rozvodu elektřiny, plynu, tepla a klimatizovaného vzduchu až 14. místo (mezi bezmála třiceti průmyslovými obory).</w:t>
      </w:r>
    </w:p>
  </w:footnote>
  <w:footnote w:id="86">
    <w:p w:rsidR="00C805DC" w:rsidRPr="0098739D" w:rsidRDefault="00C805DC" w:rsidP="000C1D78">
      <w:pPr>
        <w:pStyle w:val="Textpoznpodarou"/>
        <w:rPr>
          <w:spacing w:val="-2"/>
        </w:rPr>
      </w:pPr>
      <w:r w:rsidRPr="0098739D">
        <w:rPr>
          <w:rStyle w:val="Znakapoznpodarou"/>
          <w:spacing w:val="-2"/>
        </w:rPr>
        <w:footnoteRef/>
      </w:r>
      <w:r w:rsidRPr="0098739D">
        <w:rPr>
          <w:spacing w:val="-2"/>
        </w:rPr>
        <w:t xml:space="preserve"> </w:t>
      </w:r>
      <w:r w:rsidRPr="0098739D">
        <w:rPr>
          <w:spacing w:val="-2"/>
          <w:sz w:val="16"/>
          <w:szCs w:val="16"/>
        </w:rPr>
        <w:t>Pokud není uvedeno jinak, vychází všechny údaje o stavebnictví (vč. produkce) z dat národních účtů a jsou očištěny o cenové vlivy.</w:t>
      </w:r>
    </w:p>
  </w:footnote>
  <w:footnote w:id="87">
    <w:p w:rsidR="00C805DC" w:rsidRDefault="00C805DC" w:rsidP="000C1D78">
      <w:pPr>
        <w:pStyle w:val="Textpoznpodarou"/>
        <w:jc w:val="both"/>
      </w:pPr>
      <w:r w:rsidRPr="0098739D">
        <w:rPr>
          <w:rStyle w:val="Znakapoznpodarou"/>
          <w:spacing w:val="-2"/>
          <w:sz w:val="16"/>
          <w:szCs w:val="16"/>
        </w:rPr>
        <w:footnoteRef/>
      </w:r>
      <w:r w:rsidRPr="0098739D">
        <w:rPr>
          <w:spacing w:val="-2"/>
          <w:sz w:val="16"/>
          <w:szCs w:val="16"/>
        </w:rPr>
        <w:t xml:space="preserve"> V roce 2017 tvořil tento segment 56 % HPH celého stavebnictví.</w:t>
      </w:r>
      <w:r w:rsidRPr="0098739D">
        <w:rPr>
          <w:spacing w:val="-2"/>
        </w:rPr>
        <w:t xml:space="preserve"> </w:t>
      </w:r>
      <w:r w:rsidRPr="0098739D">
        <w:rPr>
          <w:spacing w:val="-2"/>
          <w:sz w:val="16"/>
          <w:szCs w:val="16"/>
        </w:rPr>
        <w:t>Zahrnuje elektroinstalační, instalatérské a ostatní stavebně instalační práce, dokončovací práce (např. omítkářské práce), demolice, přípravu staveniště a ostatní činnosti (např. pokrývačské práce). Na rozdíl od výstavby budov a inženýrského stavitelství (s dlouhodobou dominancí nefinančních podniků) zde hrají významnější roli drobní podnikatelé.</w:t>
      </w:r>
    </w:p>
  </w:footnote>
  <w:footnote w:id="88">
    <w:p w:rsidR="00C805DC" w:rsidRPr="004D42AE" w:rsidRDefault="00C805DC" w:rsidP="000C1D78">
      <w:pPr>
        <w:pStyle w:val="Textpoznpodarou"/>
        <w:rPr>
          <w:sz w:val="16"/>
          <w:szCs w:val="16"/>
        </w:rPr>
      </w:pPr>
      <w:r w:rsidRPr="004D42AE">
        <w:rPr>
          <w:rStyle w:val="Znakapoznpodarou"/>
          <w:sz w:val="16"/>
          <w:szCs w:val="16"/>
        </w:rPr>
        <w:footnoteRef/>
      </w:r>
      <w:r w:rsidRPr="004D42AE">
        <w:rPr>
          <w:sz w:val="16"/>
          <w:szCs w:val="16"/>
        </w:rPr>
        <w:t xml:space="preserve"> Podíl nefinančních podniků na</w:t>
      </w:r>
      <w:r>
        <w:rPr>
          <w:sz w:val="16"/>
          <w:szCs w:val="16"/>
        </w:rPr>
        <w:t xml:space="preserve"> tvorbě HPH v celém odvětví</w:t>
      </w:r>
      <w:r w:rsidRPr="004D42AE">
        <w:rPr>
          <w:sz w:val="16"/>
          <w:szCs w:val="16"/>
        </w:rPr>
        <w:t xml:space="preserve"> stavebnictví se v posledních pěti letech pohyboval mezi 62 a 64 %.</w:t>
      </w:r>
    </w:p>
  </w:footnote>
  <w:footnote w:id="89">
    <w:p w:rsidR="00C805DC" w:rsidRPr="00D31C12" w:rsidRDefault="00C805DC" w:rsidP="000C1D78">
      <w:pPr>
        <w:pStyle w:val="Textpoznpodarou"/>
        <w:rPr>
          <w:spacing w:val="-2"/>
          <w:sz w:val="16"/>
          <w:szCs w:val="16"/>
        </w:rPr>
      </w:pPr>
      <w:r w:rsidRPr="00D31C12">
        <w:rPr>
          <w:rStyle w:val="Znakapoznpodarou"/>
          <w:spacing w:val="-2"/>
          <w:sz w:val="16"/>
          <w:szCs w:val="16"/>
        </w:rPr>
        <w:footnoteRef/>
      </w:r>
      <w:r>
        <w:rPr>
          <w:spacing w:val="-2"/>
          <w:sz w:val="16"/>
          <w:szCs w:val="16"/>
        </w:rPr>
        <w:t xml:space="preserve"> U</w:t>
      </w:r>
      <w:r w:rsidRPr="00D31C12">
        <w:rPr>
          <w:spacing w:val="-2"/>
          <w:sz w:val="16"/>
          <w:szCs w:val="16"/>
        </w:rPr>
        <w:t xml:space="preserve"> podniků s 50 a víc</w:t>
      </w:r>
      <w:r>
        <w:rPr>
          <w:spacing w:val="-2"/>
          <w:sz w:val="16"/>
          <w:szCs w:val="16"/>
        </w:rPr>
        <w:t>e zaměstnanci činila v roce 2017</w:t>
      </w:r>
      <w:r w:rsidRPr="00D31C12">
        <w:rPr>
          <w:spacing w:val="-2"/>
          <w:sz w:val="16"/>
          <w:szCs w:val="16"/>
        </w:rPr>
        <w:t xml:space="preserve"> jen 3,3 mil. korun (o rok dříve 3,0 mil.). V letech </w:t>
      </w:r>
      <w:r>
        <w:rPr>
          <w:spacing w:val="-2"/>
          <w:sz w:val="16"/>
          <w:szCs w:val="16"/>
        </w:rPr>
        <w:t>2014 i 2015 kolísala</w:t>
      </w:r>
      <w:r w:rsidRPr="00D31C12">
        <w:rPr>
          <w:spacing w:val="-2"/>
          <w:sz w:val="16"/>
          <w:szCs w:val="16"/>
        </w:rPr>
        <w:t xml:space="preserve"> kolem 4 mil.</w:t>
      </w:r>
    </w:p>
  </w:footnote>
  <w:footnote w:id="90">
    <w:p w:rsidR="00C805DC" w:rsidRPr="00F11443" w:rsidRDefault="00C805DC" w:rsidP="000C1D78">
      <w:pPr>
        <w:pStyle w:val="Textpoznpodarou"/>
        <w:rPr>
          <w:sz w:val="16"/>
          <w:szCs w:val="16"/>
        </w:rPr>
      </w:pPr>
      <w:r w:rsidRPr="00D31C12">
        <w:rPr>
          <w:rStyle w:val="Znakapoznpodarou"/>
          <w:spacing w:val="-2"/>
          <w:sz w:val="16"/>
          <w:szCs w:val="16"/>
        </w:rPr>
        <w:footnoteRef/>
      </w:r>
      <w:r w:rsidRPr="00D31C12">
        <w:rPr>
          <w:spacing w:val="-2"/>
          <w:sz w:val="16"/>
          <w:szCs w:val="16"/>
        </w:rPr>
        <w:t xml:space="preserve"> </w:t>
      </w:r>
      <w:r w:rsidRPr="00D31C12">
        <w:rPr>
          <w:color w:val="0D0D0D"/>
          <w:spacing w:val="-2"/>
          <w:sz w:val="16"/>
          <w:szCs w:val="16"/>
        </w:rPr>
        <w:t>Tato kategorie zahrnuje např. hotely, ale i objekty pro společenské a kulturní účely, výzkum, vzdělávání a zdravotnictví.</w:t>
      </w:r>
    </w:p>
  </w:footnote>
  <w:footnote w:id="91">
    <w:p w:rsidR="00C805DC" w:rsidRPr="00F611FE" w:rsidRDefault="00C805DC" w:rsidP="000C1D78">
      <w:pPr>
        <w:pStyle w:val="Textpoznpodarou"/>
        <w:jc w:val="both"/>
        <w:rPr>
          <w:sz w:val="16"/>
          <w:szCs w:val="16"/>
        </w:rPr>
      </w:pPr>
      <w:r w:rsidRPr="00F611FE">
        <w:rPr>
          <w:rStyle w:val="Znakapoznpodarou"/>
          <w:sz w:val="16"/>
          <w:szCs w:val="16"/>
        </w:rPr>
        <w:footnoteRef/>
      </w:r>
      <w:r w:rsidRPr="00F611FE">
        <w:rPr>
          <w:sz w:val="16"/>
          <w:szCs w:val="16"/>
        </w:rPr>
        <w:t xml:space="preserve"> </w:t>
      </w:r>
      <w:r w:rsidRPr="00F611FE">
        <w:rPr>
          <w:spacing w:val="-4"/>
          <w:sz w:val="16"/>
          <w:szCs w:val="16"/>
        </w:rPr>
        <w:t xml:space="preserve">V Praze byla loni zahájena výstavba 3,7 tis., bytů o rok dříve 2,8 tis. bytů (druhý nejnižší počet od poloviny 90. let). Loňský objem výstavby byl o téměř třetinu slabší než v roce 2015 a </w:t>
      </w:r>
      <w:r>
        <w:rPr>
          <w:spacing w:val="-4"/>
          <w:sz w:val="16"/>
          <w:szCs w:val="16"/>
        </w:rPr>
        <w:t>nedosahoval ani</w:t>
      </w:r>
      <w:r w:rsidRPr="00F611FE">
        <w:rPr>
          <w:spacing w:val="-4"/>
          <w:sz w:val="16"/>
          <w:szCs w:val="16"/>
        </w:rPr>
        <w:t xml:space="preserve"> poloviny průměru z období 2005–2007.</w:t>
      </w:r>
    </w:p>
  </w:footnote>
  <w:footnote w:id="92">
    <w:p w:rsidR="00C805DC" w:rsidRPr="004C7321" w:rsidRDefault="00C805DC" w:rsidP="000C1D78">
      <w:pPr>
        <w:pStyle w:val="Textpoznpodarou"/>
        <w:jc w:val="both"/>
        <w:rPr>
          <w:sz w:val="16"/>
          <w:szCs w:val="16"/>
        </w:rPr>
      </w:pPr>
      <w:r w:rsidRPr="004C7321">
        <w:rPr>
          <w:rStyle w:val="Znakapoznpodarou"/>
          <w:sz w:val="16"/>
          <w:szCs w:val="16"/>
        </w:rPr>
        <w:footnoteRef/>
      </w:r>
      <w:r w:rsidRPr="004C7321">
        <w:rPr>
          <w:sz w:val="16"/>
          <w:szCs w:val="16"/>
        </w:rPr>
        <w:t xml:space="preserve"> V prosinci 2017 bylo negativní saldo </w:t>
      </w:r>
      <w:r>
        <w:rPr>
          <w:sz w:val="16"/>
          <w:szCs w:val="16"/>
        </w:rPr>
        <w:t xml:space="preserve">důvěry ve stavebnictví (-13 bodů) </w:t>
      </w:r>
      <w:r w:rsidRPr="004C7321">
        <w:rPr>
          <w:sz w:val="16"/>
          <w:szCs w:val="16"/>
        </w:rPr>
        <w:t>nejpříznivější od počátku roku 2009.</w:t>
      </w:r>
    </w:p>
  </w:footnote>
  <w:footnote w:id="93">
    <w:p w:rsidR="00C805DC" w:rsidRPr="007950F0" w:rsidRDefault="00C805DC" w:rsidP="000C1D78">
      <w:pPr>
        <w:pStyle w:val="Textpoznpodarou"/>
        <w:jc w:val="both"/>
        <w:rPr>
          <w:sz w:val="16"/>
          <w:szCs w:val="16"/>
        </w:rPr>
      </w:pPr>
      <w:r w:rsidRPr="007950F0">
        <w:rPr>
          <w:rStyle w:val="Znakapoznpodarou"/>
          <w:sz w:val="16"/>
          <w:szCs w:val="16"/>
        </w:rPr>
        <w:footnoteRef/>
      </w:r>
      <w:r>
        <w:rPr>
          <w:sz w:val="16"/>
          <w:szCs w:val="16"/>
        </w:rPr>
        <w:t xml:space="preserve"> Podíl stavebnictví na celkové HPH se v drtivé většině ekonomik EU dlouhodobě snižuje. Vloni byl nejvyšší na Slovensku (7,7 %), Polsku (7,3 %), Finsku (7,1 %) a také Litvě i Estonsku. V ČR (stejně jako v EU15) činil 5,3 %, méně než 3 % dosahoval v Řecku a Irsku.</w:t>
      </w:r>
    </w:p>
  </w:footnote>
  <w:footnote w:id="94">
    <w:p w:rsidR="00C805DC" w:rsidRPr="004B6C65" w:rsidRDefault="00C805DC" w:rsidP="00F160CE">
      <w:pPr>
        <w:pStyle w:val="Textpoznpodarou"/>
        <w:rPr>
          <w:sz w:val="16"/>
          <w:szCs w:val="16"/>
        </w:rPr>
      </w:pPr>
      <w:r w:rsidRPr="004B6C65">
        <w:rPr>
          <w:rStyle w:val="Znakapoznpodarou"/>
          <w:sz w:val="16"/>
          <w:szCs w:val="16"/>
        </w:rPr>
        <w:footnoteRef/>
      </w:r>
      <w:r w:rsidRPr="004B6C65">
        <w:rPr>
          <w:sz w:val="16"/>
          <w:szCs w:val="16"/>
        </w:rPr>
        <w:t xml:space="preserve"> </w:t>
      </w:r>
      <w:r w:rsidRPr="004B6C65">
        <w:rPr>
          <w:spacing w:val="-2"/>
          <w:sz w:val="16"/>
          <w:szCs w:val="16"/>
        </w:rPr>
        <w:t>Pokud není uvedeno jinak, vychází vše</w:t>
      </w:r>
      <w:r>
        <w:rPr>
          <w:spacing w:val="-2"/>
          <w:sz w:val="16"/>
          <w:szCs w:val="16"/>
        </w:rPr>
        <w:t>chny údaje v této kapitole</w:t>
      </w:r>
      <w:r w:rsidRPr="004B6C65">
        <w:rPr>
          <w:spacing w:val="-2"/>
          <w:sz w:val="16"/>
          <w:szCs w:val="16"/>
        </w:rPr>
        <w:t xml:space="preserve"> z dat národních účtů</w:t>
      </w:r>
      <w:r>
        <w:rPr>
          <w:spacing w:val="-2"/>
          <w:sz w:val="16"/>
          <w:szCs w:val="16"/>
        </w:rPr>
        <w:t>,</w:t>
      </w:r>
      <w:r w:rsidRPr="004B6C65">
        <w:rPr>
          <w:spacing w:val="-2"/>
          <w:sz w:val="16"/>
          <w:szCs w:val="16"/>
        </w:rPr>
        <w:t xml:space="preserve"> a </w:t>
      </w:r>
      <w:r>
        <w:rPr>
          <w:spacing w:val="-2"/>
          <w:sz w:val="16"/>
          <w:szCs w:val="16"/>
        </w:rPr>
        <w:t xml:space="preserve">kde je to relevantní, </w:t>
      </w:r>
      <w:r w:rsidRPr="004B6C65">
        <w:rPr>
          <w:spacing w:val="-2"/>
          <w:sz w:val="16"/>
          <w:szCs w:val="16"/>
        </w:rPr>
        <w:t>jsou očištěny o cenové vlivy.</w:t>
      </w:r>
    </w:p>
  </w:footnote>
  <w:footnote w:id="95">
    <w:p w:rsidR="00C805DC" w:rsidRPr="004B6C65" w:rsidRDefault="00C805DC" w:rsidP="00F160CE">
      <w:pPr>
        <w:pStyle w:val="Textpoznpodarou"/>
        <w:jc w:val="both"/>
        <w:rPr>
          <w:sz w:val="16"/>
          <w:szCs w:val="16"/>
        </w:rPr>
      </w:pPr>
      <w:r w:rsidRPr="004B6C65">
        <w:rPr>
          <w:rStyle w:val="Znakapoznpodarou"/>
          <w:sz w:val="16"/>
          <w:szCs w:val="16"/>
        </w:rPr>
        <w:footnoteRef/>
      </w:r>
      <w:r w:rsidRPr="004B6C65">
        <w:rPr>
          <w:sz w:val="16"/>
          <w:szCs w:val="16"/>
        </w:rPr>
        <w:t xml:space="preserve"> </w:t>
      </w:r>
      <w:r w:rsidRPr="004B6C65">
        <w:rPr>
          <w:spacing w:val="-4"/>
          <w:sz w:val="16"/>
          <w:szCs w:val="16"/>
        </w:rPr>
        <w:t>Nefinanční podniky vytvářely v roce 2017 téměř 81 % HPH odvětví obchodu a dopravy (vč. skladování). Zbylá část připadala na domácnosti (reprezentované drobnými podnikateli, 12,5 %) a vládní sektor (6,6 %). Podniky dominovaly ve většině odvětvových oddílů, především v letecké dopravě, velkoobchodu a poštovních a kurýrních činnostech. Výjimku tvořilo jen skladování a vedlejší činnosti v dopravě, kde byla jejich váha (48 %) srovnatelná se subjekty zařazenými do sektoru vládních institucí.</w:t>
      </w:r>
    </w:p>
  </w:footnote>
  <w:footnote w:id="96">
    <w:p w:rsidR="00C805DC" w:rsidRPr="004B6C65" w:rsidRDefault="00C805DC" w:rsidP="00F160CE">
      <w:pPr>
        <w:pStyle w:val="Textpoznpodarou"/>
        <w:rPr>
          <w:sz w:val="16"/>
          <w:szCs w:val="16"/>
        </w:rPr>
      </w:pPr>
      <w:r w:rsidRPr="004B6C65">
        <w:rPr>
          <w:rStyle w:val="Znakapoznpodarou"/>
          <w:sz w:val="16"/>
          <w:szCs w:val="16"/>
        </w:rPr>
        <w:footnoteRef/>
      </w:r>
      <w:r w:rsidRPr="004B6C65">
        <w:rPr>
          <w:sz w:val="16"/>
          <w:szCs w:val="16"/>
        </w:rPr>
        <w:t xml:space="preserve"> Ještě vyšších hodnot nabývala ziskovost v prvních letech na počátku tisíciletí. V roce 2002 se rovnala 52 %.</w:t>
      </w:r>
    </w:p>
  </w:footnote>
  <w:footnote w:id="97">
    <w:p w:rsidR="00C805DC" w:rsidRPr="00A6575B" w:rsidRDefault="00C805DC" w:rsidP="00F160CE">
      <w:pPr>
        <w:pStyle w:val="Textpoznpodarou"/>
        <w:rPr>
          <w:sz w:val="16"/>
          <w:szCs w:val="16"/>
        </w:rPr>
      </w:pPr>
      <w:r w:rsidRPr="00A6575B">
        <w:rPr>
          <w:rStyle w:val="Znakapoznpodarou"/>
          <w:sz w:val="16"/>
          <w:szCs w:val="16"/>
        </w:rPr>
        <w:footnoteRef/>
      </w:r>
      <w:r w:rsidRPr="00A6575B">
        <w:rPr>
          <w:sz w:val="16"/>
          <w:szCs w:val="16"/>
        </w:rPr>
        <w:t xml:space="preserve"> V letech 2000 a 2004 to byla letecká doprava, v následném konjunkturním období velkoobchod (bez motoristického segmentu) a </w:t>
      </w:r>
      <w:r>
        <w:rPr>
          <w:sz w:val="16"/>
          <w:szCs w:val="16"/>
        </w:rPr>
        <w:t>v letech 2009 až 2013 s</w:t>
      </w:r>
      <w:r w:rsidRPr="00A6575B">
        <w:rPr>
          <w:sz w:val="16"/>
          <w:szCs w:val="16"/>
        </w:rPr>
        <w:t>kladování a vedlejší činnosti v</w:t>
      </w:r>
      <w:r>
        <w:rPr>
          <w:sz w:val="16"/>
          <w:szCs w:val="16"/>
        </w:rPr>
        <w:t> </w:t>
      </w:r>
      <w:r w:rsidRPr="00A6575B">
        <w:rPr>
          <w:sz w:val="16"/>
          <w:szCs w:val="16"/>
        </w:rPr>
        <w:t>dopravě</w:t>
      </w:r>
      <w:r>
        <w:rPr>
          <w:sz w:val="16"/>
          <w:szCs w:val="16"/>
        </w:rPr>
        <w:t>.</w:t>
      </w:r>
    </w:p>
  </w:footnote>
  <w:footnote w:id="98">
    <w:p w:rsidR="00C805DC" w:rsidRPr="005A24FC" w:rsidRDefault="00C805DC" w:rsidP="00F160CE">
      <w:pPr>
        <w:pStyle w:val="Textpoznpodarou"/>
        <w:rPr>
          <w:sz w:val="16"/>
          <w:szCs w:val="16"/>
        </w:rPr>
      </w:pPr>
      <w:r w:rsidRPr="005A24FC">
        <w:rPr>
          <w:rStyle w:val="Znakapoznpodarou"/>
          <w:sz w:val="16"/>
          <w:szCs w:val="16"/>
        </w:rPr>
        <w:footnoteRef/>
      </w:r>
      <w:r w:rsidRPr="005A24FC">
        <w:rPr>
          <w:sz w:val="16"/>
          <w:szCs w:val="16"/>
        </w:rPr>
        <w:t xml:space="preserve"> Z 26 hodnocených zemí docílily v období 2014 až 2016 v tomto odvětví vyšší míry investic jen Irsko (40 %) a Maďarsko (26 %).</w:t>
      </w:r>
      <w:r>
        <w:rPr>
          <w:sz w:val="16"/>
          <w:szCs w:val="16"/>
        </w:rPr>
        <w:t xml:space="preserve"> Údaje za Polsko a Kypr nebyly dostupné.</w:t>
      </w:r>
    </w:p>
  </w:footnote>
  <w:footnote w:id="99">
    <w:p w:rsidR="00C805DC" w:rsidRPr="00917A44" w:rsidRDefault="00C805DC" w:rsidP="00F160CE">
      <w:pPr>
        <w:pStyle w:val="Textpoznpodarou"/>
        <w:jc w:val="both"/>
        <w:rPr>
          <w:sz w:val="16"/>
          <w:szCs w:val="16"/>
        </w:rPr>
      </w:pPr>
      <w:r w:rsidRPr="00917A44">
        <w:rPr>
          <w:rStyle w:val="Znakapoznpodarou"/>
          <w:sz w:val="16"/>
          <w:szCs w:val="16"/>
        </w:rPr>
        <w:footnoteRef/>
      </w:r>
      <w:r w:rsidRPr="00917A44">
        <w:rPr>
          <w:sz w:val="16"/>
          <w:szCs w:val="16"/>
        </w:rPr>
        <w:t xml:space="preserve"> Údaje se vztahují k odvětví CZ NACE 47 (nezahrnují motoristický segment). Jsou uvedeny ve stálých cenách a očištěny o vliv nestejného počtu pracovních dní.</w:t>
      </w:r>
    </w:p>
  </w:footnote>
  <w:footnote w:id="100">
    <w:p w:rsidR="00C805DC" w:rsidRPr="006155DC" w:rsidRDefault="00C805DC" w:rsidP="00F160CE">
      <w:pPr>
        <w:pStyle w:val="Textpoznpodarou"/>
        <w:jc w:val="both"/>
        <w:rPr>
          <w:spacing w:val="-4"/>
          <w:sz w:val="16"/>
          <w:szCs w:val="16"/>
        </w:rPr>
      </w:pPr>
      <w:r w:rsidRPr="006155DC">
        <w:rPr>
          <w:rStyle w:val="Znakapoznpodarou"/>
          <w:spacing w:val="-4"/>
          <w:sz w:val="16"/>
          <w:szCs w:val="16"/>
        </w:rPr>
        <w:footnoteRef/>
      </w:r>
      <w:r w:rsidRPr="006155DC">
        <w:rPr>
          <w:spacing w:val="-4"/>
          <w:sz w:val="16"/>
          <w:szCs w:val="16"/>
        </w:rPr>
        <w:t xml:space="preserve"> Je to dobře patrné ve srovnání s výkony letišť na území ČR. Zatímco počet přepravených osob tuzemskými obchodními leteckými dopravci dosáhl loni 6,7 mil. (při me</w:t>
      </w:r>
      <w:r>
        <w:rPr>
          <w:spacing w:val="-4"/>
          <w:sz w:val="16"/>
          <w:szCs w:val="16"/>
        </w:rPr>
        <w:t>ziročním růstu 10,9 %), počet cestujících</w:t>
      </w:r>
      <w:r w:rsidRPr="006155DC">
        <w:rPr>
          <w:spacing w:val="-4"/>
          <w:sz w:val="16"/>
          <w:szCs w:val="16"/>
        </w:rPr>
        <w:t xml:space="preserve"> na letištích v ČR činil ve stejném roce 16,3 mil. osob (+18,2 %).</w:t>
      </w:r>
    </w:p>
  </w:footnote>
  <w:footnote w:id="101">
    <w:p w:rsidR="00C805DC" w:rsidRPr="00DD013C" w:rsidRDefault="00C805DC" w:rsidP="00F160CE">
      <w:pPr>
        <w:pStyle w:val="Textpoznpodarou"/>
        <w:rPr>
          <w:sz w:val="16"/>
          <w:szCs w:val="16"/>
        </w:rPr>
      </w:pPr>
      <w:r w:rsidRPr="006155DC">
        <w:rPr>
          <w:rStyle w:val="Znakapoznpodarou"/>
          <w:spacing w:val="-4"/>
          <w:sz w:val="16"/>
          <w:szCs w:val="16"/>
        </w:rPr>
        <w:footnoteRef/>
      </w:r>
      <w:r w:rsidRPr="006155DC">
        <w:rPr>
          <w:spacing w:val="-4"/>
          <w:sz w:val="16"/>
          <w:szCs w:val="16"/>
        </w:rPr>
        <w:t xml:space="preserve"> Podíl silniční dopravy na celkových přepravních výkonech (v </w:t>
      </w:r>
      <w:proofErr w:type="spellStart"/>
      <w:r w:rsidRPr="006155DC">
        <w:rPr>
          <w:spacing w:val="-4"/>
          <w:sz w:val="16"/>
          <w:szCs w:val="16"/>
        </w:rPr>
        <w:t>tkm</w:t>
      </w:r>
      <w:proofErr w:type="spellEnd"/>
      <w:r w:rsidRPr="006155DC">
        <w:rPr>
          <w:spacing w:val="-4"/>
          <w:sz w:val="16"/>
          <w:szCs w:val="16"/>
        </w:rPr>
        <w:t xml:space="preserve">) ve vnitrozemské nákladní dopravě loni klesl na 73 %. Šlo o nejnižší hodnotu po roce 2001. Přitom ještě v roce 2015 dosahoval téměř 79 % a mírně převyšoval úroveň v EU (o 3 p </w:t>
      </w:r>
      <w:proofErr w:type="spellStart"/>
      <w:r w:rsidRPr="006155DC">
        <w:rPr>
          <w:spacing w:val="-4"/>
          <w:sz w:val="16"/>
          <w:szCs w:val="16"/>
        </w:rPr>
        <w:t>b</w:t>
      </w:r>
      <w:proofErr w:type="spellEnd"/>
      <w:r w:rsidRPr="006155DC">
        <w:rPr>
          <w:spacing w:val="-4"/>
          <w:sz w:val="16"/>
          <w:szCs w:val="16"/>
        </w:rPr>
        <w:t>.).</w:t>
      </w:r>
      <w:r w:rsidRPr="00DD013C">
        <w:rPr>
          <w:sz w:val="16"/>
          <w:szCs w:val="16"/>
        </w:rPr>
        <w:t xml:space="preserve"> </w:t>
      </w:r>
    </w:p>
  </w:footnote>
  <w:footnote w:id="102">
    <w:p w:rsidR="00C805DC" w:rsidRPr="004B6C65" w:rsidRDefault="00C805DC" w:rsidP="009540B7">
      <w:pPr>
        <w:pStyle w:val="Textpoznpodarou"/>
        <w:rPr>
          <w:sz w:val="16"/>
          <w:szCs w:val="16"/>
        </w:rPr>
      </w:pPr>
      <w:r w:rsidRPr="004B6C65">
        <w:rPr>
          <w:rStyle w:val="Znakapoznpodarou"/>
          <w:sz w:val="16"/>
          <w:szCs w:val="16"/>
        </w:rPr>
        <w:footnoteRef/>
      </w:r>
      <w:r w:rsidRPr="004B6C65">
        <w:rPr>
          <w:spacing w:val="-2"/>
          <w:sz w:val="16"/>
          <w:szCs w:val="16"/>
        </w:rPr>
        <w:t>Pokud není uvedeno jinak, vychází vše</w:t>
      </w:r>
      <w:r>
        <w:rPr>
          <w:spacing w:val="-2"/>
          <w:sz w:val="16"/>
          <w:szCs w:val="16"/>
        </w:rPr>
        <w:t>chny údaje v této kapitole</w:t>
      </w:r>
      <w:r w:rsidRPr="004B6C65">
        <w:rPr>
          <w:spacing w:val="-2"/>
          <w:sz w:val="16"/>
          <w:szCs w:val="16"/>
        </w:rPr>
        <w:t xml:space="preserve"> z dat národních účtů</w:t>
      </w:r>
      <w:r>
        <w:rPr>
          <w:spacing w:val="-2"/>
          <w:sz w:val="16"/>
          <w:szCs w:val="16"/>
        </w:rPr>
        <w:t>,</w:t>
      </w:r>
      <w:r w:rsidRPr="004B6C65">
        <w:rPr>
          <w:spacing w:val="-2"/>
          <w:sz w:val="16"/>
          <w:szCs w:val="16"/>
        </w:rPr>
        <w:t xml:space="preserve"> a </w:t>
      </w:r>
      <w:r>
        <w:rPr>
          <w:spacing w:val="-2"/>
          <w:sz w:val="16"/>
          <w:szCs w:val="16"/>
        </w:rPr>
        <w:t xml:space="preserve">kde je to relevantní, </w:t>
      </w:r>
      <w:r w:rsidRPr="004B6C65">
        <w:rPr>
          <w:spacing w:val="-2"/>
          <w:sz w:val="16"/>
          <w:szCs w:val="16"/>
        </w:rPr>
        <w:t>jsou očištěny o cenové vlivy.</w:t>
      </w:r>
    </w:p>
  </w:footnote>
  <w:footnote w:id="103">
    <w:p w:rsidR="00C805DC" w:rsidRPr="00A35142" w:rsidRDefault="00C805DC" w:rsidP="009540B7">
      <w:pPr>
        <w:pStyle w:val="Textpoznpodarou"/>
        <w:rPr>
          <w:spacing w:val="-2"/>
          <w:sz w:val="16"/>
          <w:szCs w:val="16"/>
        </w:rPr>
      </w:pPr>
      <w:r w:rsidRPr="00A35142">
        <w:rPr>
          <w:rStyle w:val="Znakapoznpodarou"/>
          <w:spacing w:val="-2"/>
          <w:sz w:val="16"/>
          <w:szCs w:val="16"/>
        </w:rPr>
        <w:footnoteRef/>
      </w:r>
      <w:r w:rsidRPr="00A35142">
        <w:rPr>
          <w:spacing w:val="-2"/>
          <w:sz w:val="16"/>
          <w:szCs w:val="16"/>
        </w:rPr>
        <w:t xml:space="preserve">Souběžný opakovaný růst HPH jak v ubytování, tak i ve stravování (vč. pohostinství), byl naposledy zaznamenán v letech 1994 a 1995. </w:t>
      </w:r>
    </w:p>
  </w:footnote>
  <w:footnote w:id="104">
    <w:p w:rsidR="00C805DC" w:rsidRPr="00A02E81" w:rsidRDefault="00C805DC" w:rsidP="009540B7">
      <w:pPr>
        <w:pStyle w:val="Textpoznpodarou"/>
        <w:rPr>
          <w:spacing w:val="-2"/>
          <w:sz w:val="16"/>
          <w:szCs w:val="16"/>
        </w:rPr>
      </w:pPr>
      <w:r w:rsidRPr="00A02E81">
        <w:rPr>
          <w:rStyle w:val="Znakapoznpodarou"/>
          <w:spacing w:val="-2"/>
          <w:sz w:val="16"/>
          <w:szCs w:val="16"/>
        </w:rPr>
        <w:footnoteRef/>
      </w:r>
      <w:r w:rsidRPr="00A02E81">
        <w:rPr>
          <w:spacing w:val="-2"/>
          <w:sz w:val="16"/>
          <w:szCs w:val="16"/>
        </w:rPr>
        <w:t xml:space="preserve"> Nefinanční podniky vytvářely v roce 2017 jen 56 % HPH tohoto odvětví. Zatímco v ubytování byla jejich role poměrně silná (81 %), ve stravování a pohostinství se podílely jen 47 % (mírně nadpoloviční většinu zde tvořili drobní podnikatelé spadající pod sektor domácností).</w:t>
      </w:r>
    </w:p>
  </w:footnote>
  <w:footnote w:id="105">
    <w:p w:rsidR="00C805DC" w:rsidRPr="0061249B" w:rsidRDefault="00C805DC" w:rsidP="009540B7">
      <w:pPr>
        <w:pStyle w:val="Textpoznpodarou"/>
        <w:jc w:val="both"/>
        <w:rPr>
          <w:spacing w:val="2"/>
          <w:sz w:val="16"/>
          <w:szCs w:val="16"/>
        </w:rPr>
      </w:pPr>
      <w:r w:rsidRPr="0061249B">
        <w:rPr>
          <w:rStyle w:val="Znakapoznpodarou"/>
          <w:spacing w:val="2"/>
          <w:sz w:val="16"/>
          <w:szCs w:val="16"/>
        </w:rPr>
        <w:footnoteRef/>
      </w:r>
      <w:r w:rsidRPr="0061249B">
        <w:rPr>
          <w:spacing w:val="2"/>
          <w:sz w:val="16"/>
          <w:szCs w:val="16"/>
        </w:rPr>
        <w:t xml:space="preserve"> To je patrné především ve srovnání s většinou ostatních odvětví služeb v ČR. Naopak v evropském pohledu si odvětví stálo relativně dobře, neboť míra investic v ubytování, stravování a pohostinství se v posledních pěti let v EU jako celku pohybovala mezi 8 a 9 %. Vyšší investiční aktivitu než v ČR zaznamenávají většinou jen některé novější </w:t>
      </w:r>
      <w:r>
        <w:rPr>
          <w:spacing w:val="2"/>
          <w:sz w:val="16"/>
          <w:szCs w:val="16"/>
        </w:rPr>
        <w:t xml:space="preserve">členské </w:t>
      </w:r>
      <w:r w:rsidRPr="0061249B">
        <w:rPr>
          <w:spacing w:val="2"/>
          <w:sz w:val="16"/>
          <w:szCs w:val="16"/>
        </w:rPr>
        <w:t>státy EU (Bulharsko, Rumunsko, Estonsko, Malta).</w:t>
      </w:r>
    </w:p>
  </w:footnote>
  <w:footnote w:id="106">
    <w:p w:rsidR="00C805DC" w:rsidRPr="009D6DF6" w:rsidRDefault="00C805DC" w:rsidP="009540B7">
      <w:pPr>
        <w:pStyle w:val="Textpoznpodarou"/>
        <w:jc w:val="both"/>
        <w:rPr>
          <w:sz w:val="16"/>
          <w:szCs w:val="16"/>
        </w:rPr>
      </w:pPr>
      <w:r w:rsidRPr="009D6DF6">
        <w:rPr>
          <w:rStyle w:val="Znakapoznpodarou"/>
          <w:sz w:val="16"/>
          <w:szCs w:val="16"/>
        </w:rPr>
        <w:footnoteRef/>
      </w:r>
      <w:r>
        <w:rPr>
          <w:sz w:val="16"/>
          <w:szCs w:val="16"/>
        </w:rPr>
        <w:t xml:space="preserve"> Z</w:t>
      </w:r>
      <w:r w:rsidRPr="009D6DF6">
        <w:rPr>
          <w:sz w:val="16"/>
          <w:szCs w:val="16"/>
        </w:rPr>
        <w:t xml:space="preserve"> šetření Ministerstva pro místní rozvoj (ve spolupráci s agenturou </w:t>
      </w:r>
      <w:proofErr w:type="spellStart"/>
      <w:r w:rsidRPr="009D6DF6">
        <w:rPr>
          <w:sz w:val="16"/>
          <w:szCs w:val="16"/>
        </w:rPr>
        <w:t>Stemmark</w:t>
      </w:r>
      <w:proofErr w:type="spellEnd"/>
      <w:r w:rsidRPr="009D6DF6">
        <w:rPr>
          <w:sz w:val="16"/>
          <w:szCs w:val="16"/>
        </w:rPr>
        <w:t xml:space="preserve">) </w:t>
      </w:r>
      <w:r>
        <w:rPr>
          <w:sz w:val="16"/>
          <w:szCs w:val="16"/>
        </w:rPr>
        <w:t xml:space="preserve">v roce 2016 </w:t>
      </w:r>
      <w:r w:rsidRPr="009D6DF6">
        <w:rPr>
          <w:sz w:val="16"/>
          <w:szCs w:val="16"/>
        </w:rPr>
        <w:t>vyplynulo, že hosté ubytovaní v </w:t>
      </w:r>
      <w:r>
        <w:rPr>
          <w:sz w:val="16"/>
          <w:szCs w:val="16"/>
        </w:rPr>
        <w:t>HUZ tvořili</w:t>
      </w:r>
      <w:r w:rsidRPr="009D6DF6">
        <w:rPr>
          <w:sz w:val="16"/>
          <w:szCs w:val="16"/>
        </w:rPr>
        <w:t xml:space="preserve"> zhruba jen tři čtvrtiny celkové počtu zahraničních návštěvníků, kteří v Česku přespali</w:t>
      </w:r>
      <w:r>
        <w:rPr>
          <w:sz w:val="16"/>
          <w:szCs w:val="16"/>
        </w:rPr>
        <w:t xml:space="preserve"> alespoň jednu noc</w:t>
      </w:r>
      <w:r w:rsidRPr="009D6DF6">
        <w:rPr>
          <w:sz w:val="16"/>
          <w:szCs w:val="16"/>
        </w:rPr>
        <w:t xml:space="preserve">. Role </w:t>
      </w:r>
      <w:r>
        <w:rPr>
          <w:sz w:val="16"/>
          <w:szCs w:val="16"/>
        </w:rPr>
        <w:t>návštěvnického segmentu ubytovaného mimo HUZ</w:t>
      </w:r>
      <w:r w:rsidRPr="009D6DF6">
        <w:rPr>
          <w:sz w:val="16"/>
          <w:szCs w:val="16"/>
        </w:rPr>
        <w:t xml:space="preserve"> v posledních letech narůstá (</w:t>
      </w:r>
      <w:r>
        <w:rPr>
          <w:sz w:val="16"/>
          <w:szCs w:val="16"/>
        </w:rPr>
        <w:t xml:space="preserve">hlavně </w:t>
      </w:r>
      <w:r w:rsidRPr="009D6DF6">
        <w:rPr>
          <w:sz w:val="16"/>
          <w:szCs w:val="16"/>
        </w:rPr>
        <w:t xml:space="preserve">s rozvojem služeb sdílené ekonomiky). Vedle toho přispívají k rozvoji cestovního ruchu v ČR i jednodenní návštěvníci (v roce 2016 jich bylo dle </w:t>
      </w:r>
      <w:r>
        <w:rPr>
          <w:sz w:val="16"/>
          <w:szCs w:val="16"/>
        </w:rPr>
        <w:t>Satelitního účtu cestovního ruchu17,0</w:t>
      </w:r>
      <w:r w:rsidRPr="009D6DF6">
        <w:rPr>
          <w:sz w:val="16"/>
          <w:szCs w:val="16"/>
        </w:rPr>
        <w:t> mil.) a v menš</w:t>
      </w:r>
      <w:r>
        <w:rPr>
          <w:sz w:val="16"/>
          <w:szCs w:val="16"/>
        </w:rPr>
        <w:t>í míře i tranzitující osoby (2,7</w:t>
      </w:r>
      <w:r w:rsidRPr="009D6DF6">
        <w:rPr>
          <w:sz w:val="16"/>
          <w:szCs w:val="16"/>
        </w:rPr>
        <w:t xml:space="preserve"> mil.). Souhrnný odhad četnosti zahraničních návštěvníků </w:t>
      </w:r>
      <w:r>
        <w:rPr>
          <w:sz w:val="16"/>
          <w:szCs w:val="16"/>
        </w:rPr>
        <w:t>Česka za rok 2016 tak přesáhl 32,5</w:t>
      </w:r>
      <w:r w:rsidRPr="009D6DF6">
        <w:rPr>
          <w:sz w:val="16"/>
          <w:szCs w:val="16"/>
        </w:rPr>
        <w:t xml:space="preserve"> mil osob a byl tak více než trojnásobný oproti hostům registrovaným v HUZ (9,3 mil.).</w:t>
      </w:r>
    </w:p>
  </w:footnote>
  <w:footnote w:id="107">
    <w:p w:rsidR="00C805DC" w:rsidRPr="003B74D6" w:rsidRDefault="00C805DC" w:rsidP="009540B7">
      <w:pPr>
        <w:pStyle w:val="Textpoznpodarou"/>
        <w:jc w:val="both"/>
        <w:rPr>
          <w:sz w:val="16"/>
          <w:szCs w:val="16"/>
        </w:rPr>
      </w:pPr>
      <w:r w:rsidRPr="003B74D6">
        <w:rPr>
          <w:rStyle w:val="Znakapoznpodarou"/>
          <w:sz w:val="16"/>
          <w:szCs w:val="16"/>
        </w:rPr>
        <w:footnoteRef/>
      </w:r>
      <w:r w:rsidRPr="003B74D6">
        <w:rPr>
          <w:sz w:val="16"/>
          <w:szCs w:val="16"/>
        </w:rPr>
        <w:t xml:space="preserve"> Lázeňství představuje pro Česko významný segment cestovního ruchu. Realizuje se v něm </w:t>
      </w:r>
      <w:r>
        <w:rPr>
          <w:sz w:val="16"/>
          <w:szCs w:val="16"/>
        </w:rPr>
        <w:t>sedmina</w:t>
      </w:r>
      <w:r w:rsidRPr="003B74D6">
        <w:rPr>
          <w:sz w:val="16"/>
          <w:szCs w:val="16"/>
        </w:rPr>
        <w:t xml:space="preserve"> všech přenocování v HUZ. V samotném Karlovarském kraji se na celkovém počtu ubytovaných hostů loni podílel</w:t>
      </w:r>
      <w:r>
        <w:rPr>
          <w:sz w:val="16"/>
          <w:szCs w:val="16"/>
        </w:rPr>
        <w:t>o lázeňství</w:t>
      </w:r>
      <w:r w:rsidRPr="003B74D6">
        <w:rPr>
          <w:sz w:val="16"/>
          <w:szCs w:val="16"/>
        </w:rPr>
        <w:t xml:space="preserve"> 48 %, u přenocování dokonc</w:t>
      </w:r>
      <w:r>
        <w:rPr>
          <w:sz w:val="16"/>
          <w:szCs w:val="16"/>
        </w:rPr>
        <w:t>e 72 %. Významnější postavení má</w:t>
      </w:r>
      <w:r w:rsidRPr="003B74D6">
        <w:rPr>
          <w:sz w:val="16"/>
          <w:szCs w:val="16"/>
        </w:rPr>
        <w:t xml:space="preserve"> také v rámci Olomouckého a Zlínského kraje.</w:t>
      </w:r>
    </w:p>
  </w:footnote>
  <w:footnote w:id="108">
    <w:p w:rsidR="00C805DC" w:rsidRPr="00692DA0" w:rsidRDefault="00C805DC" w:rsidP="009540B7">
      <w:pPr>
        <w:pStyle w:val="Textpoznpodarou"/>
        <w:jc w:val="both"/>
        <w:rPr>
          <w:sz w:val="16"/>
          <w:szCs w:val="16"/>
        </w:rPr>
      </w:pPr>
      <w:r w:rsidRPr="00692DA0">
        <w:rPr>
          <w:rStyle w:val="Znakapoznpodarou"/>
          <w:sz w:val="16"/>
          <w:szCs w:val="16"/>
        </w:rPr>
        <w:footnoteRef/>
      </w:r>
      <w:r w:rsidRPr="00692DA0">
        <w:rPr>
          <w:sz w:val="16"/>
          <w:szCs w:val="16"/>
        </w:rPr>
        <w:t xml:space="preserve"> Svou silnou vazbou na lázeňství jsou typičtí také hosté ze zemí Blízkého východu. Bezmála pětina všech hostů ze Saudské Arábie ubytovaných v HUZ v Česku mířila loni do segmentu lázeňství.</w:t>
      </w:r>
      <w:r>
        <w:rPr>
          <w:sz w:val="16"/>
          <w:szCs w:val="16"/>
        </w:rPr>
        <w:t xml:space="preserve"> Ti také v lázních zůstávají v průměru nejdéle (20 dní), s odstupem následují Izraelci (13,4), Rusové (12,8) a Ukrajinci (12,0). U váhově nejvýznamnější skupiny nerezidentů – Němců (tvořících polovinu lázeňských hostů ze zahraničí) to bylo loni 8,0 dní, u dominantní skupiny klientů – z Česka (454 tis. hostů) pak 10,9 dne. Zatímco délka pobytu nerezidentů v lázeňských HUZ dlouhodobě mírně klesá, u hostů z Česka po propadu v roce 2013 (vlivem změn v systému úhrad lázeňské péče ze zdravotního pojištění) začala opět růst a loni se tak vrátila na úroveň roku 2012.</w:t>
      </w:r>
    </w:p>
  </w:footnote>
  <w:footnote w:id="109">
    <w:p w:rsidR="00C805DC" w:rsidRPr="00BB64FC" w:rsidRDefault="00C805DC" w:rsidP="009540B7">
      <w:pPr>
        <w:pStyle w:val="Textpoznpodarou"/>
        <w:jc w:val="both"/>
        <w:rPr>
          <w:spacing w:val="-2"/>
          <w:sz w:val="16"/>
          <w:szCs w:val="16"/>
        </w:rPr>
      </w:pPr>
      <w:r w:rsidRPr="00BB64FC">
        <w:rPr>
          <w:rStyle w:val="Znakapoznpodarou"/>
          <w:spacing w:val="-2"/>
          <w:sz w:val="16"/>
          <w:szCs w:val="16"/>
        </w:rPr>
        <w:footnoteRef/>
      </w:r>
      <w:r w:rsidRPr="00BB64FC">
        <w:rPr>
          <w:spacing w:val="-2"/>
          <w:sz w:val="16"/>
          <w:szCs w:val="16"/>
        </w:rPr>
        <w:t xml:space="preserve"> Více než třetina všech konferencí (s 50 a více účastníky) skutečných v HUZ v ČR připadá dlouhodobě na Prahu, sedmina na Jihomoravský kraj. </w:t>
      </w:r>
      <w:r>
        <w:rPr>
          <w:spacing w:val="-2"/>
          <w:sz w:val="16"/>
          <w:szCs w:val="16"/>
        </w:rPr>
        <w:t>Počet účastníků konferencí v ČR po roce 2010 spíše stagnuje (loni šlo o 1,36 mil. osob). Průměrný počet účastníků na 1</w:t>
      </w:r>
      <w:r w:rsidRPr="009D6DF6">
        <w:rPr>
          <w:sz w:val="16"/>
          <w:szCs w:val="16"/>
        </w:rPr>
        <w:t> </w:t>
      </w:r>
      <w:r>
        <w:rPr>
          <w:spacing w:val="-2"/>
          <w:sz w:val="16"/>
          <w:szCs w:val="16"/>
        </w:rPr>
        <w:t>akci klesá (v roce 2010 dosahoval 128 osob, loni 108).</w:t>
      </w:r>
    </w:p>
  </w:footnote>
  <w:footnote w:id="110">
    <w:p w:rsidR="00C805DC" w:rsidRPr="00D67E9A" w:rsidRDefault="00C805DC" w:rsidP="009540B7">
      <w:pPr>
        <w:pStyle w:val="Textpoznpodarou"/>
        <w:rPr>
          <w:sz w:val="16"/>
          <w:szCs w:val="16"/>
        </w:rPr>
      </w:pPr>
      <w:r w:rsidRPr="00D67E9A">
        <w:rPr>
          <w:rStyle w:val="Znakapoznpodarou"/>
          <w:sz w:val="16"/>
          <w:szCs w:val="16"/>
        </w:rPr>
        <w:footnoteRef/>
      </w:r>
      <w:r w:rsidRPr="00D67E9A">
        <w:rPr>
          <w:sz w:val="16"/>
          <w:szCs w:val="16"/>
        </w:rPr>
        <w:t xml:space="preserve"> Např. na Islandu vzrostl mezi roky 2012 a 2017 počet hostů z 2,1 n</w:t>
      </w:r>
      <w:r>
        <w:rPr>
          <w:sz w:val="16"/>
          <w:szCs w:val="16"/>
        </w:rPr>
        <w:t>a 5,3 mil. Cestovní ruch byl jedním z faktorů, jež pomohl této zemi k zotavení z hluboké recese za konci předchozí dekády. Dařilo se dosud málo „objeveným“ turistickým destinacím (Srbsko, Makedonie).</w:t>
      </w:r>
    </w:p>
  </w:footnote>
  <w:footnote w:id="111">
    <w:p w:rsidR="00C805DC" w:rsidRPr="00D0572A" w:rsidRDefault="00C805DC" w:rsidP="009540B7">
      <w:pPr>
        <w:pStyle w:val="Textpoznpodarou"/>
        <w:rPr>
          <w:spacing w:val="-2"/>
        </w:rPr>
      </w:pPr>
      <w:r w:rsidRPr="0068766C">
        <w:rPr>
          <w:rStyle w:val="Znakapoznpodarou"/>
          <w:spacing w:val="-2"/>
          <w:sz w:val="16"/>
          <w:szCs w:val="16"/>
        </w:rPr>
        <w:footnoteRef/>
      </w:r>
      <w:r w:rsidRPr="0068766C">
        <w:rPr>
          <w:spacing w:val="-2"/>
          <w:sz w:val="16"/>
          <w:szCs w:val="16"/>
        </w:rPr>
        <w:t xml:space="preserve"> </w:t>
      </w:r>
      <w:r w:rsidRPr="00775F45">
        <w:rPr>
          <w:spacing w:val="-3"/>
          <w:sz w:val="16"/>
          <w:szCs w:val="16"/>
        </w:rPr>
        <w:t>Pokud není uvedeno jinak, vychází všechny údaje v této kapitole z dat národních účtů, a kde je to relevantní, jsou očištěny o cenové vlivy.</w:t>
      </w:r>
    </w:p>
  </w:footnote>
  <w:footnote w:id="112">
    <w:p w:rsidR="00C805DC" w:rsidRPr="00D0572A" w:rsidRDefault="00C805DC" w:rsidP="009540B7">
      <w:pPr>
        <w:pStyle w:val="Textpoznpodarou"/>
        <w:jc w:val="both"/>
        <w:rPr>
          <w:sz w:val="16"/>
          <w:szCs w:val="16"/>
        </w:rPr>
      </w:pPr>
      <w:r w:rsidRPr="00D0572A">
        <w:rPr>
          <w:rStyle w:val="Znakapoznpodarou"/>
          <w:sz w:val="16"/>
          <w:szCs w:val="16"/>
        </w:rPr>
        <w:footnoteRef/>
      </w:r>
      <w:r w:rsidRPr="00D0572A">
        <w:rPr>
          <w:sz w:val="16"/>
          <w:szCs w:val="16"/>
        </w:rPr>
        <w:t xml:space="preserve"> Informační komunikační činnosti patří v sektoru služeb k odvětvím s nejvyšším zastoupením nefinančních podniků. Ty v roce 2017 vytvořily 92 % HPH v tomto odvětví. </w:t>
      </w:r>
      <w:r>
        <w:rPr>
          <w:sz w:val="16"/>
          <w:szCs w:val="16"/>
        </w:rPr>
        <w:t>Na úrovni</w:t>
      </w:r>
      <w:r w:rsidRPr="00D0572A">
        <w:rPr>
          <w:sz w:val="16"/>
          <w:szCs w:val="16"/>
        </w:rPr>
        <w:t xml:space="preserve"> jednotlivých odvětvových oddílů měly podniky nižší podíl jen v hudebním a filmovém průmyslu (80 %) a zejména </w:t>
      </w:r>
      <w:r>
        <w:rPr>
          <w:sz w:val="16"/>
          <w:szCs w:val="16"/>
        </w:rPr>
        <w:t xml:space="preserve">v </w:t>
      </w:r>
      <w:r w:rsidRPr="00D0572A">
        <w:rPr>
          <w:sz w:val="16"/>
          <w:szCs w:val="16"/>
        </w:rPr>
        <w:t xml:space="preserve">tvorbě programů a vysílání (68 %), kde bezmála třetinu HPH vytvářely subjekty zařazené do vládního sektoru. </w:t>
      </w:r>
      <w:r>
        <w:rPr>
          <w:sz w:val="16"/>
          <w:szCs w:val="16"/>
        </w:rPr>
        <w:t>V rámci podnikové sféry v odvětví i</w:t>
      </w:r>
      <w:r w:rsidRPr="00D0572A">
        <w:rPr>
          <w:sz w:val="16"/>
          <w:szCs w:val="16"/>
        </w:rPr>
        <w:t>nformační</w:t>
      </w:r>
      <w:r>
        <w:rPr>
          <w:sz w:val="16"/>
          <w:szCs w:val="16"/>
        </w:rPr>
        <w:t>ch</w:t>
      </w:r>
      <w:r w:rsidRPr="00D0572A">
        <w:rPr>
          <w:sz w:val="16"/>
          <w:szCs w:val="16"/>
        </w:rPr>
        <w:t xml:space="preserve"> komunikační</w:t>
      </w:r>
      <w:r>
        <w:rPr>
          <w:sz w:val="16"/>
          <w:szCs w:val="16"/>
        </w:rPr>
        <w:t>ch</w:t>
      </w:r>
      <w:r w:rsidRPr="00D0572A">
        <w:rPr>
          <w:sz w:val="16"/>
          <w:szCs w:val="16"/>
        </w:rPr>
        <w:t xml:space="preserve"> </w:t>
      </w:r>
      <w:r>
        <w:rPr>
          <w:sz w:val="16"/>
          <w:szCs w:val="16"/>
        </w:rPr>
        <w:t>činností mírně převažovaly národní soukromé podniky (loni vytvořily 49 % HPH) nad podniky pod zahraniční kontrolou (48 %).</w:t>
      </w:r>
    </w:p>
  </w:footnote>
  <w:footnote w:id="113">
    <w:p w:rsidR="00C805DC" w:rsidRPr="00D0572A" w:rsidRDefault="00C805DC" w:rsidP="009540B7">
      <w:pPr>
        <w:pStyle w:val="Textpoznpodarou"/>
        <w:jc w:val="both"/>
        <w:rPr>
          <w:sz w:val="16"/>
          <w:szCs w:val="16"/>
        </w:rPr>
      </w:pPr>
      <w:r w:rsidRPr="00D0572A">
        <w:rPr>
          <w:rStyle w:val="Znakapoznpodarou"/>
          <w:sz w:val="16"/>
          <w:szCs w:val="16"/>
        </w:rPr>
        <w:footnoteRef/>
      </w:r>
      <w:r w:rsidRPr="00D0572A">
        <w:rPr>
          <w:sz w:val="16"/>
          <w:szCs w:val="16"/>
        </w:rPr>
        <w:t xml:space="preserve"> Obdobnou či vyšší ziskovost vykázaly loni nefinanční podniky jen v činnostech v oblasti nemovitostí (80 %),</w:t>
      </w:r>
      <w:r>
        <w:rPr>
          <w:sz w:val="16"/>
          <w:szCs w:val="16"/>
        </w:rPr>
        <w:t xml:space="preserve"> v</w:t>
      </w:r>
      <w:r w:rsidRPr="00D0572A">
        <w:rPr>
          <w:sz w:val="16"/>
          <w:szCs w:val="16"/>
        </w:rPr>
        <w:t xml:space="preserve"> kulturních, zábavních a rekreačních činnostech (57 %) a dále také finanční podniky v peněžnictví a pojišťovnictví (61 %).</w:t>
      </w:r>
    </w:p>
  </w:footnote>
  <w:footnote w:id="114">
    <w:p w:rsidR="00C805DC" w:rsidRPr="003A56B4" w:rsidRDefault="00C805DC" w:rsidP="009540B7">
      <w:pPr>
        <w:pStyle w:val="Textpoznpodarou"/>
        <w:rPr>
          <w:sz w:val="16"/>
          <w:szCs w:val="16"/>
        </w:rPr>
      </w:pPr>
      <w:r w:rsidRPr="00D0572A">
        <w:rPr>
          <w:rStyle w:val="Znakapoznpodarou"/>
          <w:sz w:val="16"/>
          <w:szCs w:val="16"/>
        </w:rPr>
        <w:footnoteRef/>
      </w:r>
      <w:r w:rsidRPr="00D0572A">
        <w:rPr>
          <w:sz w:val="16"/>
          <w:szCs w:val="16"/>
        </w:rPr>
        <w:t xml:space="preserve"> Dle údajů MSPV tvořili loni v tomto odvětví lidé s vysokoškolským vzděláním 53 % všech zaměstnanců. Vyššího podílu dosáhli z 18 ostatních odvětvových sekcí již pouze ve vzdělávání (56 %).</w:t>
      </w:r>
    </w:p>
  </w:footnote>
  <w:footnote w:id="115">
    <w:p w:rsidR="00C805DC" w:rsidRPr="00201B01" w:rsidRDefault="00C805DC" w:rsidP="007C13A4">
      <w:pPr>
        <w:pStyle w:val="Textpoznpodarou"/>
        <w:jc w:val="both"/>
        <w:rPr>
          <w:spacing w:val="-2"/>
          <w:sz w:val="16"/>
          <w:szCs w:val="16"/>
        </w:rPr>
      </w:pPr>
      <w:r w:rsidRPr="00201B01">
        <w:rPr>
          <w:rStyle w:val="Znakapoznpodarou"/>
          <w:spacing w:val="-2"/>
          <w:sz w:val="16"/>
          <w:szCs w:val="16"/>
        </w:rPr>
        <w:footnoteRef/>
      </w:r>
      <w:r w:rsidRPr="00201B01">
        <w:rPr>
          <w:spacing w:val="-2"/>
          <w:sz w:val="16"/>
          <w:szCs w:val="16"/>
        </w:rPr>
        <w:t xml:space="preserve"> Šlo hlavně o telekomunikační činnosti (55 tis.) či oblast informačních technologií a činností</w:t>
      </w:r>
      <w:r>
        <w:rPr>
          <w:spacing w:val="-2"/>
          <w:sz w:val="16"/>
          <w:szCs w:val="16"/>
        </w:rPr>
        <w:t>, s menším odstupem také o tvorbu programů a</w:t>
      </w:r>
      <w:r w:rsidRPr="00201B01">
        <w:rPr>
          <w:spacing w:val="-2"/>
          <w:sz w:val="16"/>
          <w:szCs w:val="16"/>
        </w:rPr>
        <w:t> vysílání</w:t>
      </w:r>
      <w:r>
        <w:rPr>
          <w:spacing w:val="-2"/>
          <w:sz w:val="16"/>
          <w:szCs w:val="16"/>
        </w:rPr>
        <w:t>. Výrazně nižší úrovně dosahovala průměrná měsíční mzda ve vydavatelských činnostech</w:t>
      </w:r>
      <w:r w:rsidRPr="00201B01">
        <w:rPr>
          <w:spacing w:val="-2"/>
          <w:sz w:val="16"/>
          <w:szCs w:val="16"/>
        </w:rPr>
        <w:t xml:space="preserve"> (38 tis.) a hudební</w:t>
      </w:r>
      <w:r>
        <w:rPr>
          <w:spacing w:val="-2"/>
          <w:sz w:val="16"/>
          <w:szCs w:val="16"/>
        </w:rPr>
        <w:t>m a filmovém</w:t>
      </w:r>
      <w:r w:rsidRPr="00201B01">
        <w:rPr>
          <w:spacing w:val="-2"/>
          <w:sz w:val="16"/>
          <w:szCs w:val="16"/>
        </w:rPr>
        <w:t xml:space="preserve"> průmysl</w:t>
      </w:r>
      <w:r>
        <w:rPr>
          <w:spacing w:val="-2"/>
          <w:sz w:val="16"/>
          <w:szCs w:val="16"/>
        </w:rPr>
        <w:t>u</w:t>
      </w:r>
      <w:r w:rsidRPr="00201B01">
        <w:rPr>
          <w:spacing w:val="-2"/>
          <w:sz w:val="16"/>
          <w:szCs w:val="16"/>
        </w:rPr>
        <w:t xml:space="preserve"> (23 tis.) – tedy </w:t>
      </w:r>
      <w:r>
        <w:rPr>
          <w:spacing w:val="-2"/>
          <w:sz w:val="16"/>
          <w:szCs w:val="16"/>
        </w:rPr>
        <w:t xml:space="preserve">v </w:t>
      </w:r>
      <w:r w:rsidRPr="00201B01">
        <w:rPr>
          <w:spacing w:val="-2"/>
          <w:sz w:val="16"/>
          <w:szCs w:val="16"/>
        </w:rPr>
        <w:t>s</w:t>
      </w:r>
      <w:r>
        <w:rPr>
          <w:spacing w:val="-2"/>
          <w:sz w:val="16"/>
          <w:szCs w:val="16"/>
        </w:rPr>
        <w:t>egmentech</w:t>
      </w:r>
      <w:r w:rsidRPr="00201B01">
        <w:rPr>
          <w:spacing w:val="-2"/>
          <w:sz w:val="16"/>
          <w:szCs w:val="16"/>
        </w:rPr>
        <w:t xml:space="preserve">, jimž </w:t>
      </w:r>
      <w:r>
        <w:rPr>
          <w:spacing w:val="-2"/>
          <w:sz w:val="16"/>
          <w:szCs w:val="16"/>
        </w:rPr>
        <w:t xml:space="preserve">výrazně </w:t>
      </w:r>
      <w:r w:rsidRPr="00201B01">
        <w:rPr>
          <w:spacing w:val="-2"/>
          <w:sz w:val="16"/>
          <w:szCs w:val="16"/>
        </w:rPr>
        <w:t>dominovaly podniky s převahou tuzemského kapitálu.</w:t>
      </w:r>
    </w:p>
  </w:footnote>
  <w:footnote w:id="116">
    <w:p w:rsidR="00C805DC" w:rsidRPr="00194DD5" w:rsidRDefault="00C805DC" w:rsidP="009540B7">
      <w:pPr>
        <w:pStyle w:val="Textpoznpodarou"/>
        <w:rPr>
          <w:sz w:val="16"/>
          <w:szCs w:val="16"/>
        </w:rPr>
      </w:pPr>
      <w:r w:rsidRPr="00194DD5">
        <w:rPr>
          <w:rStyle w:val="Znakapoznpodarou"/>
          <w:sz w:val="16"/>
          <w:szCs w:val="16"/>
        </w:rPr>
        <w:footnoteRef/>
      </w:r>
      <w:r w:rsidRPr="00194DD5">
        <w:rPr>
          <w:sz w:val="16"/>
          <w:szCs w:val="16"/>
        </w:rPr>
        <w:t xml:space="preserve"> Vyšší byla loni z dvanácti zbývajících odvětvových sekcí služeb </w:t>
      </w:r>
      <w:r>
        <w:rPr>
          <w:sz w:val="16"/>
          <w:szCs w:val="16"/>
        </w:rPr>
        <w:t xml:space="preserve">jen </w:t>
      </w:r>
      <w:r w:rsidRPr="00194DD5">
        <w:rPr>
          <w:sz w:val="16"/>
          <w:szCs w:val="16"/>
        </w:rPr>
        <w:t>v činnoste</w:t>
      </w:r>
      <w:r>
        <w:rPr>
          <w:sz w:val="16"/>
          <w:szCs w:val="16"/>
        </w:rPr>
        <w:t xml:space="preserve">ch v oblasti nemovitostí (67 %) a </w:t>
      </w:r>
      <w:r w:rsidRPr="00194DD5">
        <w:rPr>
          <w:sz w:val="16"/>
          <w:szCs w:val="16"/>
        </w:rPr>
        <w:t>v dopra</w:t>
      </w:r>
      <w:r>
        <w:rPr>
          <w:sz w:val="16"/>
          <w:szCs w:val="16"/>
        </w:rPr>
        <w:t>vě a skladování (33 %).</w:t>
      </w:r>
    </w:p>
  </w:footnote>
  <w:footnote w:id="117">
    <w:p w:rsidR="00C805DC" w:rsidRPr="005F5E64" w:rsidRDefault="00C805DC" w:rsidP="009540B7">
      <w:pPr>
        <w:pStyle w:val="Textpoznpodarou"/>
        <w:rPr>
          <w:sz w:val="16"/>
          <w:szCs w:val="16"/>
        </w:rPr>
      </w:pPr>
      <w:r w:rsidRPr="005F5E64">
        <w:rPr>
          <w:rStyle w:val="Znakapoznpodarou"/>
          <w:sz w:val="16"/>
          <w:szCs w:val="16"/>
        </w:rPr>
        <w:footnoteRef/>
      </w:r>
      <w:r w:rsidRPr="005F5E64">
        <w:rPr>
          <w:sz w:val="16"/>
          <w:szCs w:val="16"/>
        </w:rPr>
        <w:t xml:space="preserve"> Míru investic vyšší než ČR vykázaly v roce 2016 jen čtyři státy EU (Švédsko, Irsko, Litva a Itálie). V celé </w:t>
      </w:r>
      <w:r>
        <w:rPr>
          <w:sz w:val="16"/>
          <w:szCs w:val="16"/>
        </w:rPr>
        <w:t>EU dosahovala tato míra 23</w:t>
      </w:r>
      <w:r w:rsidRPr="00194DD5">
        <w:rPr>
          <w:sz w:val="16"/>
          <w:szCs w:val="16"/>
        </w:rPr>
        <w:t> </w:t>
      </w:r>
      <w:r w:rsidRPr="005F5E64">
        <w:rPr>
          <w:sz w:val="16"/>
          <w:szCs w:val="16"/>
        </w:rPr>
        <w:t>%</w:t>
      </w:r>
      <w:r>
        <w:rPr>
          <w:sz w:val="16"/>
          <w:szCs w:val="16"/>
        </w:rPr>
        <w:t xml:space="preserve">, tj. o 10 p. </w:t>
      </w:r>
      <w:proofErr w:type="spellStart"/>
      <w:r w:rsidRPr="005F5E64">
        <w:rPr>
          <w:sz w:val="16"/>
          <w:szCs w:val="16"/>
        </w:rPr>
        <w:t>b</w:t>
      </w:r>
      <w:proofErr w:type="spellEnd"/>
      <w:r w:rsidRPr="005F5E64">
        <w:rPr>
          <w:sz w:val="16"/>
          <w:szCs w:val="16"/>
        </w:rPr>
        <w:t xml:space="preserve">. </w:t>
      </w:r>
      <w:proofErr w:type="gramStart"/>
      <w:r w:rsidRPr="005F5E64">
        <w:rPr>
          <w:sz w:val="16"/>
          <w:szCs w:val="16"/>
        </w:rPr>
        <w:t>méně</w:t>
      </w:r>
      <w:proofErr w:type="gramEnd"/>
      <w:r w:rsidRPr="005F5E64">
        <w:rPr>
          <w:sz w:val="16"/>
          <w:szCs w:val="16"/>
        </w:rPr>
        <w:t xml:space="preserve"> než </w:t>
      </w:r>
      <w:r>
        <w:rPr>
          <w:sz w:val="16"/>
          <w:szCs w:val="16"/>
        </w:rPr>
        <w:t xml:space="preserve">v </w:t>
      </w:r>
      <w:r w:rsidRPr="005F5E64">
        <w:rPr>
          <w:sz w:val="16"/>
          <w:szCs w:val="16"/>
        </w:rPr>
        <w:t>Česku.</w:t>
      </w:r>
    </w:p>
  </w:footnote>
  <w:footnote w:id="118">
    <w:p w:rsidR="00C805DC" w:rsidRPr="00905D95" w:rsidRDefault="00C805DC" w:rsidP="009540B7">
      <w:pPr>
        <w:pStyle w:val="Textpoznpodarou"/>
        <w:rPr>
          <w:sz w:val="16"/>
          <w:szCs w:val="16"/>
        </w:rPr>
      </w:pPr>
      <w:r w:rsidRPr="00905D95">
        <w:rPr>
          <w:rStyle w:val="Znakapoznpodarou"/>
          <w:sz w:val="16"/>
          <w:szCs w:val="16"/>
        </w:rPr>
        <w:footnoteRef/>
      </w:r>
      <w:r w:rsidRPr="00905D95">
        <w:rPr>
          <w:sz w:val="16"/>
          <w:szCs w:val="16"/>
        </w:rPr>
        <w:t xml:space="preserve"> </w:t>
      </w:r>
      <w:r>
        <w:rPr>
          <w:sz w:val="16"/>
          <w:szCs w:val="16"/>
        </w:rPr>
        <w:t>Subjekty</w:t>
      </w:r>
      <w:r w:rsidRPr="00905D95">
        <w:rPr>
          <w:sz w:val="16"/>
          <w:szCs w:val="16"/>
        </w:rPr>
        <w:t xml:space="preserve">, jež svou převažující činností spadají do odvětví informačních a komunikačních činností, </w:t>
      </w:r>
      <w:r>
        <w:rPr>
          <w:sz w:val="16"/>
          <w:szCs w:val="16"/>
        </w:rPr>
        <w:t>směřovaly</w:t>
      </w:r>
      <w:r w:rsidRPr="00905D95">
        <w:rPr>
          <w:sz w:val="16"/>
          <w:szCs w:val="16"/>
        </w:rPr>
        <w:t xml:space="preserve"> loni na výzkum a vývoj jen 4,3 % </w:t>
      </w:r>
      <w:r>
        <w:rPr>
          <w:sz w:val="16"/>
          <w:szCs w:val="16"/>
        </w:rPr>
        <w:t xml:space="preserve">ze </w:t>
      </w:r>
      <w:r w:rsidRPr="00905D95">
        <w:rPr>
          <w:sz w:val="16"/>
          <w:szCs w:val="16"/>
        </w:rPr>
        <w:t xml:space="preserve">všech </w:t>
      </w:r>
      <w:r>
        <w:rPr>
          <w:sz w:val="16"/>
          <w:szCs w:val="16"/>
        </w:rPr>
        <w:t xml:space="preserve">svých </w:t>
      </w:r>
      <w:r w:rsidRPr="00905D95">
        <w:rPr>
          <w:sz w:val="16"/>
          <w:szCs w:val="16"/>
        </w:rPr>
        <w:t>výdajů do fixního kapitálu.</w:t>
      </w:r>
      <w:r>
        <w:rPr>
          <w:sz w:val="16"/>
          <w:szCs w:val="16"/>
        </w:rPr>
        <w:t xml:space="preserve"> V celé ekonomice činil obdobný podíl 6,3 %.</w:t>
      </w:r>
    </w:p>
  </w:footnote>
  <w:footnote w:id="119">
    <w:p w:rsidR="00C805DC" w:rsidRPr="00A8352E" w:rsidRDefault="00C805DC" w:rsidP="009540B7">
      <w:pPr>
        <w:pStyle w:val="Textpoznpodarou"/>
        <w:rPr>
          <w:sz w:val="16"/>
          <w:szCs w:val="16"/>
        </w:rPr>
      </w:pPr>
      <w:r w:rsidRPr="00A8352E">
        <w:rPr>
          <w:rStyle w:val="Znakapoznpodarou"/>
          <w:sz w:val="16"/>
          <w:szCs w:val="16"/>
        </w:rPr>
        <w:footnoteRef/>
      </w:r>
      <w:r w:rsidRPr="00A8352E">
        <w:rPr>
          <w:sz w:val="16"/>
          <w:szCs w:val="16"/>
        </w:rPr>
        <w:t xml:space="preserve"> Zahrnuje především programování, správu počítačového vybavení a poradenství v oblasti informačních technologií.</w:t>
      </w:r>
    </w:p>
  </w:footnote>
  <w:footnote w:id="120">
    <w:p w:rsidR="00C805DC" w:rsidRPr="002A310F" w:rsidRDefault="00C805DC" w:rsidP="009540B7">
      <w:pPr>
        <w:pStyle w:val="Textpoznpodarou"/>
        <w:jc w:val="both"/>
        <w:rPr>
          <w:rFonts w:cs="Arial"/>
          <w:color w:val="0D0D0D" w:themeColor="text1" w:themeTint="F2"/>
          <w:sz w:val="16"/>
          <w:szCs w:val="16"/>
        </w:rPr>
      </w:pPr>
      <w:r w:rsidRPr="002A310F">
        <w:rPr>
          <w:rStyle w:val="Znakapoznpodarou"/>
          <w:rFonts w:cs="Arial"/>
          <w:color w:val="0D0D0D" w:themeColor="text1" w:themeTint="F2"/>
          <w:sz w:val="16"/>
          <w:szCs w:val="16"/>
        </w:rPr>
        <w:footnoteRef/>
      </w:r>
      <w:r w:rsidRPr="002A310F">
        <w:rPr>
          <w:rFonts w:cs="Arial"/>
          <w:color w:val="0D0D0D" w:themeColor="text1" w:themeTint="F2"/>
          <w:sz w:val="16"/>
          <w:szCs w:val="16"/>
        </w:rPr>
        <w:t xml:space="preserve"> Vývoj výkonů v tomto odvětvovém oddíle zřejmě podpořily i pobídky pro filmovou a televizní produkci (zavedené v ČR od roku 2010 po vzoru okolních evropských států). Pobídky se vztahují jak na české, tak i na zahraniční produkce natáčené v ČR a mají formu vratky ve výši až 20 % tzv. u</w:t>
      </w:r>
      <w:r>
        <w:rPr>
          <w:rFonts w:cs="Arial"/>
          <w:color w:val="0D0D0D" w:themeColor="text1" w:themeTint="F2"/>
          <w:sz w:val="16"/>
          <w:szCs w:val="16"/>
        </w:rPr>
        <w:t>znatelných nákladů směřovaných na</w:t>
      </w:r>
      <w:r w:rsidRPr="002A310F">
        <w:rPr>
          <w:rFonts w:cs="Arial"/>
          <w:color w:val="0D0D0D" w:themeColor="text1" w:themeTint="F2"/>
          <w:sz w:val="16"/>
          <w:szCs w:val="16"/>
        </w:rPr>
        <w:t xml:space="preserve"> audiovizuální produkci.</w:t>
      </w:r>
    </w:p>
  </w:footnote>
  <w:footnote w:id="121">
    <w:p w:rsidR="00C805DC" w:rsidRPr="001D70E9" w:rsidRDefault="00C805DC" w:rsidP="0063201A">
      <w:pPr>
        <w:pStyle w:val="Textpoznpodarou"/>
        <w:rPr>
          <w:spacing w:val="-3"/>
        </w:rPr>
      </w:pPr>
      <w:r w:rsidRPr="001D70E9">
        <w:rPr>
          <w:rStyle w:val="Znakapoznpodarou"/>
          <w:spacing w:val="-3"/>
          <w:sz w:val="16"/>
          <w:szCs w:val="16"/>
        </w:rPr>
        <w:footnoteRef/>
      </w:r>
      <w:r w:rsidRPr="001D70E9">
        <w:rPr>
          <w:spacing w:val="-3"/>
          <w:sz w:val="16"/>
          <w:szCs w:val="16"/>
        </w:rPr>
        <w:t xml:space="preserve"> Pokud není uvedeno jinak, vychází všechny údaje v této kapitole z dat národních účtů, a kde je to relevantní, jsou očištěny o cenové vlivy.</w:t>
      </w:r>
    </w:p>
  </w:footnote>
  <w:footnote w:id="122">
    <w:p w:rsidR="00C805DC" w:rsidRPr="00A918BF" w:rsidRDefault="00C805DC" w:rsidP="0063201A">
      <w:pPr>
        <w:pStyle w:val="Textpoznpodarou"/>
        <w:jc w:val="both"/>
        <w:rPr>
          <w:spacing w:val="-4"/>
          <w:sz w:val="16"/>
          <w:szCs w:val="16"/>
        </w:rPr>
      </w:pPr>
      <w:r w:rsidRPr="00A918BF">
        <w:rPr>
          <w:rStyle w:val="Znakapoznpodarou"/>
          <w:spacing w:val="-4"/>
          <w:sz w:val="16"/>
          <w:szCs w:val="16"/>
        </w:rPr>
        <w:footnoteRef/>
      </w:r>
      <w:r w:rsidRPr="00A918BF">
        <w:rPr>
          <w:spacing w:val="-4"/>
          <w:sz w:val="16"/>
          <w:szCs w:val="16"/>
        </w:rPr>
        <w:t xml:space="preserve"> Hlavní dělicí čára probíhá na úrovni odvětvových sekcí. Je to patrné i z kvalifikační struktury zaměstnanců. Zatímco v profesních, vědeckých a</w:t>
      </w:r>
      <w:r w:rsidRPr="00A918BF">
        <w:rPr>
          <w:spacing w:val="-2"/>
          <w:sz w:val="16"/>
          <w:szCs w:val="16"/>
        </w:rPr>
        <w:t> </w:t>
      </w:r>
      <w:r w:rsidRPr="00A918BF">
        <w:rPr>
          <w:spacing w:val="-4"/>
          <w:sz w:val="16"/>
          <w:szCs w:val="16"/>
        </w:rPr>
        <w:t>technických činnostech tvořili v roce 2017 lidé s vysokoškolským vzděláním nadpoloviční část všech zaměstnanců (51 %), v administrativních a podpůrných činnostech byl jejich podíl (dle údajů MPSV) výrazně nižší (a to i ve srovnání s celou ekonomikou, kde dosahoval 23 %).</w:t>
      </w:r>
    </w:p>
  </w:footnote>
  <w:footnote w:id="123">
    <w:p w:rsidR="00C805DC" w:rsidRPr="00A918BF" w:rsidRDefault="00C805DC" w:rsidP="0063201A">
      <w:pPr>
        <w:pStyle w:val="Textpoznpodarou"/>
        <w:jc w:val="both"/>
        <w:rPr>
          <w:spacing w:val="-2"/>
          <w:sz w:val="16"/>
          <w:szCs w:val="16"/>
        </w:rPr>
      </w:pPr>
      <w:r w:rsidRPr="00A918BF">
        <w:rPr>
          <w:rStyle w:val="Znakapoznpodarou"/>
          <w:spacing w:val="-2"/>
          <w:sz w:val="16"/>
          <w:szCs w:val="16"/>
        </w:rPr>
        <w:footnoteRef/>
      </w:r>
      <w:r w:rsidRPr="00A918BF">
        <w:rPr>
          <w:spacing w:val="-2"/>
          <w:sz w:val="16"/>
          <w:szCs w:val="16"/>
        </w:rPr>
        <w:t xml:space="preserve"> Ve váhově významných dílčích odvětvích – </w:t>
      </w:r>
      <w:r>
        <w:rPr>
          <w:spacing w:val="-2"/>
          <w:sz w:val="16"/>
          <w:szCs w:val="16"/>
        </w:rPr>
        <w:t>č</w:t>
      </w:r>
      <w:r w:rsidRPr="00A918BF">
        <w:rPr>
          <w:spacing w:val="-2"/>
          <w:sz w:val="16"/>
          <w:szCs w:val="16"/>
        </w:rPr>
        <w:t>innosti v obla</w:t>
      </w:r>
      <w:r>
        <w:rPr>
          <w:spacing w:val="-2"/>
          <w:sz w:val="16"/>
          <w:szCs w:val="16"/>
        </w:rPr>
        <w:t>sti pronájmu a leasingu, resp. a</w:t>
      </w:r>
      <w:r w:rsidRPr="00A918BF">
        <w:rPr>
          <w:spacing w:val="-2"/>
          <w:sz w:val="16"/>
          <w:szCs w:val="16"/>
        </w:rPr>
        <w:t>rchitektonické a inženýrské činnosti – hodnotilo v prosinci 2017 celkovou ekonomickou situaci podniku jako dobrou 80 %, resp. 50 % respondentů. Špatné hodnocení pak signalizovala maximálně desetina z nich.</w:t>
      </w:r>
    </w:p>
  </w:footnote>
  <w:footnote w:id="124">
    <w:p w:rsidR="00C805DC" w:rsidRPr="00495A9F" w:rsidRDefault="00C805DC" w:rsidP="0063201A">
      <w:pPr>
        <w:pStyle w:val="Textpoznpodarou"/>
        <w:jc w:val="both"/>
        <w:rPr>
          <w:spacing w:val="-2"/>
          <w:sz w:val="16"/>
          <w:szCs w:val="16"/>
        </w:rPr>
      </w:pPr>
      <w:r w:rsidRPr="00495A9F">
        <w:rPr>
          <w:rStyle w:val="Znakapoznpodarou"/>
          <w:spacing w:val="-2"/>
          <w:sz w:val="16"/>
          <w:szCs w:val="16"/>
        </w:rPr>
        <w:footnoteRef/>
      </w:r>
      <w:r w:rsidRPr="00495A9F">
        <w:rPr>
          <w:spacing w:val="-2"/>
          <w:sz w:val="16"/>
          <w:szCs w:val="16"/>
        </w:rPr>
        <w:t xml:space="preserve"> Nefinanční podniky vytvářely loni 69 % HPH tohoto odvětvového uskupení. Měly více než 80% podíl ve všech odvětvových oddílech v administrativních a podpůrných činnostech a dále také v oddíle činnosti vedení podniků a poradenství v oblasti řízení. Téměř čtvrtinu HPH pak generovali drobní podnikatelé, jejichž role byla zásadní v rámci veterinárních činností (75 %) a právních a účetnických činností (48 %). Vládní sektor přispěl 7,5 %, téměř výhradně díky </w:t>
      </w:r>
      <w:r>
        <w:rPr>
          <w:spacing w:val="-2"/>
          <w:sz w:val="16"/>
          <w:szCs w:val="16"/>
        </w:rPr>
        <w:t>pevn</w:t>
      </w:r>
      <w:r w:rsidRPr="00495A9F">
        <w:rPr>
          <w:spacing w:val="-2"/>
          <w:sz w:val="16"/>
          <w:szCs w:val="16"/>
        </w:rPr>
        <w:t>ému ukotvení ve vědě a výzkumu, kde měl silnější pozici (52 %) než podniky (47 %).</w:t>
      </w:r>
    </w:p>
  </w:footnote>
  <w:footnote w:id="125">
    <w:p w:rsidR="00C805DC" w:rsidRPr="00F24806" w:rsidRDefault="00C805DC" w:rsidP="0063201A">
      <w:pPr>
        <w:pStyle w:val="Textpoznpodarou"/>
        <w:rPr>
          <w:sz w:val="16"/>
          <w:szCs w:val="16"/>
        </w:rPr>
      </w:pPr>
      <w:r w:rsidRPr="00F24806">
        <w:rPr>
          <w:rStyle w:val="Znakapoznpodarou"/>
          <w:sz w:val="16"/>
          <w:szCs w:val="16"/>
        </w:rPr>
        <w:footnoteRef/>
      </w:r>
      <w:r w:rsidRPr="00F24806">
        <w:rPr>
          <w:sz w:val="16"/>
          <w:szCs w:val="16"/>
        </w:rPr>
        <w:t xml:space="preserve"> V roce 2016 činil v celé EU podíl tvorby fixního kapitálu na přidané hodnotě v odvětví </w:t>
      </w:r>
      <w:r w:rsidRPr="00F24806">
        <w:rPr>
          <w:spacing w:val="-2"/>
          <w:sz w:val="16"/>
          <w:szCs w:val="16"/>
        </w:rPr>
        <w:t xml:space="preserve">profesní, vědecké, technické a administrativní činnosti 18 %. Vyšších hodnot nežli ČR dosáhly jen čtyři </w:t>
      </w:r>
      <w:r>
        <w:rPr>
          <w:spacing w:val="-2"/>
          <w:sz w:val="16"/>
          <w:szCs w:val="16"/>
        </w:rPr>
        <w:t xml:space="preserve">unijní </w:t>
      </w:r>
      <w:r w:rsidRPr="00F24806">
        <w:rPr>
          <w:spacing w:val="-2"/>
          <w:sz w:val="16"/>
          <w:szCs w:val="16"/>
        </w:rPr>
        <w:t>státy (mj. Německo a Rakousko).</w:t>
      </w:r>
    </w:p>
  </w:footnote>
  <w:footnote w:id="126">
    <w:p w:rsidR="00C805DC" w:rsidRPr="00396AA7" w:rsidRDefault="00C805DC" w:rsidP="0063201A">
      <w:pPr>
        <w:pStyle w:val="Textpoznpodarou"/>
        <w:jc w:val="both"/>
        <w:rPr>
          <w:spacing w:val="-2"/>
          <w:sz w:val="16"/>
          <w:szCs w:val="16"/>
        </w:rPr>
      </w:pPr>
      <w:r w:rsidRPr="00396AA7">
        <w:rPr>
          <w:rStyle w:val="Znakapoznpodarou"/>
          <w:spacing w:val="-2"/>
          <w:sz w:val="16"/>
          <w:szCs w:val="16"/>
        </w:rPr>
        <w:footnoteRef/>
      </w:r>
      <w:r w:rsidRPr="00396AA7">
        <w:rPr>
          <w:spacing w:val="-2"/>
          <w:sz w:val="16"/>
          <w:szCs w:val="16"/>
        </w:rPr>
        <w:t xml:space="preserve"> Výrazné zpomalení růstových temp ve vědě a výzkumu po roce 2015 souviselo s vyprcháním mimořádného růstového impulsu po dočerpání financí na konci minulého programového období</w:t>
      </w:r>
      <w:r>
        <w:rPr>
          <w:spacing w:val="-2"/>
          <w:sz w:val="16"/>
          <w:szCs w:val="16"/>
        </w:rPr>
        <w:t>. Oproti roku 2016</w:t>
      </w:r>
      <w:r w:rsidRPr="00396AA7">
        <w:rPr>
          <w:spacing w:val="-2"/>
          <w:sz w:val="16"/>
          <w:szCs w:val="16"/>
        </w:rPr>
        <w:t xml:space="preserve"> zde </w:t>
      </w:r>
      <w:r>
        <w:rPr>
          <w:spacing w:val="-2"/>
          <w:sz w:val="16"/>
          <w:szCs w:val="16"/>
        </w:rPr>
        <w:t>vloni vzrostla</w:t>
      </w:r>
      <w:r w:rsidRPr="00396AA7">
        <w:rPr>
          <w:spacing w:val="-2"/>
          <w:sz w:val="16"/>
          <w:szCs w:val="16"/>
        </w:rPr>
        <w:t xml:space="preserve"> HPH jen o 0,4 %.</w:t>
      </w:r>
    </w:p>
  </w:footnote>
  <w:footnote w:id="127">
    <w:p w:rsidR="00C805DC" w:rsidRPr="00396AA7" w:rsidRDefault="00C805DC" w:rsidP="0063201A">
      <w:pPr>
        <w:pStyle w:val="Textpoznpodarou"/>
        <w:jc w:val="both"/>
        <w:rPr>
          <w:spacing w:val="-2"/>
          <w:sz w:val="16"/>
          <w:szCs w:val="16"/>
        </w:rPr>
      </w:pPr>
      <w:r w:rsidRPr="00396AA7">
        <w:rPr>
          <w:rStyle w:val="Znakapoznpodarou"/>
          <w:spacing w:val="-2"/>
          <w:sz w:val="16"/>
          <w:szCs w:val="16"/>
        </w:rPr>
        <w:footnoteRef/>
      </w:r>
      <w:r w:rsidRPr="00396AA7">
        <w:rPr>
          <w:spacing w:val="-2"/>
          <w:sz w:val="16"/>
          <w:szCs w:val="16"/>
        </w:rPr>
        <w:t xml:space="preserve"> Nepříznivou pozici tohoto odvětví např. v produktivitě práce dokresluje i fakt, že se na celkové zaměstnanosti v uskupení profesní, vědecké, technic</w:t>
      </w:r>
      <w:r>
        <w:rPr>
          <w:spacing w:val="-2"/>
          <w:sz w:val="16"/>
          <w:szCs w:val="16"/>
        </w:rPr>
        <w:t>ké a administrativní činnosti</w:t>
      </w:r>
      <w:r w:rsidRPr="00396AA7">
        <w:rPr>
          <w:spacing w:val="-2"/>
          <w:sz w:val="16"/>
          <w:szCs w:val="16"/>
        </w:rPr>
        <w:t xml:space="preserve"> v roce 2017 podílelo 10,2 %, ale na vytvořené hrubé přidané hodnotě jen 3,8 %.</w:t>
      </w:r>
    </w:p>
  </w:footnote>
  <w:footnote w:id="128">
    <w:p w:rsidR="00C805DC" w:rsidRPr="0022569B" w:rsidRDefault="00C805DC" w:rsidP="0063201A">
      <w:pPr>
        <w:pStyle w:val="Textpoznpodarou"/>
        <w:jc w:val="both"/>
        <w:rPr>
          <w:sz w:val="16"/>
          <w:szCs w:val="16"/>
        </w:rPr>
      </w:pPr>
      <w:r w:rsidRPr="00396AA7">
        <w:rPr>
          <w:rStyle w:val="Znakapoznpodarou"/>
          <w:spacing w:val="-2"/>
          <w:sz w:val="16"/>
          <w:szCs w:val="16"/>
        </w:rPr>
        <w:footnoteRef/>
      </w:r>
      <w:r w:rsidRPr="00396AA7">
        <w:rPr>
          <w:spacing w:val="-2"/>
          <w:sz w:val="16"/>
          <w:szCs w:val="16"/>
        </w:rPr>
        <w:t xml:space="preserve"> Zatímco v letech 2014 i 2015 nedosahovala míra zisku podniků v tomto odvětví úrovně celé ekonomiky, loni ji již o 45 % převyšovala. V minulosti zde ale ziskovost značně kolísala, což souvisí s tím, že se jedná o velmi malé</w:t>
      </w:r>
      <w:r>
        <w:rPr>
          <w:spacing w:val="-2"/>
          <w:sz w:val="16"/>
          <w:szCs w:val="16"/>
        </w:rPr>
        <w:t xml:space="preserve"> odvětví. Výši</w:t>
      </w:r>
      <w:r w:rsidRPr="00396AA7">
        <w:rPr>
          <w:spacing w:val="-2"/>
          <w:sz w:val="16"/>
          <w:szCs w:val="16"/>
        </w:rPr>
        <w:t xml:space="preserve"> průměrných mezd (loni zde za celou ekonomikou zaostávala o 15 %) výz</w:t>
      </w:r>
      <w:r>
        <w:rPr>
          <w:spacing w:val="-2"/>
          <w:sz w:val="16"/>
          <w:szCs w:val="16"/>
        </w:rPr>
        <w:t>namně ovlivňuje skutečnost, že d</w:t>
      </w:r>
      <w:r w:rsidRPr="00396AA7">
        <w:rPr>
          <w:spacing w:val="-2"/>
          <w:sz w:val="16"/>
          <w:szCs w:val="16"/>
        </w:rPr>
        <w:t xml:space="preserve">o tohoto odvětví nejsou (dle metodiky národních účtů) zařazeni agenturní pracovníci. V případě jejich započítání, jak je tomu v podnikových statistikách, by se výše průměrné mzdy </w:t>
      </w:r>
      <w:r>
        <w:rPr>
          <w:spacing w:val="-2"/>
          <w:sz w:val="16"/>
          <w:szCs w:val="16"/>
        </w:rPr>
        <w:t xml:space="preserve">dále </w:t>
      </w:r>
      <w:r w:rsidRPr="00396AA7">
        <w:rPr>
          <w:spacing w:val="-2"/>
          <w:sz w:val="16"/>
          <w:szCs w:val="16"/>
        </w:rPr>
        <w:t>výrazněji snížila.</w:t>
      </w:r>
    </w:p>
  </w:footnote>
  <w:footnote w:id="129">
    <w:p w:rsidR="00C805DC" w:rsidRPr="00CA0F97" w:rsidRDefault="00C805DC" w:rsidP="00082A55">
      <w:pPr>
        <w:spacing w:after="0" w:line="240" w:lineRule="auto"/>
        <w:rPr>
          <w:spacing w:val="-2"/>
          <w:sz w:val="16"/>
          <w:szCs w:val="16"/>
        </w:rPr>
      </w:pPr>
      <w:r w:rsidRPr="00CA0F97">
        <w:rPr>
          <w:rStyle w:val="Znakapoznpodarou"/>
          <w:sz w:val="16"/>
          <w:szCs w:val="16"/>
        </w:rPr>
        <w:footnoteRef/>
      </w:r>
      <w:r w:rsidRPr="00CA0F97">
        <w:rPr>
          <w:sz w:val="16"/>
          <w:szCs w:val="16"/>
        </w:rPr>
        <w:t xml:space="preserve"> </w:t>
      </w:r>
      <w:r w:rsidRPr="003B7579">
        <w:rPr>
          <w:spacing w:val="-2"/>
          <w:sz w:val="16"/>
          <w:szCs w:val="16"/>
        </w:rPr>
        <w:t>Pokud</w:t>
      </w:r>
      <w:r w:rsidRPr="00A918BF">
        <w:rPr>
          <w:spacing w:val="-2"/>
          <w:sz w:val="16"/>
          <w:szCs w:val="16"/>
        </w:rPr>
        <w:t xml:space="preserve"> není uvedeno jinak, vychází všechny údaje v této kapitole z dat národních účtů</w:t>
      </w:r>
      <w:r w:rsidR="003B4331">
        <w:rPr>
          <w:spacing w:val="-2"/>
          <w:sz w:val="16"/>
          <w:szCs w:val="16"/>
        </w:rPr>
        <w:t>,</w:t>
      </w:r>
      <w:r w:rsidRPr="00A918BF">
        <w:rPr>
          <w:spacing w:val="-2"/>
          <w:sz w:val="16"/>
          <w:szCs w:val="16"/>
        </w:rPr>
        <w:t xml:space="preserve"> a kde je to relevantní, jsou očištěny o cenové vlivy.</w:t>
      </w:r>
      <w:r>
        <w:rPr>
          <w:spacing w:val="-2"/>
          <w:sz w:val="16"/>
          <w:szCs w:val="16"/>
        </w:rPr>
        <w:t xml:space="preserve"> Za </w:t>
      </w:r>
      <w:r w:rsidRPr="00CA0F97">
        <w:rPr>
          <w:sz w:val="16"/>
          <w:szCs w:val="16"/>
        </w:rPr>
        <w:t xml:space="preserve">veřejné služby </w:t>
      </w:r>
      <w:r>
        <w:rPr>
          <w:sz w:val="16"/>
          <w:szCs w:val="16"/>
        </w:rPr>
        <w:t xml:space="preserve">jsou zde </w:t>
      </w:r>
      <w:r w:rsidRPr="00CA0F97">
        <w:rPr>
          <w:sz w:val="16"/>
          <w:szCs w:val="16"/>
        </w:rPr>
        <w:t xml:space="preserve">považovány aktivity spadající do odvětví (dle klasifikace CZ-NACE): </w:t>
      </w:r>
      <w:r w:rsidRPr="00CA0F97">
        <w:rPr>
          <w:spacing w:val="-2"/>
          <w:sz w:val="16"/>
          <w:szCs w:val="16"/>
        </w:rPr>
        <w:t>Veřejná správa a obrana, povinné sociální zabezpečení (O)</w:t>
      </w:r>
      <w:r>
        <w:rPr>
          <w:spacing w:val="-2"/>
          <w:sz w:val="16"/>
          <w:szCs w:val="16"/>
        </w:rPr>
        <w:t xml:space="preserve">, </w:t>
      </w:r>
      <w:r w:rsidRPr="00CA0F97">
        <w:rPr>
          <w:spacing w:val="-2"/>
          <w:sz w:val="16"/>
          <w:szCs w:val="16"/>
        </w:rPr>
        <w:t>Vzdělávání</w:t>
      </w:r>
      <w:r>
        <w:rPr>
          <w:spacing w:val="-2"/>
          <w:sz w:val="16"/>
          <w:szCs w:val="16"/>
        </w:rPr>
        <w:t xml:space="preserve"> (P), </w:t>
      </w:r>
      <w:r w:rsidRPr="00CA0F97">
        <w:rPr>
          <w:spacing w:val="-2"/>
          <w:sz w:val="16"/>
          <w:szCs w:val="16"/>
        </w:rPr>
        <w:t>Zdravotní péče</w:t>
      </w:r>
      <w:r>
        <w:rPr>
          <w:spacing w:val="-2"/>
          <w:sz w:val="16"/>
          <w:szCs w:val="16"/>
        </w:rPr>
        <w:t xml:space="preserve"> (Q86), Pobytové služby sociální péče (Q87), A</w:t>
      </w:r>
      <w:r w:rsidRPr="00CA0F97">
        <w:rPr>
          <w:spacing w:val="-2"/>
          <w:sz w:val="16"/>
          <w:szCs w:val="16"/>
        </w:rPr>
        <w:t>mbulantní nebo terénní sociální služby</w:t>
      </w:r>
      <w:r>
        <w:rPr>
          <w:spacing w:val="-2"/>
          <w:sz w:val="16"/>
          <w:szCs w:val="16"/>
        </w:rPr>
        <w:t xml:space="preserve"> (Q88),</w:t>
      </w:r>
      <w:r w:rsidRPr="00CA0F97">
        <w:rPr>
          <w:spacing w:val="-2"/>
          <w:sz w:val="16"/>
          <w:szCs w:val="16"/>
        </w:rPr>
        <w:t xml:space="preserve"> </w:t>
      </w:r>
      <w:r w:rsidRPr="00B63057">
        <w:rPr>
          <w:spacing w:val="-2"/>
          <w:sz w:val="16"/>
          <w:szCs w:val="16"/>
        </w:rPr>
        <w:t>Tvůrčí, umělecké a zábavní činnosti</w:t>
      </w:r>
      <w:r>
        <w:rPr>
          <w:spacing w:val="-2"/>
          <w:sz w:val="16"/>
          <w:szCs w:val="16"/>
        </w:rPr>
        <w:t xml:space="preserve"> (</w:t>
      </w:r>
      <w:r w:rsidRPr="00CA0F97">
        <w:rPr>
          <w:spacing w:val="-2"/>
          <w:sz w:val="16"/>
          <w:szCs w:val="16"/>
        </w:rPr>
        <w:t>R90</w:t>
      </w:r>
      <w:r>
        <w:rPr>
          <w:spacing w:val="-2"/>
          <w:sz w:val="16"/>
          <w:szCs w:val="16"/>
        </w:rPr>
        <w:t>)</w:t>
      </w:r>
      <w:r w:rsidRPr="00CA0F97">
        <w:rPr>
          <w:spacing w:val="-2"/>
          <w:sz w:val="16"/>
          <w:szCs w:val="16"/>
        </w:rPr>
        <w:t xml:space="preserve"> </w:t>
      </w:r>
      <w:r>
        <w:rPr>
          <w:spacing w:val="-2"/>
          <w:sz w:val="16"/>
          <w:szCs w:val="16"/>
        </w:rPr>
        <w:t xml:space="preserve">a </w:t>
      </w:r>
      <w:r w:rsidRPr="00B63057">
        <w:rPr>
          <w:spacing w:val="-2"/>
          <w:sz w:val="16"/>
          <w:szCs w:val="16"/>
        </w:rPr>
        <w:t>Činnosti knihoven, archivů, muzeí a jiných kulturních zařízení</w:t>
      </w:r>
      <w:r>
        <w:rPr>
          <w:spacing w:val="-2"/>
          <w:sz w:val="16"/>
          <w:szCs w:val="16"/>
        </w:rPr>
        <w:t xml:space="preserve"> (Q91). Tato odvětví se vyznačují klíčovou rolí sektoru vládních institucí (je v rámci nich nejvýznamnějším tvůrcem HPH). Výjimkou jsou jen odvětví A</w:t>
      </w:r>
      <w:r w:rsidRPr="00F2731A">
        <w:rPr>
          <w:spacing w:val="-2"/>
          <w:sz w:val="16"/>
          <w:szCs w:val="16"/>
        </w:rPr>
        <w:t>mbulantní nebo terénní sociální</w:t>
      </w:r>
      <w:r>
        <w:rPr>
          <w:spacing w:val="-2"/>
          <w:sz w:val="16"/>
          <w:szCs w:val="16"/>
        </w:rPr>
        <w:t xml:space="preserve"> služby, kde dominují neziskové instituce sloužící domácnostem (NISD). Bylo však zařazeno z důvodu silných dotačních vazeb na veřejné zdroje financování a také s ohledem na svou logickou návaznost na odvětví zdravotnictví. Mezi veřejné služby nebyly naopak včleněny dvě odvětví s převažující rolí </w:t>
      </w:r>
      <w:r w:rsidR="003B4331">
        <w:rPr>
          <w:spacing w:val="-2"/>
          <w:sz w:val="16"/>
          <w:szCs w:val="16"/>
        </w:rPr>
        <w:t>sektoru vládních institucí</w:t>
      </w:r>
      <w:r>
        <w:rPr>
          <w:spacing w:val="-2"/>
          <w:sz w:val="16"/>
          <w:szCs w:val="16"/>
        </w:rPr>
        <w:t>, ale zároveň i silným postavení podnikové sféry - s</w:t>
      </w:r>
      <w:r w:rsidRPr="00F2731A">
        <w:rPr>
          <w:spacing w:val="-2"/>
          <w:sz w:val="16"/>
          <w:szCs w:val="16"/>
        </w:rPr>
        <w:t>kladování a vedlejší činnosti v</w:t>
      </w:r>
      <w:r>
        <w:rPr>
          <w:spacing w:val="-2"/>
          <w:sz w:val="16"/>
          <w:szCs w:val="16"/>
        </w:rPr>
        <w:t> </w:t>
      </w:r>
      <w:r w:rsidRPr="00F2731A">
        <w:rPr>
          <w:spacing w:val="-2"/>
          <w:sz w:val="16"/>
          <w:szCs w:val="16"/>
        </w:rPr>
        <w:t>dopravě</w:t>
      </w:r>
      <w:r>
        <w:rPr>
          <w:spacing w:val="-2"/>
          <w:sz w:val="16"/>
          <w:szCs w:val="16"/>
        </w:rPr>
        <w:t xml:space="preserve"> (H52) a věda a výzkum (M72). Konečně nebylo zařazeno ani odvětví </w:t>
      </w:r>
      <w:r w:rsidRPr="00815B09">
        <w:rPr>
          <w:spacing w:val="-2"/>
          <w:sz w:val="16"/>
          <w:szCs w:val="16"/>
        </w:rPr>
        <w:t>Činnosti organizací sdružujících osoby za účelem prosazování společných zájmů</w:t>
      </w:r>
      <w:r>
        <w:rPr>
          <w:spacing w:val="-2"/>
          <w:sz w:val="16"/>
          <w:szCs w:val="16"/>
        </w:rPr>
        <w:t xml:space="preserve"> (S94, např. náboženské a politické organizace, odborové svazy), ve kterém výrazně dominují NISD.</w:t>
      </w:r>
    </w:p>
  </w:footnote>
  <w:footnote w:id="130">
    <w:p w:rsidR="00C805DC" w:rsidRPr="000B34C9" w:rsidRDefault="00C805DC" w:rsidP="0060404F">
      <w:pPr>
        <w:pStyle w:val="Textpoznpodarou"/>
        <w:jc w:val="both"/>
        <w:rPr>
          <w:sz w:val="16"/>
          <w:szCs w:val="16"/>
        </w:rPr>
      </w:pPr>
      <w:r w:rsidRPr="000B34C9">
        <w:rPr>
          <w:rStyle w:val="Znakapoznpodarou"/>
          <w:sz w:val="16"/>
          <w:szCs w:val="16"/>
        </w:rPr>
        <w:footnoteRef/>
      </w:r>
      <w:r w:rsidRPr="000B34C9">
        <w:rPr>
          <w:sz w:val="16"/>
          <w:szCs w:val="16"/>
        </w:rPr>
        <w:t xml:space="preserve"> Podíl </w:t>
      </w:r>
      <w:proofErr w:type="spellStart"/>
      <w:r w:rsidRPr="000B34C9">
        <w:rPr>
          <w:sz w:val="16"/>
          <w:szCs w:val="16"/>
        </w:rPr>
        <w:t>mezispotřeby</w:t>
      </w:r>
      <w:proofErr w:type="spellEnd"/>
      <w:r w:rsidRPr="000B34C9">
        <w:rPr>
          <w:sz w:val="16"/>
          <w:szCs w:val="16"/>
        </w:rPr>
        <w:t xml:space="preserve"> na celkové produkci je ve veřejných službách dlouhodobě nejnižší ze všech hlavních odvětví ekonomiky. V roce 2017 činil ve zdravotnictví 0,36, ve veřejné správě, obraně a povinném sociálním zabezpečení 0,31 a ve vzdělávání dokonce jen 0,21.</w:t>
      </w:r>
    </w:p>
  </w:footnote>
  <w:footnote w:id="131">
    <w:p w:rsidR="00C805DC" w:rsidRPr="00493160" w:rsidRDefault="00C805DC" w:rsidP="0060404F">
      <w:pPr>
        <w:pStyle w:val="Textpoznpodarou"/>
        <w:jc w:val="both"/>
        <w:rPr>
          <w:sz w:val="16"/>
          <w:szCs w:val="16"/>
        </w:rPr>
      </w:pPr>
      <w:r w:rsidRPr="00493160">
        <w:rPr>
          <w:rStyle w:val="Znakapoznpodarou"/>
          <w:sz w:val="16"/>
          <w:szCs w:val="16"/>
        </w:rPr>
        <w:footnoteRef/>
      </w:r>
      <w:r w:rsidRPr="00493160">
        <w:rPr>
          <w:sz w:val="16"/>
          <w:szCs w:val="16"/>
        </w:rPr>
        <w:t xml:space="preserve"> S výjimkou odvětví zdravotní péče a tvůrčích, uměleckých a zábavních činností se praktický veškerá HPH ve veřejných službách „přelévá“ do náhrad zaměstnancům (mezd platů a povinných odvodů na sociálním pojistném). </w:t>
      </w:r>
    </w:p>
  </w:footnote>
  <w:footnote w:id="132">
    <w:p w:rsidR="00C805DC" w:rsidRPr="00715C4E" w:rsidRDefault="00C805DC" w:rsidP="00082A55">
      <w:pPr>
        <w:pStyle w:val="Textpoznpodarou"/>
        <w:jc w:val="both"/>
        <w:rPr>
          <w:sz w:val="16"/>
          <w:szCs w:val="16"/>
        </w:rPr>
      </w:pPr>
      <w:r w:rsidRPr="00715C4E">
        <w:rPr>
          <w:rStyle w:val="Znakapoznpodarou"/>
          <w:sz w:val="16"/>
          <w:szCs w:val="16"/>
        </w:rPr>
        <w:footnoteRef/>
      </w:r>
      <w:r w:rsidRPr="00715C4E">
        <w:rPr>
          <w:sz w:val="16"/>
          <w:szCs w:val="16"/>
        </w:rPr>
        <w:t xml:space="preserve"> Ve srovnání s konjunkturním rokem 2007 se reálné výdaje na mzdy a platy ve veřejných službách zvýšily o 26 %, zatímco v celé ekonomice o 20 %. Příčinou disproporce je silnější reakce podnikové sféry na nepříznivý vývoj ekonomiky v roce 2009.</w:t>
      </w:r>
    </w:p>
  </w:footnote>
  <w:footnote w:id="133">
    <w:p w:rsidR="00C805DC" w:rsidRPr="00A51FDE" w:rsidRDefault="00C805DC" w:rsidP="00082A55">
      <w:pPr>
        <w:pStyle w:val="Textpoznpodarou"/>
        <w:rPr>
          <w:color w:val="0D0D0D" w:themeColor="text1" w:themeTint="F2"/>
          <w:sz w:val="16"/>
          <w:szCs w:val="16"/>
        </w:rPr>
      </w:pPr>
      <w:r w:rsidRPr="00A51FDE">
        <w:rPr>
          <w:rStyle w:val="Znakapoznpodarou"/>
          <w:color w:val="0D0D0D" w:themeColor="text1" w:themeTint="F2"/>
          <w:sz w:val="16"/>
          <w:szCs w:val="16"/>
        </w:rPr>
        <w:footnoteRef/>
      </w:r>
      <w:r w:rsidRPr="00A51FDE">
        <w:rPr>
          <w:color w:val="0D0D0D" w:themeColor="text1" w:themeTint="F2"/>
          <w:sz w:val="16"/>
          <w:szCs w:val="16"/>
        </w:rPr>
        <w:t xml:space="preserve"> Po přepočtu na plné úvazky. Údaje o zaměstnanosti i mzdách vychází z pojetí národních účtů. </w:t>
      </w:r>
      <w:r w:rsidRPr="00A51FDE">
        <w:rPr>
          <w:iCs/>
          <w:color w:val="0D0D0D" w:themeColor="text1" w:themeTint="F2"/>
          <w:sz w:val="16"/>
          <w:szCs w:val="16"/>
        </w:rPr>
        <w:t xml:space="preserve">Objem mezd a platů zahrnuje veškeré příjmy ze zaměstnání, a to v peněžní i naturální podobě (zaměstnanecké </w:t>
      </w:r>
      <w:proofErr w:type="spellStart"/>
      <w:r w:rsidRPr="00A51FDE">
        <w:rPr>
          <w:iCs/>
          <w:color w:val="0D0D0D" w:themeColor="text1" w:themeTint="F2"/>
          <w:sz w:val="16"/>
          <w:szCs w:val="16"/>
        </w:rPr>
        <w:t>benefity</w:t>
      </w:r>
      <w:proofErr w:type="spellEnd"/>
      <w:r w:rsidRPr="00A51FDE">
        <w:rPr>
          <w:iCs/>
          <w:color w:val="0D0D0D" w:themeColor="text1" w:themeTint="F2"/>
          <w:sz w:val="16"/>
          <w:szCs w:val="16"/>
        </w:rPr>
        <w:t>) bez ohledu na to, jestli byly oficiálně přiznány.</w:t>
      </w:r>
    </w:p>
  </w:footnote>
  <w:footnote w:id="134">
    <w:p w:rsidR="00C805DC" w:rsidRPr="00502826" w:rsidRDefault="00C805DC" w:rsidP="00082A55">
      <w:pPr>
        <w:pStyle w:val="Textpoznpodarou"/>
        <w:jc w:val="both"/>
        <w:rPr>
          <w:spacing w:val="-2"/>
          <w:sz w:val="16"/>
          <w:szCs w:val="16"/>
        </w:rPr>
      </w:pPr>
      <w:r w:rsidRPr="00502826">
        <w:rPr>
          <w:rStyle w:val="Znakapoznpodarou"/>
          <w:spacing w:val="-2"/>
          <w:sz w:val="16"/>
          <w:szCs w:val="16"/>
        </w:rPr>
        <w:footnoteRef/>
      </w:r>
      <w:r w:rsidRPr="00502826">
        <w:rPr>
          <w:spacing w:val="-2"/>
          <w:sz w:val="16"/>
          <w:szCs w:val="16"/>
        </w:rPr>
        <w:t xml:space="preserve"> Vysoké průměrné výdělky v tomto odvětví souvisely </w:t>
      </w:r>
      <w:r>
        <w:rPr>
          <w:spacing w:val="-2"/>
          <w:sz w:val="16"/>
          <w:szCs w:val="16"/>
        </w:rPr>
        <w:t xml:space="preserve">také </w:t>
      </w:r>
      <w:r w:rsidRPr="00502826">
        <w:rPr>
          <w:spacing w:val="-2"/>
          <w:sz w:val="16"/>
          <w:szCs w:val="16"/>
        </w:rPr>
        <w:t xml:space="preserve">s širším pojetím mezd </w:t>
      </w:r>
      <w:r>
        <w:rPr>
          <w:spacing w:val="-2"/>
          <w:sz w:val="16"/>
          <w:szCs w:val="16"/>
        </w:rPr>
        <w:t xml:space="preserve">a platů </w:t>
      </w:r>
      <w:r w:rsidRPr="00502826">
        <w:rPr>
          <w:spacing w:val="-2"/>
          <w:sz w:val="16"/>
          <w:szCs w:val="16"/>
        </w:rPr>
        <w:t xml:space="preserve">než v podnikové statistice. </w:t>
      </w:r>
      <w:r>
        <w:rPr>
          <w:spacing w:val="-2"/>
          <w:sz w:val="16"/>
          <w:szCs w:val="16"/>
        </w:rPr>
        <w:t>Jsou zde zahrnuty i</w:t>
      </w:r>
      <w:r w:rsidRPr="00502826">
        <w:rPr>
          <w:spacing w:val="-2"/>
          <w:sz w:val="16"/>
          <w:szCs w:val="16"/>
        </w:rPr>
        <w:t xml:space="preserve"> zaměstnanecké </w:t>
      </w:r>
      <w:proofErr w:type="spellStart"/>
      <w:r w:rsidRPr="00502826">
        <w:rPr>
          <w:spacing w:val="-2"/>
          <w:sz w:val="16"/>
          <w:szCs w:val="16"/>
        </w:rPr>
        <w:t>benefity</w:t>
      </w:r>
      <w:proofErr w:type="spellEnd"/>
      <w:r w:rsidRPr="00502826">
        <w:rPr>
          <w:spacing w:val="-2"/>
          <w:sz w:val="16"/>
          <w:szCs w:val="16"/>
        </w:rPr>
        <w:t xml:space="preserve"> (v peněžní i naturální podobě). Výši výdělků ovlivňuje i skutečnost, že v tomto odvětví jako</w:t>
      </w:r>
      <w:r>
        <w:rPr>
          <w:spacing w:val="-2"/>
          <w:sz w:val="16"/>
          <w:szCs w:val="16"/>
        </w:rPr>
        <w:t xml:space="preserve"> v</w:t>
      </w:r>
      <w:r w:rsidRPr="00502826">
        <w:rPr>
          <w:spacing w:val="-2"/>
          <w:sz w:val="16"/>
          <w:szCs w:val="16"/>
        </w:rPr>
        <w:t xml:space="preserve"> jediném z veřejných </w:t>
      </w:r>
      <w:r>
        <w:rPr>
          <w:spacing w:val="-2"/>
          <w:sz w:val="16"/>
          <w:szCs w:val="16"/>
        </w:rPr>
        <w:t>služeb počet zaměstnanců</w:t>
      </w:r>
      <w:r w:rsidRPr="00502826">
        <w:rPr>
          <w:spacing w:val="-2"/>
          <w:sz w:val="16"/>
          <w:szCs w:val="16"/>
        </w:rPr>
        <w:t xml:space="preserve"> za posledních dese</w:t>
      </w:r>
      <w:r>
        <w:rPr>
          <w:spacing w:val="-2"/>
          <w:sz w:val="16"/>
          <w:szCs w:val="16"/>
        </w:rPr>
        <w:t>t let kles</w:t>
      </w:r>
      <w:r w:rsidRPr="00502826">
        <w:rPr>
          <w:spacing w:val="-2"/>
          <w:sz w:val="16"/>
          <w:szCs w:val="16"/>
        </w:rPr>
        <w:t>a</w:t>
      </w:r>
      <w:r>
        <w:rPr>
          <w:spacing w:val="-2"/>
          <w:sz w:val="16"/>
          <w:szCs w:val="16"/>
        </w:rPr>
        <w:t>l</w:t>
      </w:r>
      <w:r w:rsidRPr="00502826">
        <w:rPr>
          <w:spacing w:val="-2"/>
          <w:sz w:val="16"/>
          <w:szCs w:val="16"/>
        </w:rPr>
        <w:t xml:space="preserve"> (o 3,2 %). </w:t>
      </w:r>
      <w:r>
        <w:rPr>
          <w:spacing w:val="-2"/>
          <w:sz w:val="16"/>
          <w:szCs w:val="16"/>
        </w:rPr>
        <w:t>Naopak např. v oblasti zdravotní péče byl vloni vyšší o pětinu a v úhrnu za veřejné služby o 8,6 %.</w:t>
      </w:r>
    </w:p>
  </w:footnote>
  <w:footnote w:id="135">
    <w:p w:rsidR="00C805DC" w:rsidRPr="00287778" w:rsidRDefault="00C805DC" w:rsidP="00082A55">
      <w:pPr>
        <w:pStyle w:val="Textpoznpodarou"/>
        <w:jc w:val="both"/>
        <w:rPr>
          <w:sz w:val="16"/>
          <w:szCs w:val="16"/>
        </w:rPr>
      </w:pPr>
      <w:r w:rsidRPr="00287778">
        <w:rPr>
          <w:rStyle w:val="Znakapoznpodarou"/>
          <w:sz w:val="16"/>
          <w:szCs w:val="16"/>
        </w:rPr>
        <w:footnoteRef/>
      </w:r>
      <w:r w:rsidRPr="00287778">
        <w:rPr>
          <w:sz w:val="16"/>
          <w:szCs w:val="16"/>
        </w:rPr>
        <w:t xml:space="preserve"> Dle údajů ze strukturální mzdové statistiky tvořili vloni lidé s v</w:t>
      </w:r>
      <w:r>
        <w:rPr>
          <w:sz w:val="16"/>
          <w:szCs w:val="16"/>
        </w:rPr>
        <w:t xml:space="preserve">ysokoškolským vzděláním 56 % </w:t>
      </w:r>
      <w:r w:rsidRPr="00287778">
        <w:rPr>
          <w:sz w:val="16"/>
          <w:szCs w:val="16"/>
        </w:rPr>
        <w:t xml:space="preserve">všech zaměstnanců ve vzdělávání (nejvíce ze všech dvaceti hlavních odvětví ekonomiky). Výrazně nadprůměrný byl tento podíl i ve </w:t>
      </w:r>
      <w:r w:rsidRPr="00287778">
        <w:rPr>
          <w:spacing w:val="-2"/>
          <w:sz w:val="16"/>
          <w:szCs w:val="16"/>
        </w:rPr>
        <w:t>veřejné správě, obraně a povinném sociálním zabezpečení (41 %), v oblasti zdravotnictví a kultury se shodně pohyboval blízko 30 %.</w:t>
      </w:r>
    </w:p>
  </w:footnote>
  <w:footnote w:id="136">
    <w:p w:rsidR="00C805DC" w:rsidRPr="00E6091C" w:rsidRDefault="00C805DC" w:rsidP="00082A55">
      <w:pPr>
        <w:pStyle w:val="Textpoznpodarou"/>
        <w:rPr>
          <w:sz w:val="16"/>
          <w:szCs w:val="16"/>
        </w:rPr>
      </w:pPr>
      <w:r w:rsidRPr="00E6091C">
        <w:rPr>
          <w:rStyle w:val="Znakapoznpodarou"/>
          <w:sz w:val="16"/>
          <w:szCs w:val="16"/>
        </w:rPr>
        <w:footnoteRef/>
      </w:r>
      <w:r w:rsidRPr="00E6091C">
        <w:rPr>
          <w:sz w:val="16"/>
          <w:szCs w:val="16"/>
        </w:rPr>
        <w:t xml:space="preserve"> Pro tyto účely je vymezena odvětvími NACE: O, P a Q (</w:t>
      </w:r>
      <w:proofErr w:type="spellStart"/>
      <w:r w:rsidRPr="00E6091C">
        <w:rPr>
          <w:sz w:val="16"/>
          <w:szCs w:val="16"/>
        </w:rPr>
        <w:t>tj</w:t>
      </w:r>
      <w:proofErr w:type="spellEnd"/>
      <w:r w:rsidRPr="00E6091C">
        <w:rPr>
          <w:sz w:val="16"/>
          <w:szCs w:val="16"/>
        </w:rPr>
        <w:t>, bez oblasti kultury).</w:t>
      </w:r>
    </w:p>
  </w:footnote>
  <w:footnote w:id="137">
    <w:p w:rsidR="00C805DC" w:rsidRPr="0068776E" w:rsidRDefault="00C805DC" w:rsidP="00082A55">
      <w:pPr>
        <w:pStyle w:val="Textpoznpodarou"/>
        <w:jc w:val="both"/>
        <w:rPr>
          <w:spacing w:val="-2"/>
          <w:sz w:val="16"/>
          <w:szCs w:val="16"/>
        </w:rPr>
      </w:pPr>
      <w:r w:rsidRPr="0068776E">
        <w:rPr>
          <w:rStyle w:val="Znakapoznpodarou"/>
          <w:spacing w:val="-2"/>
          <w:sz w:val="16"/>
          <w:szCs w:val="16"/>
        </w:rPr>
        <w:footnoteRef/>
      </w:r>
      <w:r w:rsidRPr="0068776E">
        <w:rPr>
          <w:spacing w:val="-2"/>
          <w:sz w:val="16"/>
          <w:szCs w:val="16"/>
        </w:rPr>
        <w:t xml:space="preserve"> Slabší postavení veřejných služeb v těchto státech (EU13) zčásti souvisí s významnou rolí průmyslových podniků po</w:t>
      </w:r>
      <w:r>
        <w:rPr>
          <w:spacing w:val="-2"/>
          <w:sz w:val="16"/>
          <w:szCs w:val="16"/>
        </w:rPr>
        <w:t>d</w:t>
      </w:r>
      <w:r w:rsidRPr="0068776E">
        <w:rPr>
          <w:spacing w:val="-2"/>
          <w:sz w:val="16"/>
          <w:szCs w:val="16"/>
        </w:rPr>
        <w:t xml:space="preserve"> zahraniční kontrolou. Relativní posilování průmyslu v některých (zejména balkánských státech) je motivováno využitím levné pracovní síly. Avšak i když vztáhneme např. HPH ve veřejných službách jen k celému terciárnímu sektoru, dosahovaly v roce 2016 ze zemí EU13 nadprůměrných hodnot jen Maďarsko (29 %), Slovinsko (27,3 %) a Slovensko (27,2 %). V celé EU činil tento podíl 26,6 %, v Česku 25,7 %.</w:t>
      </w:r>
    </w:p>
  </w:footnote>
  <w:footnote w:id="138">
    <w:p w:rsidR="00C805DC" w:rsidRPr="003365AB" w:rsidRDefault="00C805DC" w:rsidP="00082A55">
      <w:pPr>
        <w:pStyle w:val="Textpoznpodarou"/>
        <w:jc w:val="both"/>
        <w:rPr>
          <w:spacing w:val="-2"/>
          <w:sz w:val="16"/>
          <w:szCs w:val="16"/>
        </w:rPr>
      </w:pPr>
      <w:r w:rsidRPr="003365AB">
        <w:rPr>
          <w:rStyle w:val="Znakapoznpodarou"/>
          <w:spacing w:val="-2"/>
          <w:sz w:val="16"/>
          <w:szCs w:val="16"/>
        </w:rPr>
        <w:footnoteRef/>
      </w:r>
      <w:r w:rsidRPr="003365AB">
        <w:rPr>
          <w:spacing w:val="-2"/>
          <w:sz w:val="16"/>
          <w:szCs w:val="16"/>
        </w:rPr>
        <w:t xml:space="preserve"> Údaje vychází ze zdravotnických účtů sestavovaných dle metodického manuálu SHA 2011 (</w:t>
      </w:r>
      <w:proofErr w:type="spellStart"/>
      <w:r w:rsidRPr="003365AB">
        <w:rPr>
          <w:i/>
          <w:spacing w:val="-2"/>
          <w:sz w:val="16"/>
          <w:szCs w:val="16"/>
        </w:rPr>
        <w:t>System</w:t>
      </w:r>
      <w:proofErr w:type="spellEnd"/>
      <w:r w:rsidRPr="003365AB">
        <w:rPr>
          <w:i/>
          <w:spacing w:val="-2"/>
          <w:sz w:val="16"/>
          <w:szCs w:val="16"/>
        </w:rPr>
        <w:t xml:space="preserve"> </w:t>
      </w:r>
      <w:proofErr w:type="spellStart"/>
      <w:r w:rsidRPr="003365AB">
        <w:rPr>
          <w:i/>
          <w:spacing w:val="-2"/>
          <w:sz w:val="16"/>
          <w:szCs w:val="16"/>
        </w:rPr>
        <w:t>of</w:t>
      </w:r>
      <w:proofErr w:type="spellEnd"/>
      <w:r w:rsidRPr="003365AB">
        <w:rPr>
          <w:i/>
          <w:spacing w:val="-2"/>
          <w:sz w:val="16"/>
          <w:szCs w:val="16"/>
        </w:rPr>
        <w:t xml:space="preserve"> </w:t>
      </w:r>
      <w:proofErr w:type="spellStart"/>
      <w:r w:rsidRPr="003365AB">
        <w:rPr>
          <w:i/>
          <w:spacing w:val="-2"/>
          <w:sz w:val="16"/>
          <w:szCs w:val="16"/>
        </w:rPr>
        <w:t>Health</w:t>
      </w:r>
      <w:proofErr w:type="spellEnd"/>
      <w:r w:rsidRPr="003365AB">
        <w:rPr>
          <w:i/>
          <w:spacing w:val="-2"/>
          <w:sz w:val="16"/>
          <w:szCs w:val="16"/>
        </w:rPr>
        <w:t xml:space="preserve"> </w:t>
      </w:r>
      <w:proofErr w:type="spellStart"/>
      <w:r w:rsidRPr="003365AB">
        <w:rPr>
          <w:i/>
          <w:spacing w:val="-2"/>
          <w:sz w:val="16"/>
          <w:szCs w:val="16"/>
        </w:rPr>
        <w:t>Accounts</w:t>
      </w:r>
      <w:proofErr w:type="spellEnd"/>
      <w:r w:rsidRPr="003365AB">
        <w:rPr>
          <w:spacing w:val="-2"/>
          <w:sz w:val="16"/>
          <w:szCs w:val="16"/>
        </w:rPr>
        <w:t>) v mezinárodně srovnatelné metodice. Věcně srovnatelné údaje pokrývají období 2010 až 2016</w:t>
      </w:r>
      <w:r>
        <w:rPr>
          <w:spacing w:val="-2"/>
          <w:sz w:val="16"/>
          <w:szCs w:val="16"/>
        </w:rPr>
        <w:t xml:space="preserve"> (údaje za rok 2016 jsou předběžné). </w:t>
      </w:r>
      <w:r w:rsidRPr="003365AB">
        <w:rPr>
          <w:spacing w:val="-2"/>
          <w:sz w:val="16"/>
          <w:szCs w:val="16"/>
        </w:rPr>
        <w:t>Do zdravotnických účtů jsou zahrnovány jen neinvestiční výdaje související se zdravotní péčí o obyvatele s českým státním občanstvím na území ČR.</w:t>
      </w:r>
    </w:p>
  </w:footnote>
  <w:footnote w:id="139">
    <w:p w:rsidR="00C805DC" w:rsidRPr="00FD0492" w:rsidRDefault="00C805DC" w:rsidP="00082A55">
      <w:pPr>
        <w:pStyle w:val="Textpoznpodarou"/>
        <w:jc w:val="both"/>
        <w:rPr>
          <w:sz w:val="16"/>
          <w:szCs w:val="16"/>
        </w:rPr>
      </w:pPr>
      <w:r w:rsidRPr="00FD0492">
        <w:rPr>
          <w:rStyle w:val="Znakapoznpodarou"/>
          <w:sz w:val="16"/>
          <w:szCs w:val="16"/>
        </w:rPr>
        <w:footnoteRef/>
      </w:r>
      <w:r w:rsidRPr="00FD0492">
        <w:rPr>
          <w:sz w:val="16"/>
          <w:szCs w:val="16"/>
        </w:rPr>
        <w:t xml:space="preserve"> Je urč</w:t>
      </w:r>
      <w:r>
        <w:rPr>
          <w:sz w:val="16"/>
          <w:szCs w:val="16"/>
        </w:rPr>
        <w:t xml:space="preserve">ena chronicky nemocným (primárně </w:t>
      </w:r>
      <w:r w:rsidRPr="00FD0492">
        <w:rPr>
          <w:sz w:val="16"/>
          <w:szCs w:val="16"/>
        </w:rPr>
        <w:t xml:space="preserve">lidem v seniorském věku a ostatním osobám s tělesným </w:t>
      </w:r>
      <w:r>
        <w:rPr>
          <w:sz w:val="16"/>
          <w:szCs w:val="16"/>
        </w:rPr>
        <w:t>či duševním postižením). Zahrnuje dlouhodobou lůžkovou péči v institucionálních zařízeních, dlouhodobou denní péči, stacionáře, centra denních služeb, ale i sociální služby (zejm. chráněné bydlení, sociální rehabilitace) a peněžité dávky (příspěvek na péči, mobilitu či zvláštní pomůcky).</w:t>
      </w:r>
    </w:p>
  </w:footnote>
  <w:footnote w:id="140">
    <w:p w:rsidR="00C805DC" w:rsidRPr="000857B8" w:rsidRDefault="00C805DC" w:rsidP="00082A55">
      <w:pPr>
        <w:pStyle w:val="Textpoznpodarou"/>
        <w:jc w:val="both"/>
        <w:rPr>
          <w:sz w:val="16"/>
          <w:szCs w:val="16"/>
        </w:rPr>
      </w:pPr>
      <w:r w:rsidRPr="000857B8">
        <w:rPr>
          <w:rStyle w:val="Znakapoznpodarou"/>
          <w:sz w:val="16"/>
          <w:szCs w:val="16"/>
        </w:rPr>
        <w:footnoteRef/>
      </w:r>
      <w:r w:rsidRPr="000857B8">
        <w:rPr>
          <w:sz w:val="16"/>
          <w:szCs w:val="16"/>
        </w:rPr>
        <w:t xml:space="preserve"> Redukce souvisí zejména s dlouhodobým snižováním počtu akutních nemocničních lůžek a lůžek v odborných léčebných ústavech. </w:t>
      </w:r>
      <w:r>
        <w:rPr>
          <w:sz w:val="16"/>
          <w:szCs w:val="16"/>
        </w:rPr>
        <w:t xml:space="preserve">Mírně se snižuje také průměrná ošetřovací doba v zařízeních (ta v nemocnicích klesla mezi roky 2010 a 2016 ze 7,3 na 6,2 dne). </w:t>
      </w:r>
    </w:p>
  </w:footnote>
  <w:footnote w:id="141">
    <w:p w:rsidR="00C805DC" w:rsidRPr="00A21902" w:rsidRDefault="00C805DC" w:rsidP="00082A55">
      <w:pPr>
        <w:pStyle w:val="Textpoznpodarou"/>
        <w:jc w:val="both"/>
        <w:rPr>
          <w:spacing w:val="-2"/>
          <w:sz w:val="16"/>
          <w:szCs w:val="16"/>
        </w:rPr>
      </w:pPr>
      <w:r w:rsidRPr="00A21902">
        <w:rPr>
          <w:rStyle w:val="Znakapoznpodarou"/>
          <w:spacing w:val="-2"/>
          <w:sz w:val="16"/>
          <w:szCs w:val="16"/>
        </w:rPr>
        <w:footnoteRef/>
      </w:r>
      <w:r w:rsidRPr="00A21902">
        <w:rPr>
          <w:spacing w:val="-2"/>
          <w:sz w:val="16"/>
          <w:szCs w:val="16"/>
        </w:rPr>
        <w:t xml:space="preserve"> Silné postavení vně EU měly Švýcarsko i Norsko a z mimoevropských států hlavně USA (17 % HDP, nejvyšší podíl mezi státy OECD). V USA byl ale také jako v jediné členské zemi OECD podíl veřejných zdrojů na financování zdravotní péče nižší než 50 % a velmi důležitou roli mělo tradičně soukromé pojištění (s více než třetinovým podílem na celkovém financování). </w:t>
      </w:r>
    </w:p>
  </w:footnote>
  <w:footnote w:id="142">
    <w:p w:rsidR="00C805DC" w:rsidRPr="00A537F0" w:rsidRDefault="00C805DC" w:rsidP="00A537F0">
      <w:pPr>
        <w:pStyle w:val="Textpoznpodarou"/>
        <w:jc w:val="both"/>
        <w:rPr>
          <w:sz w:val="16"/>
          <w:szCs w:val="16"/>
        </w:rPr>
      </w:pPr>
      <w:r w:rsidRPr="00A537F0">
        <w:rPr>
          <w:rStyle w:val="Znakapoznpodarou"/>
          <w:sz w:val="16"/>
          <w:szCs w:val="16"/>
        </w:rPr>
        <w:footnoteRef/>
      </w:r>
      <w:r w:rsidRPr="00A537F0">
        <w:rPr>
          <w:sz w:val="16"/>
          <w:szCs w:val="16"/>
        </w:rPr>
        <w:t xml:space="preserve"> K růstu </w:t>
      </w:r>
      <w:r>
        <w:rPr>
          <w:sz w:val="16"/>
          <w:szCs w:val="16"/>
        </w:rPr>
        <w:t>přispívaly</w:t>
      </w:r>
      <w:r w:rsidRPr="00A537F0">
        <w:rPr>
          <w:sz w:val="16"/>
          <w:szCs w:val="16"/>
        </w:rPr>
        <w:t xml:space="preserve"> především vyšší nemocnost i četnost mimo</w:t>
      </w:r>
      <w:r>
        <w:rPr>
          <w:sz w:val="16"/>
          <w:szCs w:val="16"/>
        </w:rPr>
        <w:t>pracovn</w:t>
      </w:r>
      <w:r w:rsidRPr="00A537F0">
        <w:rPr>
          <w:sz w:val="16"/>
          <w:szCs w:val="16"/>
        </w:rPr>
        <w:t>ích úrazů.</w:t>
      </w:r>
      <w:r>
        <w:rPr>
          <w:sz w:val="16"/>
          <w:szCs w:val="16"/>
        </w:rPr>
        <w:t xml:space="preserve"> Naopak průměrné</w:t>
      </w:r>
      <w:r w:rsidRPr="00A537F0">
        <w:rPr>
          <w:sz w:val="16"/>
          <w:szCs w:val="16"/>
        </w:rPr>
        <w:t xml:space="preserve"> </w:t>
      </w:r>
      <w:r>
        <w:rPr>
          <w:sz w:val="16"/>
          <w:szCs w:val="16"/>
        </w:rPr>
        <w:t xml:space="preserve">procento </w:t>
      </w:r>
      <w:r w:rsidRPr="00A537F0">
        <w:rPr>
          <w:sz w:val="16"/>
          <w:szCs w:val="16"/>
        </w:rPr>
        <w:t>dočasné pracovní neschopnosti vlivem úrazů v zaměstnání v posledním pětiletí stagnovala (v dřívější minulosti i vl</w:t>
      </w:r>
      <w:r>
        <w:rPr>
          <w:sz w:val="16"/>
          <w:szCs w:val="16"/>
        </w:rPr>
        <w:t>i</w:t>
      </w:r>
      <w:r w:rsidRPr="00A537F0">
        <w:rPr>
          <w:sz w:val="16"/>
          <w:szCs w:val="16"/>
        </w:rPr>
        <w:t>vem změn odvětvové</w:t>
      </w:r>
      <w:r>
        <w:rPr>
          <w:sz w:val="16"/>
          <w:szCs w:val="16"/>
        </w:rPr>
        <w:t xml:space="preserve"> sk</w:t>
      </w:r>
      <w:r w:rsidRPr="00A537F0">
        <w:rPr>
          <w:sz w:val="16"/>
          <w:szCs w:val="16"/>
        </w:rPr>
        <w:t>l</w:t>
      </w:r>
      <w:r>
        <w:rPr>
          <w:sz w:val="16"/>
          <w:szCs w:val="16"/>
        </w:rPr>
        <w:t>a</w:t>
      </w:r>
      <w:r w:rsidRPr="00A537F0">
        <w:rPr>
          <w:sz w:val="16"/>
          <w:szCs w:val="16"/>
        </w:rPr>
        <w:t>dbě ekonomiky klesala).</w:t>
      </w:r>
    </w:p>
  </w:footnote>
  <w:footnote w:id="143">
    <w:p w:rsidR="00C805DC" w:rsidRPr="00A21902" w:rsidRDefault="00C805DC" w:rsidP="00A537F0">
      <w:pPr>
        <w:pStyle w:val="Textpoznpodarou"/>
        <w:jc w:val="both"/>
        <w:rPr>
          <w:spacing w:val="-3"/>
          <w:sz w:val="16"/>
          <w:szCs w:val="16"/>
        </w:rPr>
      </w:pPr>
      <w:r w:rsidRPr="00A21902">
        <w:rPr>
          <w:rStyle w:val="Znakapoznpodarou"/>
          <w:spacing w:val="-3"/>
          <w:sz w:val="16"/>
          <w:szCs w:val="16"/>
        </w:rPr>
        <w:footnoteRef/>
      </w:r>
      <w:r>
        <w:rPr>
          <w:spacing w:val="-3"/>
          <w:sz w:val="16"/>
          <w:szCs w:val="16"/>
        </w:rPr>
        <w:t xml:space="preserve"> Dočasnou p</w:t>
      </w:r>
      <w:r w:rsidRPr="00A21902">
        <w:rPr>
          <w:spacing w:val="-3"/>
          <w:sz w:val="16"/>
          <w:szCs w:val="16"/>
        </w:rPr>
        <w:t>racovní neschopnost vyšší než 5 % vykázaly v roce 2016 Zlínský, Moravskoslezský  Jihočes</w:t>
      </w:r>
      <w:r>
        <w:rPr>
          <w:spacing w:val="-3"/>
          <w:sz w:val="16"/>
          <w:szCs w:val="16"/>
        </w:rPr>
        <w:t>ký kraj (naopak v Praze jen 3,2</w:t>
      </w:r>
      <w:r w:rsidRPr="00A21902">
        <w:rPr>
          <w:spacing w:val="-2"/>
          <w:sz w:val="16"/>
          <w:szCs w:val="16"/>
        </w:rPr>
        <w:t> </w:t>
      </w:r>
      <w:r w:rsidRPr="00A21902">
        <w:rPr>
          <w:spacing w:val="-3"/>
          <w:sz w:val="16"/>
          <w:szCs w:val="16"/>
        </w:rPr>
        <w:t xml:space="preserve">%), z hlavních odvětví pak </w:t>
      </w:r>
      <w:r w:rsidRPr="00A21902">
        <w:rPr>
          <w:spacing w:val="-4"/>
          <w:sz w:val="16"/>
          <w:szCs w:val="16"/>
        </w:rPr>
        <w:t>těžba a dobývání, zpracovatelský průmysl, zemědělství, lesnictví i rybářství</w:t>
      </w:r>
      <w:r>
        <w:rPr>
          <w:spacing w:val="-4"/>
          <w:sz w:val="16"/>
          <w:szCs w:val="16"/>
        </w:rPr>
        <w:t xml:space="preserve"> a též</w:t>
      </w:r>
      <w:r w:rsidRPr="00A21902">
        <w:rPr>
          <w:spacing w:val="-4"/>
          <w:sz w:val="16"/>
          <w:szCs w:val="16"/>
        </w:rPr>
        <w:t xml:space="preserve"> administrativní a podpůrné činnosti.</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5DC" w:rsidRPr="00601A2E" w:rsidRDefault="00C805DC" w:rsidP="00601A2E">
    <w:pPr>
      <w:pStyle w:val="Zhlav"/>
    </w:pPr>
    <w:r>
      <w:t>Analýza ekonomického vývoje v roce 2017</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05DC" w:rsidRDefault="00C805DC" w:rsidP="00937AE2">
    <w:pPr>
      <w:pStyle w:val="Zhlav"/>
    </w:pPr>
    <w:r>
      <w:t>Analýza ekonomického vývoje v roce 2017</w:t>
    </w:r>
  </w:p>
  <w:p w:rsidR="00C805DC" w:rsidRPr="006F5416" w:rsidRDefault="00C805DC" w:rsidP="00937AE2">
    <w:pPr>
      <w:pStyle w:val="Zhlav"/>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1.25pt;height:11.25pt" o:bullet="t">
        <v:imagedata r:id="rId1" o:title="msoFAAF"/>
      </v:shape>
    </w:pict>
  </w:numPicBullet>
  <w:abstractNum w:abstractNumId="0">
    <w:nsid w:val="FFFFFF7C"/>
    <w:multiLevelType w:val="singleLevel"/>
    <w:tmpl w:val="49CEEC48"/>
    <w:lvl w:ilvl="0">
      <w:start w:val="1"/>
      <w:numFmt w:val="decimal"/>
      <w:lvlText w:val="%1."/>
      <w:lvlJc w:val="left"/>
      <w:pPr>
        <w:tabs>
          <w:tab w:val="num" w:pos="1492"/>
        </w:tabs>
        <w:ind w:left="1492" w:hanging="360"/>
      </w:pPr>
    </w:lvl>
  </w:abstractNum>
  <w:abstractNum w:abstractNumId="1">
    <w:nsid w:val="FFFFFF7D"/>
    <w:multiLevelType w:val="singleLevel"/>
    <w:tmpl w:val="FEC69A9E"/>
    <w:lvl w:ilvl="0">
      <w:start w:val="1"/>
      <w:numFmt w:val="decimal"/>
      <w:lvlText w:val="%1."/>
      <w:lvlJc w:val="left"/>
      <w:pPr>
        <w:tabs>
          <w:tab w:val="num" w:pos="1209"/>
        </w:tabs>
        <w:ind w:left="1209" w:hanging="360"/>
      </w:pPr>
    </w:lvl>
  </w:abstractNum>
  <w:abstractNum w:abstractNumId="2">
    <w:nsid w:val="FFFFFF7E"/>
    <w:multiLevelType w:val="singleLevel"/>
    <w:tmpl w:val="437A1C9C"/>
    <w:lvl w:ilvl="0">
      <w:start w:val="1"/>
      <w:numFmt w:val="decimal"/>
      <w:lvlText w:val="%1."/>
      <w:lvlJc w:val="left"/>
      <w:pPr>
        <w:tabs>
          <w:tab w:val="num" w:pos="926"/>
        </w:tabs>
        <w:ind w:left="926" w:hanging="360"/>
      </w:pPr>
    </w:lvl>
  </w:abstractNum>
  <w:abstractNum w:abstractNumId="3">
    <w:nsid w:val="FFFFFF7F"/>
    <w:multiLevelType w:val="singleLevel"/>
    <w:tmpl w:val="5B762300"/>
    <w:lvl w:ilvl="0">
      <w:start w:val="1"/>
      <w:numFmt w:val="decimal"/>
      <w:lvlText w:val="%1."/>
      <w:lvlJc w:val="left"/>
      <w:pPr>
        <w:tabs>
          <w:tab w:val="num" w:pos="643"/>
        </w:tabs>
        <w:ind w:left="643" w:hanging="360"/>
      </w:pPr>
    </w:lvl>
  </w:abstractNum>
  <w:abstractNum w:abstractNumId="4">
    <w:nsid w:val="FFFFFF80"/>
    <w:multiLevelType w:val="singleLevel"/>
    <w:tmpl w:val="F6965B5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30DE276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1C7AED3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168C5BA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C7C8EEA8"/>
    <w:lvl w:ilvl="0">
      <w:start w:val="1"/>
      <w:numFmt w:val="decimal"/>
      <w:lvlText w:val="%1."/>
      <w:lvlJc w:val="left"/>
      <w:pPr>
        <w:tabs>
          <w:tab w:val="num" w:pos="360"/>
        </w:tabs>
        <w:ind w:left="360" w:hanging="360"/>
      </w:pPr>
    </w:lvl>
  </w:abstractNum>
  <w:abstractNum w:abstractNumId="9">
    <w:nsid w:val="FFFFFF89"/>
    <w:multiLevelType w:val="singleLevel"/>
    <w:tmpl w:val="918AD8C2"/>
    <w:lvl w:ilvl="0">
      <w:start w:val="1"/>
      <w:numFmt w:val="bullet"/>
      <w:lvlText w:val=""/>
      <w:lvlJc w:val="left"/>
      <w:pPr>
        <w:tabs>
          <w:tab w:val="num" w:pos="360"/>
        </w:tabs>
        <w:ind w:left="360" w:hanging="360"/>
      </w:pPr>
      <w:rPr>
        <w:rFonts w:ascii="Symbol" w:hAnsi="Symbol" w:hint="default"/>
      </w:rPr>
    </w:lvl>
  </w:abstractNum>
  <w:abstractNum w:abstractNumId="10">
    <w:nsid w:val="18B35353"/>
    <w:multiLevelType w:val="multilevel"/>
    <w:tmpl w:val="1C0E9EAE"/>
    <w:name w:val="Analyza"/>
    <w:lvl w:ilvl="0">
      <w:start w:val="1"/>
      <w:numFmt w:val="decimal"/>
      <w:suff w:val="space"/>
      <w:lvlText w:val="%1"/>
      <w:lvlJc w:val="left"/>
      <w:pPr>
        <w:ind w:left="432" w:hanging="432"/>
      </w:pPr>
      <w:rPr>
        <w:rFonts w:hint="default"/>
      </w:rPr>
    </w:lvl>
    <w:lvl w:ilvl="1">
      <w:start w:val="1"/>
      <w:numFmt w:val="decimal"/>
      <w:suff w:val="space"/>
      <w:lvlText w:val="%1.%2"/>
      <w:lvlJc w:val="left"/>
      <w:pPr>
        <w:ind w:left="576" w:hanging="576"/>
      </w:pPr>
      <w:rPr>
        <w:rFonts w:hint="default"/>
        <w:i w:val="0"/>
      </w:rPr>
    </w:lvl>
    <w:lvl w:ilvl="2">
      <w:start w:val="1"/>
      <w:numFmt w:val="decimal"/>
      <w:suff w:val="space"/>
      <w:lvlText w:val="%1.%2.%3"/>
      <w:lvlJc w:val="left"/>
      <w:pPr>
        <w:ind w:left="720" w:hanging="720"/>
      </w:pPr>
      <w:rPr>
        <w:rFonts w:hint="default"/>
      </w:rPr>
    </w:lvl>
    <w:lvl w:ilvl="3">
      <w:start w:val="1"/>
      <w:numFmt w:val="decimal"/>
      <w:suff w:val="space"/>
      <w:lvlText w:val="%1.%2.%3.%4"/>
      <w:lvlJc w:val="left"/>
      <w:pPr>
        <w:ind w:left="864" w:hanging="864"/>
      </w:pPr>
      <w:rPr>
        <w:rFonts w:hint="default"/>
      </w:rPr>
    </w:lvl>
    <w:lvl w:ilvl="4">
      <w:start w:val="1"/>
      <w:numFmt w:val="decimal"/>
      <w:pStyle w:val="Nadpis5"/>
      <w:suff w:val="space"/>
      <w:lvlText w:val="%1.%2.%3.%4.%5"/>
      <w:lvlJc w:val="left"/>
      <w:pPr>
        <w:ind w:left="1008" w:hanging="1008"/>
      </w:pPr>
      <w:rPr>
        <w:rFonts w:hint="default"/>
      </w:rPr>
    </w:lvl>
    <w:lvl w:ilvl="5">
      <w:start w:val="1"/>
      <w:numFmt w:val="decimal"/>
      <w:pStyle w:val="Nadpis6"/>
      <w:suff w:val="space"/>
      <w:lvlText w:val="%1.%2.%3.%4.%5.%6"/>
      <w:lvlJc w:val="left"/>
      <w:pPr>
        <w:ind w:left="1152" w:hanging="1152"/>
      </w:pPr>
      <w:rPr>
        <w:rFonts w:hint="default"/>
      </w:rPr>
    </w:lvl>
    <w:lvl w:ilvl="6">
      <w:start w:val="1"/>
      <w:numFmt w:val="decimal"/>
      <w:pStyle w:val="Nadpis7"/>
      <w:suff w:val="space"/>
      <w:lvlText w:val="%1.%2.%3.%4.%5.%6.%7"/>
      <w:lvlJc w:val="left"/>
      <w:pPr>
        <w:ind w:left="1296" w:hanging="1296"/>
      </w:pPr>
      <w:rPr>
        <w:rFonts w:hint="default"/>
      </w:rPr>
    </w:lvl>
    <w:lvl w:ilvl="7">
      <w:start w:val="1"/>
      <w:numFmt w:val="decimal"/>
      <w:pStyle w:val="Nadpis8"/>
      <w:suff w:val="space"/>
      <w:lvlText w:val="%1.%2.%3.%4.%5.%6.%7.%8"/>
      <w:lvlJc w:val="left"/>
      <w:pPr>
        <w:ind w:left="1440" w:hanging="1440"/>
      </w:pPr>
      <w:rPr>
        <w:rFonts w:hint="default"/>
      </w:rPr>
    </w:lvl>
    <w:lvl w:ilvl="8">
      <w:start w:val="1"/>
      <w:numFmt w:val="decimal"/>
      <w:pStyle w:val="Nadpis9"/>
      <w:suff w:val="space"/>
      <w:lvlText w:val="%1.%2.%3.%4.%5.%6.%7.%8.%9"/>
      <w:lvlJc w:val="left"/>
      <w:pPr>
        <w:ind w:left="1584" w:hanging="1584"/>
      </w:pPr>
      <w:rPr>
        <w:rFonts w:hint="default"/>
      </w:rPr>
    </w:lvl>
  </w:abstractNum>
  <w:abstractNum w:abstractNumId="11">
    <w:nsid w:val="258473A1"/>
    <w:multiLevelType w:val="hybridMultilevel"/>
    <w:tmpl w:val="7984410C"/>
    <w:lvl w:ilvl="0" w:tplc="3712003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28352333"/>
    <w:multiLevelType w:val="multilevel"/>
    <w:tmpl w:val="D0ACFA4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i w: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2A5A7A8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nsid w:val="2C24203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2D106EA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nsid w:val="311355C0"/>
    <w:multiLevelType w:val="multilevel"/>
    <w:tmpl w:val="697E8BE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nsid w:val="39914012"/>
    <w:multiLevelType w:val="multilevel"/>
    <w:tmpl w:val="F380FB8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nsid w:val="48384A27"/>
    <w:multiLevelType w:val="hybridMultilevel"/>
    <w:tmpl w:val="105050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4ADA4287"/>
    <w:multiLevelType w:val="multilevel"/>
    <w:tmpl w:val="1C0E9EAE"/>
    <w:lvl w:ilvl="0">
      <w:start w:val="1"/>
      <w:numFmt w:val="decimal"/>
      <w:suff w:val="space"/>
      <w:lvlText w:val="%1"/>
      <w:lvlJc w:val="left"/>
      <w:pPr>
        <w:ind w:left="432" w:hanging="432"/>
      </w:pPr>
      <w:rPr>
        <w:rFonts w:hint="default"/>
      </w:rPr>
    </w:lvl>
    <w:lvl w:ilvl="1">
      <w:start w:val="1"/>
      <w:numFmt w:val="decimal"/>
      <w:suff w:val="space"/>
      <w:lvlText w:val="%1.%2"/>
      <w:lvlJc w:val="left"/>
      <w:pPr>
        <w:ind w:left="576" w:hanging="576"/>
      </w:pPr>
      <w:rPr>
        <w:rFonts w:hint="default"/>
        <w:i w:val="0"/>
      </w:rPr>
    </w:lvl>
    <w:lvl w:ilvl="2">
      <w:start w:val="1"/>
      <w:numFmt w:val="decimal"/>
      <w:suff w:val="space"/>
      <w:lvlText w:val="%1.%2.%3"/>
      <w:lvlJc w:val="left"/>
      <w:pPr>
        <w:ind w:left="720" w:hanging="720"/>
      </w:pPr>
      <w:rPr>
        <w:rFonts w:hint="default"/>
      </w:rPr>
    </w:lvl>
    <w:lvl w:ilvl="3">
      <w:start w:val="1"/>
      <w:numFmt w:val="decimal"/>
      <w:suff w:val="space"/>
      <w:lvlText w:val="%1.%2.%3.%4"/>
      <w:lvlJc w:val="left"/>
      <w:pPr>
        <w:ind w:left="864" w:hanging="864"/>
      </w:pPr>
      <w:rPr>
        <w:rFonts w:hint="default"/>
      </w:rPr>
    </w:lvl>
    <w:lvl w:ilvl="4">
      <w:start w:val="1"/>
      <w:numFmt w:val="decimal"/>
      <w:suff w:val="space"/>
      <w:lvlText w:val="%1.%2.%3.%4.%5"/>
      <w:lvlJc w:val="left"/>
      <w:pPr>
        <w:ind w:left="1008" w:hanging="1008"/>
      </w:pPr>
      <w:rPr>
        <w:rFonts w:hint="default"/>
      </w:rPr>
    </w:lvl>
    <w:lvl w:ilvl="5">
      <w:start w:val="1"/>
      <w:numFmt w:val="decimal"/>
      <w:suff w:val="space"/>
      <w:lvlText w:val="%1.%2.%3.%4.%5.%6"/>
      <w:lvlJc w:val="left"/>
      <w:pPr>
        <w:ind w:left="1152" w:hanging="1152"/>
      </w:pPr>
      <w:rPr>
        <w:rFonts w:hint="default"/>
      </w:rPr>
    </w:lvl>
    <w:lvl w:ilvl="6">
      <w:start w:val="1"/>
      <w:numFmt w:val="decimal"/>
      <w:suff w:val="space"/>
      <w:lvlText w:val="%1.%2.%3.%4.%5.%6.%7"/>
      <w:lvlJc w:val="left"/>
      <w:pPr>
        <w:ind w:left="1296" w:hanging="1296"/>
      </w:pPr>
      <w:rPr>
        <w:rFonts w:hint="default"/>
      </w:rPr>
    </w:lvl>
    <w:lvl w:ilvl="7">
      <w:start w:val="1"/>
      <w:numFmt w:val="decimal"/>
      <w:suff w:val="space"/>
      <w:lvlText w:val="%1.%2.%3.%4.%5.%6.%7.%8"/>
      <w:lvlJc w:val="left"/>
      <w:pPr>
        <w:ind w:left="1440" w:hanging="1440"/>
      </w:pPr>
      <w:rPr>
        <w:rFonts w:hint="default"/>
      </w:rPr>
    </w:lvl>
    <w:lvl w:ilvl="8">
      <w:start w:val="1"/>
      <w:numFmt w:val="decimal"/>
      <w:suff w:val="space"/>
      <w:lvlText w:val="%1.%2.%3.%4.%5.%6.%7.%8.%9"/>
      <w:lvlJc w:val="left"/>
      <w:pPr>
        <w:ind w:left="1584" w:hanging="1584"/>
      </w:pPr>
      <w:rPr>
        <w:rFonts w:hint="default"/>
      </w:rPr>
    </w:lvl>
  </w:abstractNum>
  <w:abstractNum w:abstractNumId="20">
    <w:nsid w:val="4C581760"/>
    <w:multiLevelType w:val="hybridMultilevel"/>
    <w:tmpl w:val="CFEE97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4E490F3B"/>
    <w:multiLevelType w:val="hybridMultilevel"/>
    <w:tmpl w:val="D64CB604"/>
    <w:lvl w:ilvl="0" w:tplc="67AC8A1C">
      <w:start w:val="1"/>
      <w:numFmt w:val="bullet"/>
      <w:lvlText w:val=""/>
      <w:lvlJc w:val="left"/>
      <w:pPr>
        <w:ind w:left="357" w:hanging="357"/>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8CB210F"/>
    <w:multiLevelType w:val="multilevel"/>
    <w:tmpl w:val="D64CB604"/>
    <w:lvl w:ilvl="0">
      <w:start w:val="1"/>
      <w:numFmt w:val="bullet"/>
      <w:lvlText w:val=""/>
      <w:lvlJc w:val="left"/>
      <w:pPr>
        <w:ind w:left="357" w:hanging="357"/>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3">
    <w:nsid w:val="7B651B2D"/>
    <w:multiLevelType w:val="hybridMultilevel"/>
    <w:tmpl w:val="4C1C2D78"/>
    <w:lvl w:ilvl="0" w:tplc="B01A5632">
      <w:start w:val="1"/>
      <w:numFmt w:val="bullet"/>
      <w:pStyle w:val="Normalodrka"/>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1"/>
  </w:num>
  <w:num w:numId="13">
    <w:abstractNumId w:val="20"/>
  </w:num>
  <w:num w:numId="14">
    <w:abstractNumId w:val="10"/>
  </w:num>
  <w:num w:numId="15">
    <w:abstractNumId w:val="16"/>
  </w:num>
  <w:num w:numId="16">
    <w:abstractNumId w:val="12"/>
  </w:num>
  <w:num w:numId="17">
    <w:abstractNumId w:val="21"/>
  </w:num>
  <w:num w:numId="18">
    <w:abstractNumId w:val="17"/>
  </w:num>
  <w:num w:numId="19">
    <w:abstractNumId w:val="22"/>
  </w:num>
  <w:num w:numId="20">
    <w:abstractNumId w:val="23"/>
  </w:num>
  <w:num w:numId="21">
    <w:abstractNumId w:val="19"/>
  </w:num>
  <w:num w:numId="22">
    <w:abstractNumId w:val="15"/>
  </w:num>
  <w:num w:numId="23">
    <w:abstractNumId w:val="13"/>
  </w:num>
  <w:num w:numId="24">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spelling="clean" w:grammar="clean"/>
  <w:attachedTemplate r:id="rId1"/>
  <w:stylePaneFormatFilter w:val="1001"/>
  <w:stylePaneSortMethod w:val="0004"/>
  <w:defaultTabStop w:val="708"/>
  <w:hyphenationZone w:val="425"/>
  <w:evenAndOddHeaders/>
  <w:drawingGridHorizontalSpacing w:val="110"/>
  <w:displayHorizontalDrawingGridEvery w:val="2"/>
  <w:characterSpacingControl w:val="doNotCompress"/>
  <w:hdrShapeDefaults>
    <o:shapedefaults v:ext="edit" spidmax="6146">
      <o:colormru v:ext="edit" colors="#ecf4dd,#eaecee,#fcec0a,#fcecdb,#f1daf5"/>
    </o:shapedefaults>
  </w:hdrShapeDefaults>
  <w:footnotePr>
    <w:footnote w:id="-1"/>
    <w:footnote w:id="0"/>
  </w:footnotePr>
  <w:endnotePr>
    <w:endnote w:id="-1"/>
    <w:endnote w:id="0"/>
  </w:endnotePr>
  <w:compat/>
  <w:rsids>
    <w:rsidRoot w:val="00F46502"/>
    <w:rsid w:val="0000209D"/>
    <w:rsid w:val="0000437D"/>
    <w:rsid w:val="00004D5A"/>
    <w:rsid w:val="000056D5"/>
    <w:rsid w:val="00006ABD"/>
    <w:rsid w:val="0000767A"/>
    <w:rsid w:val="00007BEF"/>
    <w:rsid w:val="00010256"/>
    <w:rsid w:val="00010702"/>
    <w:rsid w:val="00011912"/>
    <w:rsid w:val="0002195D"/>
    <w:rsid w:val="000234D6"/>
    <w:rsid w:val="00023D29"/>
    <w:rsid w:val="00026389"/>
    <w:rsid w:val="00031AE0"/>
    <w:rsid w:val="000322EF"/>
    <w:rsid w:val="00033FCD"/>
    <w:rsid w:val="00041CEC"/>
    <w:rsid w:val="0004694F"/>
    <w:rsid w:val="000522E4"/>
    <w:rsid w:val="000610E1"/>
    <w:rsid w:val="00062EC5"/>
    <w:rsid w:val="00062F22"/>
    <w:rsid w:val="00067A82"/>
    <w:rsid w:val="000712B3"/>
    <w:rsid w:val="0008263E"/>
    <w:rsid w:val="00082A55"/>
    <w:rsid w:val="00082C19"/>
    <w:rsid w:val="00085395"/>
    <w:rsid w:val="00087634"/>
    <w:rsid w:val="00087F2B"/>
    <w:rsid w:val="00093E3F"/>
    <w:rsid w:val="00093E53"/>
    <w:rsid w:val="00095135"/>
    <w:rsid w:val="00096085"/>
    <w:rsid w:val="000974D1"/>
    <w:rsid w:val="0009799E"/>
    <w:rsid w:val="000A1183"/>
    <w:rsid w:val="000A256D"/>
    <w:rsid w:val="000A3A2C"/>
    <w:rsid w:val="000B525B"/>
    <w:rsid w:val="000C1D78"/>
    <w:rsid w:val="000C3408"/>
    <w:rsid w:val="000C6AFD"/>
    <w:rsid w:val="000D514E"/>
    <w:rsid w:val="000D5637"/>
    <w:rsid w:val="000E6FBD"/>
    <w:rsid w:val="000F030B"/>
    <w:rsid w:val="00100F5C"/>
    <w:rsid w:val="0010106F"/>
    <w:rsid w:val="00101CDA"/>
    <w:rsid w:val="00104C4C"/>
    <w:rsid w:val="00117623"/>
    <w:rsid w:val="0012192F"/>
    <w:rsid w:val="00125D69"/>
    <w:rsid w:val="001405FA"/>
    <w:rsid w:val="00141782"/>
    <w:rsid w:val="001425C3"/>
    <w:rsid w:val="001528B9"/>
    <w:rsid w:val="001612F4"/>
    <w:rsid w:val="00162312"/>
    <w:rsid w:val="0016256B"/>
    <w:rsid w:val="00162A7A"/>
    <w:rsid w:val="00163793"/>
    <w:rsid w:val="001706D6"/>
    <w:rsid w:val="001714F2"/>
    <w:rsid w:val="001730A6"/>
    <w:rsid w:val="00175B9F"/>
    <w:rsid w:val="00181BBC"/>
    <w:rsid w:val="00182799"/>
    <w:rsid w:val="00184B08"/>
    <w:rsid w:val="00185010"/>
    <w:rsid w:val="00186919"/>
    <w:rsid w:val="001916DB"/>
    <w:rsid w:val="00193818"/>
    <w:rsid w:val="001A0487"/>
    <w:rsid w:val="001A0D6B"/>
    <w:rsid w:val="001A552F"/>
    <w:rsid w:val="001B2CA9"/>
    <w:rsid w:val="001B3110"/>
    <w:rsid w:val="001B4729"/>
    <w:rsid w:val="001B6310"/>
    <w:rsid w:val="001B6C09"/>
    <w:rsid w:val="001C05CD"/>
    <w:rsid w:val="001C1B66"/>
    <w:rsid w:val="001D198A"/>
    <w:rsid w:val="001D463E"/>
    <w:rsid w:val="001D68B2"/>
    <w:rsid w:val="001D70E9"/>
    <w:rsid w:val="001E504C"/>
    <w:rsid w:val="001F4597"/>
    <w:rsid w:val="00203DA4"/>
    <w:rsid w:val="002052C6"/>
    <w:rsid w:val="002118B9"/>
    <w:rsid w:val="00217C5B"/>
    <w:rsid w:val="0022139E"/>
    <w:rsid w:val="00222729"/>
    <w:rsid w:val="00222FFB"/>
    <w:rsid w:val="002252E0"/>
    <w:rsid w:val="002255F6"/>
    <w:rsid w:val="00227850"/>
    <w:rsid w:val="00227A53"/>
    <w:rsid w:val="00230C6E"/>
    <w:rsid w:val="00236443"/>
    <w:rsid w:val="00241B06"/>
    <w:rsid w:val="002436BA"/>
    <w:rsid w:val="00244A15"/>
    <w:rsid w:val="00247319"/>
    <w:rsid w:val="0024799E"/>
    <w:rsid w:val="00253C0F"/>
    <w:rsid w:val="002558C1"/>
    <w:rsid w:val="0026207F"/>
    <w:rsid w:val="0026743D"/>
    <w:rsid w:val="00271465"/>
    <w:rsid w:val="00274037"/>
    <w:rsid w:val="00285412"/>
    <w:rsid w:val="00291640"/>
    <w:rsid w:val="002A16D4"/>
    <w:rsid w:val="002A230C"/>
    <w:rsid w:val="002A5D97"/>
    <w:rsid w:val="002B2127"/>
    <w:rsid w:val="002B213A"/>
    <w:rsid w:val="002B38B8"/>
    <w:rsid w:val="002B4845"/>
    <w:rsid w:val="002B6B06"/>
    <w:rsid w:val="002C43BD"/>
    <w:rsid w:val="002D0E59"/>
    <w:rsid w:val="002E02A1"/>
    <w:rsid w:val="002E4E4C"/>
    <w:rsid w:val="00303533"/>
    <w:rsid w:val="00304771"/>
    <w:rsid w:val="003052D4"/>
    <w:rsid w:val="00306C5B"/>
    <w:rsid w:val="003209D6"/>
    <w:rsid w:val="00321924"/>
    <w:rsid w:val="0032656E"/>
    <w:rsid w:val="00330060"/>
    <w:rsid w:val="00332190"/>
    <w:rsid w:val="00336E03"/>
    <w:rsid w:val="0034335E"/>
    <w:rsid w:val="00344668"/>
    <w:rsid w:val="003462D9"/>
    <w:rsid w:val="00347378"/>
    <w:rsid w:val="00360C86"/>
    <w:rsid w:val="00360DE3"/>
    <w:rsid w:val="00360FBC"/>
    <w:rsid w:val="00362E90"/>
    <w:rsid w:val="00364FA0"/>
    <w:rsid w:val="003657F3"/>
    <w:rsid w:val="003818DC"/>
    <w:rsid w:val="00384327"/>
    <w:rsid w:val="00385D3E"/>
    <w:rsid w:val="00385D98"/>
    <w:rsid w:val="003870EE"/>
    <w:rsid w:val="00392244"/>
    <w:rsid w:val="003A2B4D"/>
    <w:rsid w:val="003A2D12"/>
    <w:rsid w:val="003A478C"/>
    <w:rsid w:val="003A5525"/>
    <w:rsid w:val="003A6B38"/>
    <w:rsid w:val="003B4331"/>
    <w:rsid w:val="003B461F"/>
    <w:rsid w:val="003B5A32"/>
    <w:rsid w:val="003C3490"/>
    <w:rsid w:val="003C4BE8"/>
    <w:rsid w:val="003C7E62"/>
    <w:rsid w:val="003D6920"/>
    <w:rsid w:val="003E38BA"/>
    <w:rsid w:val="003E4C91"/>
    <w:rsid w:val="003F313C"/>
    <w:rsid w:val="003F37FC"/>
    <w:rsid w:val="003F3890"/>
    <w:rsid w:val="003F4B2C"/>
    <w:rsid w:val="003F551C"/>
    <w:rsid w:val="003F72ED"/>
    <w:rsid w:val="003F7D23"/>
    <w:rsid w:val="00407C13"/>
    <w:rsid w:val="00410638"/>
    <w:rsid w:val="0041501E"/>
    <w:rsid w:val="004159C3"/>
    <w:rsid w:val="004225C6"/>
    <w:rsid w:val="00432A58"/>
    <w:rsid w:val="00433C0C"/>
    <w:rsid w:val="00434617"/>
    <w:rsid w:val="00436778"/>
    <w:rsid w:val="00440900"/>
    <w:rsid w:val="00441BF6"/>
    <w:rsid w:val="004441A0"/>
    <w:rsid w:val="0045078A"/>
    <w:rsid w:val="0045086D"/>
    <w:rsid w:val="00460FB3"/>
    <w:rsid w:val="00461976"/>
    <w:rsid w:val="00476240"/>
    <w:rsid w:val="00476439"/>
    <w:rsid w:val="0047735C"/>
    <w:rsid w:val="004776BC"/>
    <w:rsid w:val="0048139F"/>
    <w:rsid w:val="00481E40"/>
    <w:rsid w:val="00484ECE"/>
    <w:rsid w:val="004915CB"/>
    <w:rsid w:val="004924DC"/>
    <w:rsid w:val="00493F18"/>
    <w:rsid w:val="004A14E4"/>
    <w:rsid w:val="004A3212"/>
    <w:rsid w:val="004A5494"/>
    <w:rsid w:val="004A61C5"/>
    <w:rsid w:val="004A77DF"/>
    <w:rsid w:val="004B1417"/>
    <w:rsid w:val="004B48DF"/>
    <w:rsid w:val="004B55B7"/>
    <w:rsid w:val="004B6468"/>
    <w:rsid w:val="004B7125"/>
    <w:rsid w:val="004C26B0"/>
    <w:rsid w:val="004C384C"/>
    <w:rsid w:val="004C3867"/>
    <w:rsid w:val="004C4CD0"/>
    <w:rsid w:val="004C5FBF"/>
    <w:rsid w:val="004C70DC"/>
    <w:rsid w:val="004D0211"/>
    <w:rsid w:val="004D0794"/>
    <w:rsid w:val="004E02EB"/>
    <w:rsid w:val="004E326C"/>
    <w:rsid w:val="004F06F5"/>
    <w:rsid w:val="004F16F7"/>
    <w:rsid w:val="004F33A0"/>
    <w:rsid w:val="0050689D"/>
    <w:rsid w:val="005108C0"/>
    <w:rsid w:val="00511873"/>
    <w:rsid w:val="00512A2F"/>
    <w:rsid w:val="00513B7E"/>
    <w:rsid w:val="00515C74"/>
    <w:rsid w:val="00515FFA"/>
    <w:rsid w:val="005173AF"/>
    <w:rsid w:val="0052007E"/>
    <w:rsid w:val="0052337A"/>
    <w:rsid w:val="00525137"/>
    <w:rsid w:val="005251DD"/>
    <w:rsid w:val="00532CE7"/>
    <w:rsid w:val="0053324C"/>
    <w:rsid w:val="00534A28"/>
    <w:rsid w:val="00541508"/>
    <w:rsid w:val="00543498"/>
    <w:rsid w:val="00551238"/>
    <w:rsid w:val="0055599F"/>
    <w:rsid w:val="00556D68"/>
    <w:rsid w:val="00563EB8"/>
    <w:rsid w:val="005647BF"/>
    <w:rsid w:val="00564AF1"/>
    <w:rsid w:val="0057364B"/>
    <w:rsid w:val="00574773"/>
    <w:rsid w:val="00583FFD"/>
    <w:rsid w:val="005911BE"/>
    <w:rsid w:val="00593152"/>
    <w:rsid w:val="005A10F2"/>
    <w:rsid w:val="005A21E0"/>
    <w:rsid w:val="005A28FF"/>
    <w:rsid w:val="005A2C7B"/>
    <w:rsid w:val="005A3DF8"/>
    <w:rsid w:val="005A5549"/>
    <w:rsid w:val="005A7666"/>
    <w:rsid w:val="005B08EB"/>
    <w:rsid w:val="005B121D"/>
    <w:rsid w:val="005C06ED"/>
    <w:rsid w:val="005C2609"/>
    <w:rsid w:val="005D3386"/>
    <w:rsid w:val="005D5802"/>
    <w:rsid w:val="005D7119"/>
    <w:rsid w:val="005D7890"/>
    <w:rsid w:val="005E2A7C"/>
    <w:rsid w:val="005E7C78"/>
    <w:rsid w:val="005F18C5"/>
    <w:rsid w:val="005F3EB1"/>
    <w:rsid w:val="005F46D8"/>
    <w:rsid w:val="005F5469"/>
    <w:rsid w:val="00600079"/>
    <w:rsid w:val="006003D1"/>
    <w:rsid w:val="00601A2E"/>
    <w:rsid w:val="0060404F"/>
    <w:rsid w:val="00604307"/>
    <w:rsid w:val="0060487F"/>
    <w:rsid w:val="00604EAD"/>
    <w:rsid w:val="006104FB"/>
    <w:rsid w:val="0061249B"/>
    <w:rsid w:val="00612A2F"/>
    <w:rsid w:val="00616E05"/>
    <w:rsid w:val="00624093"/>
    <w:rsid w:val="0063201A"/>
    <w:rsid w:val="006350D5"/>
    <w:rsid w:val="006404A7"/>
    <w:rsid w:val="006451E4"/>
    <w:rsid w:val="00645B33"/>
    <w:rsid w:val="00650330"/>
    <w:rsid w:val="006516CB"/>
    <w:rsid w:val="006558BD"/>
    <w:rsid w:val="00657E87"/>
    <w:rsid w:val="00664803"/>
    <w:rsid w:val="00665BA4"/>
    <w:rsid w:val="00666D91"/>
    <w:rsid w:val="00667AF2"/>
    <w:rsid w:val="006710C9"/>
    <w:rsid w:val="00674D89"/>
    <w:rsid w:val="00675E37"/>
    <w:rsid w:val="00680001"/>
    <w:rsid w:val="0068174E"/>
    <w:rsid w:val="00681DCE"/>
    <w:rsid w:val="0068260E"/>
    <w:rsid w:val="006836CB"/>
    <w:rsid w:val="00695BEF"/>
    <w:rsid w:val="006977F6"/>
    <w:rsid w:val="00697A13"/>
    <w:rsid w:val="006A109C"/>
    <w:rsid w:val="006A3E08"/>
    <w:rsid w:val="006A73A6"/>
    <w:rsid w:val="006B0F92"/>
    <w:rsid w:val="006B344A"/>
    <w:rsid w:val="006B4B7B"/>
    <w:rsid w:val="006B78D8"/>
    <w:rsid w:val="006C113F"/>
    <w:rsid w:val="006C123E"/>
    <w:rsid w:val="006C1752"/>
    <w:rsid w:val="006C33B2"/>
    <w:rsid w:val="006C56D4"/>
    <w:rsid w:val="006C6924"/>
    <w:rsid w:val="006C7CA6"/>
    <w:rsid w:val="006D3E8A"/>
    <w:rsid w:val="006D61F6"/>
    <w:rsid w:val="006D64C2"/>
    <w:rsid w:val="006E279A"/>
    <w:rsid w:val="006E313B"/>
    <w:rsid w:val="006E7227"/>
    <w:rsid w:val="006F2595"/>
    <w:rsid w:val="006F438E"/>
    <w:rsid w:val="006F5416"/>
    <w:rsid w:val="00705242"/>
    <w:rsid w:val="00706AD4"/>
    <w:rsid w:val="00707150"/>
    <w:rsid w:val="007140BE"/>
    <w:rsid w:val="00716E3F"/>
    <w:rsid w:val="007211F5"/>
    <w:rsid w:val="007240E2"/>
    <w:rsid w:val="00725BB5"/>
    <w:rsid w:val="00730AE8"/>
    <w:rsid w:val="00730F1B"/>
    <w:rsid w:val="00741493"/>
    <w:rsid w:val="0074369B"/>
    <w:rsid w:val="00750EF8"/>
    <w:rsid w:val="00752180"/>
    <w:rsid w:val="00753CAB"/>
    <w:rsid w:val="00755202"/>
    <w:rsid w:val="00755D3A"/>
    <w:rsid w:val="007578D3"/>
    <w:rsid w:val="007609C6"/>
    <w:rsid w:val="0076175D"/>
    <w:rsid w:val="00763B85"/>
    <w:rsid w:val="0076521E"/>
    <w:rsid w:val="007661E9"/>
    <w:rsid w:val="00775F45"/>
    <w:rsid w:val="00776169"/>
    <w:rsid w:val="00776527"/>
    <w:rsid w:val="00780EF1"/>
    <w:rsid w:val="00783C17"/>
    <w:rsid w:val="00785232"/>
    <w:rsid w:val="00790764"/>
    <w:rsid w:val="0079453C"/>
    <w:rsid w:val="00794677"/>
    <w:rsid w:val="007A516D"/>
    <w:rsid w:val="007B6689"/>
    <w:rsid w:val="007C13A4"/>
    <w:rsid w:val="007C6BBD"/>
    <w:rsid w:val="007C7BAE"/>
    <w:rsid w:val="007D0C24"/>
    <w:rsid w:val="007D40DF"/>
    <w:rsid w:val="007E29B4"/>
    <w:rsid w:val="007E435A"/>
    <w:rsid w:val="007E7E61"/>
    <w:rsid w:val="007F0845"/>
    <w:rsid w:val="007F708D"/>
    <w:rsid w:val="00801E13"/>
    <w:rsid w:val="00807C82"/>
    <w:rsid w:val="00816905"/>
    <w:rsid w:val="00821FF6"/>
    <w:rsid w:val="00822574"/>
    <w:rsid w:val="00825C4D"/>
    <w:rsid w:val="0083143E"/>
    <w:rsid w:val="00831CDE"/>
    <w:rsid w:val="00833BF2"/>
    <w:rsid w:val="00834304"/>
    <w:rsid w:val="00834FAA"/>
    <w:rsid w:val="00836086"/>
    <w:rsid w:val="00846121"/>
    <w:rsid w:val="0084708F"/>
    <w:rsid w:val="008477C8"/>
    <w:rsid w:val="00847931"/>
    <w:rsid w:val="0085114D"/>
    <w:rsid w:val="00852217"/>
    <w:rsid w:val="00855408"/>
    <w:rsid w:val="00856D65"/>
    <w:rsid w:val="00861B41"/>
    <w:rsid w:val="00861BE3"/>
    <w:rsid w:val="00863434"/>
    <w:rsid w:val="00865E4C"/>
    <w:rsid w:val="008701E4"/>
    <w:rsid w:val="00875A32"/>
    <w:rsid w:val="00876086"/>
    <w:rsid w:val="008873D4"/>
    <w:rsid w:val="0089296D"/>
    <w:rsid w:val="00893E85"/>
    <w:rsid w:val="00894031"/>
    <w:rsid w:val="00895508"/>
    <w:rsid w:val="008B7C02"/>
    <w:rsid w:val="008B7D2B"/>
    <w:rsid w:val="008C0049"/>
    <w:rsid w:val="008C0E88"/>
    <w:rsid w:val="008D0A60"/>
    <w:rsid w:val="008D0DBD"/>
    <w:rsid w:val="008D1E6A"/>
    <w:rsid w:val="008D2A16"/>
    <w:rsid w:val="008E0DC9"/>
    <w:rsid w:val="008E2C57"/>
    <w:rsid w:val="008E31FF"/>
    <w:rsid w:val="008E6F06"/>
    <w:rsid w:val="008E7FC9"/>
    <w:rsid w:val="008F029B"/>
    <w:rsid w:val="008F3FC9"/>
    <w:rsid w:val="008F585B"/>
    <w:rsid w:val="009003A8"/>
    <w:rsid w:val="00902500"/>
    <w:rsid w:val="00902EFF"/>
    <w:rsid w:val="00906401"/>
    <w:rsid w:val="0091155E"/>
    <w:rsid w:val="00912A92"/>
    <w:rsid w:val="0091728D"/>
    <w:rsid w:val="0092180B"/>
    <w:rsid w:val="00921F14"/>
    <w:rsid w:val="00924AC8"/>
    <w:rsid w:val="0092597A"/>
    <w:rsid w:val="00930FB1"/>
    <w:rsid w:val="0093139F"/>
    <w:rsid w:val="00932443"/>
    <w:rsid w:val="00937AE2"/>
    <w:rsid w:val="00942C19"/>
    <w:rsid w:val="0094427A"/>
    <w:rsid w:val="00945245"/>
    <w:rsid w:val="009540B7"/>
    <w:rsid w:val="0095759C"/>
    <w:rsid w:val="00974923"/>
    <w:rsid w:val="00980D3D"/>
    <w:rsid w:val="00987A30"/>
    <w:rsid w:val="00992CF3"/>
    <w:rsid w:val="009942B6"/>
    <w:rsid w:val="00994868"/>
    <w:rsid w:val="009968D6"/>
    <w:rsid w:val="009A1CAB"/>
    <w:rsid w:val="009A60D1"/>
    <w:rsid w:val="009A7B2E"/>
    <w:rsid w:val="009B6FD3"/>
    <w:rsid w:val="009C03C8"/>
    <w:rsid w:val="009C1750"/>
    <w:rsid w:val="009C2E29"/>
    <w:rsid w:val="009C3ED8"/>
    <w:rsid w:val="009C554B"/>
    <w:rsid w:val="009C719E"/>
    <w:rsid w:val="009D3ACD"/>
    <w:rsid w:val="009E5273"/>
    <w:rsid w:val="009E5DDB"/>
    <w:rsid w:val="009F46EA"/>
    <w:rsid w:val="009F4CA7"/>
    <w:rsid w:val="00A10D66"/>
    <w:rsid w:val="00A14114"/>
    <w:rsid w:val="00A16413"/>
    <w:rsid w:val="00A16E1D"/>
    <w:rsid w:val="00A17D5B"/>
    <w:rsid w:val="00A230A8"/>
    <w:rsid w:val="00A23E43"/>
    <w:rsid w:val="00A25216"/>
    <w:rsid w:val="00A27420"/>
    <w:rsid w:val="00A30F65"/>
    <w:rsid w:val="00A329DF"/>
    <w:rsid w:val="00A35142"/>
    <w:rsid w:val="00A35EA6"/>
    <w:rsid w:val="00A40EAC"/>
    <w:rsid w:val="00A418BC"/>
    <w:rsid w:val="00A46DE0"/>
    <w:rsid w:val="00A4750C"/>
    <w:rsid w:val="00A50D73"/>
    <w:rsid w:val="00A51F19"/>
    <w:rsid w:val="00A52CAD"/>
    <w:rsid w:val="00A537F0"/>
    <w:rsid w:val="00A53FC7"/>
    <w:rsid w:val="00A55161"/>
    <w:rsid w:val="00A62CE1"/>
    <w:rsid w:val="00A6741E"/>
    <w:rsid w:val="00A75E40"/>
    <w:rsid w:val="00A77D1D"/>
    <w:rsid w:val="00A84923"/>
    <w:rsid w:val="00A857C0"/>
    <w:rsid w:val="00A90FED"/>
    <w:rsid w:val="00AA2996"/>
    <w:rsid w:val="00AA52BF"/>
    <w:rsid w:val="00AA559A"/>
    <w:rsid w:val="00AB2AF1"/>
    <w:rsid w:val="00AB5421"/>
    <w:rsid w:val="00AC45BD"/>
    <w:rsid w:val="00AD168E"/>
    <w:rsid w:val="00AD306C"/>
    <w:rsid w:val="00AD68C4"/>
    <w:rsid w:val="00AE09B3"/>
    <w:rsid w:val="00AE1A83"/>
    <w:rsid w:val="00AE7FB2"/>
    <w:rsid w:val="00B00913"/>
    <w:rsid w:val="00B01593"/>
    <w:rsid w:val="00B023F2"/>
    <w:rsid w:val="00B10A4D"/>
    <w:rsid w:val="00B120A1"/>
    <w:rsid w:val="00B121D2"/>
    <w:rsid w:val="00B14BC1"/>
    <w:rsid w:val="00B17E71"/>
    <w:rsid w:val="00B17FDE"/>
    <w:rsid w:val="00B20632"/>
    <w:rsid w:val="00B2379C"/>
    <w:rsid w:val="00B2687D"/>
    <w:rsid w:val="00B30358"/>
    <w:rsid w:val="00B32DDB"/>
    <w:rsid w:val="00B34528"/>
    <w:rsid w:val="00B34CC9"/>
    <w:rsid w:val="00B402FC"/>
    <w:rsid w:val="00B40FF9"/>
    <w:rsid w:val="00B42470"/>
    <w:rsid w:val="00B439DA"/>
    <w:rsid w:val="00B46604"/>
    <w:rsid w:val="00B530CD"/>
    <w:rsid w:val="00B55F5E"/>
    <w:rsid w:val="00B57338"/>
    <w:rsid w:val="00B5752E"/>
    <w:rsid w:val="00B63A11"/>
    <w:rsid w:val="00B64C24"/>
    <w:rsid w:val="00B6608F"/>
    <w:rsid w:val="00B679FB"/>
    <w:rsid w:val="00B76D1E"/>
    <w:rsid w:val="00B80EC6"/>
    <w:rsid w:val="00B84CF6"/>
    <w:rsid w:val="00B86F03"/>
    <w:rsid w:val="00B92D1D"/>
    <w:rsid w:val="00B938C5"/>
    <w:rsid w:val="00B95940"/>
    <w:rsid w:val="00BA0DD3"/>
    <w:rsid w:val="00BA6C2B"/>
    <w:rsid w:val="00BB2F03"/>
    <w:rsid w:val="00BB46F3"/>
    <w:rsid w:val="00BB4CB1"/>
    <w:rsid w:val="00BB4F98"/>
    <w:rsid w:val="00BC0E31"/>
    <w:rsid w:val="00BC5C12"/>
    <w:rsid w:val="00BC7154"/>
    <w:rsid w:val="00BC731E"/>
    <w:rsid w:val="00BD163C"/>
    <w:rsid w:val="00BD2211"/>
    <w:rsid w:val="00BD366B"/>
    <w:rsid w:val="00BD6D50"/>
    <w:rsid w:val="00BE18B9"/>
    <w:rsid w:val="00BE2495"/>
    <w:rsid w:val="00BE468E"/>
    <w:rsid w:val="00BE6186"/>
    <w:rsid w:val="00BF1578"/>
    <w:rsid w:val="00C21405"/>
    <w:rsid w:val="00C21F94"/>
    <w:rsid w:val="00C27913"/>
    <w:rsid w:val="00C33B68"/>
    <w:rsid w:val="00C36A79"/>
    <w:rsid w:val="00C401D2"/>
    <w:rsid w:val="00C405D4"/>
    <w:rsid w:val="00C4513B"/>
    <w:rsid w:val="00C466D2"/>
    <w:rsid w:val="00C517C6"/>
    <w:rsid w:val="00C5390B"/>
    <w:rsid w:val="00C54697"/>
    <w:rsid w:val="00C60191"/>
    <w:rsid w:val="00C6152B"/>
    <w:rsid w:val="00C73885"/>
    <w:rsid w:val="00C747B1"/>
    <w:rsid w:val="00C805DC"/>
    <w:rsid w:val="00C82191"/>
    <w:rsid w:val="00C83134"/>
    <w:rsid w:val="00C85545"/>
    <w:rsid w:val="00C90CF4"/>
    <w:rsid w:val="00C92EB6"/>
    <w:rsid w:val="00C93389"/>
    <w:rsid w:val="00C96D08"/>
    <w:rsid w:val="00CA6AB4"/>
    <w:rsid w:val="00CB259D"/>
    <w:rsid w:val="00CB4930"/>
    <w:rsid w:val="00CC2E7D"/>
    <w:rsid w:val="00CC71EC"/>
    <w:rsid w:val="00CD10A5"/>
    <w:rsid w:val="00CD2076"/>
    <w:rsid w:val="00CD29B5"/>
    <w:rsid w:val="00CD6331"/>
    <w:rsid w:val="00CE153B"/>
    <w:rsid w:val="00CE670B"/>
    <w:rsid w:val="00CF1C4C"/>
    <w:rsid w:val="00CF4908"/>
    <w:rsid w:val="00CF51EC"/>
    <w:rsid w:val="00CF73AE"/>
    <w:rsid w:val="00D040DD"/>
    <w:rsid w:val="00D050F8"/>
    <w:rsid w:val="00D075BE"/>
    <w:rsid w:val="00D1005A"/>
    <w:rsid w:val="00D11854"/>
    <w:rsid w:val="00D13986"/>
    <w:rsid w:val="00D21D83"/>
    <w:rsid w:val="00D235B7"/>
    <w:rsid w:val="00D25F28"/>
    <w:rsid w:val="00D26071"/>
    <w:rsid w:val="00D27973"/>
    <w:rsid w:val="00D279B8"/>
    <w:rsid w:val="00D32F90"/>
    <w:rsid w:val="00D35E1A"/>
    <w:rsid w:val="00D50F46"/>
    <w:rsid w:val="00D52BE2"/>
    <w:rsid w:val="00D57677"/>
    <w:rsid w:val="00D66223"/>
    <w:rsid w:val="00D8084C"/>
    <w:rsid w:val="00D915EA"/>
    <w:rsid w:val="00D93CE2"/>
    <w:rsid w:val="00D943C6"/>
    <w:rsid w:val="00D965EC"/>
    <w:rsid w:val="00DA7C0C"/>
    <w:rsid w:val="00DB08A9"/>
    <w:rsid w:val="00DB2EC8"/>
    <w:rsid w:val="00DC37E3"/>
    <w:rsid w:val="00DC5B3B"/>
    <w:rsid w:val="00DD129F"/>
    <w:rsid w:val="00DE4C19"/>
    <w:rsid w:val="00DF42FF"/>
    <w:rsid w:val="00DF7AD4"/>
    <w:rsid w:val="00E01C0E"/>
    <w:rsid w:val="00E03F9A"/>
    <w:rsid w:val="00E04694"/>
    <w:rsid w:val="00E04F27"/>
    <w:rsid w:val="00E102BD"/>
    <w:rsid w:val="00E11DE1"/>
    <w:rsid w:val="00E12B1E"/>
    <w:rsid w:val="00E17262"/>
    <w:rsid w:val="00E212C9"/>
    <w:rsid w:val="00E253A2"/>
    <w:rsid w:val="00E3309D"/>
    <w:rsid w:val="00E453F9"/>
    <w:rsid w:val="00E47EBA"/>
    <w:rsid w:val="00E50156"/>
    <w:rsid w:val="00E53470"/>
    <w:rsid w:val="00E539F6"/>
    <w:rsid w:val="00E6519D"/>
    <w:rsid w:val="00E67696"/>
    <w:rsid w:val="00E711D1"/>
    <w:rsid w:val="00E71A58"/>
    <w:rsid w:val="00E72A7A"/>
    <w:rsid w:val="00E733C7"/>
    <w:rsid w:val="00E75C94"/>
    <w:rsid w:val="00E76E61"/>
    <w:rsid w:val="00E924B2"/>
    <w:rsid w:val="00E93820"/>
    <w:rsid w:val="00E94A86"/>
    <w:rsid w:val="00E96143"/>
    <w:rsid w:val="00E972A9"/>
    <w:rsid w:val="00EA0840"/>
    <w:rsid w:val="00EA0C68"/>
    <w:rsid w:val="00EA17B0"/>
    <w:rsid w:val="00EA32BC"/>
    <w:rsid w:val="00EA405F"/>
    <w:rsid w:val="00EB4511"/>
    <w:rsid w:val="00EC03D7"/>
    <w:rsid w:val="00EC25F0"/>
    <w:rsid w:val="00ED62C6"/>
    <w:rsid w:val="00ED64C1"/>
    <w:rsid w:val="00EE3446"/>
    <w:rsid w:val="00EE3E78"/>
    <w:rsid w:val="00EE4B1B"/>
    <w:rsid w:val="00EF150D"/>
    <w:rsid w:val="00EF1F5A"/>
    <w:rsid w:val="00EF47BF"/>
    <w:rsid w:val="00F04811"/>
    <w:rsid w:val="00F0488C"/>
    <w:rsid w:val="00F10F11"/>
    <w:rsid w:val="00F15AAA"/>
    <w:rsid w:val="00F15BEF"/>
    <w:rsid w:val="00F160CE"/>
    <w:rsid w:val="00F162B3"/>
    <w:rsid w:val="00F24407"/>
    <w:rsid w:val="00F24FAA"/>
    <w:rsid w:val="00F3364D"/>
    <w:rsid w:val="00F33E56"/>
    <w:rsid w:val="00F433FE"/>
    <w:rsid w:val="00F437CC"/>
    <w:rsid w:val="00F44537"/>
    <w:rsid w:val="00F46502"/>
    <w:rsid w:val="00F47067"/>
    <w:rsid w:val="00F525EB"/>
    <w:rsid w:val="00F55E08"/>
    <w:rsid w:val="00F63DDE"/>
    <w:rsid w:val="00F63FB7"/>
    <w:rsid w:val="00F6421B"/>
    <w:rsid w:val="00F649D2"/>
    <w:rsid w:val="00F6602B"/>
    <w:rsid w:val="00F73A0C"/>
    <w:rsid w:val="00F756DB"/>
    <w:rsid w:val="00F84E7D"/>
    <w:rsid w:val="00F85066"/>
    <w:rsid w:val="00F859D0"/>
    <w:rsid w:val="00F87A4D"/>
    <w:rsid w:val="00FA5D4D"/>
    <w:rsid w:val="00FB0EE2"/>
    <w:rsid w:val="00FB542E"/>
    <w:rsid w:val="00FC0359"/>
    <w:rsid w:val="00FC0E5F"/>
    <w:rsid w:val="00FC1A95"/>
    <w:rsid w:val="00FC56DE"/>
    <w:rsid w:val="00FC684B"/>
    <w:rsid w:val="00FD3265"/>
    <w:rsid w:val="00FD4916"/>
    <w:rsid w:val="00FE2F78"/>
    <w:rsid w:val="00FE6609"/>
    <w:rsid w:val="00FF3EEC"/>
    <w:rsid w:val="00FF7B96"/>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6">
      <o:colormru v:ext="edit" colors="#ecf4dd,#eaecee,#fcec0a,#fcecdb,#f1daf5"/>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header" w:qFormat="1"/>
    <w:lsdException w:name="footer" w:qFormat="1"/>
    <w:lsdException w:name="caption" w:uiPriority="35" w:qFormat="1"/>
    <w:lsdException w:name="footnote reference" w:uiPriority="0"/>
    <w:lsdException w:name="List"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64FA0"/>
    <w:pPr>
      <w:spacing w:after="240" w:line="276" w:lineRule="auto"/>
      <w:jc w:val="both"/>
    </w:pPr>
    <w:rPr>
      <w:rFonts w:ascii="Arial" w:eastAsia="Times New Roman" w:hAnsi="Arial"/>
      <w:szCs w:val="24"/>
      <w:lang w:eastAsia="cs-CZ"/>
    </w:rPr>
  </w:style>
  <w:style w:type="paragraph" w:styleId="Nadpis1">
    <w:name w:val="heading 1"/>
    <w:next w:val="Normln"/>
    <w:link w:val="Nadpis1Char"/>
    <w:uiPriority w:val="9"/>
    <w:qFormat/>
    <w:rsid w:val="00A25216"/>
    <w:pPr>
      <w:keepNext/>
      <w:keepLines/>
      <w:spacing w:after="100" w:line="276" w:lineRule="auto"/>
      <w:contextualSpacing/>
      <w:outlineLvl w:val="0"/>
    </w:pPr>
    <w:rPr>
      <w:rFonts w:ascii="Arial" w:eastAsia="MS Gothic" w:hAnsi="Arial"/>
      <w:b/>
      <w:bCs/>
      <w:color w:val="71818C"/>
      <w:sz w:val="32"/>
      <w:szCs w:val="28"/>
      <w:lang w:eastAsia="cs-CZ"/>
    </w:rPr>
  </w:style>
  <w:style w:type="paragraph" w:styleId="Nadpis2">
    <w:name w:val="heading 2"/>
    <w:next w:val="Normln"/>
    <w:link w:val="Nadpis2Char"/>
    <w:uiPriority w:val="9"/>
    <w:qFormat/>
    <w:rsid w:val="00A25216"/>
    <w:pPr>
      <w:keepNext/>
      <w:keepLines/>
      <w:spacing w:line="276" w:lineRule="auto"/>
      <w:outlineLvl w:val="1"/>
    </w:pPr>
    <w:rPr>
      <w:rFonts w:ascii="Arial" w:eastAsia="MS Gothic" w:hAnsi="Arial"/>
      <w:b/>
      <w:bCs/>
      <w:color w:val="71818C"/>
      <w:sz w:val="28"/>
      <w:szCs w:val="26"/>
      <w:lang w:eastAsia="cs-CZ"/>
    </w:rPr>
  </w:style>
  <w:style w:type="paragraph" w:styleId="Nadpis3">
    <w:name w:val="heading 3"/>
    <w:next w:val="Normln"/>
    <w:link w:val="Nadpis3Char"/>
    <w:uiPriority w:val="9"/>
    <w:qFormat/>
    <w:rsid w:val="00A25216"/>
    <w:pPr>
      <w:keepNext/>
      <w:keepLines/>
      <w:spacing w:line="276" w:lineRule="auto"/>
      <w:outlineLvl w:val="2"/>
    </w:pPr>
    <w:rPr>
      <w:rFonts w:ascii="Arial" w:eastAsia="MS Gothic" w:hAnsi="Arial"/>
      <w:b/>
      <w:bCs/>
      <w:color w:val="71818C"/>
      <w:sz w:val="24"/>
      <w:szCs w:val="24"/>
      <w:lang w:eastAsia="cs-CZ"/>
    </w:rPr>
  </w:style>
  <w:style w:type="paragraph" w:styleId="Nadpis4">
    <w:name w:val="heading 4"/>
    <w:next w:val="Normln"/>
    <w:link w:val="Nadpis4Char"/>
    <w:uiPriority w:val="9"/>
    <w:qFormat/>
    <w:rsid w:val="00A25216"/>
    <w:pPr>
      <w:keepNext/>
      <w:keepLines/>
      <w:spacing w:line="276" w:lineRule="auto"/>
      <w:outlineLvl w:val="3"/>
    </w:pPr>
    <w:rPr>
      <w:rFonts w:ascii="Arial" w:eastAsia="MS Gothic" w:hAnsi="Arial"/>
      <w:b/>
      <w:bCs/>
      <w:iCs/>
      <w:color w:val="71818C"/>
      <w:szCs w:val="24"/>
      <w:lang w:eastAsia="cs-CZ"/>
    </w:rPr>
  </w:style>
  <w:style w:type="paragraph" w:styleId="Nadpis5">
    <w:name w:val="heading 5"/>
    <w:basedOn w:val="Normln"/>
    <w:next w:val="Normln"/>
    <w:link w:val="Nadpis5Char"/>
    <w:uiPriority w:val="9"/>
    <w:semiHidden/>
    <w:unhideWhenUsed/>
    <w:rsid w:val="007A516D"/>
    <w:pPr>
      <w:keepNext/>
      <w:keepLines/>
      <w:numPr>
        <w:ilvl w:val="4"/>
        <w:numId w:val="14"/>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7A516D"/>
    <w:pPr>
      <w:keepNext/>
      <w:keepLines/>
      <w:numPr>
        <w:ilvl w:val="5"/>
        <w:numId w:val="14"/>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7A516D"/>
    <w:pPr>
      <w:keepNext/>
      <w:keepLines/>
      <w:numPr>
        <w:ilvl w:val="6"/>
        <w:numId w:val="14"/>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7A516D"/>
    <w:pPr>
      <w:keepNext/>
      <w:keepLines/>
      <w:numPr>
        <w:ilvl w:val="7"/>
        <w:numId w:val="14"/>
      </w:numPr>
      <w:spacing w:before="200" w:after="0"/>
      <w:outlineLvl w:val="7"/>
    </w:pPr>
    <w:rPr>
      <w:rFonts w:asciiTheme="majorHAnsi" w:eastAsiaTheme="majorEastAsia" w:hAnsiTheme="majorHAnsi" w:cstheme="majorBidi"/>
      <w:color w:val="404040" w:themeColor="text1" w:themeTint="BF"/>
      <w:szCs w:val="20"/>
    </w:rPr>
  </w:style>
  <w:style w:type="paragraph" w:styleId="Nadpis9">
    <w:name w:val="heading 9"/>
    <w:basedOn w:val="Normln"/>
    <w:next w:val="Normln"/>
    <w:link w:val="Nadpis9Char"/>
    <w:uiPriority w:val="9"/>
    <w:semiHidden/>
    <w:unhideWhenUsed/>
    <w:qFormat/>
    <w:rsid w:val="007A516D"/>
    <w:pPr>
      <w:numPr>
        <w:ilvl w:val="8"/>
        <w:numId w:val="14"/>
      </w:num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qFormat/>
    <w:rsid w:val="00364FA0"/>
    <w:rPr>
      <w:rFonts w:ascii="Arial" w:eastAsia="MS Gothic" w:hAnsi="Arial"/>
      <w:b/>
      <w:bCs/>
      <w:color w:val="71818C"/>
      <w:sz w:val="32"/>
      <w:szCs w:val="28"/>
      <w:lang w:eastAsia="cs-CZ"/>
    </w:rPr>
  </w:style>
  <w:style w:type="character" w:customStyle="1" w:styleId="Nadpis2Char">
    <w:name w:val="Nadpis 2 Char"/>
    <w:link w:val="Nadpis2"/>
    <w:uiPriority w:val="9"/>
    <w:qFormat/>
    <w:rsid w:val="00364FA0"/>
    <w:rPr>
      <w:rFonts w:ascii="Arial" w:eastAsia="MS Gothic" w:hAnsi="Arial"/>
      <w:b/>
      <w:bCs/>
      <w:color w:val="71818C"/>
      <w:sz w:val="28"/>
      <w:szCs w:val="26"/>
      <w:lang w:eastAsia="cs-CZ"/>
    </w:rPr>
  </w:style>
  <w:style w:type="character" w:customStyle="1" w:styleId="Nadpis3Char">
    <w:name w:val="Nadpis 3 Char"/>
    <w:link w:val="Nadpis3"/>
    <w:uiPriority w:val="9"/>
    <w:rsid w:val="00364FA0"/>
    <w:rPr>
      <w:rFonts w:ascii="Arial" w:eastAsia="MS Gothic" w:hAnsi="Arial"/>
      <w:b/>
      <w:bCs/>
      <w:color w:val="71818C"/>
      <w:sz w:val="24"/>
      <w:szCs w:val="24"/>
      <w:lang w:eastAsia="cs-CZ"/>
    </w:rPr>
  </w:style>
  <w:style w:type="character" w:customStyle="1" w:styleId="Nadpis4Char">
    <w:name w:val="Nadpis 4 Char"/>
    <w:link w:val="Nadpis4"/>
    <w:uiPriority w:val="9"/>
    <w:rsid w:val="00364FA0"/>
    <w:rPr>
      <w:rFonts w:ascii="Arial" w:eastAsia="MS Gothic" w:hAnsi="Arial"/>
      <w:b/>
      <w:bCs/>
      <w:iCs/>
      <w:color w:val="71818C"/>
      <w:szCs w:val="24"/>
      <w:lang w:eastAsia="cs-CZ"/>
    </w:rPr>
  </w:style>
  <w:style w:type="character" w:customStyle="1" w:styleId="Nadpis9Char">
    <w:name w:val="Nadpis 9 Char"/>
    <w:link w:val="Nadpis9"/>
    <w:uiPriority w:val="9"/>
    <w:semiHidden/>
    <w:rsid w:val="007A516D"/>
    <w:rPr>
      <w:rFonts w:ascii="Cambria" w:eastAsia="Times New Roman" w:hAnsi="Cambria"/>
      <w:sz w:val="22"/>
      <w:szCs w:val="22"/>
      <w:lang w:eastAsia="cs-CZ"/>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rPr>
  </w:style>
  <w:style w:type="character" w:customStyle="1" w:styleId="ZhlavChar">
    <w:name w:val="Záhlaví Char"/>
    <w:link w:val="Zhlav"/>
    <w:uiPriority w:val="99"/>
    <w:rsid w:val="00A418BC"/>
    <w:rPr>
      <w:rFonts w:ascii="Arial" w:hAnsi="Arial"/>
      <w:sz w:val="16"/>
      <w:szCs w:val="22"/>
      <w:lang w:eastAsia="en-US"/>
    </w:rPr>
  </w:style>
  <w:style w:type="paragraph" w:styleId="Zpat">
    <w:name w:val="footer"/>
    <w:link w:val="ZpatChar"/>
    <w:uiPriority w:val="99"/>
    <w:unhideWhenUsed/>
    <w:qFormat/>
    <w:rsid w:val="00031AE0"/>
    <w:pPr>
      <w:tabs>
        <w:tab w:val="center" w:pos="4820"/>
        <w:tab w:val="right" w:pos="9639"/>
      </w:tabs>
    </w:pPr>
    <w:rPr>
      <w:rFonts w:ascii="Arial" w:hAnsi="Arial" w:cs="Arial"/>
      <w:noProof/>
      <w:sz w:val="16"/>
    </w:rPr>
  </w:style>
  <w:style w:type="character" w:customStyle="1" w:styleId="ZpatChar">
    <w:name w:val="Zápatí Char"/>
    <w:link w:val="Zpat"/>
    <w:uiPriority w:val="99"/>
    <w:rsid w:val="00031AE0"/>
    <w:rPr>
      <w:rFonts w:ascii="Arial" w:hAnsi="Arial" w:cs="Arial"/>
      <w:noProof/>
      <w:sz w:val="16"/>
      <w:lang w:eastAsia="en-US"/>
    </w:rPr>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s="Minion Pro"/>
      <w:color w:val="000000"/>
      <w:szCs w:val="24"/>
      <w:lang w:eastAsia="cs-CZ"/>
    </w:rPr>
  </w:style>
  <w:style w:type="character" w:customStyle="1" w:styleId="ZkladnodstavecChar">
    <w:name w:val="[Základní odstavec] Char"/>
    <w:link w:val="Zkladnodstavec"/>
    <w:uiPriority w:val="99"/>
    <w:rsid w:val="0008263E"/>
    <w:rPr>
      <w:rFonts w:ascii="Arial" w:hAnsi="Arial" w:cs="Minion Pro"/>
      <w:color w:val="000000"/>
      <w:szCs w:val="24"/>
    </w:rPr>
  </w:style>
  <w:style w:type="paragraph" w:styleId="Obsah1">
    <w:name w:val="toc 1"/>
    <w:basedOn w:val="Obsahpoloky"/>
    <w:next w:val="Obsahpoloky"/>
    <w:autoRedefine/>
    <w:uiPriority w:val="39"/>
    <w:unhideWhenUsed/>
    <w:rsid w:val="00EA0840"/>
    <w:rPr>
      <w:noProof/>
      <w:lang w:eastAsia="en-US"/>
    </w:rPr>
  </w:style>
  <w:style w:type="paragraph" w:customStyle="1" w:styleId="TLIdentifikace-sted">
    <w:name w:val="TL Identifikace - střed"/>
    <w:qFormat/>
    <w:rsid w:val="009A60D1"/>
    <w:pPr>
      <w:spacing w:after="200" w:line="288" w:lineRule="auto"/>
    </w:pPr>
    <w:rPr>
      <w:rFonts w:ascii="Arial" w:eastAsia="Times New Roman" w:hAnsi="Arial"/>
      <w:sz w:val="24"/>
      <w:szCs w:val="24"/>
      <w:lang w:eastAsia="cs-CZ"/>
    </w:rPr>
  </w:style>
  <w:style w:type="paragraph" w:customStyle="1" w:styleId="Obsah">
    <w:name w:val="Obsah"/>
    <w:next w:val="Normln"/>
    <w:qFormat/>
    <w:rsid w:val="00846121"/>
    <w:pPr>
      <w:spacing w:after="80" w:line="288" w:lineRule="auto"/>
    </w:pPr>
    <w:rPr>
      <w:rFonts w:ascii="Arial" w:eastAsia="Times New Roman" w:hAnsi="Arial"/>
      <w:b/>
      <w:color w:val="71818C"/>
      <w:sz w:val="32"/>
      <w:szCs w:val="24"/>
      <w:lang w:eastAsia="cs-CZ"/>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lang w:eastAsia="cs-CZ"/>
    </w:rPr>
  </w:style>
  <w:style w:type="paragraph" w:customStyle="1" w:styleId="A-Box1">
    <w:name w:val="A-Box 1"/>
    <w:next w:val="Normln"/>
    <w:qFormat/>
    <w:rsid w:val="00F84E7D"/>
    <w:pPr>
      <w:shd w:val="clear" w:color="auto" w:fill="EAECEE"/>
      <w:spacing w:before="240" w:after="240" w:line="276" w:lineRule="auto"/>
      <w:contextualSpacing/>
      <w:jc w:val="both"/>
    </w:pPr>
    <w:rPr>
      <w:rFonts w:ascii="Arial" w:hAnsi="Arial" w:cs="Arial"/>
      <w:lang w:eastAsia="cs-CZ"/>
    </w:rPr>
  </w:style>
  <w:style w:type="paragraph" w:customStyle="1" w:styleId="A-Box2">
    <w:name w:val="A-Box 2"/>
    <w:next w:val="Normln"/>
    <w:qFormat/>
    <w:rsid w:val="00D075BE"/>
    <w:pPr>
      <w:spacing w:before="240" w:after="240" w:line="276" w:lineRule="auto"/>
      <w:contextualSpacing/>
      <w:jc w:val="both"/>
    </w:pPr>
    <w:rPr>
      <w:rFonts w:ascii="Arial" w:hAnsi="Arial" w:cs="Arial"/>
      <w:color w:val="71818C"/>
      <w:lang w:eastAsia="cs-CZ"/>
    </w:rPr>
  </w:style>
  <w:style w:type="paragraph" w:styleId="Seznam">
    <w:name w:val="List"/>
    <w:basedOn w:val="Normln"/>
    <w:uiPriority w:val="99"/>
    <w:unhideWhenUsed/>
    <w:qFormat/>
    <w:rsid w:val="00481E40"/>
    <w:pPr>
      <w:contextualSpacing/>
    </w:pPr>
  </w:style>
  <w:style w:type="character" w:styleId="Siln">
    <w:name w:val="Strong"/>
    <w:aliases w:val="Tučné"/>
    <w:uiPriority w:val="22"/>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lang w:eastAsia="cs-CZ"/>
    </w:rPr>
  </w:style>
  <w:style w:type="paragraph" w:styleId="Nzev">
    <w:name w:val="Title"/>
    <w:link w:val="NzevChar"/>
    <w:uiPriority w:val="10"/>
    <w:qFormat/>
    <w:rsid w:val="00846121"/>
    <w:pPr>
      <w:spacing w:line="288" w:lineRule="auto"/>
    </w:pPr>
    <w:rPr>
      <w:rFonts w:ascii="Arial" w:eastAsia="Times New Roman" w:hAnsi="Arial"/>
      <w:b/>
      <w:bCs/>
      <w:caps/>
      <w:color w:val="71818C"/>
      <w:kern w:val="28"/>
      <w:sz w:val="56"/>
      <w:szCs w:val="32"/>
      <w:lang w:eastAsia="cs-CZ"/>
    </w:rPr>
  </w:style>
  <w:style w:type="character" w:customStyle="1" w:styleId="NzevChar">
    <w:name w:val="Název Char"/>
    <w:link w:val="Nzev"/>
    <w:uiPriority w:val="10"/>
    <w:rsid w:val="00846121"/>
    <w:rPr>
      <w:rFonts w:ascii="Arial" w:eastAsia="Times New Roman" w:hAnsi="Arial"/>
      <w:b/>
      <w:bCs/>
      <w:caps/>
      <w:color w:val="71818C"/>
      <w:kern w:val="28"/>
      <w:sz w:val="56"/>
      <w:szCs w:val="32"/>
    </w:rPr>
  </w:style>
  <w:style w:type="paragraph" w:styleId="Podtitul">
    <w:name w:val="Subtitle"/>
    <w:link w:val="PodtitulChar"/>
    <w:uiPriority w:val="11"/>
    <w:qFormat/>
    <w:rsid w:val="00846121"/>
    <w:pPr>
      <w:spacing w:line="288" w:lineRule="auto"/>
    </w:pPr>
    <w:rPr>
      <w:rFonts w:ascii="Arial" w:eastAsia="Times New Roman" w:hAnsi="Arial" w:cs="Arial"/>
      <w:b/>
      <w:color w:val="71818C"/>
      <w:sz w:val="28"/>
      <w:szCs w:val="24"/>
      <w:lang w:eastAsia="cs-CZ"/>
    </w:rPr>
  </w:style>
  <w:style w:type="character" w:customStyle="1" w:styleId="PodtitulChar">
    <w:name w:val="Podtitul Char"/>
    <w:link w:val="Podtitul"/>
    <w:uiPriority w:val="11"/>
    <w:rsid w:val="00846121"/>
    <w:rPr>
      <w:rFonts w:ascii="Arial" w:eastAsia="Times New Roman" w:hAnsi="Arial" w:cs="Arial"/>
      <w:b/>
      <w:color w:val="71818C"/>
      <w:sz w:val="28"/>
      <w:szCs w:val="24"/>
    </w:rPr>
  </w:style>
  <w:style w:type="paragraph" w:styleId="Obsah2">
    <w:name w:val="toc 2"/>
    <w:basedOn w:val="Obsahpoloky"/>
    <w:next w:val="Obsahpoloky"/>
    <w:autoRedefine/>
    <w:uiPriority w:val="39"/>
    <w:unhideWhenUsed/>
    <w:rsid w:val="00FC1A95"/>
    <w:pPr>
      <w:ind w:left="200"/>
    </w:pPr>
  </w:style>
  <w:style w:type="paragraph" w:styleId="Obsah3">
    <w:name w:val="toc 3"/>
    <w:basedOn w:val="Obsahpoloky"/>
    <w:next w:val="Obsahpoloky"/>
    <w:autoRedefine/>
    <w:uiPriority w:val="39"/>
    <w:unhideWhenUsed/>
    <w:rsid w:val="00FC1A95"/>
    <w:pPr>
      <w:ind w:left="400"/>
    </w:p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semiHidden/>
    <w:unhideWhenUsed/>
    <w:rsid w:val="00FC1A95"/>
    <w:pPr>
      <w:ind w:left="800"/>
    </w:pPr>
  </w:style>
  <w:style w:type="paragraph" w:styleId="Obsah6">
    <w:name w:val="toc 6"/>
    <w:basedOn w:val="Obsahpoloky"/>
    <w:next w:val="Obsahpoloky"/>
    <w:autoRedefine/>
    <w:uiPriority w:val="39"/>
    <w:semiHidden/>
    <w:unhideWhenUsed/>
    <w:rsid w:val="00FC1A95"/>
    <w:pPr>
      <w:ind w:left="1000"/>
    </w:pPr>
  </w:style>
  <w:style w:type="paragraph" w:styleId="Obsah7">
    <w:name w:val="toc 7"/>
    <w:basedOn w:val="Obsahpoloky"/>
    <w:next w:val="Obsahpoloky"/>
    <w:autoRedefine/>
    <w:uiPriority w:val="39"/>
    <w:semiHidden/>
    <w:unhideWhenUsed/>
    <w:rsid w:val="00FC1A95"/>
    <w:pPr>
      <w:ind w:left="1200"/>
    </w:pPr>
  </w:style>
  <w:style w:type="paragraph" w:styleId="Obsah8">
    <w:name w:val="toc 8"/>
    <w:basedOn w:val="Obsahpoloky"/>
    <w:next w:val="Obsahpoloky"/>
    <w:autoRedefine/>
    <w:uiPriority w:val="39"/>
    <w:semiHidden/>
    <w:unhideWhenUsed/>
    <w:rsid w:val="00FC1A95"/>
    <w:pPr>
      <w:ind w:left="1400"/>
    </w:pPr>
  </w:style>
  <w:style w:type="paragraph" w:styleId="Obsah9">
    <w:name w:val="toc 9"/>
    <w:basedOn w:val="Obsahpoloky"/>
    <w:next w:val="Obsahpoloky"/>
    <w:autoRedefine/>
    <w:uiPriority w:val="39"/>
    <w:semiHidden/>
    <w:unhideWhenUsed/>
    <w:rsid w:val="00924AC8"/>
    <w:pPr>
      <w:ind w:left="1600"/>
    </w:pPr>
  </w:style>
  <w:style w:type="character" w:customStyle="1" w:styleId="Nadpis5Char">
    <w:name w:val="Nadpis 5 Char"/>
    <w:basedOn w:val="Standardnpsmoodstavce"/>
    <w:link w:val="Nadpis5"/>
    <w:uiPriority w:val="9"/>
    <w:semiHidden/>
    <w:rsid w:val="007A516D"/>
    <w:rPr>
      <w:rFonts w:asciiTheme="majorHAnsi" w:eastAsiaTheme="majorEastAsia" w:hAnsiTheme="majorHAnsi" w:cstheme="majorBidi"/>
      <w:color w:val="243F60" w:themeColor="accent1" w:themeShade="7F"/>
      <w:szCs w:val="24"/>
      <w:lang w:eastAsia="cs-CZ"/>
    </w:rPr>
  </w:style>
  <w:style w:type="character" w:customStyle="1" w:styleId="Nadpis6Char">
    <w:name w:val="Nadpis 6 Char"/>
    <w:basedOn w:val="Standardnpsmoodstavce"/>
    <w:link w:val="Nadpis6"/>
    <w:uiPriority w:val="9"/>
    <w:semiHidden/>
    <w:rsid w:val="007A516D"/>
    <w:rPr>
      <w:rFonts w:asciiTheme="majorHAnsi" w:eastAsiaTheme="majorEastAsia" w:hAnsiTheme="majorHAnsi" w:cstheme="majorBidi"/>
      <w:i/>
      <w:iCs/>
      <w:color w:val="243F60" w:themeColor="accent1" w:themeShade="7F"/>
      <w:szCs w:val="24"/>
      <w:lang w:eastAsia="cs-CZ"/>
    </w:rPr>
  </w:style>
  <w:style w:type="character" w:customStyle="1" w:styleId="Nadpis7Char">
    <w:name w:val="Nadpis 7 Char"/>
    <w:basedOn w:val="Standardnpsmoodstavce"/>
    <w:link w:val="Nadpis7"/>
    <w:uiPriority w:val="9"/>
    <w:semiHidden/>
    <w:rsid w:val="007A516D"/>
    <w:rPr>
      <w:rFonts w:asciiTheme="majorHAnsi" w:eastAsiaTheme="majorEastAsia" w:hAnsiTheme="majorHAnsi" w:cstheme="majorBidi"/>
      <w:i/>
      <w:iCs/>
      <w:color w:val="404040" w:themeColor="text1" w:themeTint="BF"/>
      <w:szCs w:val="24"/>
      <w:lang w:eastAsia="cs-CZ"/>
    </w:rPr>
  </w:style>
  <w:style w:type="character" w:customStyle="1" w:styleId="Nadpis8Char">
    <w:name w:val="Nadpis 8 Char"/>
    <w:basedOn w:val="Standardnpsmoodstavce"/>
    <w:link w:val="Nadpis8"/>
    <w:uiPriority w:val="9"/>
    <w:semiHidden/>
    <w:rsid w:val="007A516D"/>
    <w:rPr>
      <w:rFonts w:asciiTheme="majorHAnsi" w:eastAsiaTheme="majorEastAsia" w:hAnsiTheme="majorHAnsi" w:cstheme="majorBidi"/>
      <w:color w:val="404040" w:themeColor="text1" w:themeTint="BF"/>
      <w:lang w:eastAsia="cs-CZ"/>
    </w:rPr>
  </w:style>
  <w:style w:type="paragraph" w:styleId="Textpoznpodarou">
    <w:name w:val="footnote text"/>
    <w:aliases w:val="Text pozn. pod čarou_martin_ang"/>
    <w:basedOn w:val="Normln"/>
    <w:link w:val="TextpoznpodarouChar"/>
    <w:qFormat/>
    <w:rsid w:val="008E7FC9"/>
    <w:pPr>
      <w:spacing w:after="0" w:line="240" w:lineRule="auto"/>
      <w:jc w:val="left"/>
    </w:pPr>
    <w:rPr>
      <w:rFonts w:eastAsia="Calibri"/>
      <w:szCs w:val="20"/>
    </w:rPr>
  </w:style>
  <w:style w:type="character" w:customStyle="1" w:styleId="TextpoznpodarouChar">
    <w:name w:val="Text pozn. pod čarou Char"/>
    <w:aliases w:val="Text pozn. pod čarou_martin_ang Char"/>
    <w:basedOn w:val="Standardnpsmoodstavce"/>
    <w:link w:val="Textpoznpodarou"/>
    <w:qFormat/>
    <w:rsid w:val="008E7FC9"/>
    <w:rPr>
      <w:rFonts w:ascii="Arial" w:hAnsi="Arial"/>
      <w:lang w:eastAsia="cs-CZ"/>
    </w:rPr>
  </w:style>
  <w:style w:type="paragraph" w:styleId="Bezmezer">
    <w:name w:val="No Spacing"/>
    <w:uiPriority w:val="1"/>
    <w:qFormat/>
    <w:rsid w:val="00AD68C4"/>
    <w:pPr>
      <w:jc w:val="both"/>
    </w:pPr>
    <w:rPr>
      <w:rFonts w:ascii="Arial" w:eastAsia="Times New Roman" w:hAnsi="Arial"/>
      <w:szCs w:val="24"/>
      <w:lang w:eastAsia="cs-CZ"/>
    </w:rPr>
  </w:style>
  <w:style w:type="paragraph" w:customStyle="1" w:styleId="Marginlie">
    <w:name w:val="Marginálie"/>
    <w:basedOn w:val="Normln"/>
    <w:qFormat/>
    <w:rsid w:val="0089296D"/>
    <w:pPr>
      <w:spacing w:after="0"/>
      <w:jc w:val="left"/>
    </w:pPr>
    <w:rPr>
      <w:spacing w:val="-2"/>
      <w:sz w:val="16"/>
      <w:szCs w:val="16"/>
    </w:rPr>
  </w:style>
  <w:style w:type="paragraph" w:styleId="Odstavecseseznamem">
    <w:name w:val="List Paragraph"/>
    <w:basedOn w:val="Normln"/>
    <w:uiPriority w:val="34"/>
    <w:rsid w:val="006B0F92"/>
    <w:pPr>
      <w:ind w:left="720"/>
      <w:contextualSpacing/>
    </w:pPr>
  </w:style>
  <w:style w:type="paragraph" w:customStyle="1" w:styleId="Normalodrka">
    <w:name w:val="Normal odrážka"/>
    <w:qFormat/>
    <w:rsid w:val="006B0F92"/>
    <w:pPr>
      <w:numPr>
        <w:numId w:val="20"/>
      </w:numPr>
      <w:spacing w:after="240" w:line="276" w:lineRule="auto"/>
      <w:ind w:left="357" w:hanging="357"/>
      <w:jc w:val="both"/>
    </w:pPr>
    <w:rPr>
      <w:rFonts w:ascii="Arial" w:eastAsia="Times New Roman" w:hAnsi="Arial"/>
      <w:szCs w:val="24"/>
      <w:lang w:eastAsia="cs-CZ"/>
    </w:rPr>
  </w:style>
  <w:style w:type="paragraph" w:customStyle="1" w:styleId="Box1">
    <w:name w:val="Box 1"/>
    <w:next w:val="Normln"/>
    <w:qFormat/>
    <w:rsid w:val="00A17D5B"/>
    <w:pPr>
      <w:shd w:val="clear" w:color="auto" w:fill="EBEBEB"/>
      <w:spacing w:before="240" w:after="240" w:line="276" w:lineRule="auto"/>
      <w:ind w:left="709"/>
      <w:contextualSpacing/>
    </w:pPr>
    <w:rPr>
      <w:rFonts w:ascii="Arial" w:hAnsi="Arial" w:cs="Arial"/>
      <w:lang w:eastAsia="cs-CZ"/>
    </w:rPr>
  </w:style>
  <w:style w:type="paragraph" w:customStyle="1" w:styleId="Box2">
    <w:name w:val="Box 2"/>
    <w:next w:val="Normln"/>
    <w:qFormat/>
    <w:rsid w:val="00A17D5B"/>
    <w:pPr>
      <w:spacing w:before="240" w:after="240" w:line="276" w:lineRule="auto"/>
      <w:ind w:left="709"/>
      <w:contextualSpacing/>
    </w:pPr>
    <w:rPr>
      <w:rFonts w:ascii="Arial" w:hAnsi="Arial" w:cs="Arial"/>
      <w:b/>
      <w:color w:val="71818C"/>
      <w:lang w:eastAsia="cs-CZ"/>
    </w:rPr>
  </w:style>
  <w:style w:type="character" w:styleId="Odkaznakoment">
    <w:name w:val="annotation reference"/>
    <w:basedOn w:val="Standardnpsmoodstavce"/>
    <w:uiPriority w:val="99"/>
    <w:semiHidden/>
    <w:unhideWhenUsed/>
    <w:rsid w:val="00E76E61"/>
    <w:rPr>
      <w:sz w:val="16"/>
      <w:szCs w:val="16"/>
    </w:rPr>
  </w:style>
  <w:style w:type="paragraph" w:styleId="Textkomente">
    <w:name w:val="annotation text"/>
    <w:basedOn w:val="Normln"/>
    <w:link w:val="TextkomenteChar"/>
    <w:uiPriority w:val="99"/>
    <w:semiHidden/>
    <w:unhideWhenUsed/>
    <w:rsid w:val="00E76E61"/>
    <w:pPr>
      <w:spacing w:line="240" w:lineRule="auto"/>
    </w:pPr>
    <w:rPr>
      <w:szCs w:val="20"/>
    </w:rPr>
  </w:style>
  <w:style w:type="character" w:customStyle="1" w:styleId="TextkomenteChar">
    <w:name w:val="Text komentáře Char"/>
    <w:basedOn w:val="Standardnpsmoodstavce"/>
    <w:link w:val="Textkomente"/>
    <w:uiPriority w:val="99"/>
    <w:semiHidden/>
    <w:rsid w:val="00E76E61"/>
    <w:rPr>
      <w:rFonts w:ascii="Arial" w:eastAsia="Times New Roman" w:hAnsi="Arial"/>
      <w:lang w:eastAsia="cs-CZ"/>
    </w:rPr>
  </w:style>
  <w:style w:type="paragraph" w:styleId="Pedmtkomente">
    <w:name w:val="annotation subject"/>
    <w:basedOn w:val="Textkomente"/>
    <w:next w:val="Textkomente"/>
    <w:link w:val="PedmtkomenteChar"/>
    <w:uiPriority w:val="99"/>
    <w:semiHidden/>
    <w:unhideWhenUsed/>
    <w:rsid w:val="00E76E61"/>
    <w:rPr>
      <w:b/>
      <w:bCs/>
    </w:rPr>
  </w:style>
  <w:style w:type="character" w:customStyle="1" w:styleId="PedmtkomenteChar">
    <w:name w:val="Předmět komentáře Char"/>
    <w:basedOn w:val="TextkomenteChar"/>
    <w:link w:val="Pedmtkomente"/>
    <w:uiPriority w:val="99"/>
    <w:semiHidden/>
    <w:rsid w:val="00E76E61"/>
    <w:rPr>
      <w:rFonts w:ascii="Arial" w:eastAsia="Times New Roman" w:hAnsi="Arial"/>
      <w:b/>
      <w:bCs/>
      <w:lang w:eastAsia="cs-CZ"/>
    </w:rPr>
  </w:style>
  <w:style w:type="paragraph" w:customStyle="1" w:styleId="Nadpis11">
    <w:name w:val="Nadpis 11"/>
    <w:basedOn w:val="Normln"/>
    <w:uiPriority w:val="9"/>
    <w:qFormat/>
    <w:rsid w:val="00F46502"/>
    <w:pPr>
      <w:keepNext/>
      <w:keepLines/>
      <w:spacing w:after="100"/>
      <w:contextualSpacing/>
      <w:jc w:val="left"/>
      <w:outlineLvl w:val="0"/>
    </w:pPr>
    <w:rPr>
      <w:rFonts w:eastAsia="MS Gothic"/>
      <w:b/>
      <w:bCs/>
      <w:color w:val="71818C"/>
      <w:sz w:val="32"/>
      <w:szCs w:val="28"/>
    </w:rPr>
  </w:style>
  <w:style w:type="paragraph" w:customStyle="1" w:styleId="Nadpis21">
    <w:name w:val="Nadpis 21"/>
    <w:basedOn w:val="Normln"/>
    <w:uiPriority w:val="9"/>
    <w:qFormat/>
    <w:rsid w:val="00F46502"/>
    <w:pPr>
      <w:keepNext/>
      <w:keepLines/>
      <w:spacing w:after="0"/>
      <w:jc w:val="left"/>
      <w:outlineLvl w:val="1"/>
    </w:pPr>
    <w:rPr>
      <w:rFonts w:eastAsia="MS Gothic"/>
      <w:b/>
      <w:bCs/>
      <w:color w:val="71818C"/>
      <w:sz w:val="28"/>
      <w:szCs w:val="26"/>
    </w:rPr>
  </w:style>
  <w:style w:type="paragraph" w:customStyle="1" w:styleId="Textpoznpodarou1">
    <w:name w:val="Text pozn. pod čarou1"/>
    <w:basedOn w:val="Normln"/>
    <w:rsid w:val="00F46502"/>
    <w:pPr>
      <w:spacing w:after="0" w:line="240" w:lineRule="auto"/>
      <w:jc w:val="left"/>
    </w:pPr>
    <w:rPr>
      <w:rFonts w:eastAsia="Calibri"/>
      <w:color w:val="00000A"/>
      <w:szCs w:val="20"/>
    </w:rPr>
  </w:style>
  <w:style w:type="character" w:customStyle="1" w:styleId="TextpoznpodarouChar1">
    <w:name w:val="Text pozn. pod čarou Char1"/>
    <w:aliases w:val="Text pozn. pod čarou_martin_ang Char1"/>
    <w:basedOn w:val="Standardnpsmoodstavce"/>
    <w:semiHidden/>
    <w:rsid w:val="00F46502"/>
    <w:rPr>
      <w:rFonts w:ascii="Arial" w:eastAsia="Times New Roman" w:hAnsi="Arial" w:cs="Times New Roman"/>
      <w:color w:val="00000A"/>
      <w:szCs w:val="20"/>
      <w:lang w:eastAsia="cs-CZ"/>
    </w:rPr>
  </w:style>
  <w:style w:type="character" w:styleId="Znakapoznpodarou">
    <w:name w:val="footnote reference"/>
    <w:basedOn w:val="Standardnpsmoodstavce"/>
    <w:rsid w:val="00F46502"/>
    <w:rPr>
      <w:rFonts w:cs="Times New Roman"/>
      <w:vertAlign w:val="superscript"/>
    </w:rPr>
  </w:style>
  <w:style w:type="character" w:customStyle="1" w:styleId="odkaz-style-wrapper">
    <w:name w:val="odkaz-style-wrapper"/>
    <w:basedOn w:val="Standardnpsmoodstavce"/>
    <w:rsid w:val="00BE6186"/>
  </w:style>
  <w:style w:type="paragraph" w:customStyle="1" w:styleId="Nadpis110">
    <w:name w:val="Nadpis 11"/>
    <w:basedOn w:val="Normln"/>
    <w:uiPriority w:val="9"/>
    <w:qFormat/>
    <w:rsid w:val="00BE6186"/>
    <w:pPr>
      <w:keepNext/>
      <w:keepLines/>
      <w:spacing w:after="100"/>
      <w:contextualSpacing/>
      <w:jc w:val="left"/>
      <w:outlineLvl w:val="0"/>
    </w:pPr>
    <w:rPr>
      <w:rFonts w:eastAsia="MS Gothic"/>
      <w:b/>
      <w:bCs/>
      <w:color w:val="71818C"/>
      <w:sz w:val="32"/>
      <w:szCs w:val="28"/>
    </w:rPr>
  </w:style>
  <w:style w:type="paragraph" w:customStyle="1" w:styleId="Nadpis210">
    <w:name w:val="Nadpis 21"/>
    <w:basedOn w:val="Normln"/>
    <w:uiPriority w:val="9"/>
    <w:qFormat/>
    <w:rsid w:val="00BE6186"/>
    <w:pPr>
      <w:keepNext/>
      <w:keepLines/>
      <w:spacing w:after="0"/>
      <w:jc w:val="left"/>
      <w:outlineLvl w:val="1"/>
    </w:pPr>
    <w:rPr>
      <w:rFonts w:eastAsia="MS Gothic"/>
      <w:b/>
      <w:bCs/>
      <w:color w:val="71818C"/>
      <w:sz w:val="28"/>
      <w:szCs w:val="26"/>
    </w:rPr>
  </w:style>
  <w:style w:type="paragraph" w:customStyle="1" w:styleId="Textpoznpodarou10">
    <w:name w:val="Text pozn. pod čarou1"/>
    <w:basedOn w:val="Normln"/>
    <w:rsid w:val="00BE6186"/>
    <w:pPr>
      <w:spacing w:after="0" w:line="240" w:lineRule="auto"/>
      <w:jc w:val="left"/>
    </w:pPr>
    <w:rPr>
      <w:rFonts w:eastAsia="Calibri"/>
      <w:color w:val="00000A"/>
      <w:szCs w:val="20"/>
    </w:rPr>
  </w:style>
  <w:style w:type="paragraph" w:styleId="Normlnweb">
    <w:name w:val="Normal (Web)"/>
    <w:basedOn w:val="Normln"/>
    <w:uiPriority w:val="99"/>
    <w:unhideWhenUsed/>
    <w:rsid w:val="00C96D08"/>
    <w:pPr>
      <w:spacing w:before="100" w:beforeAutospacing="1" w:after="100" w:afterAutospacing="1" w:line="240" w:lineRule="auto"/>
      <w:jc w:val="left"/>
    </w:pPr>
    <w:rPr>
      <w:rFonts w:ascii="Times New Roman" w:hAnsi="Times New Roman"/>
      <w:sz w:val="24"/>
    </w:rPr>
  </w:style>
  <w:style w:type="paragraph" w:styleId="Zkladntext">
    <w:name w:val="Body Text"/>
    <w:basedOn w:val="Normln"/>
    <w:link w:val="ZkladntextChar"/>
    <w:semiHidden/>
    <w:rsid w:val="004C5FBF"/>
    <w:pPr>
      <w:widowControl w:val="0"/>
      <w:suppressAutoHyphens/>
      <w:autoSpaceDE w:val="0"/>
      <w:autoSpaceDN w:val="0"/>
      <w:adjustRightInd w:val="0"/>
      <w:spacing w:before="120" w:after="0" w:line="215" w:lineRule="exact"/>
    </w:pPr>
    <w:rPr>
      <w:rFonts w:ascii="Times New Roman CE obyèejné" w:hAnsi="Times New Roman CE obyèejné"/>
      <w:szCs w:val="20"/>
    </w:rPr>
  </w:style>
  <w:style w:type="character" w:customStyle="1" w:styleId="ZkladntextChar">
    <w:name w:val="Základní text Char"/>
    <w:basedOn w:val="Standardnpsmoodstavce"/>
    <w:link w:val="Zkladntext"/>
    <w:semiHidden/>
    <w:rsid w:val="004C5FBF"/>
    <w:rPr>
      <w:rFonts w:ascii="Times New Roman CE obyèejné" w:eastAsia="Times New Roman" w:hAnsi="Times New Roman CE obyèejné"/>
      <w:lang w:eastAsia="cs-CZ"/>
    </w:rPr>
  </w:style>
  <w:style w:type="character" w:customStyle="1" w:styleId="content">
    <w:name w:val="content"/>
    <w:basedOn w:val="Standardnpsmoodstavce"/>
    <w:rsid w:val="003C4BE8"/>
  </w:style>
</w:styles>
</file>

<file path=word/webSettings.xml><?xml version="1.0" encoding="utf-8"?>
<w:webSettings xmlns:r="http://schemas.openxmlformats.org/officeDocument/2006/relationships" xmlns:w="http://schemas.openxmlformats.org/wordprocessingml/2006/main">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49615720">
      <w:bodyDiv w:val="1"/>
      <w:marLeft w:val="60"/>
      <w:marRight w:val="60"/>
      <w:marTop w:val="60"/>
      <w:marBottom w:val="15"/>
      <w:divBdr>
        <w:top w:val="none" w:sz="0" w:space="0" w:color="auto"/>
        <w:left w:val="none" w:sz="0" w:space="0" w:color="auto"/>
        <w:bottom w:val="none" w:sz="0" w:space="0" w:color="auto"/>
        <w:right w:val="none" w:sz="0" w:space="0" w:color="auto"/>
      </w:divBdr>
      <w:divsChild>
        <w:div w:id="658968227">
          <w:marLeft w:val="0"/>
          <w:marRight w:val="0"/>
          <w:marTop w:val="0"/>
          <w:marBottom w:val="0"/>
          <w:divBdr>
            <w:top w:val="none" w:sz="0" w:space="0" w:color="auto"/>
            <w:left w:val="none" w:sz="0" w:space="0" w:color="auto"/>
            <w:bottom w:val="none" w:sz="0" w:space="0" w:color="auto"/>
            <w:right w:val="none" w:sz="0" w:space="0" w:color="auto"/>
          </w:divBdr>
        </w:div>
      </w:divsChild>
    </w:div>
    <w:div w:id="264115308">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504515303">
      <w:bodyDiv w:val="1"/>
      <w:marLeft w:val="0"/>
      <w:marRight w:val="0"/>
      <w:marTop w:val="0"/>
      <w:marBottom w:val="0"/>
      <w:divBdr>
        <w:top w:val="none" w:sz="0" w:space="0" w:color="auto"/>
        <w:left w:val="none" w:sz="0" w:space="0" w:color="auto"/>
        <w:bottom w:val="none" w:sz="0" w:space="0" w:color="auto"/>
        <w:right w:val="none" w:sz="0" w:space="0" w:color="auto"/>
      </w:divBdr>
    </w:div>
    <w:div w:id="533806547">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932319695">
      <w:bodyDiv w:val="1"/>
      <w:marLeft w:val="0"/>
      <w:marRight w:val="0"/>
      <w:marTop w:val="0"/>
      <w:marBottom w:val="0"/>
      <w:divBdr>
        <w:top w:val="none" w:sz="0" w:space="0" w:color="auto"/>
        <w:left w:val="none" w:sz="0" w:space="0" w:color="auto"/>
        <w:bottom w:val="none" w:sz="0" w:space="0" w:color="auto"/>
        <w:right w:val="none" w:sz="0" w:space="0" w:color="auto"/>
      </w:divBdr>
    </w:div>
    <w:div w:id="1208487203">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12266825">
      <w:bodyDiv w:val="1"/>
      <w:marLeft w:val="60"/>
      <w:marRight w:val="60"/>
      <w:marTop w:val="60"/>
      <w:marBottom w:val="15"/>
      <w:divBdr>
        <w:top w:val="none" w:sz="0" w:space="0" w:color="auto"/>
        <w:left w:val="none" w:sz="0" w:space="0" w:color="auto"/>
        <w:bottom w:val="none" w:sz="0" w:space="0" w:color="auto"/>
        <w:right w:val="none" w:sz="0" w:space="0" w:color="auto"/>
      </w:divBdr>
      <w:divsChild>
        <w:div w:id="1418138374">
          <w:marLeft w:val="0"/>
          <w:marRight w:val="0"/>
          <w:marTop w:val="0"/>
          <w:marBottom w:val="0"/>
          <w:divBdr>
            <w:top w:val="none" w:sz="0" w:space="0" w:color="auto"/>
            <w:left w:val="none" w:sz="0" w:space="0" w:color="auto"/>
            <w:bottom w:val="none" w:sz="0" w:space="0" w:color="auto"/>
            <w:right w:val="none" w:sz="0" w:space="0" w:color="auto"/>
          </w:divBdr>
        </w:div>
      </w:divsChild>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893350832">
      <w:bodyDiv w:val="1"/>
      <w:marLeft w:val="0"/>
      <w:marRight w:val="0"/>
      <w:marTop w:val="0"/>
      <w:marBottom w:val="0"/>
      <w:divBdr>
        <w:top w:val="none" w:sz="0" w:space="0" w:color="auto"/>
        <w:left w:val="none" w:sz="0" w:space="0" w:color="auto"/>
        <w:bottom w:val="none" w:sz="0" w:space="0" w:color="auto"/>
        <w:right w:val="none" w:sz="0" w:space="0" w:color="auto"/>
      </w:divBdr>
    </w:div>
    <w:div w:id="1940479751">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6.xml"/><Relationship Id="rId18" Type="http://schemas.openxmlformats.org/officeDocument/2006/relationships/chart" Target="charts/chart11.xml"/><Relationship Id="rId26" Type="http://schemas.openxmlformats.org/officeDocument/2006/relationships/chart" Target="charts/chart17.xml"/><Relationship Id="rId39" Type="http://schemas.openxmlformats.org/officeDocument/2006/relationships/chart" Target="charts/chart30.xml"/><Relationship Id="rId21" Type="http://schemas.openxmlformats.org/officeDocument/2006/relationships/chart" Target="charts/chart14.xml"/><Relationship Id="rId34" Type="http://schemas.openxmlformats.org/officeDocument/2006/relationships/chart" Target="charts/chart25.xml"/><Relationship Id="rId42" Type="http://schemas.openxmlformats.org/officeDocument/2006/relationships/chart" Target="charts/chart33.xml"/><Relationship Id="rId47" Type="http://schemas.openxmlformats.org/officeDocument/2006/relationships/chart" Target="charts/chart38.xml"/><Relationship Id="rId50" Type="http://schemas.openxmlformats.org/officeDocument/2006/relationships/chart" Target="charts/chart41.xml"/><Relationship Id="rId55" Type="http://schemas.openxmlformats.org/officeDocument/2006/relationships/chart" Target="charts/chart46.xml"/><Relationship Id="rId63" Type="http://schemas.openxmlformats.org/officeDocument/2006/relationships/chart" Target="charts/chart52.xml"/><Relationship Id="rId68" Type="http://schemas.openxmlformats.org/officeDocument/2006/relationships/chart" Target="charts/chart57.xml"/><Relationship Id="rId76" Type="http://schemas.openxmlformats.org/officeDocument/2006/relationships/chart" Target="charts/chart65.xml"/><Relationship Id="rId7" Type="http://schemas.openxmlformats.org/officeDocument/2006/relationships/endnotes" Target="endnotes.xml"/><Relationship Id="rId71" Type="http://schemas.openxmlformats.org/officeDocument/2006/relationships/chart" Target="charts/chart60.xml"/><Relationship Id="rId2" Type="http://schemas.openxmlformats.org/officeDocument/2006/relationships/numbering" Target="numbering.xml"/><Relationship Id="rId16" Type="http://schemas.openxmlformats.org/officeDocument/2006/relationships/chart" Target="charts/chart9.xml"/><Relationship Id="rId29" Type="http://schemas.openxmlformats.org/officeDocument/2006/relationships/chart" Target="charts/chart20.xml"/><Relationship Id="rId11" Type="http://schemas.openxmlformats.org/officeDocument/2006/relationships/chart" Target="charts/chart4.xml"/><Relationship Id="rId24" Type="http://schemas.openxmlformats.org/officeDocument/2006/relationships/image" Target="media/image2.emf"/><Relationship Id="rId32" Type="http://schemas.openxmlformats.org/officeDocument/2006/relationships/chart" Target="charts/chart23.xml"/><Relationship Id="rId37" Type="http://schemas.openxmlformats.org/officeDocument/2006/relationships/chart" Target="charts/chart28.xml"/><Relationship Id="rId40" Type="http://schemas.openxmlformats.org/officeDocument/2006/relationships/chart" Target="charts/chart31.xml"/><Relationship Id="rId45" Type="http://schemas.openxmlformats.org/officeDocument/2006/relationships/chart" Target="charts/chart36.xml"/><Relationship Id="rId53" Type="http://schemas.openxmlformats.org/officeDocument/2006/relationships/chart" Target="charts/chart44.xml"/><Relationship Id="rId58" Type="http://schemas.openxmlformats.org/officeDocument/2006/relationships/image" Target="media/image5.emf"/><Relationship Id="rId66" Type="http://schemas.openxmlformats.org/officeDocument/2006/relationships/chart" Target="charts/chart55.xml"/><Relationship Id="rId74" Type="http://schemas.openxmlformats.org/officeDocument/2006/relationships/chart" Target="charts/chart63.xml"/><Relationship Id="rId79"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chart" Target="charts/chart50.xml"/><Relationship Id="rId82" Type="http://schemas.openxmlformats.org/officeDocument/2006/relationships/theme" Target="theme/theme1.xml"/><Relationship Id="rId10" Type="http://schemas.openxmlformats.org/officeDocument/2006/relationships/chart" Target="charts/chart3.xml"/><Relationship Id="rId19" Type="http://schemas.openxmlformats.org/officeDocument/2006/relationships/chart" Target="charts/chart12.xml"/><Relationship Id="rId31" Type="http://schemas.openxmlformats.org/officeDocument/2006/relationships/chart" Target="charts/chart22.xml"/><Relationship Id="rId44" Type="http://schemas.openxmlformats.org/officeDocument/2006/relationships/chart" Target="charts/chart35.xml"/><Relationship Id="rId52" Type="http://schemas.openxmlformats.org/officeDocument/2006/relationships/chart" Target="charts/chart43.xml"/><Relationship Id="rId60" Type="http://schemas.openxmlformats.org/officeDocument/2006/relationships/chart" Target="charts/chart49.xml"/><Relationship Id="rId65" Type="http://schemas.openxmlformats.org/officeDocument/2006/relationships/chart" Target="charts/chart54.xml"/><Relationship Id="rId73" Type="http://schemas.openxmlformats.org/officeDocument/2006/relationships/chart" Target="charts/chart62.xml"/><Relationship Id="rId78" Type="http://schemas.openxmlformats.org/officeDocument/2006/relationships/header" Target="header2.xm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chart" Target="charts/chart15.xml"/><Relationship Id="rId27" Type="http://schemas.openxmlformats.org/officeDocument/2006/relationships/chart" Target="charts/chart18.xml"/><Relationship Id="rId30" Type="http://schemas.openxmlformats.org/officeDocument/2006/relationships/chart" Target="charts/chart21.xml"/><Relationship Id="rId35" Type="http://schemas.openxmlformats.org/officeDocument/2006/relationships/chart" Target="charts/chart26.xml"/><Relationship Id="rId43" Type="http://schemas.openxmlformats.org/officeDocument/2006/relationships/chart" Target="charts/chart34.xml"/><Relationship Id="rId48" Type="http://schemas.openxmlformats.org/officeDocument/2006/relationships/chart" Target="charts/chart39.xml"/><Relationship Id="rId56" Type="http://schemas.openxmlformats.org/officeDocument/2006/relationships/chart" Target="charts/chart47.xml"/><Relationship Id="rId64" Type="http://schemas.openxmlformats.org/officeDocument/2006/relationships/chart" Target="charts/chart53.xml"/><Relationship Id="rId69" Type="http://schemas.openxmlformats.org/officeDocument/2006/relationships/chart" Target="charts/chart58.xml"/><Relationship Id="rId77" Type="http://schemas.openxmlformats.org/officeDocument/2006/relationships/header" Target="header1.xml"/><Relationship Id="rId8" Type="http://schemas.openxmlformats.org/officeDocument/2006/relationships/chart" Target="charts/chart1.xml"/><Relationship Id="rId51" Type="http://schemas.openxmlformats.org/officeDocument/2006/relationships/chart" Target="charts/chart42.xml"/><Relationship Id="rId72" Type="http://schemas.openxmlformats.org/officeDocument/2006/relationships/chart" Target="charts/chart61.xml"/><Relationship Id="rId80" Type="http://schemas.openxmlformats.org/officeDocument/2006/relationships/footer" Target="footer2.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image" Target="media/image3.emf"/><Relationship Id="rId33" Type="http://schemas.openxmlformats.org/officeDocument/2006/relationships/chart" Target="charts/chart24.xml"/><Relationship Id="rId38" Type="http://schemas.openxmlformats.org/officeDocument/2006/relationships/chart" Target="charts/chart29.xml"/><Relationship Id="rId46" Type="http://schemas.openxmlformats.org/officeDocument/2006/relationships/chart" Target="charts/chart37.xml"/><Relationship Id="rId59" Type="http://schemas.openxmlformats.org/officeDocument/2006/relationships/chart" Target="charts/chart48.xml"/><Relationship Id="rId67" Type="http://schemas.openxmlformats.org/officeDocument/2006/relationships/chart" Target="charts/chart56.xml"/><Relationship Id="rId20" Type="http://schemas.openxmlformats.org/officeDocument/2006/relationships/chart" Target="charts/chart13.xml"/><Relationship Id="rId41" Type="http://schemas.openxmlformats.org/officeDocument/2006/relationships/chart" Target="charts/chart32.xml"/><Relationship Id="rId54" Type="http://schemas.openxmlformats.org/officeDocument/2006/relationships/chart" Target="charts/chart45.xml"/><Relationship Id="rId62" Type="http://schemas.openxmlformats.org/officeDocument/2006/relationships/chart" Target="charts/chart51.xml"/><Relationship Id="rId70" Type="http://schemas.openxmlformats.org/officeDocument/2006/relationships/chart" Target="charts/chart59.xml"/><Relationship Id="rId75" Type="http://schemas.openxmlformats.org/officeDocument/2006/relationships/chart" Target="charts/chart6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8.xml"/><Relationship Id="rId23" Type="http://schemas.openxmlformats.org/officeDocument/2006/relationships/chart" Target="charts/chart16.xml"/><Relationship Id="rId28" Type="http://schemas.openxmlformats.org/officeDocument/2006/relationships/chart" Target="charts/chart19.xml"/><Relationship Id="rId36" Type="http://schemas.openxmlformats.org/officeDocument/2006/relationships/chart" Target="charts/chart27.xml"/><Relationship Id="rId49" Type="http://schemas.openxmlformats.org/officeDocument/2006/relationships/chart" Target="charts/chart40.xml"/><Relationship Id="rId57" Type="http://schemas.openxmlformats.org/officeDocument/2006/relationships/image" Target="media/image4.emf"/></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kumenty\Anal&#253;za\Ro&#269;n&#237;%20anal&#253;za%202018\Ana&#253;za%20ekonomick&#233;ho%20v&#253;voje%20v%20roce%202017.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Dokumenty\Downloads\hdpcr062918_gs(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Dokumenty\Anal&#253;za\Ro&#269;n&#237;%20anal&#253;za%202018\HDP\hdpcr062918_gs(2).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Dokumenty\Anal&#253;za\Ro&#269;n&#237;%20anal&#253;za%202018\HDP\nama_10_gdp.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Dokumenty\Anal&#253;za\Ro&#269;n&#237;%20anal&#253;za%202018\Ceny\grafy_ceny.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Dokumenty\Anal&#253;za\Ro&#269;n&#237;%20anal&#253;za%202018\Ceny\grafy_ceny.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Dokumenty\Anal&#253;za\Ro&#269;n&#237;%20anal&#253;za%202018\Ceny\grafy_ceny.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Dokumenty\Anal&#253;za\Ro&#269;n&#237;%20anal&#253;za%202018\Ceny\pr&#367;mysl.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sukupova31519\AppData\Local\Temp\Vystup-4.xls"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Dokumenty\Anal&#253;za\Ro&#269;n&#237;%20anal&#253;za%202018\Vn&#283;j&#353;&#237;%20vztahy\investi&#269;n&#237;%20pozice.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Dokumenty\Anal&#253;za\Ro&#269;n&#237;%20anal&#253;za%202018\Investice\odv&#283;tvov&#283;.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D:\Dokumenty\Anal&#253;za\Ro&#269;n&#237;%20anal&#253;za%202018\Investice\THFK_V_bc_CZ.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sukupova31519\AppData\Local\Temp\nama_10_gdp.xls"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D:\JKAM%20CSU\PUBLIKACE\PUBLIKACE\2018\Velk&#225;%20makro\0-Trh%20pr&#225;ce\Grafy-Trh%20pr&#225;ce.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D:\JKAM%20CSU\PUBLIKACE\PUBLIKACE\2018\Velk&#225;%20makro\0-Trh%20pr&#225;ce\Grafy-Trh%20pr&#225;ce.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D:\JKAM%20CSU\PUBLIKACE\PUBLIKACE\2018\Velk&#225;%20makro\0-Trh%20pr&#225;ce\EU-trh%20pr&#225;ce.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D:\JKAM%20CSU\PUBLIKACE\PUBLIKACE\2018\Velk&#225;%20makro\Trh%20pr&#225;ce\Grafy-Trh%20pr&#225;ce.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D:\JKAM%20CSU\PUBLIKACE\PUBLIKACE\2018\Velk&#225;%20makro\0-Trh%20pr&#225;ce\Grafy-Trh%20pr&#225;ce.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D:\JKAM%20CSU\PUBLIKACE\PUBLIKACE\2018\Velk&#225;%20makro\0-Trh%20pr&#225;ce\Grafy-Trh%20pr&#225;ce.xlsx" TargetMode="External"/></Relationships>
</file>

<file path=word/charts/_rels/chart19.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JKAM%20CSU\PUBLIKACE\PUBLIKACE\2018\Velk&#225;%20makro\0-Trh%20pr&#225;ce\Grafy-Trh%20pr&#225;ce.xlsx" TargetMode="External"/></Relationships>
</file>

<file path=word/charts/_rels/chart20.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JKAM%20CSU\PUBLIKACE\PUBLIKACE\2018\Velk&#225;%20makro\0-Trh%20pr&#225;ce\Grafy-Trh%20pr&#225;ce.xlsx" TargetMode="External"/></Relationships>
</file>

<file path=word/charts/_rels/chart21.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D:\JKAM%20CSU\PUBLIKACE\PUBLIKACE\2018\Velk&#225;%20makro\0-Trh%20pr&#225;ce\Grafy-Trh%20pr&#225;ce.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D:\JKAM%20CSU\PUBLIKACE\PUBLIKACE\2018\Velk&#225;%20makro\A-Sektor%20nefina&#269;n&#237;ch%20podnik&#367;\Grafy-nefona&#269;n&#237;%20podniky.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E:\Velk&#225;%20makro%202018\A-Sektor%20nefina&#269;n&#237;ch%20podnik&#367;-1\Grafy-nefinan&#269;n&#237;%20podniky.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D:\JKAM%20CSU\PUBLIKACE\PUBLIKACE\2018\Velk&#225;%20makro\A-Sektor%20nefina&#269;n&#237;ch%20podnik&#367;\Grafy-nefona&#269;n&#237;%20podniky.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D:\JKAM%20CSU\PUBLIKACE\PUBLIKACE\2018\Velk&#225;%20makro\A-Sektor%20nefina&#269;n&#237;ch%20podnik&#367;\Grafy-nefinan&#269;n&#237;%20podniky.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D:\JKAM%20CSU\PUBLIKACE\PUBLIKACE\2018\Velk&#225;%20makro\A-Sektor%20nefina&#269;n&#237;ch%20podnik&#367;\Grafy-nefinan&#269;n&#237;%20podniky.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D:\JKAM%20CSU\PUBLIKACE\PUBLIKACE\2018\Velk&#225;%20makro\A-Sektor%20nefina&#269;n&#237;ch%20podnik&#367;-1\Grafy-nefinan&#269;n&#237;%20podniky.xlsx"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D:\Dokumenty\Anal&#253;za\Ro&#269;n&#237;%20anal&#253;za%202018\Finan&#269;n&#237;%20instituce\ST001201_CZ.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D:\Dokumenty\Anal&#253;za\Ro&#269;n&#237;%20anal&#253;za%202018\P&#345;&#237;jmy%20dom&#225;cnost&#237;\Kopie%20-%20QSA_S14_2018q1.xls"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D:\Dokumenty\Anal&#253;za\Ro&#269;n&#237;%20anal&#253;za%202018\P&#345;&#237;jmy%20dom&#225;cnost&#237;_odesl&#225;no\Kopie%20-%20QSA_S14_2018q1.xls"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D:\Dokumenty\Anal&#253;za\Ro&#269;n&#237;%20anal&#253;za%202018\Spot&#345;eba%20dom&#225;cnost&#237;\&#269;asov&#283;.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D:\Dokumenty\Anal&#253;za\Ro&#269;n&#237;%20anal&#253;za%202018\Hospoda&#345;en&#237;%20vl&#225;dn&#237;ch%20instituc&#237;\gov_10dd_edpt1.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D:\Dokumenty\Anal&#253;za\Ro&#269;n&#237;%20anal&#253;za%202018\Hospoda&#345;en&#237;%20vl&#225;dn&#237;ch%20instituc&#237;\p&#345;&#237;jmy%20a%20v&#253;daje%20vl&#225;dn&#237;ch%20instituc&#237;.xlsx"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D:\Dokumenty\Anal&#253;za\Ro&#269;n&#237;%20anal&#253;za%202018\Hospoda&#345;en&#237;%20vl&#225;dn&#237;ch%20instituc&#237;\p&#345;&#237;jmy%20a%20v&#253;daje%20vl&#225;dn&#237;ch%20instituc&#237;.xlsx" TargetMode="External"/></Relationships>
</file>

<file path=word/charts/_rels/chart35.xml.rels><?xml version="1.0" encoding="UTF-8" standalone="yes"?>
<Relationships xmlns="http://schemas.openxmlformats.org/package/2006/relationships"><Relationship Id="rId1" Type="http://schemas.openxmlformats.org/officeDocument/2006/relationships/oleObject" Target="file:///C:\Users\sukupova31519\AppData\Local\Temp\GOV_DEBT_CZ.xls" TargetMode="External"/></Relationships>
</file>

<file path=word/charts/_rels/chart36.xml.rels><?xml version="1.0" encoding="UTF-8" standalone="yes"?>
<Relationships xmlns="http://schemas.openxmlformats.org/package/2006/relationships"><Relationship Id="rId1" Type="http://schemas.openxmlformats.org/officeDocument/2006/relationships/oleObject" Target="file:///D:\JKAM%20CSU\PUBLIKACE\PUBLIKACE\2018\Velk&#225;%20makro\1-Z&#283;m&#283;d&#283;lstv&#237;%20a%20lesnictv&#237;\Grafy-Zem&#283;d&#283;lstv&#237;.xlsx" TargetMode="External"/></Relationships>
</file>

<file path=word/charts/_rels/chart37.xml.rels><?xml version="1.0" encoding="UTF-8" standalone="yes"?>
<Relationships xmlns="http://schemas.openxmlformats.org/package/2006/relationships"><Relationship Id="rId1" Type="http://schemas.openxmlformats.org/officeDocument/2006/relationships/oleObject" Target="file:///D:\JKAM%20CSU\PUBLIKACE\PUBLIKACE\2018\Velk&#225;%20makro\1-Z&#283;m&#283;d&#283;lstv&#237;%20a%20lesnictv&#237;\Grafy-Zem&#283;d&#283;lstv&#237;.xlsx" TargetMode="External"/></Relationships>
</file>

<file path=word/charts/_rels/chart38.xml.rels><?xml version="1.0" encoding="UTF-8" standalone="yes"?>
<Relationships xmlns="http://schemas.openxmlformats.org/package/2006/relationships"><Relationship Id="rId1" Type="http://schemas.openxmlformats.org/officeDocument/2006/relationships/oleObject" Target="file:///D:\JKAM%20CSU\PUBLIKACE\PUBLIKACE\2018\Velk&#225;%20makro\1-Z&#283;m&#283;d&#283;lstv&#237;%20a%20lesnictv&#237;\Grafy-Zem&#283;d&#283;lstv&#237;.xlsx" TargetMode="External"/></Relationships>
</file>

<file path=word/charts/_rels/chart39.xml.rels><?xml version="1.0" encoding="UTF-8" standalone="yes"?>
<Relationships xmlns="http://schemas.openxmlformats.org/package/2006/relationships"><Relationship Id="rId1" Type="http://schemas.openxmlformats.org/officeDocument/2006/relationships/oleObject" Target="file:///D:\JKAM%20CSU\PUBLIKACE\PUBLIKACE\2018\Velk&#225;%20makro\1-Z&#283;m&#283;d&#283;lstv&#237;%20a%20lesnictv&#237;\Grafy-Zem&#283;d&#283;lstv&#237;.xlsx" TargetMode="External"/></Relationships>
</file>

<file path=word/charts/_rels/chart40.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D:\JKAM%20CSU\PUBLIKACE\PUBLIKACE\2018\Velk&#225;%20makro\1-Z&#283;m&#283;d&#283;lstv&#237;%20a%20lesnictv&#237;\Grafy-Zem&#283;d&#283;lstv&#237;.xlsx" TargetMode="External"/></Relationships>
</file>

<file path=word/charts/_rels/chart41.xml.rels><?xml version="1.0" encoding="UTF-8" standalone="yes"?>
<Relationships xmlns="http://schemas.openxmlformats.org/package/2006/relationships"><Relationship Id="rId1" Type="http://schemas.openxmlformats.org/officeDocument/2006/relationships/oleObject" Target="file:///D:\JKAM%20CSU\PUBLIKACE\PUBLIKACE\2018\Velk&#225;%20makro\2-Pr&#367;mysl\Grafy-pr&#367;mysl.xlsx" TargetMode="External"/></Relationships>
</file>

<file path=word/charts/_rels/chart42.xml.rels><?xml version="1.0" encoding="UTF-8" standalone="yes"?>
<Relationships xmlns="http://schemas.openxmlformats.org/package/2006/relationships"><Relationship Id="rId1" Type="http://schemas.openxmlformats.org/officeDocument/2006/relationships/oleObject" Target="file:///D:\JKAM%20CSU\PUBLIKACE\PUBLIKACE\2018\Velk&#225;%20makro\2-Pr&#367;mysl\Grafy-pr&#367;mysl.xlsx" TargetMode="External"/></Relationships>
</file>

<file path=word/charts/_rels/chart43.xml.rels><?xml version="1.0" encoding="UTF-8" standalone="yes"?>
<Relationships xmlns="http://schemas.openxmlformats.org/package/2006/relationships"><Relationship Id="rId1" Type="http://schemas.openxmlformats.org/officeDocument/2006/relationships/oleObject" Target="file:///D:\JKAM%20CSU\PUBLIKACE\PUBLIKACE\2018\Velk&#225;%20makro\2-Pr&#367;mysl\Grafy-pr&#367;mysl.xlsx" TargetMode="External"/></Relationships>
</file>

<file path=word/charts/_rels/chart44.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D:\JKAM%20CSU\PUBLIKACE\PUBLIKACE\2018\Velk&#225;%20makro\2-Pr&#367;mysl\Grafy-pr&#367;mysl.xlsx" TargetMode="External"/></Relationships>
</file>

<file path=word/charts/_rels/chart45.xml.rels><?xml version="1.0" encoding="UTF-8" standalone="yes"?>
<Relationships xmlns="http://schemas.openxmlformats.org/package/2006/relationships"><Relationship Id="rId1" Type="http://schemas.openxmlformats.org/officeDocument/2006/relationships/oleObject" Target="file:///D:\JKAM%20CSU\PUBLIKACE\PUBLIKACE\2018\Velk&#225;%20makro\2-Pr&#367;mysl\Grafy-pr&#367;mysl.xlsx" TargetMode="External"/></Relationships>
</file>

<file path=word/charts/_rels/chart46.xml.rels><?xml version="1.0" encoding="UTF-8" standalone="yes"?>
<Relationships xmlns="http://schemas.openxmlformats.org/package/2006/relationships"><Relationship Id="rId1" Type="http://schemas.openxmlformats.org/officeDocument/2006/relationships/oleObject" Target="file:///D:\JKAM%20CSU\PUBLIKACE\PUBLIKACE\2018\Velk&#225;%20makro\Stavebnictv&#237;\Stavebnictv&#237;-Grafy.xlsx" TargetMode="External"/></Relationships>
</file>

<file path=word/charts/_rels/chart47.xml.rels><?xml version="1.0" encoding="UTF-8" standalone="yes"?>
<Relationships xmlns="http://schemas.openxmlformats.org/package/2006/relationships"><Relationship Id="rId1" Type="http://schemas.openxmlformats.org/officeDocument/2006/relationships/oleObject" Target="file:///D:\JKAM%20CSU\PUBLIKACE\PUBLIKACE\2018\Velk&#225;%20makro\Stavebnictv&#237;\Stavebnictv&#237;-Grafy.xlsx" TargetMode="External"/></Relationships>
</file>

<file path=word/charts/_rels/chart48.xml.rels><?xml version="1.0" encoding="UTF-8" standalone="yes"?>
<Relationships xmlns="http://schemas.openxmlformats.org/package/2006/relationships"><Relationship Id="rId1" Type="http://schemas.openxmlformats.org/officeDocument/2006/relationships/oleObject" Target="file:///D:\JKAM%20CSU\PUBLIKACE\PUBLIKACE\2018\Velk&#225;%20makro\4-Obchod,%20doprava\Obchod-doprava-grafy.xlsx" TargetMode="External"/></Relationships>
</file>

<file path=word/charts/_rels/chart49.xml.rels><?xml version="1.0" encoding="UTF-8" standalone="yes"?>
<Relationships xmlns="http://schemas.openxmlformats.org/package/2006/relationships"><Relationship Id="rId1" Type="http://schemas.openxmlformats.org/officeDocument/2006/relationships/oleObject" Target="file:///D:\JKAM%20CSU\PUBLIKACE\PUBLIKACE\2018\Velk&#225;%20makro\4-Obchod,%20doprava\Obchod-doprava-grafy.xlsx" TargetMode="External"/></Relationships>
</file>

<file path=word/charts/_rels/chart50.xml.rels><?xml version="1.0" encoding="UTF-8" standalone="yes"?>
<Relationships xmlns="http://schemas.openxmlformats.org/package/2006/relationships"><Relationship Id="rId1" Type="http://schemas.openxmlformats.org/officeDocument/2006/relationships/oleObject" Target="file:///D:\JKAM%20CSU\PUBLIKACE\PUBLIKACE\2018\Velk&#225;%20makro\4-Obchod,%20doprava\Obchod-doprava-grafy.xlsx" TargetMode="External"/></Relationships>
</file>

<file path=word/charts/_rels/chart51.xml.rels><?xml version="1.0" encoding="UTF-8" standalone="yes"?>
<Relationships xmlns="http://schemas.openxmlformats.org/package/2006/relationships"><Relationship Id="rId1" Type="http://schemas.openxmlformats.org/officeDocument/2006/relationships/oleObject" Target="file:///D:\JKAM%20CSU\PUBLIKACE\PUBLIKACE\2018\Velk&#225;%20makro\4-Obchod,%20doprava\Obchod-doprava-grafy.xlsx" TargetMode="External"/></Relationships>
</file>

<file path=word/charts/_rels/chart52.xml.rels><?xml version="1.0" encoding="UTF-8" standalone="yes"?>
<Relationships xmlns="http://schemas.openxmlformats.org/package/2006/relationships"><Relationship Id="rId1" Type="http://schemas.openxmlformats.org/officeDocument/2006/relationships/oleObject" Target="file:///D:\JKAM%20CSU\PUBLIKACE\PUBLIKACE\2018\Velk&#225;%20makro\5-Ubytov&#225;n&#237;%20a%20pohostinstv&#237;\Cestovn&#237;%20ruch-grafy.xlsx" TargetMode="External"/></Relationships>
</file>

<file path=word/charts/_rels/chart53.xml.rels><?xml version="1.0" encoding="UTF-8" standalone="yes"?>
<Relationships xmlns="http://schemas.openxmlformats.org/package/2006/relationships"><Relationship Id="rId1" Type="http://schemas.openxmlformats.org/officeDocument/2006/relationships/oleObject" Target="file:///D:\JKAM%20CSU\PUBLIKACE\PUBLIKACE\2018\Velk&#225;%20makro\5-Ubytov&#225;n&#237;%20a%20pohostinstv&#237;\Cestovn&#237;%20ruch-grafy.xlsx" TargetMode="External"/></Relationships>
</file>

<file path=word/charts/_rels/chart54.xml.rels><?xml version="1.0" encoding="UTF-8" standalone="yes"?>
<Relationships xmlns="http://schemas.openxmlformats.org/package/2006/relationships"><Relationship Id="rId1" Type="http://schemas.openxmlformats.org/officeDocument/2006/relationships/oleObject" Target="file:///D:\JKAM%20CSU\PUBLIKACE\PUBLIKACE\2018\Velk&#225;%20makro\5-Ubytov&#225;n&#237;%20a%20pohostinstv&#237;\Cestovn&#237;%20ruch-grafy.xlsx" TargetMode="External"/></Relationships>
</file>

<file path=word/charts/_rels/chart55.xml.rels><?xml version="1.0" encoding="UTF-8" standalone="yes"?>
<Relationships xmlns="http://schemas.openxmlformats.org/package/2006/relationships"><Relationship Id="rId1" Type="http://schemas.openxmlformats.org/officeDocument/2006/relationships/oleObject" Target="file:///D:\JKAM%20CSU\PUBLIKACE\PUBLIKACE\2018\Velk&#225;%20makro\6-Informa&#269;n&#237;%20akomunika&#269;n&#237;%20&#269;in\Grafy-infor.%20a%20komunika&#269;n&#237;%20&#269;in.xlsx" TargetMode="External"/></Relationships>
</file>

<file path=word/charts/_rels/chart56.xml.rels><?xml version="1.0" encoding="UTF-8" standalone="yes"?>
<Relationships xmlns="http://schemas.openxmlformats.org/package/2006/relationships"><Relationship Id="rId1" Type="http://schemas.openxmlformats.org/officeDocument/2006/relationships/oleObject" Target="file:///D:\JKAM%20CSU\PUBLIKACE\PUBLIKACE\2018\Velk&#225;%20makro\6-Informa&#269;n&#237;%20akomunika&#269;n&#237;%20&#269;in\Grafy-infor.%20a%20komunika&#269;n&#237;%20&#269;in.xlsx" TargetMode="External"/></Relationships>
</file>

<file path=word/charts/_rels/chart57.xml.rels><?xml version="1.0" encoding="UTF-8" standalone="yes"?>
<Relationships xmlns="http://schemas.openxmlformats.org/package/2006/relationships"><Relationship Id="rId1" Type="http://schemas.openxmlformats.org/officeDocument/2006/relationships/oleObject" Target="file:///D:\JKAM%20CSU\PUBLIKACE\PUBLIKACE\2018\Velk&#225;%20makro\6-Informa&#269;n&#237;%20akomunika&#269;n&#237;%20&#269;in\Grafy-infor.%20a%20komunika&#269;n&#237;%20&#269;in.xlsx" TargetMode="External"/></Relationships>
</file>

<file path=word/charts/_rels/chart58.xml.rels><?xml version="1.0" encoding="UTF-8" standalone="yes"?>
<Relationships xmlns="http://schemas.openxmlformats.org/package/2006/relationships"><Relationship Id="rId1" Type="http://schemas.openxmlformats.org/officeDocument/2006/relationships/oleObject" Target="file:///D:\JKAM%20CSU\PUBLIKACE\PUBLIKACE\2018\Velk&#225;%20makro\6-Informa&#269;n&#237;%20akomunika&#269;n&#237;%20&#269;in\Grafy-infor.%20a%20komunika&#269;n&#237;%20&#269;in.xlsx" TargetMode="External"/></Relationships>
</file>

<file path=word/charts/_rels/chart59.xml.rels><?xml version="1.0" encoding="UTF-8" standalone="yes"?>
<Relationships xmlns="http://schemas.openxmlformats.org/package/2006/relationships"><Relationship Id="rId1" Type="http://schemas.openxmlformats.org/officeDocument/2006/relationships/oleObject" Target="file:///D:\JKAM%20CSU\PUBLIKACE\PUBLIKACE\2018\Velk&#225;%20makro\7-Profes.v&#283;d,%20techn,%20admin%20&#269;in\Grafy-Profes%20v&#283;d%20a%20tech%20&#269;in.xlsx" TargetMode="External"/></Relationships>
</file>

<file path=word/charts/_rels/chart60.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D:\JKAM%20CSU\PUBLIKACE\PUBLIKACE\2018\Velk&#225;%20makro\7-Profes.v&#283;d,%20techn,%20admin%20&#269;in\Grafy-Profes%20v&#283;d%20a%20tech%20&#269;in.xlsx" TargetMode="External"/></Relationships>
</file>

<file path=word/charts/_rels/chart61.xml.rels><?xml version="1.0" encoding="UTF-8" standalone="yes"?>
<Relationships xmlns="http://schemas.openxmlformats.org/package/2006/relationships"><Relationship Id="rId1" Type="http://schemas.openxmlformats.org/officeDocument/2006/relationships/oleObject" Target="file:///D:\JKAM%20CSU\PUBLIKACE\PUBLIKACE\2018\Velk&#225;%20makro\8-Ve&#345;ejn&#233;%20slu&#382;by\Grafy-Ve&#345;ejn&#233;%20slu&#382;by.xlsx" TargetMode="External"/></Relationships>
</file>

<file path=word/charts/_rels/chart62.xml.rels><?xml version="1.0" encoding="UTF-8" standalone="yes"?>
<Relationships xmlns="http://schemas.openxmlformats.org/package/2006/relationships"><Relationship Id="rId1" Type="http://schemas.openxmlformats.org/officeDocument/2006/relationships/oleObject" Target="file:///D:\JKAM%20CSU\PUBLIKACE\PUBLIKACE\2018\Velk&#225;%20makro\1-Z&#283;m&#283;d&#283;lstv&#237;%20a%20lesnictv&#237;\Grafy-Zem&#283;d&#283;lstv&#237;.xlsx" TargetMode="External"/></Relationships>
</file>

<file path=word/charts/_rels/chart63.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file:///D:\JKAM%20CSU\PUBLIKACE\PUBLIKACE\2018\Velk&#225;%20makro\8-Ve&#345;ejn&#233;%20slu&#382;by\Grafy-Ve&#345;ejn&#233;%20slu&#382;by.xlsx" TargetMode="External"/></Relationships>
</file>

<file path=word/charts/_rels/chart64.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oleObject" Target="file:///D:\JKAM%20CSU\PUBLIKACE\PUBLIKACE\2018\Velk&#225;%20makro\8-Ve&#345;ejn&#233;%20slu&#382;by\Grafy-Ve&#345;ejn&#233;%20slu&#382;by.xlsx" TargetMode="External"/></Relationships>
</file>

<file path=word/charts/_rels/chart65.xml.rels><?xml version="1.0" encoding="UTF-8" standalone="yes"?>
<Relationships xmlns="http://schemas.openxmlformats.org/package/2006/relationships"><Relationship Id="rId1" Type="http://schemas.openxmlformats.org/officeDocument/2006/relationships/oleObject" Target="file:///D:\JKAM%20CSU\PUBLIKACE\PUBLIKACE\2018\Velk&#225;%20makro\8-Ve&#345;ejn&#233;%20slu&#382;by\Grafy-Ve&#345;ejn&#233;%20slu&#382;by.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5.4071470786896413E-2"/>
          <c:y val="3.9316672295395698E-2"/>
          <c:w val="0.92846377912867251"/>
          <c:h val="0.76052572329168477"/>
        </c:manualLayout>
      </c:layout>
      <c:barChart>
        <c:barDir val="col"/>
        <c:grouping val="stacked"/>
        <c:ser>
          <c:idx val="4"/>
          <c:order val="1"/>
          <c:tx>
            <c:strRef>
              <c:f>HDP_minus!$W$126</c:f>
              <c:strCache>
                <c:ptCount val="1"/>
                <c:pt idx="0">
                  <c:v>Bilance zahraničního obchodu</c:v>
                </c:pt>
              </c:strCache>
            </c:strRef>
          </c:tx>
          <c:spPr>
            <a:solidFill>
              <a:srgbClr val="7DBB2D"/>
            </a:solidFill>
          </c:spPr>
          <c:cat>
            <c:strRef>
              <c:f>HDP_minus!$R$127:$R$136</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HDP_minus!$W$127:$W$136</c:f>
              <c:numCache>
                <c:formatCode>0.0</c:formatCode>
                <c:ptCount val="10"/>
                <c:pt idx="0">
                  <c:v>1.4755957258407928</c:v>
                </c:pt>
                <c:pt idx="1">
                  <c:v>-1.6249344822136818</c:v>
                </c:pt>
                <c:pt idx="2">
                  <c:v>1.8179830375766795</c:v>
                </c:pt>
                <c:pt idx="3">
                  <c:v>2.4390375447846941</c:v>
                </c:pt>
                <c:pt idx="4">
                  <c:v>1.8677320472805792</c:v>
                </c:pt>
                <c:pt idx="5">
                  <c:v>-0.17108196351040841</c:v>
                </c:pt>
                <c:pt idx="6">
                  <c:v>1.2527742680860618</c:v>
                </c:pt>
                <c:pt idx="7">
                  <c:v>1.277900677599463</c:v>
                </c:pt>
                <c:pt idx="8">
                  <c:v>1.3326265729670219</c:v>
                </c:pt>
                <c:pt idx="9">
                  <c:v>1.3615786306657904</c:v>
                </c:pt>
              </c:numCache>
            </c:numRef>
          </c:val>
          <c:extLst xmlns:c16r2="http://schemas.microsoft.com/office/drawing/2015/06/chart">
            <c:ext xmlns:c16="http://schemas.microsoft.com/office/drawing/2014/chart" uri="{C3380CC4-5D6E-409C-BE32-E72D297353CC}">
              <c16:uniqueId val="{00000000-BDEB-42BB-9F9E-C7AC89233B47}"/>
            </c:ext>
          </c:extLst>
        </c:ser>
        <c:ser>
          <c:idx val="3"/>
          <c:order val="2"/>
          <c:tx>
            <c:strRef>
              <c:f>HDP_minus!$V$126</c:f>
              <c:strCache>
                <c:ptCount val="1"/>
                <c:pt idx="0">
                  <c:v>Výdaje na tvorbu hrubého kapitálu</c:v>
                </c:pt>
              </c:strCache>
            </c:strRef>
          </c:tx>
          <c:spPr>
            <a:solidFill>
              <a:srgbClr val="BD1B21"/>
            </a:solidFill>
          </c:spPr>
          <c:cat>
            <c:strRef>
              <c:f>HDP_minus!$R$127:$R$136</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HDP_minus!$V$127:$V$136</c:f>
              <c:numCache>
                <c:formatCode>0.0</c:formatCode>
                <c:ptCount val="10"/>
                <c:pt idx="0">
                  <c:v>0.37101582441177616</c:v>
                </c:pt>
                <c:pt idx="1">
                  <c:v>-1.8136558846275201</c:v>
                </c:pt>
                <c:pt idx="2">
                  <c:v>-0.217947681108344</c:v>
                </c:pt>
                <c:pt idx="3">
                  <c:v>-0.16205236832851852</c:v>
                </c:pt>
                <c:pt idx="4">
                  <c:v>-1.1736745000391537</c:v>
                </c:pt>
                <c:pt idx="5">
                  <c:v>-0.58992894479168956</c:v>
                </c:pt>
                <c:pt idx="6">
                  <c:v>0.66813567100674165</c:v>
                </c:pt>
                <c:pt idx="7">
                  <c:v>2.1702392036760592</c:v>
                </c:pt>
                <c:pt idx="8">
                  <c:v>-0.58467087703897769</c:v>
                </c:pt>
                <c:pt idx="9">
                  <c:v>0.75361612979478287</c:v>
                </c:pt>
              </c:numCache>
            </c:numRef>
          </c:val>
          <c:extLst xmlns:c16r2="http://schemas.microsoft.com/office/drawing/2015/06/chart">
            <c:ext xmlns:c16="http://schemas.microsoft.com/office/drawing/2014/chart" uri="{C3380CC4-5D6E-409C-BE32-E72D297353CC}">
              <c16:uniqueId val="{00000001-BDEB-42BB-9F9E-C7AC89233B47}"/>
            </c:ext>
          </c:extLst>
        </c:ser>
        <c:ser>
          <c:idx val="2"/>
          <c:order val="3"/>
          <c:tx>
            <c:strRef>
              <c:f>HDP_minus!$U$126</c:f>
              <c:strCache>
                <c:ptCount val="1"/>
                <c:pt idx="0">
                  <c:v>Výdaje na spotřebu vládních institucí</c:v>
                </c:pt>
              </c:strCache>
            </c:strRef>
          </c:tx>
          <c:spPr>
            <a:solidFill>
              <a:srgbClr val="A6CDE8"/>
            </a:solidFill>
          </c:spPr>
          <c:cat>
            <c:strRef>
              <c:f>HDP_minus!$R$127:$R$136</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HDP_minus!$U$127:$U$136</c:f>
              <c:numCache>
                <c:formatCode>0.0</c:formatCode>
                <c:ptCount val="10"/>
                <c:pt idx="0">
                  <c:v>0.17362002006193578</c:v>
                </c:pt>
                <c:pt idx="1">
                  <c:v>0.46695863029775941</c:v>
                </c:pt>
                <c:pt idx="2">
                  <c:v>0.14160562771821567</c:v>
                </c:pt>
                <c:pt idx="3">
                  <c:v>-0.64251969185506952</c:v>
                </c:pt>
                <c:pt idx="4">
                  <c:v>-0.44818044856460038</c:v>
                </c:pt>
                <c:pt idx="5">
                  <c:v>0.45169239658883165</c:v>
                </c:pt>
                <c:pt idx="6">
                  <c:v>0.24068493345412145</c:v>
                </c:pt>
                <c:pt idx="7">
                  <c:v>0.48651170672732291</c:v>
                </c:pt>
                <c:pt idx="8">
                  <c:v>0.4813410060632598</c:v>
                </c:pt>
                <c:pt idx="9">
                  <c:v>0.24057961820104318</c:v>
                </c:pt>
              </c:numCache>
            </c:numRef>
          </c:val>
          <c:extLst xmlns:c16r2="http://schemas.microsoft.com/office/drawing/2015/06/chart">
            <c:ext xmlns:c16="http://schemas.microsoft.com/office/drawing/2014/chart" uri="{C3380CC4-5D6E-409C-BE32-E72D297353CC}">
              <c16:uniqueId val="{00000002-BDEB-42BB-9F9E-C7AC89233B47}"/>
            </c:ext>
          </c:extLst>
        </c:ser>
        <c:ser>
          <c:idx val="1"/>
          <c:order val="4"/>
          <c:tx>
            <c:strRef>
              <c:f>HDP_minus!$T$126</c:f>
              <c:strCache>
                <c:ptCount val="1"/>
                <c:pt idx="0">
                  <c:v>Výdaje na spotřebu domácností</c:v>
                </c:pt>
              </c:strCache>
            </c:strRef>
          </c:tx>
          <c:spPr>
            <a:solidFill>
              <a:srgbClr val="0071BC"/>
            </a:solidFill>
          </c:spPr>
          <c:cat>
            <c:strRef>
              <c:f>HDP_minus!$R$127:$R$136</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HDP_minus!$T$127:$T$136</c:f>
              <c:numCache>
                <c:formatCode>0.0</c:formatCode>
                <c:ptCount val="10"/>
                <c:pt idx="0">
                  <c:v>0.7420853872527533</c:v>
                </c:pt>
                <c:pt idx="1">
                  <c:v>-0.24546871381041768</c:v>
                </c:pt>
                <c:pt idx="2">
                  <c:v>0.10080499600772796</c:v>
                </c:pt>
                <c:pt idx="3">
                  <c:v>-0.14027238336955497</c:v>
                </c:pt>
                <c:pt idx="4">
                  <c:v>-0.83974268738684565</c:v>
                </c:pt>
                <c:pt idx="5">
                  <c:v>0.19075387236561187</c:v>
                </c:pt>
                <c:pt idx="6">
                  <c:v>0.36260426273846097</c:v>
                </c:pt>
                <c:pt idx="7">
                  <c:v>1.0052314221720842</c:v>
                </c:pt>
                <c:pt idx="8">
                  <c:v>1.0734404882044923</c:v>
                </c:pt>
                <c:pt idx="9">
                  <c:v>2.0778535533810554</c:v>
                </c:pt>
              </c:numCache>
            </c:numRef>
          </c:val>
          <c:extLst xmlns:c16r2="http://schemas.microsoft.com/office/drawing/2015/06/chart">
            <c:ext xmlns:c16="http://schemas.microsoft.com/office/drawing/2014/chart" uri="{C3380CC4-5D6E-409C-BE32-E72D297353CC}">
              <c16:uniqueId val="{00000003-BDEB-42BB-9F9E-C7AC89233B47}"/>
            </c:ext>
          </c:extLst>
        </c:ser>
        <c:gapWidth val="97"/>
        <c:overlap val="100"/>
        <c:axId val="101961088"/>
        <c:axId val="101962880"/>
      </c:barChart>
      <c:lineChart>
        <c:grouping val="standard"/>
        <c:ser>
          <c:idx val="0"/>
          <c:order val="0"/>
          <c:tx>
            <c:strRef>
              <c:f>HDP_minus!$S$126</c:f>
              <c:strCache>
                <c:ptCount val="1"/>
                <c:pt idx="0">
                  <c:v>HDP</c:v>
                </c:pt>
              </c:strCache>
            </c:strRef>
          </c:tx>
          <c:spPr>
            <a:ln>
              <a:solidFill>
                <a:schemeClr val="tx1"/>
              </a:solidFill>
            </a:ln>
          </c:spPr>
          <c:marker>
            <c:symbol val="none"/>
          </c:marker>
          <c:cat>
            <c:strRef>
              <c:f>HDP_minus!$R$127:$R$136</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HDP_minus!$S$127:$S$136</c:f>
              <c:numCache>
                <c:formatCode>0.0</c:formatCode>
                <c:ptCount val="10"/>
                <c:pt idx="0">
                  <c:v>2.5152776686009619</c:v>
                </c:pt>
                <c:pt idx="1">
                  <c:v>-4.6661314906162055</c:v>
                </c:pt>
                <c:pt idx="2">
                  <c:v>2.1259501680597039</c:v>
                </c:pt>
                <c:pt idx="3">
                  <c:v>1.7804334964119619</c:v>
                </c:pt>
                <c:pt idx="4">
                  <c:v>-0.72813582538438326</c:v>
                </c:pt>
                <c:pt idx="5">
                  <c:v>-0.48507403852410091</c:v>
                </c:pt>
                <c:pt idx="6">
                  <c:v>2.714545690633992</c:v>
                </c:pt>
                <c:pt idx="7">
                  <c:v>5.3826993425739094</c:v>
                </c:pt>
                <c:pt idx="8">
                  <c:v>2.3601136807772982</c:v>
                </c:pt>
                <c:pt idx="9">
                  <c:v>4.4759389639345724</c:v>
                </c:pt>
              </c:numCache>
            </c:numRef>
          </c:val>
          <c:extLst xmlns:c16r2="http://schemas.microsoft.com/office/drawing/2015/06/chart">
            <c:ext xmlns:c16="http://schemas.microsoft.com/office/drawing/2014/chart" uri="{C3380CC4-5D6E-409C-BE32-E72D297353CC}">
              <c16:uniqueId val="{00000004-BDEB-42BB-9F9E-C7AC89233B47}"/>
            </c:ext>
          </c:extLst>
        </c:ser>
        <c:marker val="1"/>
        <c:axId val="101961088"/>
        <c:axId val="101962880"/>
      </c:lineChart>
      <c:catAx>
        <c:axId val="101961088"/>
        <c:scaling>
          <c:orientation val="minMax"/>
        </c:scaling>
        <c:axPos val="b"/>
        <c:numFmt formatCode="General" sourceLinked="0"/>
        <c:tickLblPos val="low"/>
        <c:crossAx val="101962880"/>
        <c:crosses val="autoZero"/>
        <c:auto val="1"/>
        <c:lblAlgn val="ctr"/>
        <c:lblOffset val="100"/>
      </c:catAx>
      <c:valAx>
        <c:axId val="101962880"/>
        <c:scaling>
          <c:orientation val="minMax"/>
        </c:scaling>
        <c:axPos val="l"/>
        <c:majorGridlines/>
        <c:numFmt formatCode="0" sourceLinked="0"/>
        <c:tickLblPos val="nextTo"/>
        <c:crossAx val="101961088"/>
        <c:crosses val="autoZero"/>
        <c:crossBetween val="between"/>
      </c:valAx>
      <c:spPr>
        <a:ln>
          <a:solidFill>
            <a:sysClr val="windowText" lastClr="000000"/>
          </a:solidFill>
        </a:ln>
      </c:spPr>
    </c:plotArea>
    <c:legend>
      <c:legendPos val="r"/>
      <c:layout>
        <c:manualLayout>
          <c:xMode val="edge"/>
          <c:yMode val="edge"/>
          <c:x val="5.2338525835866866E-2"/>
          <c:y val="0.8673322638748171"/>
          <c:w val="0.92621601654846364"/>
          <c:h val="0.11957953394123677"/>
        </c:manualLayout>
      </c:layout>
      <c:spPr>
        <a:ln>
          <a:solidFill>
            <a:sysClr val="windowText" lastClr="000000"/>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6.4794199594732024E-2"/>
          <c:y val="3.9316672295395698E-2"/>
          <c:w val="0.91388086795001688"/>
          <c:h val="0.74980299448384924"/>
        </c:manualLayout>
      </c:layout>
      <c:barChart>
        <c:barDir val="col"/>
        <c:grouping val="stacked"/>
        <c:ser>
          <c:idx val="0"/>
          <c:order val="0"/>
          <c:tx>
            <c:strRef>
              <c:f>HPH!$R$128</c:f>
              <c:strCache>
                <c:ptCount val="1"/>
                <c:pt idx="0">
                  <c:v>Zemědělství, lesnictví a rybářství</c:v>
                </c:pt>
              </c:strCache>
            </c:strRef>
          </c:tx>
          <c:spPr>
            <a:solidFill>
              <a:srgbClr val="7DBB2D"/>
            </a:solidFill>
          </c:spPr>
          <c:cat>
            <c:strRef>
              <c:f>HPH!$P$129:$Q$138</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HPH!$R$129:$R$138</c:f>
              <c:numCache>
                <c:formatCode>#,##0.0</c:formatCode>
                <c:ptCount val="10"/>
                <c:pt idx="0">
                  <c:v>0.1949576139718473</c:v>
                </c:pt>
                <c:pt idx="1">
                  <c:v>0.43896169099017596</c:v>
                </c:pt>
                <c:pt idx="2">
                  <c:v>-0.29243392604779683</c:v>
                </c:pt>
                <c:pt idx="3">
                  <c:v>3.2466480175330166E-2</c:v>
                </c:pt>
                <c:pt idx="4">
                  <c:v>9.8144899160173535E-2</c:v>
                </c:pt>
                <c:pt idx="5">
                  <c:v>-6.390559408350989E-2</c:v>
                </c:pt>
                <c:pt idx="6">
                  <c:v>0.21670011561702524</c:v>
                </c:pt>
                <c:pt idx="7">
                  <c:v>0.15079337792048397</c:v>
                </c:pt>
                <c:pt idx="8">
                  <c:v>8.3333675723242767E-2</c:v>
                </c:pt>
                <c:pt idx="9">
                  <c:v>-6.8749235471150485E-2</c:v>
                </c:pt>
              </c:numCache>
            </c:numRef>
          </c:val>
          <c:extLst xmlns:c16r2="http://schemas.microsoft.com/office/drawing/2015/06/chart">
            <c:ext xmlns:c16="http://schemas.microsoft.com/office/drawing/2014/chart" uri="{C3380CC4-5D6E-409C-BE32-E72D297353CC}">
              <c16:uniqueId val="{00000000-CE1F-413D-BB33-40303FD10A6D}"/>
            </c:ext>
          </c:extLst>
        </c:ser>
        <c:ser>
          <c:idx val="4"/>
          <c:order val="1"/>
          <c:tx>
            <c:strRef>
              <c:f>HPH!$V$128</c:f>
              <c:strCache>
                <c:ptCount val="1"/>
                <c:pt idx="0">
                  <c:v>Stavebnictví</c:v>
                </c:pt>
              </c:strCache>
            </c:strRef>
          </c:tx>
          <c:spPr>
            <a:solidFill>
              <a:srgbClr val="F8A124"/>
            </a:solidFill>
          </c:spPr>
          <c:cat>
            <c:strRef>
              <c:f>HPH!$P$129:$Q$138</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HPH!$V$129:$V$138</c:f>
              <c:numCache>
                <c:formatCode>#,##0.0</c:formatCode>
                <c:ptCount val="10"/>
                <c:pt idx="0">
                  <c:v>-2.6569444735986263E-2</c:v>
                </c:pt>
                <c:pt idx="1">
                  <c:v>-0.21314333608141803</c:v>
                </c:pt>
                <c:pt idx="2">
                  <c:v>0.25024784323651467</c:v>
                </c:pt>
                <c:pt idx="3">
                  <c:v>-0.45137348298834851</c:v>
                </c:pt>
                <c:pt idx="4">
                  <c:v>-0.1841901189618475</c:v>
                </c:pt>
                <c:pt idx="5">
                  <c:v>6.8922635575265484E-2</c:v>
                </c:pt>
                <c:pt idx="6">
                  <c:v>0.1138718614340874</c:v>
                </c:pt>
                <c:pt idx="7">
                  <c:v>0.22237982073112592</c:v>
                </c:pt>
                <c:pt idx="8">
                  <c:v>-0.21512559385515651</c:v>
                </c:pt>
                <c:pt idx="9">
                  <c:v>-0.13500062096083637</c:v>
                </c:pt>
              </c:numCache>
            </c:numRef>
          </c:val>
          <c:extLst xmlns:c16r2="http://schemas.microsoft.com/office/drawing/2015/06/chart">
            <c:ext xmlns:c16="http://schemas.microsoft.com/office/drawing/2014/chart" uri="{C3380CC4-5D6E-409C-BE32-E72D297353CC}">
              <c16:uniqueId val="{00000001-CE1F-413D-BB33-40303FD10A6D}"/>
            </c:ext>
          </c:extLst>
        </c:ser>
        <c:ser>
          <c:idx val="2"/>
          <c:order val="2"/>
          <c:tx>
            <c:strRef>
              <c:f>HPH!$T$128</c:f>
              <c:strCache>
                <c:ptCount val="1"/>
                <c:pt idx="0">
                  <c:v>Ostatní průmyslová odvětví</c:v>
                </c:pt>
              </c:strCache>
            </c:strRef>
          </c:tx>
          <c:spPr>
            <a:solidFill>
              <a:srgbClr val="E8AFB2"/>
            </a:solidFill>
          </c:spPr>
          <c:cat>
            <c:strRef>
              <c:f>HPH!$P$129:$Q$138</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HPH!$T$129:$T$138</c:f>
              <c:numCache>
                <c:formatCode>#,##0.0</c:formatCode>
                <c:ptCount val="10"/>
                <c:pt idx="0">
                  <c:v>0.42640508224019547</c:v>
                </c:pt>
                <c:pt idx="1">
                  <c:v>-0.63328454457038674</c:v>
                </c:pt>
                <c:pt idx="2">
                  <c:v>-0.64030036490961617</c:v>
                </c:pt>
                <c:pt idx="3">
                  <c:v>-0.40605452356977212</c:v>
                </c:pt>
                <c:pt idx="4">
                  <c:v>-8.0682861904159547E-2</c:v>
                </c:pt>
                <c:pt idx="5">
                  <c:v>-0.71973983761235305</c:v>
                </c:pt>
                <c:pt idx="6">
                  <c:v>5.2136733491852112E-2</c:v>
                </c:pt>
                <c:pt idx="7">
                  <c:v>-5.3753977666056073E-2</c:v>
                </c:pt>
                <c:pt idx="8">
                  <c:v>-0.32243461943845242</c:v>
                </c:pt>
                <c:pt idx="9">
                  <c:v>3.1281485749182554E-2</c:v>
                </c:pt>
              </c:numCache>
            </c:numRef>
          </c:val>
          <c:extLst xmlns:c16r2="http://schemas.microsoft.com/office/drawing/2015/06/chart">
            <c:ext xmlns:c16="http://schemas.microsoft.com/office/drawing/2014/chart" uri="{C3380CC4-5D6E-409C-BE32-E72D297353CC}">
              <c16:uniqueId val="{00000002-CE1F-413D-BB33-40303FD10A6D}"/>
            </c:ext>
          </c:extLst>
        </c:ser>
        <c:ser>
          <c:idx val="3"/>
          <c:order val="3"/>
          <c:tx>
            <c:strRef>
              <c:f>HPH!$U$128</c:f>
              <c:strCache>
                <c:ptCount val="1"/>
                <c:pt idx="0">
                  <c:v>Služby</c:v>
                </c:pt>
              </c:strCache>
            </c:strRef>
          </c:tx>
          <c:spPr>
            <a:solidFill>
              <a:srgbClr val="0071BC"/>
            </a:solidFill>
          </c:spPr>
          <c:cat>
            <c:strRef>
              <c:f>HPH!$P$129:$Q$138</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HPH!$U$129:$U$138</c:f>
              <c:numCache>
                <c:formatCode>#,##0.0</c:formatCode>
                <c:ptCount val="10"/>
                <c:pt idx="0">
                  <c:v>0.76625818541619273</c:v>
                </c:pt>
                <c:pt idx="1">
                  <c:v>-2.0332156824551131</c:v>
                </c:pt>
                <c:pt idx="2">
                  <c:v>0.89923854120525148</c:v>
                </c:pt>
                <c:pt idx="3">
                  <c:v>0.46827728721044487</c:v>
                </c:pt>
                <c:pt idx="4">
                  <c:v>0.13386645253900856</c:v>
                </c:pt>
                <c:pt idx="5">
                  <c:v>0.89295113895066458</c:v>
                </c:pt>
                <c:pt idx="6">
                  <c:v>1.4835791104033498</c:v>
                </c:pt>
                <c:pt idx="7">
                  <c:v>3.0327506692947344</c:v>
                </c:pt>
                <c:pt idx="8">
                  <c:v>1.8769411997294074</c:v>
                </c:pt>
                <c:pt idx="9">
                  <c:v>1.5866483148616941</c:v>
                </c:pt>
              </c:numCache>
            </c:numRef>
          </c:val>
          <c:extLst xmlns:c16r2="http://schemas.microsoft.com/office/drawing/2015/06/chart">
            <c:ext xmlns:c16="http://schemas.microsoft.com/office/drawing/2014/chart" uri="{C3380CC4-5D6E-409C-BE32-E72D297353CC}">
              <c16:uniqueId val="{00000003-CE1F-413D-BB33-40303FD10A6D}"/>
            </c:ext>
          </c:extLst>
        </c:ser>
        <c:ser>
          <c:idx val="1"/>
          <c:order val="4"/>
          <c:tx>
            <c:strRef>
              <c:f>HPH!$S$128</c:f>
              <c:strCache>
                <c:ptCount val="1"/>
                <c:pt idx="0">
                  <c:v>Zpracovatelský průmysl</c:v>
                </c:pt>
              </c:strCache>
            </c:strRef>
          </c:tx>
          <c:spPr>
            <a:solidFill>
              <a:srgbClr val="BD1B21"/>
            </a:solidFill>
          </c:spPr>
          <c:cat>
            <c:strRef>
              <c:f>HPH!$P$129:$Q$138</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HPH!$S$129:$S$138</c:f>
              <c:numCache>
                <c:formatCode>#,##0.0</c:formatCode>
                <c:ptCount val="10"/>
                <c:pt idx="0">
                  <c:v>2.0235910214830217</c:v>
                </c:pt>
                <c:pt idx="1">
                  <c:v>-2.8458435129006725</c:v>
                </c:pt>
                <c:pt idx="2">
                  <c:v>2.4573111997018837</c:v>
                </c:pt>
                <c:pt idx="3">
                  <c:v>2.3666164116101367</c:v>
                </c:pt>
                <c:pt idx="4">
                  <c:v>-0.73073813543941446</c:v>
                </c:pt>
                <c:pt idx="5">
                  <c:v>-0.67096761458594134</c:v>
                </c:pt>
                <c:pt idx="6">
                  <c:v>1.5337525359394428</c:v>
                </c:pt>
                <c:pt idx="7">
                  <c:v>1.4539488775297078</c:v>
                </c:pt>
                <c:pt idx="8">
                  <c:v>0.86644787548672764</c:v>
                </c:pt>
                <c:pt idx="9">
                  <c:v>2.9875452997933554</c:v>
                </c:pt>
              </c:numCache>
            </c:numRef>
          </c:val>
          <c:extLst xmlns:c16r2="http://schemas.microsoft.com/office/drawing/2015/06/chart">
            <c:ext xmlns:c16="http://schemas.microsoft.com/office/drawing/2014/chart" uri="{C3380CC4-5D6E-409C-BE32-E72D297353CC}">
              <c16:uniqueId val="{00000004-CE1F-413D-BB33-40303FD10A6D}"/>
            </c:ext>
          </c:extLst>
        </c:ser>
        <c:gapWidth val="92"/>
        <c:overlap val="100"/>
        <c:axId val="118647808"/>
        <c:axId val="118670080"/>
      </c:barChart>
      <c:lineChart>
        <c:grouping val="standard"/>
        <c:ser>
          <c:idx val="5"/>
          <c:order val="5"/>
          <c:tx>
            <c:strRef>
              <c:f>HPH!$W$128</c:f>
              <c:strCache>
                <c:ptCount val="1"/>
                <c:pt idx="0">
                  <c:v>HPH</c:v>
                </c:pt>
              </c:strCache>
            </c:strRef>
          </c:tx>
          <c:spPr>
            <a:ln>
              <a:solidFill>
                <a:sysClr val="windowText" lastClr="000000"/>
              </a:solidFill>
            </a:ln>
          </c:spPr>
          <c:marker>
            <c:symbol val="none"/>
          </c:marker>
          <c:cat>
            <c:strRef>
              <c:f>HPH!$P$129:$Q$138</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HPH!$W$129:$W$138</c:f>
              <c:numCache>
                <c:formatCode>#,##0.0</c:formatCode>
                <c:ptCount val="10"/>
                <c:pt idx="0">
                  <c:v>3.3846424583752537</c:v>
                </c:pt>
                <c:pt idx="1">
                  <c:v>-5.2865253850174154</c:v>
                </c:pt>
                <c:pt idx="2">
                  <c:v>2.6740632931862427</c:v>
                </c:pt>
                <c:pt idx="3">
                  <c:v>2.0099321724378032</c:v>
                </c:pt>
                <c:pt idx="4">
                  <c:v>-0.76359976460623791</c:v>
                </c:pt>
                <c:pt idx="5">
                  <c:v>-0.49273927175586785</c:v>
                </c:pt>
                <c:pt idx="6">
                  <c:v>3.4000403568857571</c:v>
                </c:pt>
                <c:pt idx="7">
                  <c:v>4.8061187678100055</c:v>
                </c:pt>
                <c:pt idx="8">
                  <c:v>2.2891625376457712</c:v>
                </c:pt>
                <c:pt idx="9">
                  <c:v>4.4017252439722494</c:v>
                </c:pt>
              </c:numCache>
            </c:numRef>
          </c:val>
          <c:extLst xmlns:c16r2="http://schemas.microsoft.com/office/drawing/2015/06/chart">
            <c:ext xmlns:c16="http://schemas.microsoft.com/office/drawing/2014/chart" uri="{C3380CC4-5D6E-409C-BE32-E72D297353CC}">
              <c16:uniqueId val="{00000005-CE1F-413D-BB33-40303FD10A6D}"/>
            </c:ext>
          </c:extLst>
        </c:ser>
        <c:marker val="1"/>
        <c:axId val="118647808"/>
        <c:axId val="118670080"/>
      </c:lineChart>
      <c:catAx>
        <c:axId val="118647808"/>
        <c:scaling>
          <c:orientation val="minMax"/>
        </c:scaling>
        <c:axPos val="b"/>
        <c:numFmt formatCode="General" sourceLinked="0"/>
        <c:tickLblPos val="low"/>
        <c:crossAx val="118670080"/>
        <c:crosses val="autoZero"/>
        <c:auto val="1"/>
        <c:lblAlgn val="ctr"/>
        <c:lblOffset val="100"/>
      </c:catAx>
      <c:valAx>
        <c:axId val="118670080"/>
        <c:scaling>
          <c:orientation val="minMax"/>
          <c:max val="6"/>
          <c:min val="-6"/>
        </c:scaling>
        <c:axPos val="l"/>
        <c:majorGridlines/>
        <c:numFmt formatCode="#,##0" sourceLinked="0"/>
        <c:tickLblPos val="nextTo"/>
        <c:crossAx val="118647808"/>
        <c:crosses val="autoZero"/>
        <c:crossBetween val="between"/>
      </c:valAx>
      <c:spPr>
        <a:ln>
          <a:solidFill>
            <a:sysClr val="windowText" lastClr="000000"/>
          </a:solidFill>
        </a:ln>
      </c:spPr>
    </c:plotArea>
    <c:legend>
      <c:legendPos val="r"/>
      <c:layout>
        <c:manualLayout>
          <c:xMode val="edge"/>
          <c:yMode val="edge"/>
          <c:x val="6.5902566700439036E-2"/>
          <c:y val="0.86729314420803783"/>
          <c:w val="0.91131142350557715"/>
          <c:h val="0.11490149724192275"/>
        </c:manualLayout>
      </c:layout>
      <c:spPr>
        <a:ln>
          <a:solidFill>
            <a:schemeClr val="tx1"/>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4.7798674434313494E-2"/>
          <c:y val="3.9316672295395698E-2"/>
          <c:w val="0.9365421310368115"/>
          <c:h val="0.68301249577845258"/>
        </c:manualLayout>
      </c:layout>
      <c:barChart>
        <c:barDir val="col"/>
        <c:grouping val="clustered"/>
        <c:ser>
          <c:idx val="0"/>
          <c:order val="0"/>
          <c:tx>
            <c:strRef>
              <c:f>Data!$J$10</c:f>
              <c:strCache>
                <c:ptCount val="1"/>
                <c:pt idx="0">
                  <c:v>2016</c:v>
                </c:pt>
              </c:strCache>
            </c:strRef>
          </c:tx>
          <c:spPr>
            <a:solidFill>
              <a:srgbClr val="A6CDE8"/>
            </a:solidFill>
          </c:spPr>
          <c:dPt>
            <c:idx val="7"/>
            <c:spPr>
              <a:solidFill>
                <a:srgbClr val="0071BC"/>
              </a:solidFill>
            </c:spPr>
            <c:extLst xmlns:c16r2="http://schemas.microsoft.com/office/drawing/2015/06/chart">
              <c:ext xmlns:c16="http://schemas.microsoft.com/office/drawing/2014/chart" uri="{C3380CC4-5D6E-409C-BE32-E72D297353CC}">
                <c16:uniqueId val="{00000000-7FF4-4278-A823-194EF95285C8}"/>
              </c:ext>
            </c:extLst>
          </c:dPt>
          <c:dPt>
            <c:idx val="19"/>
            <c:spPr>
              <a:solidFill>
                <a:srgbClr val="0071BC"/>
              </a:solidFill>
            </c:spPr>
            <c:extLst xmlns:c16r2="http://schemas.microsoft.com/office/drawing/2015/06/chart">
              <c:ext xmlns:c16="http://schemas.microsoft.com/office/drawing/2014/chart" uri="{C3380CC4-5D6E-409C-BE32-E72D297353CC}">
                <c16:uniqueId val="{00000001-7FF4-4278-A823-194EF95285C8}"/>
              </c:ext>
            </c:extLst>
          </c:dPt>
          <c:cat>
            <c:strRef>
              <c:f>Data!$A$11:$A$40</c:f>
              <c:strCache>
                <c:ptCount val="30"/>
                <c:pt idx="0">
                  <c:v>Irsko</c:v>
                </c:pt>
                <c:pt idx="1">
                  <c:v>Rumunsko</c:v>
                </c:pt>
                <c:pt idx="2">
                  <c:v>Malta</c:v>
                </c:pt>
                <c:pt idx="3">
                  <c:v>Slovinsko</c:v>
                </c:pt>
                <c:pt idx="4">
                  <c:v>Estonsko</c:v>
                </c:pt>
                <c:pt idx="5">
                  <c:v>Polsko</c:v>
                </c:pt>
                <c:pt idx="6">
                  <c:v>Lotyšsko</c:v>
                </c:pt>
                <c:pt idx="7">
                  <c:v>ČR</c:v>
                </c:pt>
                <c:pt idx="8">
                  <c:v>Maďarsko</c:v>
                </c:pt>
                <c:pt idx="9">
                  <c:v>Kypr</c:v>
                </c:pt>
                <c:pt idx="10">
                  <c:v>Litva</c:v>
                </c:pt>
                <c:pt idx="11">
                  <c:v>Bulharsko</c:v>
                </c:pt>
                <c:pt idx="12">
                  <c:v>Slovensko</c:v>
                </c:pt>
                <c:pt idx="13">
                  <c:v>Španělsko</c:v>
                </c:pt>
                <c:pt idx="14">
                  <c:v>Rakousko</c:v>
                </c:pt>
                <c:pt idx="15">
                  <c:v>Chorvatsko</c:v>
                </c:pt>
                <c:pt idx="16">
                  <c:v>Nizozemí</c:v>
                </c:pt>
                <c:pt idx="17">
                  <c:v>Finsko</c:v>
                </c:pt>
                <c:pt idx="18">
                  <c:v>Portugalsko</c:v>
                </c:pt>
                <c:pt idx="19">
                  <c:v>EU 28</c:v>
                </c:pt>
                <c:pt idx="20">
                  <c:v>Eurozóna</c:v>
                </c:pt>
                <c:pt idx="21">
                  <c:v>Dánsko</c:v>
                </c:pt>
                <c:pt idx="22">
                  <c:v>Lucembursko</c:v>
                </c:pt>
                <c:pt idx="23">
                  <c:v>Švédsko</c:v>
                </c:pt>
                <c:pt idx="24">
                  <c:v>Německo</c:v>
                </c:pt>
                <c:pt idx="25">
                  <c:v>Francie</c:v>
                </c:pt>
                <c:pt idx="26">
                  <c:v>Belgie</c:v>
                </c:pt>
                <c:pt idx="27">
                  <c:v>Velká Británie</c:v>
                </c:pt>
                <c:pt idx="28">
                  <c:v>Itálie</c:v>
                </c:pt>
                <c:pt idx="29">
                  <c:v>Řecko</c:v>
                </c:pt>
              </c:strCache>
            </c:strRef>
          </c:cat>
          <c:val>
            <c:numRef>
              <c:f>Data!$J$11:$J$40</c:f>
              <c:numCache>
                <c:formatCode>#,##0.0</c:formatCode>
                <c:ptCount val="30"/>
                <c:pt idx="0">
                  <c:v>5</c:v>
                </c:pt>
                <c:pt idx="1">
                  <c:v>4.8</c:v>
                </c:pt>
                <c:pt idx="2">
                  <c:v>5.2</c:v>
                </c:pt>
                <c:pt idx="3">
                  <c:v>3.1</c:v>
                </c:pt>
                <c:pt idx="4">
                  <c:v>2.1</c:v>
                </c:pt>
                <c:pt idx="5">
                  <c:v>3</c:v>
                </c:pt>
                <c:pt idx="6">
                  <c:v>2.2000000000000002</c:v>
                </c:pt>
                <c:pt idx="7">
                  <c:v>2.5</c:v>
                </c:pt>
                <c:pt idx="8">
                  <c:v>2.2000000000000002</c:v>
                </c:pt>
                <c:pt idx="9">
                  <c:v>3.4</c:v>
                </c:pt>
                <c:pt idx="10">
                  <c:v>2.2999999999999998</c:v>
                </c:pt>
                <c:pt idx="11">
                  <c:v>3.9</c:v>
                </c:pt>
                <c:pt idx="12">
                  <c:v>3.3</c:v>
                </c:pt>
                <c:pt idx="13">
                  <c:v>3.3</c:v>
                </c:pt>
                <c:pt idx="14">
                  <c:v>1.5</c:v>
                </c:pt>
                <c:pt idx="15">
                  <c:v>3.5</c:v>
                </c:pt>
                <c:pt idx="16">
                  <c:v>2.2000000000000002</c:v>
                </c:pt>
                <c:pt idx="17">
                  <c:v>2.5</c:v>
                </c:pt>
                <c:pt idx="18">
                  <c:v>1.6</c:v>
                </c:pt>
                <c:pt idx="19">
                  <c:v>1.9000000000000001</c:v>
                </c:pt>
                <c:pt idx="20">
                  <c:v>1.8</c:v>
                </c:pt>
                <c:pt idx="21">
                  <c:v>2</c:v>
                </c:pt>
                <c:pt idx="22">
                  <c:v>3.1</c:v>
                </c:pt>
                <c:pt idx="23">
                  <c:v>3.2</c:v>
                </c:pt>
                <c:pt idx="24">
                  <c:v>1.9000000000000001</c:v>
                </c:pt>
                <c:pt idx="25">
                  <c:v>1.2</c:v>
                </c:pt>
                <c:pt idx="26">
                  <c:v>1.4</c:v>
                </c:pt>
                <c:pt idx="27">
                  <c:v>1.8</c:v>
                </c:pt>
                <c:pt idx="28">
                  <c:v>0.9</c:v>
                </c:pt>
                <c:pt idx="29">
                  <c:v>-0.2</c:v>
                </c:pt>
              </c:numCache>
            </c:numRef>
          </c:val>
          <c:extLst xmlns:c16r2="http://schemas.microsoft.com/office/drawing/2015/06/chart">
            <c:ext xmlns:c16="http://schemas.microsoft.com/office/drawing/2014/chart" uri="{C3380CC4-5D6E-409C-BE32-E72D297353CC}">
              <c16:uniqueId val="{00000002-7FF4-4278-A823-194EF95285C8}"/>
            </c:ext>
          </c:extLst>
        </c:ser>
        <c:ser>
          <c:idx val="1"/>
          <c:order val="1"/>
          <c:tx>
            <c:strRef>
              <c:f>Data!$K$10</c:f>
              <c:strCache>
                <c:ptCount val="1"/>
                <c:pt idx="0">
                  <c:v>2017</c:v>
                </c:pt>
              </c:strCache>
            </c:strRef>
          </c:tx>
          <c:spPr>
            <a:solidFill>
              <a:srgbClr val="E8AFB2"/>
            </a:solidFill>
          </c:spPr>
          <c:dPt>
            <c:idx val="7"/>
            <c:spPr>
              <a:solidFill>
                <a:srgbClr val="BD1B21"/>
              </a:solidFill>
            </c:spPr>
            <c:extLst xmlns:c16r2="http://schemas.microsoft.com/office/drawing/2015/06/chart">
              <c:ext xmlns:c16="http://schemas.microsoft.com/office/drawing/2014/chart" uri="{C3380CC4-5D6E-409C-BE32-E72D297353CC}">
                <c16:uniqueId val="{00000003-7FF4-4278-A823-194EF95285C8}"/>
              </c:ext>
            </c:extLst>
          </c:dPt>
          <c:dPt>
            <c:idx val="19"/>
            <c:spPr>
              <a:solidFill>
                <a:srgbClr val="BD1B21"/>
              </a:solidFill>
            </c:spPr>
            <c:extLst xmlns:c16r2="http://schemas.microsoft.com/office/drawing/2015/06/chart">
              <c:ext xmlns:c16="http://schemas.microsoft.com/office/drawing/2014/chart" uri="{C3380CC4-5D6E-409C-BE32-E72D297353CC}">
                <c16:uniqueId val="{00000004-7FF4-4278-A823-194EF95285C8}"/>
              </c:ext>
            </c:extLst>
          </c:dPt>
          <c:cat>
            <c:strRef>
              <c:f>Data!$A$11:$A$40</c:f>
              <c:strCache>
                <c:ptCount val="30"/>
                <c:pt idx="0">
                  <c:v>Irsko</c:v>
                </c:pt>
                <c:pt idx="1">
                  <c:v>Rumunsko</c:v>
                </c:pt>
                <c:pt idx="2">
                  <c:v>Malta</c:v>
                </c:pt>
                <c:pt idx="3">
                  <c:v>Slovinsko</c:v>
                </c:pt>
                <c:pt idx="4">
                  <c:v>Estonsko</c:v>
                </c:pt>
                <c:pt idx="5">
                  <c:v>Polsko</c:v>
                </c:pt>
                <c:pt idx="6">
                  <c:v>Lotyšsko</c:v>
                </c:pt>
                <c:pt idx="7">
                  <c:v>ČR</c:v>
                </c:pt>
                <c:pt idx="8">
                  <c:v>Maďarsko</c:v>
                </c:pt>
                <c:pt idx="9">
                  <c:v>Kypr</c:v>
                </c:pt>
                <c:pt idx="10">
                  <c:v>Litva</c:v>
                </c:pt>
                <c:pt idx="11">
                  <c:v>Bulharsko</c:v>
                </c:pt>
                <c:pt idx="12">
                  <c:v>Slovensko</c:v>
                </c:pt>
                <c:pt idx="13">
                  <c:v>Španělsko</c:v>
                </c:pt>
                <c:pt idx="14">
                  <c:v>Rakousko</c:v>
                </c:pt>
                <c:pt idx="15">
                  <c:v>Chorvatsko</c:v>
                </c:pt>
                <c:pt idx="16">
                  <c:v>Nizozemí</c:v>
                </c:pt>
                <c:pt idx="17">
                  <c:v>Finsko</c:v>
                </c:pt>
                <c:pt idx="18">
                  <c:v>Portugalsko</c:v>
                </c:pt>
                <c:pt idx="19">
                  <c:v>EU 28</c:v>
                </c:pt>
                <c:pt idx="20">
                  <c:v>Eurozóna</c:v>
                </c:pt>
                <c:pt idx="21">
                  <c:v>Dánsko</c:v>
                </c:pt>
                <c:pt idx="22">
                  <c:v>Lucembursko</c:v>
                </c:pt>
                <c:pt idx="23">
                  <c:v>Švédsko</c:v>
                </c:pt>
                <c:pt idx="24">
                  <c:v>Německo</c:v>
                </c:pt>
                <c:pt idx="25">
                  <c:v>Francie</c:v>
                </c:pt>
                <c:pt idx="26">
                  <c:v>Belgie</c:v>
                </c:pt>
                <c:pt idx="27">
                  <c:v>Velká Británie</c:v>
                </c:pt>
                <c:pt idx="28">
                  <c:v>Itálie</c:v>
                </c:pt>
                <c:pt idx="29">
                  <c:v>Řecko</c:v>
                </c:pt>
              </c:strCache>
            </c:strRef>
          </c:cat>
          <c:val>
            <c:numRef>
              <c:f>Data!$K$11:$K$40</c:f>
              <c:numCache>
                <c:formatCode>#,##0.0</c:formatCode>
                <c:ptCount val="30"/>
                <c:pt idx="0">
                  <c:v>7.2</c:v>
                </c:pt>
                <c:pt idx="1">
                  <c:v>6.9</c:v>
                </c:pt>
                <c:pt idx="2">
                  <c:v>6.4</c:v>
                </c:pt>
                <c:pt idx="3">
                  <c:v>5</c:v>
                </c:pt>
                <c:pt idx="4">
                  <c:v>4.9000000000000004</c:v>
                </c:pt>
                <c:pt idx="5">
                  <c:v>4.5999999999999996</c:v>
                </c:pt>
                <c:pt idx="6">
                  <c:v>4.5</c:v>
                </c:pt>
                <c:pt idx="7">
                  <c:v>4.3</c:v>
                </c:pt>
                <c:pt idx="8">
                  <c:v>4</c:v>
                </c:pt>
                <c:pt idx="9">
                  <c:v>3.9</c:v>
                </c:pt>
                <c:pt idx="10">
                  <c:v>3.8</c:v>
                </c:pt>
                <c:pt idx="11">
                  <c:v>3.6</c:v>
                </c:pt>
                <c:pt idx="12">
                  <c:v>3.4</c:v>
                </c:pt>
                <c:pt idx="13">
                  <c:v>3.1</c:v>
                </c:pt>
                <c:pt idx="14">
                  <c:v>3</c:v>
                </c:pt>
                <c:pt idx="15">
                  <c:v>2.9</c:v>
                </c:pt>
                <c:pt idx="16">
                  <c:v>2.9</c:v>
                </c:pt>
                <c:pt idx="17">
                  <c:v>2.8</c:v>
                </c:pt>
                <c:pt idx="18">
                  <c:v>2.7</c:v>
                </c:pt>
                <c:pt idx="19">
                  <c:v>2.4</c:v>
                </c:pt>
                <c:pt idx="20">
                  <c:v>2.4</c:v>
                </c:pt>
                <c:pt idx="21">
                  <c:v>2.2999999999999998</c:v>
                </c:pt>
                <c:pt idx="22">
                  <c:v>2.2999999999999998</c:v>
                </c:pt>
                <c:pt idx="23">
                  <c:v>2.2999999999999998</c:v>
                </c:pt>
                <c:pt idx="24">
                  <c:v>2.2000000000000002</c:v>
                </c:pt>
                <c:pt idx="25">
                  <c:v>2.2000000000000002</c:v>
                </c:pt>
                <c:pt idx="26">
                  <c:v>1.7</c:v>
                </c:pt>
                <c:pt idx="27">
                  <c:v>1.7</c:v>
                </c:pt>
                <c:pt idx="28">
                  <c:v>1.5</c:v>
                </c:pt>
                <c:pt idx="29">
                  <c:v>1.4</c:v>
                </c:pt>
              </c:numCache>
            </c:numRef>
          </c:val>
          <c:extLst xmlns:c16r2="http://schemas.microsoft.com/office/drawing/2015/06/chart">
            <c:ext xmlns:c16="http://schemas.microsoft.com/office/drawing/2014/chart" uri="{C3380CC4-5D6E-409C-BE32-E72D297353CC}">
              <c16:uniqueId val="{00000005-7FF4-4278-A823-194EF95285C8}"/>
            </c:ext>
          </c:extLst>
        </c:ser>
        <c:gapWidth val="94"/>
        <c:axId val="118691328"/>
        <c:axId val="118692864"/>
      </c:barChart>
      <c:catAx>
        <c:axId val="118691328"/>
        <c:scaling>
          <c:orientation val="minMax"/>
        </c:scaling>
        <c:axPos val="b"/>
        <c:numFmt formatCode="General" sourceLinked="0"/>
        <c:tickLblPos val="low"/>
        <c:crossAx val="118692864"/>
        <c:crosses val="autoZero"/>
        <c:auto val="1"/>
        <c:lblAlgn val="ctr"/>
        <c:lblOffset val="100"/>
      </c:catAx>
      <c:valAx>
        <c:axId val="118692864"/>
        <c:scaling>
          <c:orientation val="minMax"/>
          <c:min val="0"/>
        </c:scaling>
        <c:axPos val="l"/>
        <c:majorGridlines/>
        <c:numFmt formatCode="#,##0" sourceLinked="0"/>
        <c:tickLblPos val="nextTo"/>
        <c:crossAx val="118691328"/>
        <c:crosses val="autoZero"/>
        <c:crossBetween val="between"/>
      </c:valAx>
      <c:spPr>
        <a:ln>
          <a:solidFill>
            <a:sysClr val="windowText" lastClr="000000"/>
          </a:solidFill>
        </a:ln>
      </c:spPr>
    </c:plotArea>
    <c:legend>
      <c:legendPos val="r"/>
      <c:layout>
        <c:manualLayout>
          <c:xMode val="edge"/>
          <c:yMode val="edge"/>
          <c:x val="4.8782716987504533E-2"/>
          <c:y val="0.93303529213103764"/>
          <c:w val="0.93245250759878462"/>
          <c:h val="5.6084093211752784E-2"/>
        </c:manualLayout>
      </c:layout>
      <c:spPr>
        <a:ln>
          <a:solidFill>
            <a:sysClr val="windowText" lastClr="000000"/>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5.4942586963863733E-2"/>
          <c:y val="3.9316672295395698E-2"/>
          <c:w val="0.92160144376900255"/>
          <c:h val="0.75508696386355967"/>
        </c:manualLayout>
      </c:layout>
      <c:barChart>
        <c:barDir val="col"/>
        <c:grouping val="clustered"/>
        <c:ser>
          <c:idx val="1"/>
          <c:order val="1"/>
          <c:tx>
            <c:strRef>
              <c:f>List3!$D$4</c:f>
              <c:strCache>
                <c:ptCount val="1"/>
                <c:pt idx="0">
                  <c:v>Výdaje na konečnou spotř. domácností</c:v>
                </c:pt>
              </c:strCache>
            </c:strRef>
          </c:tx>
          <c:spPr>
            <a:solidFill>
              <a:srgbClr val="0071BC"/>
            </a:solidFill>
          </c:spPr>
          <c:cat>
            <c:strRef>
              <c:f>List3!$A$5:$B$14</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List3!$D$5:$D$14</c:f>
              <c:numCache>
                <c:formatCode>0.0</c:formatCode>
                <c:ptCount val="10"/>
                <c:pt idx="0">
                  <c:v>4.7772296404384074</c:v>
                </c:pt>
                <c:pt idx="1">
                  <c:v>0.85447570400949413</c:v>
                </c:pt>
                <c:pt idx="2">
                  <c:v>0.45749728868125317</c:v>
                </c:pt>
                <c:pt idx="3">
                  <c:v>1.7691059216456801</c:v>
                </c:pt>
                <c:pt idx="4">
                  <c:v>2.22659525015152</c:v>
                </c:pt>
                <c:pt idx="5">
                  <c:v>0.86327308254011081</c:v>
                </c:pt>
                <c:pt idx="6">
                  <c:v>0.60977620376665698</c:v>
                </c:pt>
                <c:pt idx="7">
                  <c:v>0.15340943635344512</c:v>
                </c:pt>
                <c:pt idx="8">
                  <c:v>0.53416634765631821</c:v>
                </c:pt>
                <c:pt idx="9">
                  <c:v>2.418311556409348</c:v>
                </c:pt>
              </c:numCache>
            </c:numRef>
          </c:val>
          <c:extLst xmlns:c16r2="http://schemas.microsoft.com/office/drawing/2015/06/chart">
            <c:ext xmlns:c16="http://schemas.microsoft.com/office/drawing/2014/chart" uri="{C3380CC4-5D6E-409C-BE32-E72D297353CC}">
              <c16:uniqueId val="{00000000-009D-4D9C-83C9-70CA1DBBAF13}"/>
            </c:ext>
          </c:extLst>
        </c:ser>
        <c:ser>
          <c:idx val="2"/>
          <c:order val="2"/>
          <c:tx>
            <c:strRef>
              <c:f>List3!$E$4</c:f>
              <c:strCache>
                <c:ptCount val="1"/>
                <c:pt idx="0">
                  <c:v>Výdaje na konečnou spotř. vládních inst.</c:v>
                </c:pt>
              </c:strCache>
            </c:strRef>
          </c:tx>
          <c:spPr>
            <a:solidFill>
              <a:srgbClr val="BD1B21"/>
            </a:solidFill>
          </c:spPr>
          <c:cat>
            <c:strRef>
              <c:f>List3!$A$5:$B$14</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List3!$E$5:$E$14</c:f>
              <c:numCache>
                <c:formatCode>0.0</c:formatCode>
                <c:ptCount val="10"/>
                <c:pt idx="0">
                  <c:v>3.5232619338964071</c:v>
                </c:pt>
                <c:pt idx="1">
                  <c:v>2.8037185269889742</c:v>
                </c:pt>
                <c:pt idx="2">
                  <c:v>-0.44991634933289953</c:v>
                </c:pt>
                <c:pt idx="3">
                  <c:v>1.7695382605235053</c:v>
                </c:pt>
                <c:pt idx="4">
                  <c:v>0.86530018314556401</c:v>
                </c:pt>
                <c:pt idx="5">
                  <c:v>0.18958300230096514</c:v>
                </c:pt>
                <c:pt idx="6">
                  <c:v>1.7177458478824854</c:v>
                </c:pt>
                <c:pt idx="7">
                  <c:v>2.0408634875737377</c:v>
                </c:pt>
                <c:pt idx="8">
                  <c:v>1.8182565031700921</c:v>
                </c:pt>
                <c:pt idx="9">
                  <c:v>4.0298209326451664</c:v>
                </c:pt>
              </c:numCache>
            </c:numRef>
          </c:val>
          <c:extLst xmlns:c16r2="http://schemas.microsoft.com/office/drawing/2015/06/chart">
            <c:ext xmlns:c16="http://schemas.microsoft.com/office/drawing/2014/chart" uri="{C3380CC4-5D6E-409C-BE32-E72D297353CC}">
              <c16:uniqueId val="{00000001-009D-4D9C-83C9-70CA1DBBAF13}"/>
            </c:ext>
          </c:extLst>
        </c:ser>
        <c:ser>
          <c:idx val="3"/>
          <c:order val="3"/>
          <c:tx>
            <c:strRef>
              <c:f>List3!$F$4</c:f>
              <c:strCache>
                <c:ptCount val="1"/>
                <c:pt idx="0">
                  <c:v>Tvorba hrubého kapitálu</c:v>
                </c:pt>
              </c:strCache>
            </c:strRef>
          </c:tx>
          <c:spPr>
            <a:solidFill>
              <a:srgbClr val="7DBB2D"/>
            </a:solidFill>
          </c:spPr>
          <c:cat>
            <c:strRef>
              <c:f>List3!$A$5:$B$14</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List3!$F$5:$F$14</c:f>
              <c:numCache>
                <c:formatCode>0.0</c:formatCode>
                <c:ptCount val="10"/>
                <c:pt idx="0">
                  <c:v>0.29205888677421865</c:v>
                </c:pt>
                <c:pt idx="1">
                  <c:v>1.5772569317522713</c:v>
                </c:pt>
                <c:pt idx="2">
                  <c:v>-1.0563422423658011</c:v>
                </c:pt>
                <c:pt idx="3">
                  <c:v>-0.59165917798500878</c:v>
                </c:pt>
                <c:pt idx="4">
                  <c:v>1.7850201537622039</c:v>
                </c:pt>
                <c:pt idx="5">
                  <c:v>0.19237897766579687</c:v>
                </c:pt>
                <c:pt idx="6">
                  <c:v>1.7311402034030439</c:v>
                </c:pt>
                <c:pt idx="7">
                  <c:v>1.8731916492951537</c:v>
                </c:pt>
                <c:pt idx="8">
                  <c:v>0.13308495056902844</c:v>
                </c:pt>
                <c:pt idx="9">
                  <c:v>1.3227035121237101</c:v>
                </c:pt>
              </c:numCache>
            </c:numRef>
          </c:val>
          <c:extLst xmlns:c16r2="http://schemas.microsoft.com/office/drawing/2015/06/chart">
            <c:ext xmlns:c16="http://schemas.microsoft.com/office/drawing/2014/chart" uri="{C3380CC4-5D6E-409C-BE32-E72D297353CC}">
              <c16:uniqueId val="{00000002-009D-4D9C-83C9-70CA1DBBAF13}"/>
            </c:ext>
          </c:extLst>
        </c:ser>
        <c:ser>
          <c:idx val="4"/>
          <c:order val="4"/>
          <c:tx>
            <c:strRef>
              <c:f>List3!$G$4</c:f>
              <c:strCache>
                <c:ptCount val="1"/>
                <c:pt idx="0">
                  <c:v>Směnné relace</c:v>
                </c:pt>
              </c:strCache>
            </c:strRef>
          </c:tx>
          <c:spPr>
            <a:solidFill>
              <a:srgbClr val="F8A124"/>
            </a:solidFill>
          </c:spPr>
          <c:cat>
            <c:strRef>
              <c:f>List3!$A$5:$B$14</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List3!$G$5:$G$14</c:f>
              <c:numCache>
                <c:formatCode>0.0</c:formatCode>
                <c:ptCount val="10"/>
                <c:pt idx="0">
                  <c:v>-1.2335958432668264</c:v>
                </c:pt>
                <c:pt idx="1">
                  <c:v>2.0369199416225152</c:v>
                </c:pt>
                <c:pt idx="2">
                  <c:v>-1.9789679497150146</c:v>
                </c:pt>
                <c:pt idx="3">
                  <c:v>-1.5472331014206304</c:v>
                </c:pt>
                <c:pt idx="4">
                  <c:v>-0.56885817816633732</c:v>
                </c:pt>
                <c:pt idx="5">
                  <c:v>1.1660929489003811</c:v>
                </c:pt>
                <c:pt idx="6">
                  <c:v>1.52524999305372</c:v>
                </c:pt>
                <c:pt idx="7">
                  <c:v>0.38584697502422993</c:v>
                </c:pt>
                <c:pt idx="8">
                  <c:v>1.0605672680557063</c:v>
                </c:pt>
                <c:pt idx="9">
                  <c:v>-1.004648488800612</c:v>
                </c:pt>
              </c:numCache>
            </c:numRef>
          </c:val>
          <c:extLst xmlns:c16r2="http://schemas.microsoft.com/office/drawing/2015/06/chart">
            <c:ext xmlns:c16="http://schemas.microsoft.com/office/drawing/2014/chart" uri="{C3380CC4-5D6E-409C-BE32-E72D297353CC}">
              <c16:uniqueId val="{00000003-009D-4D9C-83C9-70CA1DBBAF13}"/>
            </c:ext>
          </c:extLst>
        </c:ser>
        <c:gapWidth val="99"/>
        <c:axId val="118733824"/>
        <c:axId val="118764288"/>
      </c:barChart>
      <c:lineChart>
        <c:grouping val="standard"/>
        <c:ser>
          <c:idx val="0"/>
          <c:order val="0"/>
          <c:tx>
            <c:strRef>
              <c:f>List3!$C$4</c:f>
              <c:strCache>
                <c:ptCount val="1"/>
                <c:pt idx="0">
                  <c:v>Hrubý domácí produkt</c:v>
                </c:pt>
              </c:strCache>
            </c:strRef>
          </c:tx>
          <c:spPr>
            <a:ln>
              <a:solidFill>
                <a:schemeClr val="tx1"/>
              </a:solidFill>
            </a:ln>
          </c:spPr>
          <c:marker>
            <c:symbol val="none"/>
          </c:marker>
          <c:cat>
            <c:strRef>
              <c:f>List3!$A$5:$B$14</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List3!$C$5:$C$14</c:f>
              <c:numCache>
                <c:formatCode>0.0</c:formatCode>
                <c:ptCount val="10"/>
                <c:pt idx="0">
                  <c:v>2.0541606783868382</c:v>
                </c:pt>
                <c:pt idx="1">
                  <c:v>2.598714229926685</c:v>
                </c:pt>
                <c:pt idx="2">
                  <c:v>-1.4254568178629377</c:v>
                </c:pt>
                <c:pt idx="3">
                  <c:v>2.0952612381620456E-2</c:v>
                </c:pt>
                <c:pt idx="4">
                  <c:v>1.4599807921596746</c:v>
                </c:pt>
                <c:pt idx="5">
                  <c:v>1.4318823763525046</c:v>
                </c:pt>
                <c:pt idx="6">
                  <c:v>2.479975160337716</c:v>
                </c:pt>
                <c:pt idx="7">
                  <c:v>1.165906272274138</c:v>
                </c:pt>
                <c:pt idx="8">
                  <c:v>1.2359153309026418</c:v>
                </c:pt>
                <c:pt idx="9">
                  <c:v>1.442746383551736</c:v>
                </c:pt>
              </c:numCache>
            </c:numRef>
          </c:val>
          <c:extLst xmlns:c16r2="http://schemas.microsoft.com/office/drawing/2015/06/chart">
            <c:ext xmlns:c16="http://schemas.microsoft.com/office/drawing/2014/chart" uri="{C3380CC4-5D6E-409C-BE32-E72D297353CC}">
              <c16:uniqueId val="{00000004-009D-4D9C-83C9-70CA1DBBAF13}"/>
            </c:ext>
          </c:extLst>
        </c:ser>
        <c:marker val="1"/>
        <c:axId val="118733824"/>
        <c:axId val="118764288"/>
      </c:lineChart>
      <c:catAx>
        <c:axId val="118733824"/>
        <c:scaling>
          <c:orientation val="minMax"/>
        </c:scaling>
        <c:axPos val="b"/>
        <c:numFmt formatCode="General" sourceLinked="0"/>
        <c:tickLblPos val="low"/>
        <c:crossAx val="118764288"/>
        <c:crosses val="autoZero"/>
        <c:auto val="1"/>
        <c:lblAlgn val="ctr"/>
        <c:lblOffset val="100"/>
      </c:catAx>
      <c:valAx>
        <c:axId val="118764288"/>
        <c:scaling>
          <c:orientation val="minMax"/>
          <c:max val="5"/>
        </c:scaling>
        <c:axPos val="l"/>
        <c:majorGridlines/>
        <c:numFmt formatCode="0" sourceLinked="0"/>
        <c:tickLblPos val="nextTo"/>
        <c:crossAx val="118733824"/>
        <c:crosses val="autoZero"/>
        <c:crossBetween val="between"/>
      </c:valAx>
      <c:spPr>
        <a:ln>
          <a:solidFill>
            <a:schemeClr val="tx1"/>
          </a:solidFill>
        </a:ln>
      </c:spPr>
    </c:plotArea>
    <c:legend>
      <c:legendPos val="r"/>
      <c:layout>
        <c:manualLayout>
          <c:xMode val="edge"/>
          <c:yMode val="edge"/>
          <c:x val="5.1708671057076057E-2"/>
          <c:y val="0.8673322638748171"/>
          <c:w val="0.9214845069233365"/>
          <c:h val="0.11957953394123713"/>
        </c:manualLayout>
      </c:layout>
      <c:spPr>
        <a:ln>
          <a:solidFill>
            <a:sysClr val="windowText" lastClr="000000"/>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5.4942586963863733E-2"/>
          <c:y val="3.9316672295395698E-2"/>
          <c:w val="0.93343042890915229"/>
          <c:h val="0.73367015416571002"/>
        </c:manualLayout>
      </c:layout>
      <c:barChart>
        <c:barDir val="col"/>
        <c:grouping val="stacked"/>
        <c:ser>
          <c:idx val="13"/>
          <c:order val="0"/>
          <c:tx>
            <c:strRef>
              <c:f>List2!$O$4</c:f>
              <c:strCache>
                <c:ptCount val="1"/>
                <c:pt idx="0">
                  <c:v>Ostatní</c:v>
                </c:pt>
              </c:strCache>
            </c:strRef>
          </c:tx>
          <c:spPr>
            <a:solidFill>
              <a:srgbClr val="7030A0"/>
            </a:solidFill>
          </c:spPr>
          <c:cat>
            <c:strRef>
              <c:f>List2!$A$5:$A$19</c:f>
              <c:strCache>
                <c:ptCount val="15"/>
                <c:pt idx="0">
                  <c:v>2008</c:v>
                </c:pt>
                <c:pt idx="1">
                  <c:v>2009</c:v>
                </c:pt>
                <c:pt idx="2">
                  <c:v>2010</c:v>
                </c:pt>
                <c:pt idx="3">
                  <c:v>2011</c:v>
                </c:pt>
                <c:pt idx="4">
                  <c:v>2012</c:v>
                </c:pt>
                <c:pt idx="5">
                  <c:v>2013</c:v>
                </c:pt>
                <c:pt idx="6">
                  <c:v>2014</c:v>
                </c:pt>
                <c:pt idx="7">
                  <c:v>2015</c:v>
                </c:pt>
                <c:pt idx="8">
                  <c:v>2016</c:v>
                </c:pt>
                <c:pt idx="9">
                  <c:v>2017</c:v>
                </c:pt>
                <c:pt idx="11">
                  <c:v>1Q 2017</c:v>
                </c:pt>
                <c:pt idx="12">
                  <c:v>2Q 2017</c:v>
                </c:pt>
                <c:pt idx="13">
                  <c:v>3Q 2017</c:v>
                </c:pt>
                <c:pt idx="14">
                  <c:v>4Q 2017</c:v>
                </c:pt>
              </c:strCache>
            </c:strRef>
          </c:cat>
          <c:val>
            <c:numRef>
              <c:f>List2!$O$5:$O$19</c:f>
              <c:numCache>
                <c:formatCode>General</c:formatCode>
                <c:ptCount val="15"/>
                <c:pt idx="0">
                  <c:v>1.0343480973999863</c:v>
                </c:pt>
                <c:pt idx="1">
                  <c:v>-0.29357919630000323</c:v>
                </c:pt>
                <c:pt idx="2">
                  <c:v>-8.7078242600000022E-2</c:v>
                </c:pt>
                <c:pt idx="3">
                  <c:v>-0.22402802630000027</c:v>
                </c:pt>
                <c:pt idx="4">
                  <c:v>8.1498359800000392E-2</c:v>
                </c:pt>
                <c:pt idx="5">
                  <c:v>-0.20757454410000095</c:v>
                </c:pt>
                <c:pt idx="6">
                  <c:v>-1.555517899999974E-2</c:v>
                </c:pt>
                <c:pt idx="7">
                  <c:v>0.15402221130000054</c:v>
                </c:pt>
                <c:pt idx="8">
                  <c:v>0.30618782800000038</c:v>
                </c:pt>
                <c:pt idx="9">
                  <c:v>0.24521601400000206</c:v>
                </c:pt>
                <c:pt idx="10">
                  <c:v>0</c:v>
                </c:pt>
                <c:pt idx="11">
                  <c:v>0.24325648720000193</c:v>
                </c:pt>
                <c:pt idx="12">
                  <c:v>0.29117217449999938</c:v>
                </c:pt>
                <c:pt idx="13">
                  <c:v>0.22914268719999994</c:v>
                </c:pt>
                <c:pt idx="14">
                  <c:v>0.21210461820000037</c:v>
                </c:pt>
              </c:numCache>
            </c:numRef>
          </c:val>
          <c:extLst xmlns:c16r2="http://schemas.microsoft.com/office/drawing/2015/06/chart">
            <c:ext xmlns:c16="http://schemas.microsoft.com/office/drawing/2014/chart" uri="{C3380CC4-5D6E-409C-BE32-E72D297353CC}">
              <c16:uniqueId val="{00000000-1FC8-42FF-BC74-EB6E1316A63A}"/>
            </c:ext>
          </c:extLst>
        </c:ser>
        <c:ser>
          <c:idx val="2"/>
          <c:order val="1"/>
          <c:tx>
            <c:strRef>
              <c:f>List2!$L$4</c:f>
              <c:strCache>
                <c:ptCount val="1"/>
                <c:pt idx="0">
                  <c:v>Stravování a ubytování</c:v>
                </c:pt>
              </c:strCache>
            </c:strRef>
          </c:tx>
          <c:spPr>
            <a:solidFill>
              <a:srgbClr val="A6CDE8"/>
            </a:solidFill>
          </c:spPr>
          <c:val>
            <c:numRef>
              <c:f>List2!$L$5:$L$19</c:f>
              <c:numCache>
                <c:formatCode>General</c:formatCode>
                <c:ptCount val="15"/>
                <c:pt idx="0">
                  <c:v>0.33992882700000943</c:v>
                </c:pt>
                <c:pt idx="1">
                  <c:v>0.11169090030000002</c:v>
                </c:pt>
                <c:pt idx="2">
                  <c:v>0.12140315250000012</c:v>
                </c:pt>
                <c:pt idx="3">
                  <c:v>7.2841891500000033E-2</c:v>
                </c:pt>
                <c:pt idx="4">
                  <c:v>0.18453279180000204</c:v>
                </c:pt>
                <c:pt idx="5">
                  <c:v>9.7122522000000225E-2</c:v>
                </c:pt>
                <c:pt idx="6">
                  <c:v>9.4474249600000212E-2</c:v>
                </c:pt>
                <c:pt idx="7">
                  <c:v>8.3359632000000225E-2</c:v>
                </c:pt>
                <c:pt idx="8">
                  <c:v>8.7167136000000006E-2</c:v>
                </c:pt>
                <c:pt idx="9">
                  <c:v>0.33123511680000017</c:v>
                </c:pt>
                <c:pt idx="11">
                  <c:v>0.30217940480000038</c:v>
                </c:pt>
                <c:pt idx="12">
                  <c:v>0.33704625920000453</c:v>
                </c:pt>
                <c:pt idx="13">
                  <c:v>0.36610197120000543</c:v>
                </c:pt>
                <c:pt idx="14">
                  <c:v>0.32542397440000492</c:v>
                </c:pt>
              </c:numCache>
            </c:numRef>
          </c:val>
          <c:extLst xmlns:c16r2="http://schemas.microsoft.com/office/drawing/2015/06/chart">
            <c:ext xmlns:c16="http://schemas.microsoft.com/office/drawing/2014/chart" uri="{C3380CC4-5D6E-409C-BE32-E72D297353CC}">
              <c16:uniqueId val="{00000001-1FC8-42FF-BC74-EB6E1316A63A}"/>
            </c:ext>
          </c:extLst>
        </c:ser>
        <c:ser>
          <c:idx val="6"/>
          <c:order val="2"/>
          <c:tx>
            <c:strRef>
              <c:f>List2!$H$4</c:f>
              <c:strCache>
                <c:ptCount val="1"/>
                <c:pt idx="0">
                  <c:v>Doprava</c:v>
                </c:pt>
              </c:strCache>
            </c:strRef>
          </c:tx>
          <c:spPr>
            <a:solidFill>
              <a:srgbClr val="F8A124"/>
            </a:solidFill>
          </c:spPr>
          <c:cat>
            <c:strRef>
              <c:f>List2!$A$5:$A$19</c:f>
              <c:strCache>
                <c:ptCount val="15"/>
                <c:pt idx="0">
                  <c:v>2008</c:v>
                </c:pt>
                <c:pt idx="1">
                  <c:v>2009</c:v>
                </c:pt>
                <c:pt idx="2">
                  <c:v>2010</c:v>
                </c:pt>
                <c:pt idx="3">
                  <c:v>2011</c:v>
                </c:pt>
                <c:pt idx="4">
                  <c:v>2012</c:v>
                </c:pt>
                <c:pt idx="5">
                  <c:v>2013</c:v>
                </c:pt>
                <c:pt idx="6">
                  <c:v>2014</c:v>
                </c:pt>
                <c:pt idx="7">
                  <c:v>2015</c:v>
                </c:pt>
                <c:pt idx="8">
                  <c:v>2016</c:v>
                </c:pt>
                <c:pt idx="9">
                  <c:v>2017</c:v>
                </c:pt>
                <c:pt idx="11">
                  <c:v>1Q 2017</c:v>
                </c:pt>
                <c:pt idx="12">
                  <c:v>2Q 2017</c:v>
                </c:pt>
                <c:pt idx="13">
                  <c:v>3Q 2017</c:v>
                </c:pt>
                <c:pt idx="14">
                  <c:v>4Q 2017</c:v>
                </c:pt>
              </c:strCache>
            </c:strRef>
          </c:cat>
          <c:val>
            <c:numRef>
              <c:f>List2!$H$5:$H$19</c:f>
              <c:numCache>
                <c:formatCode>General</c:formatCode>
                <c:ptCount val="15"/>
                <c:pt idx="0">
                  <c:v>0.24151518230000227</c:v>
                </c:pt>
                <c:pt idx="1">
                  <c:v>-0.60903828579999952</c:v>
                </c:pt>
                <c:pt idx="2">
                  <c:v>0.27301716259999942</c:v>
                </c:pt>
                <c:pt idx="3">
                  <c:v>0.29401848280000453</c:v>
                </c:pt>
                <c:pt idx="4">
                  <c:v>0.29401848280000453</c:v>
                </c:pt>
                <c:pt idx="5">
                  <c:v>-7.3504620700000411E-2</c:v>
                </c:pt>
                <c:pt idx="6">
                  <c:v>2.0265798800000286E-2</c:v>
                </c:pt>
                <c:pt idx="7">
                  <c:v>-0.42558177480000497</c:v>
                </c:pt>
                <c:pt idx="8">
                  <c:v>-0.17143030350000288</c:v>
                </c:pt>
                <c:pt idx="9">
                  <c:v>0.37311301350000031</c:v>
                </c:pt>
                <c:pt idx="11">
                  <c:v>0.60504812999999991</c:v>
                </c:pt>
                <c:pt idx="12">
                  <c:v>0.39328128450000088</c:v>
                </c:pt>
                <c:pt idx="13">
                  <c:v>0.2521033875</c:v>
                </c:pt>
                <c:pt idx="14">
                  <c:v>0.2521033875</c:v>
                </c:pt>
              </c:numCache>
            </c:numRef>
          </c:val>
          <c:extLst xmlns:c16r2="http://schemas.microsoft.com/office/drawing/2015/06/chart">
            <c:ext xmlns:c16="http://schemas.microsoft.com/office/drawing/2014/chart" uri="{C3380CC4-5D6E-409C-BE32-E72D297353CC}">
              <c16:uniqueId val="{00000002-1FC8-42FF-BC74-EB6E1316A63A}"/>
            </c:ext>
          </c:extLst>
        </c:ser>
        <c:ser>
          <c:idx val="3"/>
          <c:order val="4"/>
          <c:tx>
            <c:strRef>
              <c:f>List2!$E$4</c:f>
              <c:strCache>
                <c:ptCount val="1"/>
                <c:pt idx="0">
                  <c:v>Bydlení, voda, energie, paliva</c:v>
                </c:pt>
              </c:strCache>
            </c:strRef>
          </c:tx>
          <c:spPr>
            <a:solidFill>
              <a:srgbClr val="7DBB2D"/>
            </a:solidFill>
          </c:spPr>
          <c:cat>
            <c:strRef>
              <c:f>List2!$A$5:$A$19</c:f>
              <c:strCache>
                <c:ptCount val="15"/>
                <c:pt idx="0">
                  <c:v>2008</c:v>
                </c:pt>
                <c:pt idx="1">
                  <c:v>2009</c:v>
                </c:pt>
                <c:pt idx="2">
                  <c:v>2010</c:v>
                </c:pt>
                <c:pt idx="3">
                  <c:v>2011</c:v>
                </c:pt>
                <c:pt idx="4">
                  <c:v>2012</c:v>
                </c:pt>
                <c:pt idx="5">
                  <c:v>2013</c:v>
                </c:pt>
                <c:pt idx="6">
                  <c:v>2014</c:v>
                </c:pt>
                <c:pt idx="7">
                  <c:v>2015</c:v>
                </c:pt>
                <c:pt idx="8">
                  <c:v>2016</c:v>
                </c:pt>
                <c:pt idx="9">
                  <c:v>2017</c:v>
                </c:pt>
                <c:pt idx="11">
                  <c:v>1Q 2017</c:v>
                </c:pt>
                <c:pt idx="12">
                  <c:v>2Q 2017</c:v>
                </c:pt>
                <c:pt idx="13">
                  <c:v>3Q 2017</c:v>
                </c:pt>
                <c:pt idx="14">
                  <c:v>4Q 2017</c:v>
                </c:pt>
              </c:strCache>
            </c:strRef>
          </c:cat>
          <c:val>
            <c:numRef>
              <c:f>List2!$E$5:$E$19</c:f>
              <c:numCache>
                <c:formatCode>General</c:formatCode>
                <c:ptCount val="15"/>
                <c:pt idx="0">
                  <c:v>2.8876560055999994</c:v>
                </c:pt>
                <c:pt idx="1">
                  <c:v>2.0185556543999987</c:v>
                </c:pt>
                <c:pt idx="2">
                  <c:v>0.47660341840000076</c:v>
                </c:pt>
                <c:pt idx="3">
                  <c:v>0.78499386559999962</c:v>
                </c:pt>
                <c:pt idx="4">
                  <c:v>1.4017747599999721</c:v>
                </c:pt>
                <c:pt idx="5">
                  <c:v>0.50463891360000634</c:v>
                </c:pt>
                <c:pt idx="6">
                  <c:v>-0.37187623480000642</c:v>
                </c:pt>
                <c:pt idx="7">
                  <c:v>0.26562588200000031</c:v>
                </c:pt>
                <c:pt idx="8">
                  <c:v>0.15074644260000225</c:v>
                </c:pt>
                <c:pt idx="9">
                  <c:v>0.42711492070000434</c:v>
                </c:pt>
                <c:pt idx="11">
                  <c:v>0.20099525680000202</c:v>
                </c:pt>
                <c:pt idx="12">
                  <c:v>0.37686610650000407</c:v>
                </c:pt>
                <c:pt idx="13">
                  <c:v>0.52761254909999356</c:v>
                </c:pt>
                <c:pt idx="14">
                  <c:v>0.55273695620000074</c:v>
                </c:pt>
              </c:numCache>
            </c:numRef>
          </c:val>
          <c:extLst xmlns:c16r2="http://schemas.microsoft.com/office/drawing/2015/06/chart">
            <c:ext xmlns:c16="http://schemas.microsoft.com/office/drawing/2014/chart" uri="{C3380CC4-5D6E-409C-BE32-E72D297353CC}">
              <c16:uniqueId val="{00000003-1FC8-42FF-BC74-EB6E1316A63A}"/>
            </c:ext>
          </c:extLst>
        </c:ser>
        <c:ser>
          <c:idx val="1"/>
          <c:order val="5"/>
          <c:tx>
            <c:strRef>
              <c:f>List2!$C$4</c:f>
              <c:strCache>
                <c:ptCount val="1"/>
                <c:pt idx="0">
                  <c:v>Alkoholické nápoje, tabák</c:v>
                </c:pt>
              </c:strCache>
            </c:strRef>
          </c:tx>
          <c:spPr>
            <a:solidFill>
              <a:srgbClr val="BD1B21"/>
            </a:solidFill>
          </c:spPr>
          <c:cat>
            <c:strRef>
              <c:f>List2!$A$5:$A$19</c:f>
              <c:strCache>
                <c:ptCount val="15"/>
                <c:pt idx="0">
                  <c:v>2008</c:v>
                </c:pt>
                <c:pt idx="1">
                  <c:v>2009</c:v>
                </c:pt>
                <c:pt idx="2">
                  <c:v>2010</c:v>
                </c:pt>
                <c:pt idx="3">
                  <c:v>2011</c:v>
                </c:pt>
                <c:pt idx="4">
                  <c:v>2012</c:v>
                </c:pt>
                <c:pt idx="5">
                  <c:v>2013</c:v>
                </c:pt>
                <c:pt idx="6">
                  <c:v>2014</c:v>
                </c:pt>
                <c:pt idx="7">
                  <c:v>2015</c:v>
                </c:pt>
                <c:pt idx="8">
                  <c:v>2016</c:v>
                </c:pt>
                <c:pt idx="9">
                  <c:v>2017</c:v>
                </c:pt>
                <c:pt idx="11">
                  <c:v>1Q 2017</c:v>
                </c:pt>
                <c:pt idx="12">
                  <c:v>2Q 2017</c:v>
                </c:pt>
                <c:pt idx="13">
                  <c:v>3Q 2017</c:v>
                </c:pt>
                <c:pt idx="14">
                  <c:v>4Q 2017</c:v>
                </c:pt>
              </c:strCache>
            </c:strRef>
          </c:cat>
          <c:val>
            <c:numRef>
              <c:f>List2!$C$5:$C$19</c:f>
              <c:numCache>
                <c:formatCode>General</c:formatCode>
                <c:ptCount val="15"/>
                <c:pt idx="0">
                  <c:v>0.95047600230000062</c:v>
                </c:pt>
                <c:pt idx="1">
                  <c:v>0.62404990050001152</c:v>
                </c:pt>
                <c:pt idx="2">
                  <c:v>0.44163531419999924</c:v>
                </c:pt>
                <c:pt idx="3">
                  <c:v>0.29762379870000188</c:v>
                </c:pt>
                <c:pt idx="4">
                  <c:v>0.24961996020000021</c:v>
                </c:pt>
                <c:pt idx="5">
                  <c:v>0.34562763720000295</c:v>
                </c:pt>
                <c:pt idx="6">
                  <c:v>0.26594328319999982</c:v>
                </c:pt>
                <c:pt idx="7">
                  <c:v>0.44640479680000361</c:v>
                </c:pt>
                <c:pt idx="8">
                  <c:v>0.41090227200000412</c:v>
                </c:pt>
                <c:pt idx="9">
                  <c:v>0.16809638400000207</c:v>
                </c:pt>
                <c:pt idx="11">
                  <c:v>0.31751539200000406</c:v>
                </c:pt>
                <c:pt idx="12">
                  <c:v>7.4709503999999829E-2</c:v>
                </c:pt>
                <c:pt idx="13">
                  <c:v>0.12140294399999976</c:v>
                </c:pt>
                <c:pt idx="14">
                  <c:v>0.14008032000000001</c:v>
                </c:pt>
              </c:numCache>
            </c:numRef>
          </c:val>
          <c:extLst xmlns:c16r2="http://schemas.microsoft.com/office/drawing/2015/06/chart">
            <c:ext xmlns:c16="http://schemas.microsoft.com/office/drawing/2014/chart" uri="{C3380CC4-5D6E-409C-BE32-E72D297353CC}">
              <c16:uniqueId val="{00000004-1FC8-42FF-BC74-EB6E1316A63A}"/>
            </c:ext>
          </c:extLst>
        </c:ser>
        <c:ser>
          <c:idx val="0"/>
          <c:order val="6"/>
          <c:tx>
            <c:strRef>
              <c:f>List2!$B$4</c:f>
              <c:strCache>
                <c:ptCount val="1"/>
                <c:pt idx="0">
                  <c:v>Potraviny a nealkoholické nápoje</c:v>
                </c:pt>
              </c:strCache>
            </c:strRef>
          </c:tx>
          <c:spPr>
            <a:solidFill>
              <a:srgbClr val="0071BC"/>
            </a:solidFill>
          </c:spPr>
          <c:cat>
            <c:strRef>
              <c:f>List2!$A$5:$A$19</c:f>
              <c:strCache>
                <c:ptCount val="15"/>
                <c:pt idx="0">
                  <c:v>2008</c:v>
                </c:pt>
                <c:pt idx="1">
                  <c:v>2009</c:v>
                </c:pt>
                <c:pt idx="2">
                  <c:v>2010</c:v>
                </c:pt>
                <c:pt idx="3">
                  <c:v>2011</c:v>
                </c:pt>
                <c:pt idx="4">
                  <c:v>2012</c:v>
                </c:pt>
                <c:pt idx="5">
                  <c:v>2013</c:v>
                </c:pt>
                <c:pt idx="6">
                  <c:v>2014</c:v>
                </c:pt>
                <c:pt idx="7">
                  <c:v>2015</c:v>
                </c:pt>
                <c:pt idx="8">
                  <c:v>2016</c:v>
                </c:pt>
                <c:pt idx="9">
                  <c:v>2017</c:v>
                </c:pt>
                <c:pt idx="11">
                  <c:v>1Q 2017</c:v>
                </c:pt>
                <c:pt idx="12">
                  <c:v>2Q 2017</c:v>
                </c:pt>
                <c:pt idx="13">
                  <c:v>3Q 2017</c:v>
                </c:pt>
                <c:pt idx="14">
                  <c:v>4Q 2017</c:v>
                </c:pt>
              </c:strCache>
            </c:strRef>
          </c:cat>
          <c:val>
            <c:numRef>
              <c:f>List2!$B$5:$B$19</c:f>
              <c:numCache>
                <c:formatCode>General</c:formatCode>
                <c:ptCount val="15"/>
                <c:pt idx="0">
                  <c:v>1.2135643721999669</c:v>
                </c:pt>
                <c:pt idx="1">
                  <c:v>-0.58430877179999308</c:v>
                </c:pt>
                <c:pt idx="2">
                  <c:v>0.22473414300000041</c:v>
                </c:pt>
                <c:pt idx="3">
                  <c:v>0.68918470519999953</c:v>
                </c:pt>
                <c:pt idx="4">
                  <c:v>1.033777057800001</c:v>
                </c:pt>
                <c:pt idx="5">
                  <c:v>0.73413153380000085</c:v>
                </c:pt>
                <c:pt idx="6">
                  <c:v>0.34164883400000018</c:v>
                </c:pt>
                <c:pt idx="7">
                  <c:v>-0.18790685870000126</c:v>
                </c:pt>
                <c:pt idx="8">
                  <c:v>-0.16254718020000244</c:v>
                </c:pt>
                <c:pt idx="9">
                  <c:v>0.93916148560000068</c:v>
                </c:pt>
                <c:pt idx="11">
                  <c:v>0.75855350760000062</c:v>
                </c:pt>
                <c:pt idx="12">
                  <c:v>0.81273590100000004</c:v>
                </c:pt>
                <c:pt idx="13">
                  <c:v>1.0294654746000005</c:v>
                </c:pt>
                <c:pt idx="14">
                  <c:v>1.1378302613999978</c:v>
                </c:pt>
              </c:numCache>
            </c:numRef>
          </c:val>
          <c:extLst xmlns:c16r2="http://schemas.microsoft.com/office/drawing/2015/06/chart">
            <c:ext xmlns:c16="http://schemas.microsoft.com/office/drawing/2014/chart" uri="{C3380CC4-5D6E-409C-BE32-E72D297353CC}">
              <c16:uniqueId val="{00000005-1FC8-42FF-BC74-EB6E1316A63A}"/>
            </c:ext>
          </c:extLst>
        </c:ser>
        <c:gapWidth val="96"/>
        <c:overlap val="100"/>
        <c:axId val="118816768"/>
        <c:axId val="118818304"/>
      </c:barChart>
      <c:lineChart>
        <c:grouping val="standard"/>
        <c:ser>
          <c:idx val="12"/>
          <c:order val="3"/>
          <c:tx>
            <c:strRef>
              <c:f>List2!$N$4</c:f>
              <c:strCache>
                <c:ptCount val="1"/>
                <c:pt idx="0">
                  <c:v>Index spotřebitelských cen</c:v>
                </c:pt>
              </c:strCache>
            </c:strRef>
          </c:tx>
          <c:spPr>
            <a:ln>
              <a:solidFill>
                <a:schemeClr val="tx1"/>
              </a:solidFill>
            </a:ln>
          </c:spPr>
          <c:marker>
            <c:symbol val="none"/>
          </c:marker>
          <c:cat>
            <c:strRef>
              <c:f>List2!$A$5:$A$19</c:f>
              <c:strCache>
                <c:ptCount val="15"/>
                <c:pt idx="0">
                  <c:v>2008</c:v>
                </c:pt>
                <c:pt idx="1">
                  <c:v>2009</c:v>
                </c:pt>
                <c:pt idx="2">
                  <c:v>2010</c:v>
                </c:pt>
                <c:pt idx="3">
                  <c:v>2011</c:v>
                </c:pt>
                <c:pt idx="4">
                  <c:v>2012</c:v>
                </c:pt>
                <c:pt idx="5">
                  <c:v>2013</c:v>
                </c:pt>
                <c:pt idx="6">
                  <c:v>2014</c:v>
                </c:pt>
                <c:pt idx="7">
                  <c:v>2015</c:v>
                </c:pt>
                <c:pt idx="8">
                  <c:v>2016</c:v>
                </c:pt>
                <c:pt idx="9">
                  <c:v>2017</c:v>
                </c:pt>
                <c:pt idx="11">
                  <c:v>1Q 2017</c:v>
                </c:pt>
                <c:pt idx="12">
                  <c:v>2Q 2017</c:v>
                </c:pt>
                <c:pt idx="13">
                  <c:v>3Q 2017</c:v>
                </c:pt>
                <c:pt idx="14">
                  <c:v>4Q 2017</c:v>
                </c:pt>
              </c:strCache>
            </c:strRef>
          </c:cat>
          <c:val>
            <c:numRef>
              <c:f>List2!$N$5:$N$19</c:f>
              <c:numCache>
                <c:formatCode>General</c:formatCode>
                <c:ptCount val="15"/>
                <c:pt idx="0">
                  <c:v>6.2999999999999972</c:v>
                </c:pt>
                <c:pt idx="1">
                  <c:v>1</c:v>
                </c:pt>
                <c:pt idx="2">
                  <c:v>1.5</c:v>
                </c:pt>
                <c:pt idx="3">
                  <c:v>1.9000000000000061</c:v>
                </c:pt>
                <c:pt idx="4">
                  <c:v>3.2999999999999972</c:v>
                </c:pt>
                <c:pt idx="5">
                  <c:v>1.4000000000000057</c:v>
                </c:pt>
                <c:pt idx="6">
                  <c:v>0.40000000000000568</c:v>
                </c:pt>
                <c:pt idx="7">
                  <c:v>0.30000000000000032</c:v>
                </c:pt>
                <c:pt idx="8">
                  <c:v>0.70000000000000284</c:v>
                </c:pt>
                <c:pt idx="9">
                  <c:v>2.5</c:v>
                </c:pt>
                <c:pt idx="11" formatCode="###,###,##0.0">
                  <c:v>2.4</c:v>
                </c:pt>
                <c:pt idx="12" formatCode="###,###,##0.0">
                  <c:v>2.2000000000000002</c:v>
                </c:pt>
                <c:pt idx="13" formatCode="###,###,##0.0">
                  <c:v>2.5</c:v>
                </c:pt>
                <c:pt idx="14" formatCode="###,###,##0.0">
                  <c:v>2.6</c:v>
                </c:pt>
              </c:numCache>
            </c:numRef>
          </c:val>
          <c:extLst xmlns:c16r2="http://schemas.microsoft.com/office/drawing/2015/06/chart">
            <c:ext xmlns:c16="http://schemas.microsoft.com/office/drawing/2014/chart" uri="{C3380CC4-5D6E-409C-BE32-E72D297353CC}">
              <c16:uniqueId val="{00000006-1FC8-42FF-BC74-EB6E1316A63A}"/>
            </c:ext>
          </c:extLst>
        </c:ser>
        <c:marker val="1"/>
        <c:axId val="118816768"/>
        <c:axId val="118818304"/>
      </c:lineChart>
      <c:catAx>
        <c:axId val="118816768"/>
        <c:scaling>
          <c:orientation val="minMax"/>
        </c:scaling>
        <c:axPos val="b"/>
        <c:numFmt formatCode="General" sourceLinked="0"/>
        <c:tickLblPos val="low"/>
        <c:crossAx val="118818304"/>
        <c:crosses val="autoZero"/>
        <c:auto val="1"/>
        <c:lblAlgn val="ctr"/>
        <c:lblOffset val="100"/>
      </c:catAx>
      <c:valAx>
        <c:axId val="118818304"/>
        <c:scaling>
          <c:orientation val="minMax"/>
          <c:max val="7"/>
        </c:scaling>
        <c:axPos val="l"/>
        <c:majorGridlines/>
        <c:numFmt formatCode="General" sourceLinked="1"/>
        <c:tickLblPos val="nextTo"/>
        <c:crossAx val="118816768"/>
        <c:crosses val="autoZero"/>
        <c:crossBetween val="between"/>
      </c:valAx>
      <c:spPr>
        <a:ln>
          <a:solidFill>
            <a:prstClr val="black"/>
          </a:solidFill>
        </a:ln>
      </c:spPr>
    </c:plotArea>
    <c:legend>
      <c:legendPos val="r"/>
      <c:layout>
        <c:manualLayout>
          <c:xMode val="edge"/>
          <c:yMode val="edge"/>
          <c:x val="5.5622467071935432E-2"/>
          <c:y val="0.86783627700706623"/>
          <c:w val="0.93097412191827089"/>
          <c:h val="0.12924629321656891"/>
        </c:manualLayout>
      </c:layout>
      <c:spPr>
        <a:ln>
          <a:solidFill>
            <a:prstClr val="black"/>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4.4219858156028392E-2"/>
          <c:y val="2.1445457615670793E-2"/>
          <c:w val="0.94012094731509765"/>
          <c:h val="0.69016098165034256"/>
        </c:manualLayout>
      </c:layout>
      <c:barChart>
        <c:barDir val="col"/>
        <c:grouping val="clustered"/>
        <c:ser>
          <c:idx val="0"/>
          <c:order val="0"/>
          <c:tx>
            <c:strRef>
              <c:f>List4!$B$3</c:f>
              <c:strCache>
                <c:ptCount val="1"/>
                <c:pt idx="0">
                  <c:v>2016</c:v>
                </c:pt>
              </c:strCache>
            </c:strRef>
          </c:tx>
          <c:spPr>
            <a:solidFill>
              <a:srgbClr val="BFE3F7"/>
            </a:solidFill>
          </c:spPr>
          <c:dPt>
            <c:idx val="4"/>
            <c:spPr>
              <a:solidFill>
                <a:srgbClr val="0071BC"/>
              </a:solidFill>
            </c:spPr>
            <c:extLst xmlns:c16r2="http://schemas.microsoft.com/office/drawing/2015/06/chart">
              <c:ext xmlns:c16="http://schemas.microsoft.com/office/drawing/2014/chart" uri="{C3380CC4-5D6E-409C-BE32-E72D297353CC}">
                <c16:uniqueId val="{00000000-A851-49D6-8BF3-57D64CCCF603}"/>
              </c:ext>
            </c:extLst>
          </c:dPt>
          <c:dPt>
            <c:idx val="11"/>
            <c:spPr>
              <a:solidFill>
                <a:srgbClr val="0071BC"/>
              </a:solidFill>
            </c:spPr>
            <c:extLst xmlns:c16r2="http://schemas.microsoft.com/office/drawing/2015/06/chart">
              <c:ext xmlns:c16="http://schemas.microsoft.com/office/drawing/2014/chart" uri="{C3380CC4-5D6E-409C-BE32-E72D297353CC}">
                <c16:uniqueId val="{00000001-A851-49D6-8BF3-57D64CCCF603}"/>
              </c:ext>
            </c:extLst>
          </c:dPt>
          <c:cat>
            <c:strRef>
              <c:f>List4!$A$4:$A$33</c:f>
              <c:strCache>
                <c:ptCount val="30"/>
                <c:pt idx="0">
                  <c:v>Estonsko</c:v>
                </c:pt>
                <c:pt idx="1">
                  <c:v>Litva</c:v>
                </c:pt>
                <c:pt idx="2">
                  <c:v>Lotyšsko</c:v>
                </c:pt>
                <c:pt idx="3">
                  <c:v>Velká Británie</c:v>
                </c:pt>
                <c:pt idx="4">
                  <c:v>ČR</c:v>
                </c:pt>
                <c:pt idx="5">
                  <c:v>Maďarsko</c:v>
                </c:pt>
                <c:pt idx="6">
                  <c:v>Belgie</c:v>
                </c:pt>
                <c:pt idx="7">
                  <c:v>Rakousko</c:v>
                </c:pt>
                <c:pt idx="8">
                  <c:v>Lucembursko</c:v>
                </c:pt>
                <c:pt idx="9">
                  <c:v>Španělsko</c:v>
                </c:pt>
                <c:pt idx="10">
                  <c:v>Švédsko</c:v>
                </c:pt>
                <c:pt idx="11">
                  <c:v>EU 28</c:v>
                </c:pt>
                <c:pt idx="12">
                  <c:v>Německo</c:v>
                </c:pt>
                <c:pt idx="13">
                  <c:v>Polsko</c:v>
                </c:pt>
                <c:pt idx="14">
                  <c:v>Portugalsko</c:v>
                </c:pt>
                <c:pt idx="15">
                  <c:v>Slovinsko</c:v>
                </c:pt>
                <c:pt idx="16">
                  <c:v>Eurozóna</c:v>
                </c:pt>
                <c:pt idx="17">
                  <c:v>Slovensko</c:v>
                </c:pt>
                <c:pt idx="18">
                  <c:v>Chorvatsko</c:v>
                </c:pt>
                <c:pt idx="19">
                  <c:v>Itálie</c:v>
                </c:pt>
                <c:pt idx="20">
                  <c:v>Malta</c:v>
                </c:pt>
                <c:pt idx="21">
                  <c:v>Nizozemí</c:v>
                </c:pt>
                <c:pt idx="22">
                  <c:v>Bulharsko</c:v>
                </c:pt>
                <c:pt idx="23">
                  <c:v>Francie</c:v>
                </c:pt>
                <c:pt idx="24">
                  <c:v>Dánsko</c:v>
                </c:pt>
                <c:pt idx="25">
                  <c:v>Řecko</c:v>
                </c:pt>
                <c:pt idx="26">
                  <c:v>Rumunsko</c:v>
                </c:pt>
                <c:pt idx="27">
                  <c:v>Finsko</c:v>
                </c:pt>
                <c:pt idx="28">
                  <c:v>Kypr</c:v>
                </c:pt>
                <c:pt idx="29">
                  <c:v>Irsko</c:v>
                </c:pt>
              </c:strCache>
            </c:strRef>
          </c:cat>
          <c:val>
            <c:numRef>
              <c:f>List4!$B$4:$B$33</c:f>
              <c:numCache>
                <c:formatCode>#,##0.0</c:formatCode>
                <c:ptCount val="30"/>
                <c:pt idx="0">
                  <c:v>0.8</c:v>
                </c:pt>
                <c:pt idx="1">
                  <c:v>0.70000000000000062</c:v>
                </c:pt>
                <c:pt idx="2">
                  <c:v>0.1</c:v>
                </c:pt>
                <c:pt idx="3">
                  <c:v>0.70000000000000062</c:v>
                </c:pt>
                <c:pt idx="4">
                  <c:v>0.60000000000000064</c:v>
                </c:pt>
                <c:pt idx="5">
                  <c:v>0.4</c:v>
                </c:pt>
                <c:pt idx="6">
                  <c:v>1.8</c:v>
                </c:pt>
                <c:pt idx="7">
                  <c:v>1</c:v>
                </c:pt>
                <c:pt idx="8">
                  <c:v>0</c:v>
                </c:pt>
                <c:pt idx="9">
                  <c:v>-0.30000000000000032</c:v>
                </c:pt>
                <c:pt idx="10">
                  <c:v>1.1000000000000001</c:v>
                </c:pt>
                <c:pt idx="11">
                  <c:v>0.30000000000000032</c:v>
                </c:pt>
                <c:pt idx="12">
                  <c:v>0.4</c:v>
                </c:pt>
                <c:pt idx="13">
                  <c:v>-0.2</c:v>
                </c:pt>
                <c:pt idx="14">
                  <c:v>0.60000000000000064</c:v>
                </c:pt>
                <c:pt idx="15">
                  <c:v>-0.2</c:v>
                </c:pt>
                <c:pt idx="16">
                  <c:v>0.2</c:v>
                </c:pt>
                <c:pt idx="17">
                  <c:v>-0.5</c:v>
                </c:pt>
                <c:pt idx="18">
                  <c:v>-0.60000000000000064</c:v>
                </c:pt>
                <c:pt idx="19">
                  <c:v>-0.1</c:v>
                </c:pt>
                <c:pt idx="20">
                  <c:v>0.9</c:v>
                </c:pt>
                <c:pt idx="21">
                  <c:v>0.1</c:v>
                </c:pt>
                <c:pt idx="22">
                  <c:v>-1.3</c:v>
                </c:pt>
                <c:pt idx="23">
                  <c:v>0.30000000000000032</c:v>
                </c:pt>
                <c:pt idx="24">
                  <c:v>0</c:v>
                </c:pt>
                <c:pt idx="25">
                  <c:v>0</c:v>
                </c:pt>
                <c:pt idx="26">
                  <c:v>-1.1000000000000001</c:v>
                </c:pt>
                <c:pt idx="27">
                  <c:v>0.4</c:v>
                </c:pt>
                <c:pt idx="28">
                  <c:v>-1.2</c:v>
                </c:pt>
                <c:pt idx="29">
                  <c:v>-0.2</c:v>
                </c:pt>
              </c:numCache>
            </c:numRef>
          </c:val>
          <c:extLst xmlns:c16r2="http://schemas.microsoft.com/office/drawing/2015/06/chart">
            <c:ext xmlns:c16="http://schemas.microsoft.com/office/drawing/2014/chart" uri="{C3380CC4-5D6E-409C-BE32-E72D297353CC}">
              <c16:uniqueId val="{00000002-A851-49D6-8BF3-57D64CCCF603}"/>
            </c:ext>
          </c:extLst>
        </c:ser>
        <c:ser>
          <c:idx val="1"/>
          <c:order val="1"/>
          <c:tx>
            <c:strRef>
              <c:f>List4!$C$3</c:f>
              <c:strCache>
                <c:ptCount val="1"/>
                <c:pt idx="0">
                  <c:v>2017</c:v>
                </c:pt>
              </c:strCache>
            </c:strRef>
          </c:tx>
          <c:spPr>
            <a:solidFill>
              <a:srgbClr val="E8AFB2"/>
            </a:solidFill>
          </c:spPr>
          <c:dPt>
            <c:idx val="4"/>
            <c:spPr>
              <a:solidFill>
                <a:srgbClr val="BD1B21"/>
              </a:solidFill>
            </c:spPr>
            <c:extLst xmlns:c16r2="http://schemas.microsoft.com/office/drawing/2015/06/chart">
              <c:ext xmlns:c16="http://schemas.microsoft.com/office/drawing/2014/chart" uri="{C3380CC4-5D6E-409C-BE32-E72D297353CC}">
                <c16:uniqueId val="{00000003-A851-49D6-8BF3-57D64CCCF603}"/>
              </c:ext>
            </c:extLst>
          </c:dPt>
          <c:dPt>
            <c:idx val="11"/>
            <c:spPr>
              <a:solidFill>
                <a:srgbClr val="BD1B21"/>
              </a:solidFill>
            </c:spPr>
            <c:extLst xmlns:c16r2="http://schemas.microsoft.com/office/drawing/2015/06/chart">
              <c:ext xmlns:c16="http://schemas.microsoft.com/office/drawing/2014/chart" uri="{C3380CC4-5D6E-409C-BE32-E72D297353CC}">
                <c16:uniqueId val="{00000004-A851-49D6-8BF3-57D64CCCF603}"/>
              </c:ext>
            </c:extLst>
          </c:dPt>
          <c:cat>
            <c:strRef>
              <c:f>List4!$A$4:$A$33</c:f>
              <c:strCache>
                <c:ptCount val="30"/>
                <c:pt idx="0">
                  <c:v>Estonsko</c:v>
                </c:pt>
                <c:pt idx="1">
                  <c:v>Litva</c:v>
                </c:pt>
                <c:pt idx="2">
                  <c:v>Lotyšsko</c:v>
                </c:pt>
                <c:pt idx="3">
                  <c:v>Velká Británie</c:v>
                </c:pt>
                <c:pt idx="4">
                  <c:v>ČR</c:v>
                </c:pt>
                <c:pt idx="5">
                  <c:v>Maďarsko</c:v>
                </c:pt>
                <c:pt idx="6">
                  <c:v>Belgie</c:v>
                </c:pt>
                <c:pt idx="7">
                  <c:v>Rakousko</c:v>
                </c:pt>
                <c:pt idx="8">
                  <c:v>Lucembursko</c:v>
                </c:pt>
                <c:pt idx="9">
                  <c:v>Španělsko</c:v>
                </c:pt>
                <c:pt idx="10">
                  <c:v>Švédsko</c:v>
                </c:pt>
                <c:pt idx="11">
                  <c:v>EU 28</c:v>
                </c:pt>
                <c:pt idx="12">
                  <c:v>Německo</c:v>
                </c:pt>
                <c:pt idx="13">
                  <c:v>Polsko</c:v>
                </c:pt>
                <c:pt idx="14">
                  <c:v>Portugalsko</c:v>
                </c:pt>
                <c:pt idx="15">
                  <c:v>Slovinsko</c:v>
                </c:pt>
                <c:pt idx="16">
                  <c:v>Eurozóna</c:v>
                </c:pt>
                <c:pt idx="17">
                  <c:v>Slovensko</c:v>
                </c:pt>
                <c:pt idx="18">
                  <c:v>Chorvatsko</c:v>
                </c:pt>
                <c:pt idx="19">
                  <c:v>Itálie</c:v>
                </c:pt>
                <c:pt idx="20">
                  <c:v>Malta</c:v>
                </c:pt>
                <c:pt idx="21">
                  <c:v>Nizozemí</c:v>
                </c:pt>
                <c:pt idx="22">
                  <c:v>Bulharsko</c:v>
                </c:pt>
                <c:pt idx="23">
                  <c:v>Francie</c:v>
                </c:pt>
                <c:pt idx="24">
                  <c:v>Dánsko</c:v>
                </c:pt>
                <c:pt idx="25">
                  <c:v>Řecko</c:v>
                </c:pt>
                <c:pt idx="26">
                  <c:v>Rumunsko</c:v>
                </c:pt>
                <c:pt idx="27">
                  <c:v>Finsko</c:v>
                </c:pt>
                <c:pt idx="28">
                  <c:v>Kypr</c:v>
                </c:pt>
                <c:pt idx="29">
                  <c:v>Irsko</c:v>
                </c:pt>
              </c:strCache>
            </c:strRef>
          </c:cat>
          <c:val>
            <c:numRef>
              <c:f>List4!$C$4:$C$33</c:f>
              <c:numCache>
                <c:formatCode>#,##0.0</c:formatCode>
                <c:ptCount val="30"/>
                <c:pt idx="0">
                  <c:v>3.7</c:v>
                </c:pt>
                <c:pt idx="1">
                  <c:v>3.7</c:v>
                </c:pt>
                <c:pt idx="2">
                  <c:v>2.9</c:v>
                </c:pt>
                <c:pt idx="3">
                  <c:v>2.7</c:v>
                </c:pt>
                <c:pt idx="4">
                  <c:v>2.4</c:v>
                </c:pt>
                <c:pt idx="5">
                  <c:v>2.4</c:v>
                </c:pt>
                <c:pt idx="6">
                  <c:v>2.2000000000000002</c:v>
                </c:pt>
                <c:pt idx="7">
                  <c:v>2.2000000000000002</c:v>
                </c:pt>
                <c:pt idx="8">
                  <c:v>2.1</c:v>
                </c:pt>
                <c:pt idx="9">
                  <c:v>2</c:v>
                </c:pt>
                <c:pt idx="10">
                  <c:v>1.9000000000000001</c:v>
                </c:pt>
                <c:pt idx="11">
                  <c:v>1.7</c:v>
                </c:pt>
                <c:pt idx="12">
                  <c:v>1.7</c:v>
                </c:pt>
                <c:pt idx="13">
                  <c:v>1.6</c:v>
                </c:pt>
                <c:pt idx="14">
                  <c:v>1.6</c:v>
                </c:pt>
                <c:pt idx="15">
                  <c:v>1.6</c:v>
                </c:pt>
                <c:pt idx="16">
                  <c:v>1.5</c:v>
                </c:pt>
                <c:pt idx="17">
                  <c:v>1.4</c:v>
                </c:pt>
                <c:pt idx="18">
                  <c:v>1.3</c:v>
                </c:pt>
                <c:pt idx="19">
                  <c:v>1.3</c:v>
                </c:pt>
                <c:pt idx="20">
                  <c:v>1.3</c:v>
                </c:pt>
                <c:pt idx="21">
                  <c:v>1.3</c:v>
                </c:pt>
                <c:pt idx="22">
                  <c:v>1.2</c:v>
                </c:pt>
                <c:pt idx="23">
                  <c:v>1.2</c:v>
                </c:pt>
                <c:pt idx="24">
                  <c:v>1.1000000000000001</c:v>
                </c:pt>
                <c:pt idx="25">
                  <c:v>1.1000000000000001</c:v>
                </c:pt>
                <c:pt idx="26">
                  <c:v>1.1000000000000001</c:v>
                </c:pt>
                <c:pt idx="27">
                  <c:v>0.8</c:v>
                </c:pt>
                <c:pt idx="28">
                  <c:v>0.70000000000000062</c:v>
                </c:pt>
                <c:pt idx="29">
                  <c:v>0.30000000000000032</c:v>
                </c:pt>
              </c:numCache>
            </c:numRef>
          </c:val>
          <c:extLst xmlns:c16r2="http://schemas.microsoft.com/office/drawing/2015/06/chart">
            <c:ext xmlns:c16="http://schemas.microsoft.com/office/drawing/2014/chart" uri="{C3380CC4-5D6E-409C-BE32-E72D297353CC}">
              <c16:uniqueId val="{00000005-A851-49D6-8BF3-57D64CCCF603}"/>
            </c:ext>
          </c:extLst>
        </c:ser>
        <c:gapWidth val="95"/>
        <c:axId val="118847744"/>
        <c:axId val="118853632"/>
      </c:barChart>
      <c:catAx>
        <c:axId val="118847744"/>
        <c:scaling>
          <c:orientation val="minMax"/>
        </c:scaling>
        <c:axPos val="b"/>
        <c:numFmt formatCode="General" sourceLinked="0"/>
        <c:tickLblPos val="low"/>
        <c:txPr>
          <a:bodyPr rot="-5400000" vert="horz"/>
          <a:lstStyle/>
          <a:p>
            <a:pPr>
              <a:defRPr/>
            </a:pPr>
            <a:endParaRPr lang="cs-CZ"/>
          </a:p>
        </c:txPr>
        <c:crossAx val="118853632"/>
        <c:crosses val="autoZero"/>
        <c:auto val="1"/>
        <c:lblAlgn val="ctr"/>
        <c:lblOffset val="100"/>
      </c:catAx>
      <c:valAx>
        <c:axId val="118853632"/>
        <c:scaling>
          <c:orientation val="minMax"/>
        </c:scaling>
        <c:axPos val="l"/>
        <c:majorGridlines/>
        <c:numFmt formatCode="#,##0" sourceLinked="0"/>
        <c:tickLblPos val="nextTo"/>
        <c:crossAx val="118847744"/>
        <c:crosses val="autoZero"/>
        <c:crossBetween val="between"/>
      </c:valAx>
      <c:spPr>
        <a:ln>
          <a:solidFill>
            <a:sysClr val="windowText" lastClr="000000"/>
          </a:solidFill>
        </a:ln>
      </c:spPr>
    </c:plotArea>
    <c:legend>
      <c:legendPos val="r"/>
      <c:layout>
        <c:manualLayout>
          <c:xMode val="edge"/>
          <c:yMode val="edge"/>
          <c:x val="4.0740670381627833E-2"/>
          <c:y val="0.92588680625914765"/>
          <c:w val="0.94049455420466055"/>
          <c:h val="5.2509850275807686E-2"/>
        </c:manualLayout>
      </c:layout>
      <c:spPr>
        <a:ln>
          <a:solidFill>
            <a:sysClr val="windowText" lastClr="000000"/>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6.6871833839918973E-2"/>
          <c:y val="3.9316672295395698E-2"/>
          <c:w val="0.9222798463357037"/>
          <c:h val="0.73006726331194416"/>
        </c:manualLayout>
      </c:layout>
      <c:barChart>
        <c:barDir val="col"/>
        <c:grouping val="clustered"/>
        <c:ser>
          <c:idx val="0"/>
          <c:order val="0"/>
          <c:tx>
            <c:strRef>
              <c:f>Grafy!$A$11</c:f>
              <c:strCache>
                <c:ptCount val="1"/>
                <c:pt idx="0">
                  <c:v>Celkem</c:v>
                </c:pt>
              </c:strCache>
            </c:strRef>
          </c:tx>
          <c:spPr>
            <a:solidFill>
              <a:srgbClr val="808080"/>
            </a:solidFill>
          </c:spPr>
          <c:cat>
            <c:strRef>
              <c:f>Grafy!$B$10:$K$10</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Grafy!$B$11:$K$11</c:f>
              <c:numCache>
                <c:formatCode>0.0</c:formatCode>
                <c:ptCount val="10"/>
                <c:pt idx="0">
                  <c:v>4.5</c:v>
                </c:pt>
                <c:pt idx="1">
                  <c:v>-3.0999999999999943</c:v>
                </c:pt>
                <c:pt idx="2">
                  <c:v>1.2000000000000028</c:v>
                </c:pt>
                <c:pt idx="3">
                  <c:v>5.5999999999999943</c:v>
                </c:pt>
                <c:pt idx="4">
                  <c:v>2.0999999999999943</c:v>
                </c:pt>
                <c:pt idx="5">
                  <c:v>0.7999999999999976</c:v>
                </c:pt>
                <c:pt idx="6">
                  <c:v>-0.7999999999999976</c:v>
                </c:pt>
                <c:pt idx="7">
                  <c:v>-3.2000000000000042</c:v>
                </c:pt>
                <c:pt idx="8">
                  <c:v>-3.2999999999999972</c:v>
                </c:pt>
                <c:pt idx="9">
                  <c:v>1.7999999999999834</c:v>
                </c:pt>
              </c:numCache>
            </c:numRef>
          </c:val>
          <c:extLst xmlns:c16r2="http://schemas.microsoft.com/office/drawing/2015/06/chart">
            <c:ext xmlns:c16="http://schemas.microsoft.com/office/drawing/2014/chart" uri="{C3380CC4-5D6E-409C-BE32-E72D297353CC}">
              <c16:uniqueId val="{00000000-28CE-4608-9290-217EE756ECA2}"/>
            </c:ext>
          </c:extLst>
        </c:ser>
        <c:gapWidth val="99"/>
        <c:axId val="118894592"/>
        <c:axId val="118896128"/>
      </c:barChart>
      <c:lineChart>
        <c:grouping val="standard"/>
        <c:ser>
          <c:idx val="1"/>
          <c:order val="1"/>
          <c:tx>
            <c:strRef>
              <c:f>Grafy!$A$12</c:f>
              <c:strCache>
                <c:ptCount val="1"/>
                <c:pt idx="0">
                  <c:v>Těžba a dobývání</c:v>
                </c:pt>
              </c:strCache>
            </c:strRef>
          </c:tx>
          <c:spPr>
            <a:ln>
              <a:solidFill>
                <a:srgbClr val="BD1B21"/>
              </a:solidFill>
            </a:ln>
          </c:spPr>
          <c:marker>
            <c:symbol val="none"/>
          </c:marker>
          <c:cat>
            <c:strRef>
              <c:f>Grafy!$B$10:$K$10</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Grafy!$B$12:$K$12</c:f>
              <c:numCache>
                <c:formatCode>0.0</c:formatCode>
                <c:ptCount val="10"/>
                <c:pt idx="0">
                  <c:v>14.5</c:v>
                </c:pt>
                <c:pt idx="1">
                  <c:v>-3.9000000000000057</c:v>
                </c:pt>
                <c:pt idx="2">
                  <c:v>5.7000000000000028</c:v>
                </c:pt>
                <c:pt idx="3">
                  <c:v>6.9000000000000083</c:v>
                </c:pt>
                <c:pt idx="4">
                  <c:v>-1.9000000000000061</c:v>
                </c:pt>
                <c:pt idx="5">
                  <c:v>-1.2999999999999834</c:v>
                </c:pt>
                <c:pt idx="6">
                  <c:v>-3.2999999999999972</c:v>
                </c:pt>
                <c:pt idx="7">
                  <c:v>-0.59999999999999432</c:v>
                </c:pt>
                <c:pt idx="8">
                  <c:v>-6.0999999999999943</c:v>
                </c:pt>
                <c:pt idx="9">
                  <c:v>3.7999999999999972</c:v>
                </c:pt>
              </c:numCache>
            </c:numRef>
          </c:val>
          <c:extLst xmlns:c16r2="http://schemas.microsoft.com/office/drawing/2015/06/chart">
            <c:ext xmlns:c16="http://schemas.microsoft.com/office/drawing/2014/chart" uri="{C3380CC4-5D6E-409C-BE32-E72D297353CC}">
              <c16:uniqueId val="{00000001-28CE-4608-9290-217EE756ECA2}"/>
            </c:ext>
          </c:extLst>
        </c:ser>
        <c:ser>
          <c:idx val="2"/>
          <c:order val="2"/>
          <c:tx>
            <c:strRef>
              <c:f>Grafy!$A$13</c:f>
              <c:strCache>
                <c:ptCount val="1"/>
                <c:pt idx="0">
                  <c:v>Zpracovatelský průmysl</c:v>
                </c:pt>
              </c:strCache>
            </c:strRef>
          </c:tx>
          <c:spPr>
            <a:ln>
              <a:solidFill>
                <a:srgbClr val="7DBB2D"/>
              </a:solidFill>
            </a:ln>
          </c:spPr>
          <c:marker>
            <c:symbol val="none"/>
          </c:marker>
          <c:cat>
            <c:strRef>
              <c:f>Grafy!$B$10:$K$10</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Grafy!$B$13:$K$13</c:f>
              <c:numCache>
                <c:formatCode>0.0</c:formatCode>
                <c:ptCount val="10"/>
                <c:pt idx="0">
                  <c:v>3.2000000000000042</c:v>
                </c:pt>
                <c:pt idx="1">
                  <c:v>-5.5999999999999943</c:v>
                </c:pt>
                <c:pt idx="2">
                  <c:v>1.5</c:v>
                </c:pt>
                <c:pt idx="3">
                  <c:v>5.7999999999999972</c:v>
                </c:pt>
                <c:pt idx="4">
                  <c:v>2.2999999999999972</c:v>
                </c:pt>
                <c:pt idx="5">
                  <c:v>0.20000000000000284</c:v>
                </c:pt>
                <c:pt idx="6">
                  <c:v>1</c:v>
                </c:pt>
                <c:pt idx="7">
                  <c:v>-3.9000000000000057</c:v>
                </c:pt>
                <c:pt idx="8">
                  <c:v>-3.0999999999999943</c:v>
                </c:pt>
                <c:pt idx="9">
                  <c:v>2.2999999999999972</c:v>
                </c:pt>
              </c:numCache>
            </c:numRef>
          </c:val>
          <c:extLst xmlns:c16r2="http://schemas.microsoft.com/office/drawing/2015/06/chart">
            <c:ext xmlns:c16="http://schemas.microsoft.com/office/drawing/2014/chart" uri="{C3380CC4-5D6E-409C-BE32-E72D297353CC}">
              <c16:uniqueId val="{00000002-28CE-4608-9290-217EE756ECA2}"/>
            </c:ext>
          </c:extLst>
        </c:ser>
        <c:ser>
          <c:idx val="3"/>
          <c:order val="3"/>
          <c:tx>
            <c:strRef>
              <c:f>Grafy!$A$14</c:f>
              <c:strCache>
                <c:ptCount val="1"/>
                <c:pt idx="0">
                  <c:v>Elektřina, plyn, pára a klimatizovaný vzduch</c:v>
                </c:pt>
              </c:strCache>
            </c:strRef>
          </c:tx>
          <c:spPr>
            <a:ln>
              <a:solidFill>
                <a:srgbClr val="F8A124"/>
              </a:solidFill>
            </a:ln>
          </c:spPr>
          <c:marker>
            <c:symbol val="none"/>
          </c:marker>
          <c:cat>
            <c:strRef>
              <c:f>Grafy!$B$10:$K$10</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Grafy!$B$14:$K$14</c:f>
              <c:numCache>
                <c:formatCode>0.0</c:formatCode>
                <c:ptCount val="10"/>
                <c:pt idx="0">
                  <c:v>9.9000000000000057</c:v>
                </c:pt>
                <c:pt idx="1">
                  <c:v>10.900000000000006</c:v>
                </c:pt>
                <c:pt idx="2">
                  <c:v>-1.2999999999999834</c:v>
                </c:pt>
                <c:pt idx="3">
                  <c:v>4</c:v>
                </c:pt>
                <c:pt idx="4">
                  <c:v>1.7000000000000028</c:v>
                </c:pt>
                <c:pt idx="5">
                  <c:v>3.5999999999999943</c:v>
                </c:pt>
                <c:pt idx="6">
                  <c:v>-8.7000000000000011</c:v>
                </c:pt>
                <c:pt idx="7">
                  <c:v>-0.7999999999999976</c:v>
                </c:pt>
                <c:pt idx="8">
                  <c:v>-4.0999999999999943</c:v>
                </c:pt>
                <c:pt idx="9">
                  <c:v>-1.2000000000000028</c:v>
                </c:pt>
              </c:numCache>
            </c:numRef>
          </c:val>
          <c:extLst xmlns:c16r2="http://schemas.microsoft.com/office/drawing/2015/06/chart">
            <c:ext xmlns:c16="http://schemas.microsoft.com/office/drawing/2014/chart" uri="{C3380CC4-5D6E-409C-BE32-E72D297353CC}">
              <c16:uniqueId val="{00000003-28CE-4608-9290-217EE756ECA2}"/>
            </c:ext>
          </c:extLst>
        </c:ser>
        <c:ser>
          <c:idx val="4"/>
          <c:order val="4"/>
          <c:tx>
            <c:strRef>
              <c:f>Grafy!$A$15</c:f>
              <c:strCache>
                <c:ptCount val="1"/>
                <c:pt idx="0">
                  <c:v>Zásobování vodou, odpadní vody</c:v>
                </c:pt>
              </c:strCache>
            </c:strRef>
          </c:tx>
          <c:spPr>
            <a:ln>
              <a:solidFill>
                <a:srgbClr val="0071BC"/>
              </a:solidFill>
            </a:ln>
          </c:spPr>
          <c:marker>
            <c:symbol val="none"/>
          </c:marker>
          <c:cat>
            <c:strRef>
              <c:f>Grafy!$B$10:$K$10</c:f>
              <c:strCache>
                <c:ptCount val="10"/>
                <c:pt idx="0">
                  <c:v>2008</c:v>
                </c:pt>
                <c:pt idx="1">
                  <c:v>2009</c:v>
                </c:pt>
                <c:pt idx="2">
                  <c:v>2010</c:v>
                </c:pt>
                <c:pt idx="3">
                  <c:v>2011</c:v>
                </c:pt>
                <c:pt idx="4">
                  <c:v>2012</c:v>
                </c:pt>
                <c:pt idx="5">
                  <c:v>2013</c:v>
                </c:pt>
                <c:pt idx="6">
                  <c:v>2014</c:v>
                </c:pt>
                <c:pt idx="7">
                  <c:v>2015</c:v>
                </c:pt>
                <c:pt idx="8">
                  <c:v>2016</c:v>
                </c:pt>
                <c:pt idx="9">
                  <c:v>2017</c:v>
                </c:pt>
              </c:strCache>
            </c:strRef>
          </c:cat>
          <c:val>
            <c:numRef>
              <c:f>Grafy!$B$15:$K$15</c:f>
              <c:numCache>
                <c:formatCode>0.0</c:formatCode>
                <c:ptCount val="10"/>
                <c:pt idx="0">
                  <c:v>4.2000000000000028</c:v>
                </c:pt>
                <c:pt idx="1">
                  <c:v>6.9000000000000083</c:v>
                </c:pt>
                <c:pt idx="2">
                  <c:v>3.7999999999999972</c:v>
                </c:pt>
                <c:pt idx="3">
                  <c:v>6.2000000000000028</c:v>
                </c:pt>
                <c:pt idx="4">
                  <c:v>8.1000000000000014</c:v>
                </c:pt>
                <c:pt idx="5">
                  <c:v>5.7000000000000028</c:v>
                </c:pt>
                <c:pt idx="6">
                  <c:v>3.4000000000000057</c:v>
                </c:pt>
                <c:pt idx="7">
                  <c:v>3.4000000000000057</c:v>
                </c:pt>
                <c:pt idx="8">
                  <c:v>1.2999999999999834</c:v>
                </c:pt>
                <c:pt idx="9">
                  <c:v>1.2999999999999834</c:v>
                </c:pt>
              </c:numCache>
            </c:numRef>
          </c:val>
          <c:extLst xmlns:c16r2="http://schemas.microsoft.com/office/drawing/2015/06/chart">
            <c:ext xmlns:c16="http://schemas.microsoft.com/office/drawing/2014/chart" uri="{C3380CC4-5D6E-409C-BE32-E72D297353CC}">
              <c16:uniqueId val="{00000004-28CE-4608-9290-217EE756ECA2}"/>
            </c:ext>
          </c:extLst>
        </c:ser>
        <c:marker val="1"/>
        <c:axId val="118894592"/>
        <c:axId val="118896128"/>
      </c:lineChart>
      <c:catAx>
        <c:axId val="118894592"/>
        <c:scaling>
          <c:orientation val="minMax"/>
        </c:scaling>
        <c:axPos val="b"/>
        <c:numFmt formatCode="General" sourceLinked="0"/>
        <c:tickLblPos val="low"/>
        <c:crossAx val="118896128"/>
        <c:crosses val="autoZero"/>
        <c:auto val="1"/>
        <c:lblAlgn val="ctr"/>
        <c:lblOffset val="100"/>
      </c:catAx>
      <c:valAx>
        <c:axId val="118896128"/>
        <c:scaling>
          <c:orientation val="minMax"/>
          <c:max val="15"/>
        </c:scaling>
        <c:axPos val="l"/>
        <c:majorGridlines/>
        <c:numFmt formatCode="0" sourceLinked="0"/>
        <c:tickLblPos val="nextTo"/>
        <c:crossAx val="118894592"/>
        <c:crosses val="autoZero"/>
        <c:crossBetween val="between"/>
      </c:valAx>
      <c:spPr>
        <a:ln>
          <a:solidFill>
            <a:sysClr val="windowText" lastClr="000000"/>
          </a:solidFill>
        </a:ln>
      </c:spPr>
    </c:plotArea>
    <c:legend>
      <c:legendPos val="r"/>
      <c:layout>
        <c:manualLayout>
          <c:xMode val="edge"/>
          <c:yMode val="edge"/>
          <c:x val="6.704217325227961E-2"/>
          <c:y val="0.82444134864348373"/>
          <c:w val="0.91687373353596768"/>
          <c:h val="0.15532196330068668"/>
        </c:manualLayout>
      </c:layout>
      <c:spPr>
        <a:ln>
          <a:solidFill>
            <a:schemeClr val="tx1"/>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8.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7.1656746031746113E-2"/>
          <c:y val="3.9316672295395698E-2"/>
          <c:w val="0.9085062056737585"/>
          <c:h val="0.73398489309186365"/>
        </c:manualLayout>
      </c:layout>
      <c:barChart>
        <c:barDir val="col"/>
        <c:grouping val="stacked"/>
        <c:ser>
          <c:idx val="14"/>
          <c:order val="1"/>
          <c:tx>
            <c:strRef>
              <c:f>'Vystup-4'!$P$17</c:f>
              <c:strCache>
                <c:ptCount val="1"/>
                <c:pt idx="0">
                  <c:v>Ostatní</c:v>
                </c:pt>
              </c:strCache>
            </c:strRef>
          </c:tx>
          <c:spPr>
            <a:solidFill>
              <a:srgbClr val="808080"/>
            </a:solidFill>
          </c:spPr>
          <c:cat>
            <c:numRef>
              <c:f>'Vystup-4'!$A$18:$A$27</c:f>
              <c:numCache>
                <c:formatCode>0</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'Vystup-4'!$P$18:$P$27</c:f>
              <c:numCache>
                <c:formatCode>General</c:formatCode>
                <c:ptCount val="10"/>
                <c:pt idx="0">
                  <c:v>1.6460000000000021</c:v>
                </c:pt>
                <c:pt idx="1">
                  <c:v>-2.1359999999999997</c:v>
                </c:pt>
                <c:pt idx="2">
                  <c:v>9.4720000000000066</c:v>
                </c:pt>
                <c:pt idx="3">
                  <c:v>8.0500000000000025</c:v>
                </c:pt>
                <c:pt idx="4">
                  <c:v>-4.5489999999999995</c:v>
                </c:pt>
                <c:pt idx="5">
                  <c:v>2.5559999999999987</c:v>
                </c:pt>
                <c:pt idx="6">
                  <c:v>-10.41</c:v>
                </c:pt>
                <c:pt idx="7">
                  <c:v>7.4380000000000024</c:v>
                </c:pt>
                <c:pt idx="8">
                  <c:v>2.9809999999999999</c:v>
                </c:pt>
                <c:pt idx="9">
                  <c:v>6.785000000000001</c:v>
                </c:pt>
              </c:numCache>
            </c:numRef>
          </c:val>
          <c:extLst xmlns:c16r2="http://schemas.microsoft.com/office/drawing/2015/06/chart">
            <c:ext xmlns:c16="http://schemas.microsoft.com/office/drawing/2014/chart" uri="{C3380CC4-5D6E-409C-BE32-E72D297353CC}">
              <c16:uniqueId val="{00000000-BDCF-4C27-B532-9B334DBF9434}"/>
            </c:ext>
          </c:extLst>
        </c:ser>
        <c:ser>
          <c:idx val="8"/>
          <c:order val="2"/>
          <c:tx>
            <c:strRef>
              <c:f>'Vystup-4'!$J$17</c:f>
              <c:strCache>
                <c:ptCount val="1"/>
                <c:pt idx="0">
                  <c:v>Využívání duševního vlastnictví</c:v>
                </c:pt>
              </c:strCache>
            </c:strRef>
          </c:tx>
          <c:spPr>
            <a:solidFill>
              <a:srgbClr val="E8AFB2"/>
            </a:solidFill>
          </c:spPr>
          <c:cat>
            <c:numRef>
              <c:f>'Vystup-4'!$A$18:$A$27</c:f>
              <c:numCache>
                <c:formatCode>0</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'Vystup-4'!$J$18:$J$27</c:f>
              <c:numCache>
                <c:formatCode>General</c:formatCode>
                <c:ptCount val="10"/>
                <c:pt idx="0">
                  <c:v>-12.259</c:v>
                </c:pt>
                <c:pt idx="1">
                  <c:v>-12.518000000000001</c:v>
                </c:pt>
                <c:pt idx="2">
                  <c:v>-13.31</c:v>
                </c:pt>
                <c:pt idx="3">
                  <c:v>-15.837</c:v>
                </c:pt>
                <c:pt idx="4">
                  <c:v>-13.493</c:v>
                </c:pt>
                <c:pt idx="5">
                  <c:v>-15.122</c:v>
                </c:pt>
                <c:pt idx="6">
                  <c:v>-17.57</c:v>
                </c:pt>
                <c:pt idx="7">
                  <c:v>-18.759</c:v>
                </c:pt>
                <c:pt idx="8">
                  <c:v>-18.280999999999889</c:v>
                </c:pt>
                <c:pt idx="9">
                  <c:v>-18.937000000000001</c:v>
                </c:pt>
              </c:numCache>
            </c:numRef>
          </c:val>
          <c:extLst xmlns:c16r2="http://schemas.microsoft.com/office/drawing/2015/06/chart">
            <c:ext xmlns:c16="http://schemas.microsoft.com/office/drawing/2014/chart" uri="{C3380CC4-5D6E-409C-BE32-E72D297353CC}">
              <c16:uniqueId val="{00000001-BDCF-4C27-B532-9B334DBF9434}"/>
            </c:ext>
          </c:extLst>
        </c:ser>
        <c:ser>
          <c:idx val="6"/>
          <c:order val="3"/>
          <c:tx>
            <c:strRef>
              <c:f>'Vystup-4'!$H$17</c:f>
              <c:strCache>
                <c:ptCount val="1"/>
                <c:pt idx="0">
                  <c:v>Pojišť. služby a penzijní fin.</c:v>
                </c:pt>
              </c:strCache>
            </c:strRef>
          </c:tx>
          <c:spPr>
            <a:solidFill>
              <a:srgbClr val="48AEE7"/>
            </a:solidFill>
          </c:spPr>
          <c:cat>
            <c:numRef>
              <c:f>'Vystup-4'!$A$18:$A$27</c:f>
              <c:numCache>
                <c:formatCode>0</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'Vystup-4'!$H$18:$H$27</c:f>
              <c:numCache>
                <c:formatCode>General</c:formatCode>
                <c:ptCount val="10"/>
                <c:pt idx="0">
                  <c:v>-8.0450000000000017</c:v>
                </c:pt>
                <c:pt idx="1">
                  <c:v>-8.9130000000000003</c:v>
                </c:pt>
                <c:pt idx="2">
                  <c:v>-7.8959999999999955</c:v>
                </c:pt>
                <c:pt idx="3">
                  <c:v>-9.8320000000000007</c:v>
                </c:pt>
                <c:pt idx="4">
                  <c:v>-9.3710000000000004</c:v>
                </c:pt>
                <c:pt idx="5">
                  <c:v>-11.069000000000004</c:v>
                </c:pt>
                <c:pt idx="6">
                  <c:v>-13.104000000000001</c:v>
                </c:pt>
                <c:pt idx="7">
                  <c:v>-11.477</c:v>
                </c:pt>
                <c:pt idx="8">
                  <c:v>-10.787000000000001</c:v>
                </c:pt>
                <c:pt idx="9">
                  <c:v>-11.221</c:v>
                </c:pt>
              </c:numCache>
            </c:numRef>
          </c:val>
          <c:extLst xmlns:c16r2="http://schemas.microsoft.com/office/drawing/2015/06/chart">
            <c:ext xmlns:c16="http://schemas.microsoft.com/office/drawing/2014/chart" uri="{C3380CC4-5D6E-409C-BE32-E72D297353CC}">
              <c16:uniqueId val="{00000002-BDCF-4C27-B532-9B334DBF9434}"/>
            </c:ext>
          </c:extLst>
        </c:ser>
        <c:ser>
          <c:idx val="3"/>
          <c:order val="4"/>
          <c:tx>
            <c:strRef>
              <c:f>'Vystup-4'!$E$17</c:f>
              <c:strCache>
                <c:ptCount val="1"/>
                <c:pt idx="0">
                  <c:v>Doprava</c:v>
                </c:pt>
              </c:strCache>
            </c:strRef>
          </c:tx>
          <c:spPr>
            <a:solidFill>
              <a:srgbClr val="A6CDE8"/>
            </a:solidFill>
          </c:spPr>
          <c:cat>
            <c:numRef>
              <c:f>'Vystup-4'!$A$18:$A$27</c:f>
              <c:numCache>
                <c:formatCode>0</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'Vystup-4'!$E$18:$E$27</c:f>
              <c:numCache>
                <c:formatCode>General</c:formatCode>
                <c:ptCount val="10"/>
                <c:pt idx="0">
                  <c:v>24.431999999999999</c:v>
                </c:pt>
                <c:pt idx="1">
                  <c:v>26.261999999999986</c:v>
                </c:pt>
                <c:pt idx="2">
                  <c:v>19.267999999999986</c:v>
                </c:pt>
                <c:pt idx="3">
                  <c:v>22.196999999999999</c:v>
                </c:pt>
                <c:pt idx="4">
                  <c:v>19.864000000000001</c:v>
                </c:pt>
                <c:pt idx="5">
                  <c:v>9.5210000000000008</c:v>
                </c:pt>
                <c:pt idx="6">
                  <c:v>13.495000000000006</c:v>
                </c:pt>
                <c:pt idx="7">
                  <c:v>13.747</c:v>
                </c:pt>
                <c:pt idx="8">
                  <c:v>29.864999999999988</c:v>
                </c:pt>
                <c:pt idx="9">
                  <c:v>31.204999999999988</c:v>
                </c:pt>
              </c:numCache>
            </c:numRef>
          </c:val>
          <c:extLst xmlns:c16r2="http://schemas.microsoft.com/office/drawing/2015/06/chart">
            <c:ext xmlns:c16="http://schemas.microsoft.com/office/drawing/2014/chart" uri="{C3380CC4-5D6E-409C-BE32-E72D297353CC}">
              <c16:uniqueId val="{00000003-BDCF-4C27-B532-9B334DBF9434}"/>
            </c:ext>
          </c:extLst>
        </c:ser>
        <c:ser>
          <c:idx val="4"/>
          <c:order val="5"/>
          <c:tx>
            <c:strRef>
              <c:f>'Vystup-4'!$F$17</c:f>
              <c:strCache>
                <c:ptCount val="1"/>
                <c:pt idx="0">
                  <c:v>Cestovní ruch</c:v>
                </c:pt>
              </c:strCache>
            </c:strRef>
          </c:tx>
          <c:spPr>
            <a:solidFill>
              <a:srgbClr val="0071BC"/>
            </a:solidFill>
          </c:spPr>
          <c:cat>
            <c:numRef>
              <c:f>'Vystup-4'!$A$18:$A$27</c:f>
              <c:numCache>
                <c:formatCode>0</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'Vystup-4'!$F$18:$F$27</c:f>
              <c:numCache>
                <c:formatCode>General</c:formatCode>
                <c:ptCount val="10"/>
                <c:pt idx="0">
                  <c:v>56.623000000000012</c:v>
                </c:pt>
                <c:pt idx="1">
                  <c:v>56.501000000000005</c:v>
                </c:pt>
                <c:pt idx="2">
                  <c:v>55.764000000000003</c:v>
                </c:pt>
                <c:pt idx="3">
                  <c:v>58.937000000000005</c:v>
                </c:pt>
                <c:pt idx="4">
                  <c:v>58.377000000000002</c:v>
                </c:pt>
                <c:pt idx="5">
                  <c:v>47.072000000000003</c:v>
                </c:pt>
                <c:pt idx="6">
                  <c:v>35.061</c:v>
                </c:pt>
                <c:pt idx="7">
                  <c:v>31.613000000000035</c:v>
                </c:pt>
                <c:pt idx="8">
                  <c:v>33.963000000000001</c:v>
                </c:pt>
                <c:pt idx="9">
                  <c:v>35.15</c:v>
                </c:pt>
              </c:numCache>
            </c:numRef>
          </c:val>
          <c:extLst xmlns:c16r2="http://schemas.microsoft.com/office/drawing/2015/06/chart">
            <c:ext xmlns:c16="http://schemas.microsoft.com/office/drawing/2014/chart" uri="{C3380CC4-5D6E-409C-BE32-E72D297353CC}">
              <c16:uniqueId val="{00000004-BDCF-4C27-B532-9B334DBF9434}"/>
            </c:ext>
          </c:extLst>
        </c:ser>
        <c:ser>
          <c:idx val="9"/>
          <c:order val="6"/>
          <c:tx>
            <c:strRef>
              <c:f>'Vystup-4'!$K$17</c:f>
              <c:strCache>
                <c:ptCount val="1"/>
                <c:pt idx="0">
                  <c:v>Telekom. služby, informační služby</c:v>
                </c:pt>
              </c:strCache>
            </c:strRef>
          </c:tx>
          <c:spPr>
            <a:solidFill>
              <a:srgbClr val="7DBB2D"/>
            </a:solidFill>
          </c:spPr>
          <c:cat>
            <c:numRef>
              <c:f>'Vystup-4'!$A$18:$A$27</c:f>
              <c:numCache>
                <c:formatCode>0</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'Vystup-4'!$K$18:$K$27</c:f>
              <c:numCache>
                <c:formatCode>General</c:formatCode>
                <c:ptCount val="10"/>
                <c:pt idx="0">
                  <c:v>7.9880000000000004</c:v>
                </c:pt>
                <c:pt idx="1">
                  <c:v>4.6189999999999856</c:v>
                </c:pt>
                <c:pt idx="2">
                  <c:v>-0.84300000000000064</c:v>
                </c:pt>
                <c:pt idx="3">
                  <c:v>6.8760000000000003</c:v>
                </c:pt>
                <c:pt idx="4">
                  <c:v>12.22</c:v>
                </c:pt>
                <c:pt idx="5">
                  <c:v>12.796000000000001</c:v>
                </c:pt>
                <c:pt idx="6">
                  <c:v>19.100000000000001</c:v>
                </c:pt>
                <c:pt idx="7">
                  <c:v>24.332999999999988</c:v>
                </c:pt>
                <c:pt idx="8">
                  <c:v>32.887999999999998</c:v>
                </c:pt>
                <c:pt idx="9">
                  <c:v>37.854999999999997</c:v>
                </c:pt>
              </c:numCache>
            </c:numRef>
          </c:val>
          <c:extLst xmlns:c16r2="http://schemas.microsoft.com/office/drawing/2015/06/chart">
            <c:ext xmlns:c16="http://schemas.microsoft.com/office/drawing/2014/chart" uri="{C3380CC4-5D6E-409C-BE32-E72D297353CC}">
              <c16:uniqueId val="{00000005-BDCF-4C27-B532-9B334DBF9434}"/>
            </c:ext>
          </c:extLst>
        </c:ser>
        <c:ser>
          <c:idx val="1"/>
          <c:order val="7"/>
          <c:tx>
            <c:strRef>
              <c:f>'Vystup-4'!$C$17</c:f>
              <c:strCache>
                <c:ptCount val="1"/>
                <c:pt idx="0">
                  <c:v>Výr. služby u cizích fyz. vstupů</c:v>
                </c:pt>
              </c:strCache>
            </c:strRef>
          </c:tx>
          <c:spPr>
            <a:solidFill>
              <a:srgbClr val="BD1B21"/>
            </a:solidFill>
          </c:spPr>
          <c:cat>
            <c:numRef>
              <c:f>'Vystup-4'!$A$18:$A$27</c:f>
              <c:numCache>
                <c:formatCode>0</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'Vystup-4'!$C$18:$C$27</c:f>
              <c:numCache>
                <c:formatCode>General</c:formatCode>
                <c:ptCount val="10"/>
                <c:pt idx="0">
                  <c:v>18.888999999999989</c:v>
                </c:pt>
                <c:pt idx="1">
                  <c:v>18.100000000000001</c:v>
                </c:pt>
                <c:pt idx="2">
                  <c:v>16.021999999999988</c:v>
                </c:pt>
                <c:pt idx="3">
                  <c:v>10.89</c:v>
                </c:pt>
                <c:pt idx="4">
                  <c:v>14.579000000000002</c:v>
                </c:pt>
                <c:pt idx="5">
                  <c:v>24.602</c:v>
                </c:pt>
                <c:pt idx="6">
                  <c:v>29.079000000000001</c:v>
                </c:pt>
                <c:pt idx="7">
                  <c:v>31.145</c:v>
                </c:pt>
                <c:pt idx="8">
                  <c:v>36.980000000000004</c:v>
                </c:pt>
                <c:pt idx="9">
                  <c:v>41.157000000000004</c:v>
                </c:pt>
              </c:numCache>
            </c:numRef>
          </c:val>
          <c:extLst xmlns:c16r2="http://schemas.microsoft.com/office/drawing/2015/06/chart">
            <c:ext xmlns:c16="http://schemas.microsoft.com/office/drawing/2014/chart" uri="{C3380CC4-5D6E-409C-BE32-E72D297353CC}">
              <c16:uniqueId val="{00000006-BDCF-4C27-B532-9B334DBF9434}"/>
            </c:ext>
          </c:extLst>
        </c:ser>
        <c:overlap val="100"/>
        <c:axId val="118941568"/>
        <c:axId val="118943104"/>
      </c:barChart>
      <c:lineChart>
        <c:grouping val="standard"/>
        <c:ser>
          <c:idx val="0"/>
          <c:order val="0"/>
          <c:tx>
            <c:strRef>
              <c:f>'Vystup-4'!$B$17</c:f>
              <c:strCache>
                <c:ptCount val="1"/>
                <c:pt idx="0">
                  <c:v>Služby</c:v>
                </c:pt>
              </c:strCache>
            </c:strRef>
          </c:tx>
          <c:spPr>
            <a:ln>
              <a:solidFill>
                <a:schemeClr val="tx1"/>
              </a:solidFill>
            </a:ln>
          </c:spPr>
          <c:marker>
            <c:symbol val="none"/>
          </c:marker>
          <c:cat>
            <c:numRef>
              <c:f>'Vystup-4'!$A$18:$A$27</c:f>
              <c:numCache>
                <c:formatCode>0</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'Vystup-4'!$B$18:$B$27</c:f>
              <c:numCache>
                <c:formatCode>General</c:formatCode>
                <c:ptCount val="10"/>
                <c:pt idx="0">
                  <c:v>89.274000000000001</c:v>
                </c:pt>
                <c:pt idx="1">
                  <c:v>81.917000000000485</c:v>
                </c:pt>
                <c:pt idx="2">
                  <c:v>78.475999999999999</c:v>
                </c:pt>
                <c:pt idx="3">
                  <c:v>81.281999999999996</c:v>
                </c:pt>
                <c:pt idx="4">
                  <c:v>77.625999999999948</c:v>
                </c:pt>
                <c:pt idx="5">
                  <c:v>70.35899999999998</c:v>
                </c:pt>
                <c:pt idx="6">
                  <c:v>55.651000000000003</c:v>
                </c:pt>
                <c:pt idx="7">
                  <c:v>78.037999999999997</c:v>
                </c:pt>
                <c:pt idx="8">
                  <c:v>107.60899999999998</c:v>
                </c:pt>
                <c:pt idx="9">
                  <c:v>121.99400000000045</c:v>
                </c:pt>
              </c:numCache>
            </c:numRef>
          </c:val>
          <c:extLst xmlns:c16r2="http://schemas.microsoft.com/office/drawing/2015/06/chart">
            <c:ext xmlns:c16="http://schemas.microsoft.com/office/drawing/2014/chart" uri="{C3380CC4-5D6E-409C-BE32-E72D297353CC}">
              <c16:uniqueId val="{00000007-BDCF-4C27-B532-9B334DBF9434}"/>
            </c:ext>
          </c:extLst>
        </c:ser>
        <c:marker val="1"/>
        <c:axId val="118941568"/>
        <c:axId val="118943104"/>
      </c:lineChart>
      <c:catAx>
        <c:axId val="118941568"/>
        <c:scaling>
          <c:orientation val="minMax"/>
        </c:scaling>
        <c:axPos val="b"/>
        <c:numFmt formatCode="0" sourceLinked="1"/>
        <c:tickLblPos val="low"/>
        <c:crossAx val="118943104"/>
        <c:crosses val="autoZero"/>
        <c:auto val="1"/>
        <c:lblAlgn val="ctr"/>
        <c:lblOffset val="100"/>
      </c:catAx>
      <c:valAx>
        <c:axId val="118943104"/>
        <c:scaling>
          <c:orientation val="minMax"/>
          <c:min val="-50"/>
        </c:scaling>
        <c:axPos val="l"/>
        <c:majorGridlines/>
        <c:numFmt formatCode="General" sourceLinked="1"/>
        <c:tickLblPos val="nextTo"/>
        <c:crossAx val="118941568"/>
        <c:crosses val="autoZero"/>
        <c:crossBetween val="between"/>
        <c:majorUnit val="25"/>
      </c:valAx>
      <c:spPr>
        <a:ln>
          <a:solidFill>
            <a:prstClr val="black"/>
          </a:solidFill>
        </a:ln>
      </c:spPr>
    </c:plotArea>
    <c:legend>
      <c:legendPos val="r"/>
      <c:layout>
        <c:manualLayout>
          <c:xMode val="edge"/>
          <c:yMode val="edge"/>
          <c:x val="7.1411685241472525E-2"/>
          <c:y val="0.85346537008951162"/>
          <c:w val="0.90714285714285714"/>
          <c:h val="0.13673179290451118"/>
        </c:manualLayout>
      </c:layout>
      <c:spPr>
        <a:ln>
          <a:solidFill>
            <a:prstClr val="black"/>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9.0729905437353223E-2"/>
          <c:y val="3.9316672295395698E-2"/>
          <c:w val="0.88742253461668352"/>
          <c:h val="0.75032196330069123"/>
        </c:manualLayout>
      </c:layout>
      <c:barChart>
        <c:barDir val="col"/>
        <c:grouping val="stacked"/>
        <c:ser>
          <c:idx val="1"/>
          <c:order val="1"/>
          <c:tx>
            <c:strRef>
              <c:f>Vystup!$C$17</c:f>
              <c:strCache>
                <c:ptCount val="1"/>
                <c:pt idx="0">
                  <c:v>Přímé investice</c:v>
                </c:pt>
              </c:strCache>
            </c:strRef>
          </c:tx>
          <c:spPr>
            <a:solidFill>
              <a:srgbClr val="0071BC"/>
            </a:solidFill>
          </c:spPr>
          <c:cat>
            <c:numRef>
              <c:f>Vystup!$A$18:$A$27</c:f>
              <c:numCache>
                <c:formatCode>0</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Vystup!$C$18:$C$27</c:f>
              <c:numCache>
                <c:formatCode>General</c:formatCode>
                <c:ptCount val="10"/>
                <c:pt idx="0">
                  <c:v>-1947.0266000000001</c:v>
                </c:pt>
                <c:pt idx="1">
                  <c:v>-2039.2679000000001</c:v>
                </c:pt>
                <c:pt idx="2">
                  <c:v>-2129.7679999999987</c:v>
                </c:pt>
                <c:pt idx="3">
                  <c:v>-2140.6570999999999</c:v>
                </c:pt>
                <c:pt idx="4">
                  <c:v>-2269.9308999999998</c:v>
                </c:pt>
                <c:pt idx="5">
                  <c:v>-2257.134</c:v>
                </c:pt>
                <c:pt idx="6">
                  <c:v>-2358.2125000000001</c:v>
                </c:pt>
                <c:pt idx="7">
                  <c:v>-2433.6567999999997</c:v>
                </c:pt>
                <c:pt idx="8">
                  <c:v>-2626.1597000000002</c:v>
                </c:pt>
                <c:pt idx="9">
                  <c:v>-2793.4432999999999</c:v>
                </c:pt>
              </c:numCache>
            </c:numRef>
          </c:val>
          <c:extLst xmlns:c16r2="http://schemas.microsoft.com/office/drawing/2015/06/chart">
            <c:ext xmlns:c16="http://schemas.microsoft.com/office/drawing/2014/chart" uri="{C3380CC4-5D6E-409C-BE32-E72D297353CC}">
              <c16:uniqueId val="{00000000-D737-41A9-8F10-A8BBC1DABA79}"/>
            </c:ext>
          </c:extLst>
        </c:ser>
        <c:ser>
          <c:idx val="2"/>
          <c:order val="2"/>
          <c:tx>
            <c:strRef>
              <c:f>Vystup!$D$17</c:f>
              <c:strCache>
                <c:ptCount val="1"/>
                <c:pt idx="0">
                  <c:v>Portfoliové investice</c:v>
                </c:pt>
              </c:strCache>
            </c:strRef>
          </c:tx>
          <c:spPr>
            <a:solidFill>
              <a:srgbClr val="7DBB2D"/>
            </a:solidFill>
          </c:spPr>
          <c:cat>
            <c:numRef>
              <c:f>Vystup!$A$18:$A$27</c:f>
              <c:numCache>
                <c:formatCode>0</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Vystup!$D$18:$D$27</c:f>
              <c:numCache>
                <c:formatCode>General</c:formatCode>
                <c:ptCount val="10"/>
                <c:pt idx="0">
                  <c:v>-2.9579</c:v>
                </c:pt>
                <c:pt idx="1">
                  <c:v>-197.04559999999998</c:v>
                </c:pt>
                <c:pt idx="2">
                  <c:v>-327.43229999999869</c:v>
                </c:pt>
                <c:pt idx="3">
                  <c:v>-348.83019999999863</c:v>
                </c:pt>
                <c:pt idx="4">
                  <c:v>-376.53790000000004</c:v>
                </c:pt>
                <c:pt idx="5">
                  <c:v>-455.77549999999923</c:v>
                </c:pt>
                <c:pt idx="6">
                  <c:v>-363.09540000000004</c:v>
                </c:pt>
                <c:pt idx="7">
                  <c:v>-522.53880000000004</c:v>
                </c:pt>
                <c:pt idx="8">
                  <c:v>-596.57619999999997</c:v>
                </c:pt>
                <c:pt idx="9">
                  <c:v>-738.21530000000052</c:v>
                </c:pt>
              </c:numCache>
            </c:numRef>
          </c:val>
          <c:extLst xmlns:c16r2="http://schemas.microsoft.com/office/drawing/2015/06/chart">
            <c:ext xmlns:c16="http://schemas.microsoft.com/office/drawing/2014/chart" uri="{C3380CC4-5D6E-409C-BE32-E72D297353CC}">
              <c16:uniqueId val="{00000001-D737-41A9-8F10-A8BBC1DABA79}"/>
            </c:ext>
          </c:extLst>
        </c:ser>
        <c:ser>
          <c:idx val="4"/>
          <c:order val="3"/>
          <c:tx>
            <c:strRef>
              <c:f>Vystup!$F$17</c:f>
              <c:strCache>
                <c:ptCount val="1"/>
                <c:pt idx="0">
                  <c:v>Ostatní investice</c:v>
                </c:pt>
              </c:strCache>
            </c:strRef>
          </c:tx>
          <c:spPr>
            <a:solidFill>
              <a:srgbClr val="48AEE7"/>
            </a:solidFill>
          </c:spPr>
          <c:cat>
            <c:numRef>
              <c:f>Vystup!$A$18:$A$27</c:f>
              <c:numCache>
                <c:formatCode>0</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Vystup!$F$18:$F$27</c:f>
              <c:numCache>
                <c:formatCode>General</c:formatCode>
                <c:ptCount val="10"/>
                <c:pt idx="0">
                  <c:v>-278.83540000000005</c:v>
                </c:pt>
                <c:pt idx="1">
                  <c:v>-236.33280000000047</c:v>
                </c:pt>
                <c:pt idx="2">
                  <c:v>-148.55450000000002</c:v>
                </c:pt>
                <c:pt idx="3">
                  <c:v>-125.2923</c:v>
                </c:pt>
                <c:pt idx="4">
                  <c:v>-60.911199999999994</c:v>
                </c:pt>
                <c:pt idx="5">
                  <c:v>-71.047900000000027</c:v>
                </c:pt>
                <c:pt idx="6">
                  <c:v>-104.30529999999999</c:v>
                </c:pt>
                <c:pt idx="7">
                  <c:v>-152.94949999999997</c:v>
                </c:pt>
                <c:pt idx="8">
                  <c:v>-251.15210000000027</c:v>
                </c:pt>
                <c:pt idx="9">
                  <c:v>-953.47550000000001</c:v>
                </c:pt>
              </c:numCache>
            </c:numRef>
          </c:val>
          <c:extLst xmlns:c16r2="http://schemas.microsoft.com/office/drawing/2015/06/chart">
            <c:ext xmlns:c16="http://schemas.microsoft.com/office/drawing/2014/chart" uri="{C3380CC4-5D6E-409C-BE32-E72D297353CC}">
              <c16:uniqueId val="{00000002-D737-41A9-8F10-A8BBC1DABA79}"/>
            </c:ext>
          </c:extLst>
        </c:ser>
        <c:ser>
          <c:idx val="5"/>
          <c:order val="4"/>
          <c:tx>
            <c:strRef>
              <c:f>Vystup!$G$17</c:f>
              <c:strCache>
                <c:ptCount val="1"/>
                <c:pt idx="0">
                  <c:v>Rezervní aktiva</c:v>
                </c:pt>
              </c:strCache>
            </c:strRef>
          </c:tx>
          <c:spPr>
            <a:solidFill>
              <a:srgbClr val="A6CDE8"/>
            </a:solidFill>
          </c:spPr>
          <c:cat>
            <c:numRef>
              <c:f>Vystup!$A$18:$A$27</c:f>
              <c:numCache>
                <c:formatCode>0</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Vystup!$G$18:$G$27</c:f>
              <c:numCache>
                <c:formatCode>General</c:formatCode>
                <c:ptCount val="10"/>
                <c:pt idx="0">
                  <c:v>716.04430000000002</c:v>
                </c:pt>
                <c:pt idx="1">
                  <c:v>764.31209999999749</c:v>
                </c:pt>
                <c:pt idx="2">
                  <c:v>796.77880000000539</c:v>
                </c:pt>
                <c:pt idx="3">
                  <c:v>803.39340000000004</c:v>
                </c:pt>
                <c:pt idx="4">
                  <c:v>855.25099999999998</c:v>
                </c:pt>
                <c:pt idx="5">
                  <c:v>1118.3795</c:v>
                </c:pt>
                <c:pt idx="6">
                  <c:v>1244.2878000000001</c:v>
                </c:pt>
                <c:pt idx="7">
                  <c:v>1600.9264000000001</c:v>
                </c:pt>
                <c:pt idx="8">
                  <c:v>2197.9307999999996</c:v>
                </c:pt>
                <c:pt idx="9">
                  <c:v>3150.5097000000001</c:v>
                </c:pt>
              </c:numCache>
            </c:numRef>
          </c:val>
          <c:extLst xmlns:c16r2="http://schemas.microsoft.com/office/drawing/2015/06/chart">
            <c:ext xmlns:c16="http://schemas.microsoft.com/office/drawing/2014/chart" uri="{C3380CC4-5D6E-409C-BE32-E72D297353CC}">
              <c16:uniqueId val="{00000003-D737-41A9-8F10-A8BBC1DABA79}"/>
            </c:ext>
          </c:extLst>
        </c:ser>
        <c:overlap val="100"/>
        <c:axId val="118993280"/>
        <c:axId val="118994816"/>
      </c:barChart>
      <c:lineChart>
        <c:grouping val="standard"/>
        <c:ser>
          <c:idx val="0"/>
          <c:order val="0"/>
          <c:tx>
            <c:strRef>
              <c:f>Vystup!$B$17</c:f>
              <c:strCache>
                <c:ptCount val="1"/>
                <c:pt idx="0">
                  <c:v>Investiční pozice</c:v>
                </c:pt>
              </c:strCache>
            </c:strRef>
          </c:tx>
          <c:spPr>
            <a:ln>
              <a:solidFill>
                <a:sysClr val="windowText" lastClr="000000"/>
              </a:solidFill>
            </a:ln>
          </c:spPr>
          <c:marker>
            <c:symbol val="none"/>
          </c:marker>
          <c:cat>
            <c:numRef>
              <c:f>Vystup!$A$18:$A$27</c:f>
              <c:numCache>
                <c:formatCode>0</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Vystup!$B$18:$B$27</c:f>
              <c:numCache>
                <c:formatCode>General</c:formatCode>
                <c:ptCount val="10"/>
                <c:pt idx="0">
                  <c:v>-1533.8529999999998</c:v>
                </c:pt>
                <c:pt idx="1">
                  <c:v>-1725.5246999999999</c:v>
                </c:pt>
                <c:pt idx="2">
                  <c:v>-1822.7683</c:v>
                </c:pt>
                <c:pt idx="3">
                  <c:v>-1822.751</c:v>
                </c:pt>
                <c:pt idx="4">
                  <c:v>-1864.0926000000002</c:v>
                </c:pt>
                <c:pt idx="5">
                  <c:v>-1695.1492999999998</c:v>
                </c:pt>
                <c:pt idx="6">
                  <c:v>-1577.0788</c:v>
                </c:pt>
                <c:pt idx="7">
                  <c:v>-1512.9359000000011</c:v>
                </c:pt>
                <c:pt idx="8">
                  <c:v>-1283.0966000000001</c:v>
                </c:pt>
                <c:pt idx="9">
                  <c:v>-1337.0089</c:v>
                </c:pt>
              </c:numCache>
            </c:numRef>
          </c:val>
          <c:extLst xmlns:c16r2="http://schemas.microsoft.com/office/drawing/2015/06/chart">
            <c:ext xmlns:c16="http://schemas.microsoft.com/office/drawing/2014/chart" uri="{C3380CC4-5D6E-409C-BE32-E72D297353CC}">
              <c16:uniqueId val="{00000004-D737-41A9-8F10-A8BBC1DABA79}"/>
            </c:ext>
          </c:extLst>
        </c:ser>
        <c:marker val="1"/>
        <c:axId val="118993280"/>
        <c:axId val="118994816"/>
      </c:lineChart>
      <c:catAx>
        <c:axId val="118993280"/>
        <c:scaling>
          <c:orientation val="minMax"/>
        </c:scaling>
        <c:axPos val="b"/>
        <c:numFmt formatCode="0" sourceLinked="1"/>
        <c:tickLblPos val="low"/>
        <c:crossAx val="118994816"/>
        <c:crosses val="autoZero"/>
        <c:auto val="1"/>
        <c:lblAlgn val="ctr"/>
        <c:lblOffset val="100"/>
      </c:catAx>
      <c:valAx>
        <c:axId val="118994816"/>
        <c:scaling>
          <c:orientation val="minMax"/>
        </c:scaling>
        <c:axPos val="l"/>
        <c:majorGridlines/>
        <c:numFmt formatCode="General" sourceLinked="1"/>
        <c:tickLblPos val="nextTo"/>
        <c:crossAx val="118993280"/>
        <c:crosses val="autoZero"/>
        <c:crossBetween val="between"/>
      </c:valAx>
    </c:plotArea>
    <c:legend>
      <c:legendPos val="r"/>
      <c:layout>
        <c:manualLayout>
          <c:xMode val="edge"/>
          <c:yMode val="edge"/>
          <c:x val="9.0846631205673781E-2"/>
          <c:y val="0.87337695598333898"/>
          <c:w val="0.88234654677473756"/>
          <c:h val="0.11463863559608246"/>
        </c:manualLayout>
      </c:layout>
      <c:spPr>
        <a:ln>
          <a:solidFill>
            <a:schemeClr val="tx1"/>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7.880065856129688E-2"/>
          <c:y val="3.9316672295395698E-2"/>
          <c:w val="0.89995482944951422"/>
          <c:h val="0.76052572329168455"/>
        </c:manualLayout>
      </c:layout>
      <c:barChart>
        <c:barDir val="col"/>
        <c:grouping val="stacked"/>
        <c:ser>
          <c:idx val="1"/>
          <c:order val="0"/>
          <c:tx>
            <c:strRef>
              <c:f>sektory!$J$2</c:f>
              <c:strCache>
                <c:ptCount val="1"/>
                <c:pt idx="0">
                  <c:v>Finanční instituce</c:v>
                </c:pt>
              </c:strCache>
            </c:strRef>
          </c:tx>
          <c:spPr>
            <a:solidFill>
              <a:srgbClr val="E8AFB2"/>
            </a:solidFill>
            <a:ln>
              <a:noFill/>
            </a:ln>
          </c:spPr>
          <c:cat>
            <c:numRef>
              <c:f>sektory!$G$12:$G$21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sektory!$J$12:$J$21</c:f>
              <c:numCache>
                <c:formatCode>0.0</c:formatCode>
                <c:ptCount val="10"/>
                <c:pt idx="0">
                  <c:v>6.2569999999999997</c:v>
                </c:pt>
                <c:pt idx="1">
                  <c:v>-7.6649999999999654</c:v>
                </c:pt>
                <c:pt idx="2">
                  <c:v>0.73100000000000065</c:v>
                </c:pt>
                <c:pt idx="3">
                  <c:v>1.1140000000000001</c:v>
                </c:pt>
                <c:pt idx="4">
                  <c:v>0.22500000000000003</c:v>
                </c:pt>
                <c:pt idx="5">
                  <c:v>-1.9640000000000066</c:v>
                </c:pt>
                <c:pt idx="6">
                  <c:v>0.77900000000000424</c:v>
                </c:pt>
                <c:pt idx="7">
                  <c:v>2.68</c:v>
                </c:pt>
                <c:pt idx="8">
                  <c:v>6.8879999999999955</c:v>
                </c:pt>
                <c:pt idx="9">
                  <c:v>5.3849999999999945</c:v>
                </c:pt>
              </c:numCache>
            </c:numRef>
          </c:val>
          <c:extLst xmlns:c16r2="http://schemas.microsoft.com/office/drawing/2015/06/chart">
            <c:ext xmlns:c16="http://schemas.microsoft.com/office/drawing/2014/chart" uri="{C3380CC4-5D6E-409C-BE32-E72D297353CC}">
              <c16:uniqueId val="{00000000-BEAB-44B7-BC8E-C059686CFA81}"/>
            </c:ext>
          </c:extLst>
        </c:ser>
        <c:ser>
          <c:idx val="2"/>
          <c:order val="1"/>
          <c:tx>
            <c:strRef>
              <c:f>sektory!$K$2</c:f>
              <c:strCache>
                <c:ptCount val="1"/>
                <c:pt idx="0">
                  <c:v>Vládní instituce</c:v>
                </c:pt>
              </c:strCache>
            </c:strRef>
          </c:tx>
          <c:spPr>
            <a:solidFill>
              <a:srgbClr val="BD1B21"/>
            </a:solidFill>
            <a:ln>
              <a:noFill/>
            </a:ln>
          </c:spPr>
          <c:cat>
            <c:numRef>
              <c:f>sektory!$G$12:$G$21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sektory!$K$12:$K$21</c:f>
              <c:numCache>
                <c:formatCode>0.0</c:formatCode>
                <c:ptCount val="10"/>
                <c:pt idx="0">
                  <c:v>29.742999999999874</c:v>
                </c:pt>
                <c:pt idx="1">
                  <c:v>24.873000000000001</c:v>
                </c:pt>
                <c:pt idx="2">
                  <c:v>-34.633000000000003</c:v>
                </c:pt>
                <c:pt idx="3">
                  <c:v>-21.411999999999999</c:v>
                </c:pt>
                <c:pt idx="4">
                  <c:v>-11.676</c:v>
                </c:pt>
                <c:pt idx="5">
                  <c:v>-16.986999999999867</c:v>
                </c:pt>
                <c:pt idx="6">
                  <c:v>25.594000000000001</c:v>
                </c:pt>
                <c:pt idx="7">
                  <c:v>58.33</c:v>
                </c:pt>
                <c:pt idx="8">
                  <c:v>-81.111000000000004</c:v>
                </c:pt>
                <c:pt idx="9">
                  <c:v>13.335000000000004</c:v>
                </c:pt>
              </c:numCache>
            </c:numRef>
          </c:val>
          <c:extLst xmlns:c16r2="http://schemas.microsoft.com/office/drawing/2015/06/chart">
            <c:ext xmlns:c16="http://schemas.microsoft.com/office/drawing/2014/chart" uri="{C3380CC4-5D6E-409C-BE32-E72D297353CC}">
              <c16:uniqueId val="{00000001-BEAB-44B7-BC8E-C059686CFA81}"/>
            </c:ext>
          </c:extLst>
        </c:ser>
        <c:ser>
          <c:idx val="3"/>
          <c:order val="2"/>
          <c:tx>
            <c:strRef>
              <c:f>sektory!$L$2</c:f>
              <c:strCache>
                <c:ptCount val="1"/>
                <c:pt idx="0">
                  <c:v>Domácnosti a NISD</c:v>
                </c:pt>
              </c:strCache>
            </c:strRef>
          </c:tx>
          <c:spPr>
            <a:solidFill>
              <a:srgbClr val="A6CDE8"/>
            </a:solidFill>
            <a:ln>
              <a:noFill/>
            </a:ln>
          </c:spPr>
          <c:cat>
            <c:numRef>
              <c:f>sektory!$G$12:$G$21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sektory!$L$12:$L$21</c:f>
              <c:numCache>
                <c:formatCode>0.0</c:formatCode>
                <c:ptCount val="10"/>
                <c:pt idx="0">
                  <c:v>-2.6019999999999999</c:v>
                </c:pt>
                <c:pt idx="1">
                  <c:v>-7.4870000000000001</c:v>
                </c:pt>
                <c:pt idx="2">
                  <c:v>25.919999999999987</c:v>
                </c:pt>
                <c:pt idx="3">
                  <c:v>-30.218</c:v>
                </c:pt>
                <c:pt idx="4">
                  <c:v>-17.670000000000005</c:v>
                </c:pt>
                <c:pt idx="5">
                  <c:v>-2.36</c:v>
                </c:pt>
                <c:pt idx="6">
                  <c:v>13.192</c:v>
                </c:pt>
                <c:pt idx="7">
                  <c:v>13.599</c:v>
                </c:pt>
                <c:pt idx="8">
                  <c:v>19.302</c:v>
                </c:pt>
                <c:pt idx="9">
                  <c:v>12.159000000000002</c:v>
                </c:pt>
              </c:numCache>
            </c:numRef>
          </c:val>
          <c:extLst xmlns:c16r2="http://schemas.microsoft.com/office/drawing/2015/06/chart">
            <c:ext xmlns:c16="http://schemas.microsoft.com/office/drawing/2014/chart" uri="{C3380CC4-5D6E-409C-BE32-E72D297353CC}">
              <c16:uniqueId val="{00000002-BEAB-44B7-BC8E-C059686CFA81}"/>
            </c:ext>
          </c:extLst>
        </c:ser>
        <c:ser>
          <c:idx val="0"/>
          <c:order val="3"/>
          <c:tx>
            <c:strRef>
              <c:f>sektory!$I$2</c:f>
              <c:strCache>
                <c:ptCount val="1"/>
                <c:pt idx="0">
                  <c:v>Nefinanční podniky</c:v>
                </c:pt>
              </c:strCache>
            </c:strRef>
          </c:tx>
          <c:spPr>
            <a:solidFill>
              <a:srgbClr val="0071BC"/>
            </a:solidFill>
            <a:ln>
              <a:noFill/>
            </a:ln>
          </c:spPr>
          <c:cat>
            <c:numRef>
              <c:f>sektory!$G$12:$G$21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sektory!$I$12:$I$21</c:f>
              <c:numCache>
                <c:formatCode>0.0</c:formatCode>
                <c:ptCount val="10"/>
                <c:pt idx="0">
                  <c:v>-0.49800000000000172</c:v>
                </c:pt>
                <c:pt idx="1">
                  <c:v>-111.627</c:v>
                </c:pt>
                <c:pt idx="2">
                  <c:v>10.873000000000006</c:v>
                </c:pt>
                <c:pt idx="3">
                  <c:v>51.347999999999999</c:v>
                </c:pt>
                <c:pt idx="4">
                  <c:v>14.047000000000001</c:v>
                </c:pt>
                <c:pt idx="5">
                  <c:v>-3.5430000000000001</c:v>
                </c:pt>
                <c:pt idx="6">
                  <c:v>17.420999999999989</c:v>
                </c:pt>
                <c:pt idx="7">
                  <c:v>57.622000000000163</c:v>
                </c:pt>
                <c:pt idx="8">
                  <c:v>27.331000000000031</c:v>
                </c:pt>
                <c:pt idx="9">
                  <c:v>26.541</c:v>
                </c:pt>
              </c:numCache>
            </c:numRef>
          </c:val>
          <c:extLst xmlns:c16r2="http://schemas.microsoft.com/office/drawing/2015/06/chart">
            <c:ext xmlns:c16="http://schemas.microsoft.com/office/drawing/2014/chart" uri="{C3380CC4-5D6E-409C-BE32-E72D297353CC}">
              <c16:uniqueId val="{00000003-BEAB-44B7-BC8E-C059686CFA81}"/>
            </c:ext>
          </c:extLst>
        </c:ser>
        <c:gapWidth val="92"/>
        <c:overlap val="100"/>
        <c:axId val="119054336"/>
        <c:axId val="119055872"/>
      </c:barChart>
      <c:lineChart>
        <c:grouping val="stacked"/>
        <c:ser>
          <c:idx val="4"/>
          <c:order val="4"/>
          <c:tx>
            <c:strRef>
              <c:f>sektory!$H$2</c:f>
              <c:strCache>
                <c:ptCount val="1"/>
                <c:pt idx="0">
                  <c:v>Celkem</c:v>
                </c:pt>
              </c:strCache>
            </c:strRef>
          </c:tx>
          <c:spPr>
            <a:ln w="28440">
              <a:solidFill>
                <a:schemeClr val="tx1"/>
              </a:solidFill>
              <a:round/>
            </a:ln>
          </c:spPr>
          <c:marker>
            <c:symbol val="none"/>
          </c:marker>
          <c:cat>
            <c:numRef>
              <c:f>sektory!$G$12:$G$21</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sektory!$H$12:$H$21</c:f>
              <c:numCache>
                <c:formatCode>0.0</c:formatCode>
                <c:ptCount val="10"/>
                <c:pt idx="0">
                  <c:v>32.9</c:v>
                </c:pt>
                <c:pt idx="1">
                  <c:v>-101.90600000000002</c:v>
                </c:pt>
                <c:pt idx="2">
                  <c:v>2.8909999999999987</c:v>
                </c:pt>
                <c:pt idx="3">
                  <c:v>0.83200000000000063</c:v>
                </c:pt>
                <c:pt idx="4">
                  <c:v>-15.074</c:v>
                </c:pt>
                <c:pt idx="5">
                  <c:v>-24.853999999999999</c:v>
                </c:pt>
                <c:pt idx="6">
                  <c:v>56.986000000000004</c:v>
                </c:pt>
                <c:pt idx="7">
                  <c:v>132.23099999999999</c:v>
                </c:pt>
                <c:pt idx="8">
                  <c:v>-27.59</c:v>
                </c:pt>
                <c:pt idx="9">
                  <c:v>57.42</c:v>
                </c:pt>
              </c:numCache>
            </c:numRef>
          </c:val>
          <c:extLst xmlns:c16r2="http://schemas.microsoft.com/office/drawing/2015/06/chart">
            <c:ext xmlns:c16="http://schemas.microsoft.com/office/drawing/2014/chart" uri="{C3380CC4-5D6E-409C-BE32-E72D297353CC}">
              <c16:uniqueId val="{00000004-BEAB-44B7-BC8E-C059686CFA81}"/>
            </c:ext>
          </c:extLst>
        </c:ser>
        <c:hiLowLines>
          <c:spPr>
            <a:ln>
              <a:noFill/>
            </a:ln>
          </c:spPr>
        </c:hiLowLines>
        <c:marker val="1"/>
        <c:axId val="119057408"/>
        <c:axId val="119059200"/>
      </c:lineChart>
      <c:catAx>
        <c:axId val="119054336"/>
        <c:scaling>
          <c:orientation val="minMax"/>
        </c:scaling>
        <c:axPos val="b"/>
        <c:numFmt formatCode="General" sourceLinked="1"/>
        <c:tickLblPos val="low"/>
        <c:spPr>
          <a:ln w="9360">
            <a:solidFill>
              <a:srgbClr val="878787"/>
            </a:solidFill>
            <a:round/>
          </a:ln>
        </c:spPr>
        <c:crossAx val="119055872"/>
        <c:crosses val="autoZero"/>
        <c:auto val="1"/>
        <c:lblAlgn val="ctr"/>
        <c:lblOffset val="100"/>
      </c:catAx>
      <c:valAx>
        <c:axId val="119055872"/>
        <c:scaling>
          <c:orientation val="minMax"/>
        </c:scaling>
        <c:axPos val="l"/>
        <c:majorGridlines>
          <c:spPr>
            <a:ln w="9360">
              <a:solidFill>
                <a:srgbClr val="878787"/>
              </a:solidFill>
              <a:round/>
            </a:ln>
          </c:spPr>
        </c:majorGridlines>
        <c:numFmt formatCode="#,##0" sourceLinked="0"/>
        <c:tickLblPos val="nextTo"/>
        <c:spPr>
          <a:ln w="9360">
            <a:solidFill>
              <a:srgbClr val="878787"/>
            </a:solidFill>
            <a:round/>
          </a:ln>
        </c:spPr>
        <c:crossAx val="119054336"/>
        <c:crosses val="autoZero"/>
        <c:crossBetween val="between"/>
      </c:valAx>
      <c:catAx>
        <c:axId val="119057408"/>
        <c:scaling>
          <c:orientation val="minMax"/>
        </c:scaling>
        <c:delete val="1"/>
        <c:axPos val="b"/>
        <c:numFmt formatCode="General" sourceLinked="1"/>
        <c:tickLblPos val="none"/>
        <c:crossAx val="119059200"/>
        <c:crosses val="autoZero"/>
        <c:auto val="1"/>
        <c:lblAlgn val="ctr"/>
        <c:lblOffset val="100"/>
      </c:catAx>
      <c:valAx>
        <c:axId val="119059200"/>
        <c:scaling>
          <c:orientation val="minMax"/>
        </c:scaling>
        <c:delete val="1"/>
        <c:axPos val="l"/>
        <c:majorGridlines>
          <c:spPr>
            <a:ln w="9360">
              <a:solidFill>
                <a:srgbClr val="878787"/>
              </a:solidFill>
              <a:round/>
            </a:ln>
          </c:spPr>
        </c:majorGridlines>
        <c:numFmt formatCode="#,##0" sourceLinked="0"/>
        <c:tickLblPos val="none"/>
        <c:crossAx val="119057408"/>
        <c:crosses val="autoZero"/>
        <c:crossBetween val="between"/>
      </c:valAx>
      <c:spPr>
        <a:solidFill>
          <a:srgbClr val="FFFFFF"/>
        </a:solidFill>
        <a:ln>
          <a:solidFill>
            <a:sysClr val="windowText" lastClr="000000"/>
          </a:solidFill>
        </a:ln>
      </c:spPr>
    </c:plotArea>
    <c:legend>
      <c:legendPos val="r"/>
      <c:layout>
        <c:manualLayout>
          <c:xMode val="edge"/>
          <c:yMode val="edge"/>
          <c:x val="7.804626815265113E-2"/>
          <c:y val="0.87488798829224357"/>
          <c:w val="0.90050827423167845"/>
          <c:h val="0.11161628954182162"/>
        </c:manualLayout>
      </c:layout>
      <c:spPr>
        <a:noFill/>
        <a:ln>
          <a:solidFill>
            <a:schemeClr val="tx1"/>
          </a:solidFill>
        </a:ln>
      </c:spPr>
    </c:legend>
    <c:plotVisOnly val="1"/>
    <c:dispBlanksAs val="gap"/>
  </c:chart>
  <c:spPr>
    <a:solidFill>
      <a:srgbClr val="FFFFFF"/>
    </a:solidFill>
    <a:ln>
      <a:noFill/>
    </a:ln>
  </c:spPr>
  <c:txPr>
    <a:bodyPr/>
    <a:lstStyle/>
    <a:p>
      <a:pPr>
        <a:defRPr sz="800" baseline="0">
          <a:latin typeface="Arial" pitchFamily="34" charset="0"/>
        </a:defRPr>
      </a:pPr>
      <a:endParaRPr lang="cs-CZ"/>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7.8800658561296866E-2"/>
          <c:y val="3.9316672295395698E-2"/>
          <c:w val="0.89479462174940894"/>
          <c:h val="0.73364150624789837"/>
        </c:manualLayout>
      </c:layout>
      <c:barChart>
        <c:barDir val="col"/>
        <c:grouping val="stacked"/>
        <c:ser>
          <c:idx val="7"/>
          <c:order val="1"/>
          <c:tx>
            <c:strRef>
              <c:f>THFK_V_bc_CZ!$A$33:$B$33</c:f>
              <c:strCache>
                <c:ptCount val="1"/>
                <c:pt idx="0">
                  <c:v>Ostatní investice*</c:v>
                </c:pt>
              </c:strCache>
            </c:strRef>
          </c:tx>
          <c:spPr>
            <a:solidFill>
              <a:srgbClr val="808080"/>
            </a:solidFill>
          </c:spPr>
          <c:cat>
            <c:numRef>
              <c:f>THFK_V_bc_CZ!$J$25:$S$25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THFK_V_bc_CZ!$J$33:$S$33</c:f>
              <c:numCache>
                <c:formatCode>General</c:formatCode>
                <c:ptCount val="10"/>
                <c:pt idx="0">
                  <c:v>-0.73400000000000065</c:v>
                </c:pt>
                <c:pt idx="1">
                  <c:v>0.90899999999999992</c:v>
                </c:pt>
                <c:pt idx="2">
                  <c:v>1.228</c:v>
                </c:pt>
                <c:pt idx="3">
                  <c:v>1.212</c:v>
                </c:pt>
                <c:pt idx="4">
                  <c:v>-0.35300000000000031</c:v>
                </c:pt>
                <c:pt idx="5">
                  <c:v>-3.1789999999999994</c:v>
                </c:pt>
                <c:pt idx="6">
                  <c:v>-0.91300000000000003</c:v>
                </c:pt>
                <c:pt idx="7">
                  <c:v>9.7860000000000014</c:v>
                </c:pt>
                <c:pt idx="8">
                  <c:v>-9.1989999999999998</c:v>
                </c:pt>
                <c:pt idx="9">
                  <c:v>8.6000000000000021E-2</c:v>
                </c:pt>
              </c:numCache>
            </c:numRef>
          </c:val>
          <c:extLst xmlns:c16r2="http://schemas.microsoft.com/office/drawing/2015/06/chart">
            <c:ext xmlns:c16="http://schemas.microsoft.com/office/drawing/2014/chart" uri="{C3380CC4-5D6E-409C-BE32-E72D297353CC}">
              <c16:uniqueId val="{00000000-CFF7-440E-97B4-30A7FBB3212C}"/>
            </c:ext>
          </c:extLst>
        </c:ser>
        <c:ser>
          <c:idx val="1"/>
          <c:order val="2"/>
          <c:tx>
            <c:strRef>
              <c:f>THFK_V_bc_CZ!$A$27:$B$27</c:f>
              <c:strCache>
                <c:ptCount val="1"/>
                <c:pt idx="0">
                  <c:v>Obydlí</c:v>
                </c:pt>
              </c:strCache>
            </c:strRef>
          </c:tx>
          <c:spPr>
            <a:solidFill>
              <a:srgbClr val="BD1B21"/>
            </a:solidFill>
          </c:spPr>
          <c:cat>
            <c:numRef>
              <c:f>THFK_V_bc_CZ!$J$25:$S$25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THFK_V_bc_CZ!$J$27:$S$27</c:f>
              <c:numCache>
                <c:formatCode>General</c:formatCode>
                <c:ptCount val="10"/>
                <c:pt idx="0">
                  <c:v>2.7829999999999999</c:v>
                </c:pt>
                <c:pt idx="1">
                  <c:v>-11.797999999999998</c:v>
                </c:pt>
                <c:pt idx="2">
                  <c:v>12.31</c:v>
                </c:pt>
                <c:pt idx="3">
                  <c:v>-12.42</c:v>
                </c:pt>
                <c:pt idx="4">
                  <c:v>1.35</c:v>
                </c:pt>
                <c:pt idx="5">
                  <c:v>-16.372</c:v>
                </c:pt>
                <c:pt idx="6">
                  <c:v>11.922000000000002</c:v>
                </c:pt>
                <c:pt idx="7">
                  <c:v>19.391999999999999</c:v>
                </c:pt>
                <c:pt idx="8">
                  <c:v>11.277000000000001</c:v>
                </c:pt>
                <c:pt idx="9">
                  <c:v>19.873999999999999</c:v>
                </c:pt>
              </c:numCache>
            </c:numRef>
          </c:val>
          <c:extLst xmlns:c16r2="http://schemas.microsoft.com/office/drawing/2015/06/chart">
            <c:ext xmlns:c16="http://schemas.microsoft.com/office/drawing/2014/chart" uri="{C3380CC4-5D6E-409C-BE32-E72D297353CC}">
              <c16:uniqueId val="{00000001-CFF7-440E-97B4-30A7FBB3212C}"/>
            </c:ext>
          </c:extLst>
        </c:ser>
        <c:ser>
          <c:idx val="6"/>
          <c:order val="3"/>
          <c:tx>
            <c:strRef>
              <c:f>THFK_V_bc_CZ!$A$32:$B$32</c:f>
              <c:strCache>
                <c:ptCount val="1"/>
                <c:pt idx="0">
                  <c:v>Produkty duševního vlastnictví</c:v>
                </c:pt>
              </c:strCache>
            </c:strRef>
          </c:tx>
          <c:spPr>
            <a:solidFill>
              <a:srgbClr val="A6CDE8"/>
            </a:solidFill>
          </c:spPr>
          <c:cat>
            <c:numRef>
              <c:f>THFK_V_bc_CZ!$J$25:$S$25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THFK_V_bc_CZ!$J$32:$S$32</c:f>
              <c:numCache>
                <c:formatCode>General</c:formatCode>
                <c:ptCount val="10"/>
                <c:pt idx="0">
                  <c:v>8.7680000000000007</c:v>
                </c:pt>
                <c:pt idx="1">
                  <c:v>0.6590000000000048</c:v>
                </c:pt>
                <c:pt idx="2">
                  <c:v>-12.014000000000001</c:v>
                </c:pt>
                <c:pt idx="3">
                  <c:v>13.474</c:v>
                </c:pt>
                <c:pt idx="4">
                  <c:v>15.11</c:v>
                </c:pt>
                <c:pt idx="5">
                  <c:v>-1.1659999999999924</c:v>
                </c:pt>
                <c:pt idx="6">
                  <c:v>7.0679999999999845</c:v>
                </c:pt>
                <c:pt idx="7">
                  <c:v>24.143000000000001</c:v>
                </c:pt>
                <c:pt idx="8">
                  <c:v>11.579000000000002</c:v>
                </c:pt>
                <c:pt idx="9">
                  <c:v>11.747999999999999</c:v>
                </c:pt>
              </c:numCache>
            </c:numRef>
          </c:val>
          <c:extLst xmlns:c16r2="http://schemas.microsoft.com/office/drawing/2015/06/chart">
            <c:ext xmlns:c16="http://schemas.microsoft.com/office/drawing/2014/chart" uri="{C3380CC4-5D6E-409C-BE32-E72D297353CC}">
              <c16:uniqueId val="{00000002-CFF7-440E-97B4-30A7FBB3212C}"/>
            </c:ext>
          </c:extLst>
        </c:ser>
        <c:ser>
          <c:idx val="2"/>
          <c:order val="4"/>
          <c:tx>
            <c:strRef>
              <c:f>THFK_V_bc_CZ!$A$28:$B$28</c:f>
              <c:strCache>
                <c:ptCount val="1"/>
                <c:pt idx="0">
                  <c:v>Ostatní budovy a stavby</c:v>
                </c:pt>
              </c:strCache>
            </c:strRef>
          </c:tx>
          <c:spPr>
            <a:solidFill>
              <a:srgbClr val="E8AFB2"/>
            </a:solidFill>
          </c:spPr>
          <c:cat>
            <c:numRef>
              <c:f>THFK_V_bc_CZ!$J$25:$S$25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THFK_V_bc_CZ!$J$28:$S$28</c:f>
              <c:numCache>
                <c:formatCode>General</c:formatCode>
                <c:ptCount val="10"/>
                <c:pt idx="0">
                  <c:v>12.630999999999998</c:v>
                </c:pt>
                <c:pt idx="1">
                  <c:v>-12.271000000000001</c:v>
                </c:pt>
                <c:pt idx="2">
                  <c:v>-18.803000000000001</c:v>
                </c:pt>
                <c:pt idx="3">
                  <c:v>-9.261000000000001</c:v>
                </c:pt>
                <c:pt idx="4">
                  <c:v>-16.933</c:v>
                </c:pt>
                <c:pt idx="5">
                  <c:v>-10.499000000000002</c:v>
                </c:pt>
                <c:pt idx="6">
                  <c:v>-3.92</c:v>
                </c:pt>
                <c:pt idx="7">
                  <c:v>28.26599999999986</c:v>
                </c:pt>
                <c:pt idx="8">
                  <c:v>-38.123000000000012</c:v>
                </c:pt>
                <c:pt idx="9">
                  <c:v>13.88</c:v>
                </c:pt>
              </c:numCache>
            </c:numRef>
          </c:val>
          <c:extLst xmlns:c16r2="http://schemas.microsoft.com/office/drawing/2015/06/chart">
            <c:ext xmlns:c16="http://schemas.microsoft.com/office/drawing/2014/chart" uri="{C3380CC4-5D6E-409C-BE32-E72D297353CC}">
              <c16:uniqueId val="{00000003-CFF7-440E-97B4-30A7FBB3212C}"/>
            </c:ext>
          </c:extLst>
        </c:ser>
        <c:ser>
          <c:idx val="3"/>
          <c:order val="5"/>
          <c:tx>
            <c:strRef>
              <c:f>THFK_V_bc_CZ!$A$29:$B$29</c:f>
              <c:strCache>
                <c:ptCount val="1"/>
                <c:pt idx="0">
                  <c:v>Stroje a zařízení</c:v>
                </c:pt>
              </c:strCache>
            </c:strRef>
          </c:tx>
          <c:spPr>
            <a:solidFill>
              <a:srgbClr val="0071BC"/>
            </a:solidFill>
          </c:spPr>
          <c:cat>
            <c:numRef>
              <c:f>THFK_V_bc_CZ!$J$25:$S$25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THFK_V_bc_CZ!$J$29:$S$29</c:f>
              <c:numCache>
                <c:formatCode>General</c:formatCode>
                <c:ptCount val="10"/>
                <c:pt idx="0">
                  <c:v>9.4520000000000248</c:v>
                </c:pt>
                <c:pt idx="1">
                  <c:v>-79.405000000000001</c:v>
                </c:pt>
                <c:pt idx="2">
                  <c:v>20.170000000000005</c:v>
                </c:pt>
                <c:pt idx="3">
                  <c:v>7.8269999999999955</c:v>
                </c:pt>
                <c:pt idx="4">
                  <c:v>-14.247999999999999</c:v>
                </c:pt>
                <c:pt idx="5">
                  <c:v>6.3619999999999965</c:v>
                </c:pt>
                <c:pt idx="6">
                  <c:v>42.829000000000001</c:v>
                </c:pt>
                <c:pt idx="7">
                  <c:v>50.644000000000005</c:v>
                </c:pt>
                <c:pt idx="8">
                  <c:v>-3.1240000000000001</c:v>
                </c:pt>
                <c:pt idx="9">
                  <c:v>11.832000000000004</c:v>
                </c:pt>
              </c:numCache>
            </c:numRef>
          </c:val>
          <c:extLst xmlns:c16r2="http://schemas.microsoft.com/office/drawing/2015/06/chart">
            <c:ext xmlns:c16="http://schemas.microsoft.com/office/drawing/2014/chart" uri="{C3380CC4-5D6E-409C-BE32-E72D297353CC}">
              <c16:uniqueId val="{00000004-CFF7-440E-97B4-30A7FBB3212C}"/>
            </c:ext>
          </c:extLst>
        </c:ser>
        <c:gapWidth val="95"/>
        <c:overlap val="100"/>
        <c:axId val="119118464"/>
        <c:axId val="119128448"/>
      </c:barChart>
      <c:lineChart>
        <c:grouping val="standard"/>
        <c:ser>
          <c:idx val="0"/>
          <c:order val="0"/>
          <c:tx>
            <c:strRef>
              <c:f>THFK_V_bc_CZ!$A$26:$B$26</c:f>
              <c:strCache>
                <c:ptCount val="1"/>
                <c:pt idx="0">
                  <c:v>Celkem</c:v>
                </c:pt>
              </c:strCache>
            </c:strRef>
          </c:tx>
          <c:spPr>
            <a:ln>
              <a:solidFill>
                <a:prstClr val="black"/>
              </a:solidFill>
            </a:ln>
          </c:spPr>
          <c:marker>
            <c:symbol val="none"/>
          </c:marker>
          <c:cat>
            <c:numRef>
              <c:f>THFK_V_bc_CZ!$J$25:$S$25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THFK_V_bc_CZ!$J$26:$S$26</c:f>
              <c:numCache>
                <c:formatCode>General</c:formatCode>
                <c:ptCount val="10"/>
                <c:pt idx="0">
                  <c:v>32.9</c:v>
                </c:pt>
                <c:pt idx="1">
                  <c:v>-101.90600000000002</c:v>
                </c:pt>
                <c:pt idx="2">
                  <c:v>2.8909999999999987</c:v>
                </c:pt>
                <c:pt idx="3">
                  <c:v>0.83200000000000063</c:v>
                </c:pt>
                <c:pt idx="4">
                  <c:v>-15.074</c:v>
                </c:pt>
                <c:pt idx="5">
                  <c:v>-24.853999999999999</c:v>
                </c:pt>
                <c:pt idx="6">
                  <c:v>56.986000000000004</c:v>
                </c:pt>
                <c:pt idx="7">
                  <c:v>132.23099999999999</c:v>
                </c:pt>
                <c:pt idx="8">
                  <c:v>-27.59</c:v>
                </c:pt>
                <c:pt idx="9">
                  <c:v>57.42</c:v>
                </c:pt>
              </c:numCache>
            </c:numRef>
          </c:val>
          <c:extLst xmlns:c16r2="http://schemas.microsoft.com/office/drawing/2015/06/chart">
            <c:ext xmlns:c16="http://schemas.microsoft.com/office/drawing/2014/chart" uri="{C3380CC4-5D6E-409C-BE32-E72D297353CC}">
              <c16:uniqueId val="{00000005-CFF7-440E-97B4-30A7FBB3212C}"/>
            </c:ext>
          </c:extLst>
        </c:ser>
        <c:marker val="1"/>
        <c:axId val="119118464"/>
        <c:axId val="119128448"/>
      </c:lineChart>
      <c:catAx>
        <c:axId val="119118464"/>
        <c:scaling>
          <c:orientation val="minMax"/>
        </c:scaling>
        <c:axPos val="b"/>
        <c:numFmt formatCode="General" sourceLinked="1"/>
        <c:tickLblPos val="low"/>
        <c:crossAx val="119128448"/>
        <c:crosses val="autoZero"/>
        <c:auto val="1"/>
        <c:lblAlgn val="ctr"/>
        <c:lblOffset val="100"/>
      </c:catAx>
      <c:valAx>
        <c:axId val="119128448"/>
        <c:scaling>
          <c:orientation val="minMax"/>
          <c:min val="-125"/>
        </c:scaling>
        <c:axPos val="l"/>
        <c:majorGridlines/>
        <c:numFmt formatCode="General" sourceLinked="1"/>
        <c:tickLblPos val="nextTo"/>
        <c:crossAx val="119118464"/>
        <c:crosses val="autoZero"/>
        <c:crossBetween val="between"/>
        <c:majorUnit val="25"/>
      </c:valAx>
      <c:spPr>
        <a:ln>
          <a:solidFill>
            <a:prstClr val="black"/>
          </a:solidFill>
        </a:ln>
      </c:spPr>
    </c:plotArea>
    <c:legend>
      <c:legendPos val="r"/>
      <c:layout>
        <c:manualLayout>
          <c:xMode val="edge"/>
          <c:yMode val="edge"/>
          <c:x val="7.5566742654508634E-2"/>
          <c:y val="0.83929021726894582"/>
          <c:w val="0.90030711752786219"/>
          <c:h val="0.15421816953732098"/>
        </c:manualLayout>
      </c:layout>
      <c:spPr>
        <a:ln>
          <a:solidFill>
            <a:prstClr val="black"/>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6.6871833839918973E-2"/>
          <c:y val="3.9316672295395698E-2"/>
          <c:w val="0.91746897163120456"/>
          <c:h val="0.66871552403467804"/>
        </c:manualLayout>
      </c:layout>
      <c:barChart>
        <c:barDir val="col"/>
        <c:grouping val="clustered"/>
        <c:ser>
          <c:idx val="0"/>
          <c:order val="0"/>
          <c:tx>
            <c:strRef>
              <c:f>Data!$J$10</c:f>
              <c:strCache>
                <c:ptCount val="1"/>
                <c:pt idx="0">
                  <c:v>2016</c:v>
                </c:pt>
              </c:strCache>
            </c:strRef>
          </c:tx>
          <c:cat>
            <c:strRef>
              <c:f>Data!$A$11:$A$39</c:f>
              <c:strCache>
                <c:ptCount val="29"/>
                <c:pt idx="0">
                  <c:v>Kypr</c:v>
                </c:pt>
                <c:pt idx="1">
                  <c:v>Maďarsko</c:v>
                </c:pt>
                <c:pt idx="2">
                  <c:v>Lotyšsko</c:v>
                </c:pt>
                <c:pt idx="3">
                  <c:v>Estonsko</c:v>
                </c:pt>
                <c:pt idx="4">
                  <c:v>Slovinsko</c:v>
                </c:pt>
                <c:pt idx="5">
                  <c:v>Řecko</c:v>
                </c:pt>
                <c:pt idx="6">
                  <c:v>Portugalsko</c:v>
                </c:pt>
                <c:pt idx="7">
                  <c:v>Litva</c:v>
                </c:pt>
                <c:pt idx="8">
                  <c:v>Nizozemí</c:v>
                </c:pt>
                <c:pt idx="9">
                  <c:v>Švédsko</c:v>
                </c:pt>
                <c:pt idx="10">
                  <c:v>Španělsko</c:v>
                </c:pt>
                <c:pt idx="11">
                  <c:v>Rakousko</c:v>
                </c:pt>
                <c:pt idx="12">
                  <c:v>Rumunsko</c:v>
                </c:pt>
                <c:pt idx="13">
                  <c:v>Dánsko</c:v>
                </c:pt>
                <c:pt idx="14">
                  <c:v>Francie</c:v>
                </c:pt>
                <c:pt idx="15">
                  <c:v>Finsko</c:v>
                </c:pt>
                <c:pt idx="16">
                  <c:v>Bulharsko</c:v>
                </c:pt>
                <c:pt idx="17">
                  <c:v>Chorvatsko</c:v>
                </c:pt>
                <c:pt idx="18">
                  <c:v>Itálie</c:v>
                </c:pt>
                <c:pt idx="19">
                  <c:v>Polsko</c:v>
                </c:pt>
                <c:pt idx="20">
                  <c:v>Velká Británie</c:v>
                </c:pt>
                <c:pt idx="21">
                  <c:v>ČR</c:v>
                </c:pt>
                <c:pt idx="22">
                  <c:v>Německo</c:v>
                </c:pt>
                <c:pt idx="23">
                  <c:v>Slovensko</c:v>
                </c:pt>
                <c:pt idx="24">
                  <c:v>EU 28</c:v>
                </c:pt>
                <c:pt idx="25">
                  <c:v>Lucembursko</c:v>
                </c:pt>
                <c:pt idx="26">
                  <c:v>Belgie</c:v>
                </c:pt>
                <c:pt idx="27">
                  <c:v>Malta</c:v>
                </c:pt>
                <c:pt idx="28">
                  <c:v>Irsko</c:v>
                </c:pt>
              </c:strCache>
            </c:strRef>
          </c:cat>
          <c:val>
            <c:numRef>
              <c:f>Data!$J$11:$J$39</c:f>
              <c:numCache>
                <c:formatCode>#,##0.0</c:formatCode>
                <c:ptCount val="29"/>
                <c:pt idx="0">
                  <c:v>35</c:v>
                </c:pt>
                <c:pt idx="1">
                  <c:v>-10.6</c:v>
                </c:pt>
                <c:pt idx="2">
                  <c:v>-15</c:v>
                </c:pt>
                <c:pt idx="3">
                  <c:v>-1.2</c:v>
                </c:pt>
                <c:pt idx="4">
                  <c:v>-3.6</c:v>
                </c:pt>
                <c:pt idx="5">
                  <c:v>1.6</c:v>
                </c:pt>
                <c:pt idx="6">
                  <c:v>1.5</c:v>
                </c:pt>
                <c:pt idx="7">
                  <c:v>-0.5</c:v>
                </c:pt>
                <c:pt idx="8">
                  <c:v>-7.3</c:v>
                </c:pt>
                <c:pt idx="9">
                  <c:v>5.6</c:v>
                </c:pt>
                <c:pt idx="10">
                  <c:v>3.3</c:v>
                </c:pt>
                <c:pt idx="11">
                  <c:v>3.7</c:v>
                </c:pt>
                <c:pt idx="12">
                  <c:v>-2.1</c:v>
                </c:pt>
                <c:pt idx="13">
                  <c:v>6</c:v>
                </c:pt>
                <c:pt idx="14">
                  <c:v>2.8</c:v>
                </c:pt>
                <c:pt idx="15">
                  <c:v>8.5</c:v>
                </c:pt>
                <c:pt idx="16">
                  <c:v>-6.6</c:v>
                </c:pt>
                <c:pt idx="17">
                  <c:v>6.5</c:v>
                </c:pt>
                <c:pt idx="18">
                  <c:v>3.2</c:v>
                </c:pt>
                <c:pt idx="19">
                  <c:v>-8.2000000000000011</c:v>
                </c:pt>
                <c:pt idx="20">
                  <c:v>2.2999999999999998</c:v>
                </c:pt>
                <c:pt idx="21">
                  <c:v>-3.1</c:v>
                </c:pt>
                <c:pt idx="22">
                  <c:v>3.1</c:v>
                </c:pt>
                <c:pt idx="23">
                  <c:v>-8.3000000000000007</c:v>
                </c:pt>
                <c:pt idx="24">
                  <c:v>2.9</c:v>
                </c:pt>
                <c:pt idx="25">
                  <c:v>0.5</c:v>
                </c:pt>
                <c:pt idx="26">
                  <c:v>3.8</c:v>
                </c:pt>
                <c:pt idx="27">
                  <c:v>1.7</c:v>
                </c:pt>
                <c:pt idx="28">
                  <c:v>51.4</c:v>
                </c:pt>
              </c:numCache>
            </c:numRef>
          </c:val>
          <c:extLst xmlns:c16r2="http://schemas.microsoft.com/office/drawing/2015/06/chart">
            <c:ext xmlns:c16="http://schemas.microsoft.com/office/drawing/2014/chart" uri="{C3380CC4-5D6E-409C-BE32-E72D297353CC}">
              <c16:uniqueId val="{00000000-B39F-4EB4-9F8F-2BC66CE5F295}"/>
            </c:ext>
          </c:extLst>
        </c:ser>
        <c:ser>
          <c:idx val="1"/>
          <c:order val="1"/>
          <c:tx>
            <c:strRef>
              <c:f>Data!$K$10</c:f>
              <c:strCache>
                <c:ptCount val="1"/>
                <c:pt idx="0">
                  <c:v>2017</c:v>
                </c:pt>
              </c:strCache>
            </c:strRef>
          </c:tx>
          <c:cat>
            <c:strRef>
              <c:f>Data!$A$11:$A$39</c:f>
              <c:strCache>
                <c:ptCount val="29"/>
                <c:pt idx="0">
                  <c:v>Kypr</c:v>
                </c:pt>
                <c:pt idx="1">
                  <c:v>Maďarsko</c:v>
                </c:pt>
                <c:pt idx="2">
                  <c:v>Lotyšsko</c:v>
                </c:pt>
                <c:pt idx="3">
                  <c:v>Estonsko</c:v>
                </c:pt>
                <c:pt idx="4">
                  <c:v>Slovinsko</c:v>
                </c:pt>
                <c:pt idx="5">
                  <c:v>Řecko</c:v>
                </c:pt>
                <c:pt idx="6">
                  <c:v>Portugalsko</c:v>
                </c:pt>
                <c:pt idx="7">
                  <c:v>Litva</c:v>
                </c:pt>
                <c:pt idx="8">
                  <c:v>Nizozemí</c:v>
                </c:pt>
                <c:pt idx="9">
                  <c:v>Švédsko</c:v>
                </c:pt>
                <c:pt idx="10">
                  <c:v>Španělsko</c:v>
                </c:pt>
                <c:pt idx="11">
                  <c:v>Rakousko</c:v>
                </c:pt>
                <c:pt idx="12">
                  <c:v>Rumunsko</c:v>
                </c:pt>
                <c:pt idx="13">
                  <c:v>Dánsko</c:v>
                </c:pt>
                <c:pt idx="14">
                  <c:v>Francie</c:v>
                </c:pt>
                <c:pt idx="15">
                  <c:v>Finsko</c:v>
                </c:pt>
                <c:pt idx="16">
                  <c:v>Bulharsko</c:v>
                </c:pt>
                <c:pt idx="17">
                  <c:v>Chorvatsko</c:v>
                </c:pt>
                <c:pt idx="18">
                  <c:v>Itálie</c:v>
                </c:pt>
                <c:pt idx="19">
                  <c:v>Polsko</c:v>
                </c:pt>
                <c:pt idx="20">
                  <c:v>Velká Británie</c:v>
                </c:pt>
                <c:pt idx="21">
                  <c:v>ČR</c:v>
                </c:pt>
                <c:pt idx="22">
                  <c:v>Německo</c:v>
                </c:pt>
                <c:pt idx="23">
                  <c:v>Slovensko</c:v>
                </c:pt>
                <c:pt idx="24">
                  <c:v>EU 28</c:v>
                </c:pt>
                <c:pt idx="25">
                  <c:v>Lucembursko</c:v>
                </c:pt>
                <c:pt idx="26">
                  <c:v>Belgie</c:v>
                </c:pt>
                <c:pt idx="27">
                  <c:v>Malta</c:v>
                </c:pt>
                <c:pt idx="28">
                  <c:v>Irsko</c:v>
                </c:pt>
              </c:strCache>
            </c:strRef>
          </c:cat>
          <c:val>
            <c:numRef>
              <c:f>Data!$K$11:$K$39</c:f>
              <c:numCache>
                <c:formatCode>#,##0.0</c:formatCode>
                <c:ptCount val="29"/>
                <c:pt idx="0">
                  <c:v>27.8</c:v>
                </c:pt>
                <c:pt idx="1">
                  <c:v>16.8</c:v>
                </c:pt>
                <c:pt idx="2">
                  <c:v>16</c:v>
                </c:pt>
                <c:pt idx="3">
                  <c:v>13.1</c:v>
                </c:pt>
                <c:pt idx="4">
                  <c:v>10.3</c:v>
                </c:pt>
                <c:pt idx="5">
                  <c:v>9.6</c:v>
                </c:pt>
                <c:pt idx="6">
                  <c:v>9.2000000000000011</c:v>
                </c:pt>
                <c:pt idx="7">
                  <c:v>7.3</c:v>
                </c:pt>
                <c:pt idx="8">
                  <c:v>6.1</c:v>
                </c:pt>
                <c:pt idx="9">
                  <c:v>5.9</c:v>
                </c:pt>
                <c:pt idx="10">
                  <c:v>5</c:v>
                </c:pt>
                <c:pt idx="11">
                  <c:v>4.9000000000000004</c:v>
                </c:pt>
                <c:pt idx="12">
                  <c:v>4.7</c:v>
                </c:pt>
                <c:pt idx="13">
                  <c:v>4.5</c:v>
                </c:pt>
                <c:pt idx="14">
                  <c:v>4.5</c:v>
                </c:pt>
                <c:pt idx="15">
                  <c:v>4</c:v>
                </c:pt>
                <c:pt idx="16">
                  <c:v>3.8</c:v>
                </c:pt>
                <c:pt idx="17">
                  <c:v>3.8</c:v>
                </c:pt>
                <c:pt idx="18">
                  <c:v>3.8</c:v>
                </c:pt>
                <c:pt idx="19">
                  <c:v>3.4</c:v>
                </c:pt>
                <c:pt idx="20">
                  <c:v>3.4</c:v>
                </c:pt>
                <c:pt idx="21">
                  <c:v>3.3</c:v>
                </c:pt>
                <c:pt idx="22">
                  <c:v>3.3</c:v>
                </c:pt>
                <c:pt idx="23">
                  <c:v>3.2</c:v>
                </c:pt>
                <c:pt idx="24">
                  <c:v>3.1</c:v>
                </c:pt>
                <c:pt idx="25">
                  <c:v>1.9000000000000001</c:v>
                </c:pt>
                <c:pt idx="26">
                  <c:v>0.70000000000000062</c:v>
                </c:pt>
                <c:pt idx="27">
                  <c:v>-7.6</c:v>
                </c:pt>
                <c:pt idx="28">
                  <c:v>-31</c:v>
                </c:pt>
              </c:numCache>
            </c:numRef>
          </c:val>
          <c:extLst xmlns:c16r2="http://schemas.microsoft.com/office/drawing/2015/06/chart">
            <c:ext xmlns:c16="http://schemas.microsoft.com/office/drawing/2014/chart" uri="{C3380CC4-5D6E-409C-BE32-E72D297353CC}">
              <c16:uniqueId val="{00000001-B39F-4EB4-9F8F-2BC66CE5F295}"/>
            </c:ext>
          </c:extLst>
        </c:ser>
        <c:gapWidth val="92"/>
        <c:axId val="119138176"/>
        <c:axId val="119139712"/>
      </c:barChart>
      <c:catAx>
        <c:axId val="119138176"/>
        <c:scaling>
          <c:orientation val="minMax"/>
        </c:scaling>
        <c:axPos val="b"/>
        <c:numFmt formatCode="General" sourceLinked="0"/>
        <c:tickLblPos val="low"/>
        <c:crossAx val="119139712"/>
        <c:crosses val="autoZero"/>
        <c:auto val="1"/>
        <c:lblAlgn val="ctr"/>
        <c:lblOffset val="100"/>
      </c:catAx>
      <c:valAx>
        <c:axId val="119139712"/>
        <c:scaling>
          <c:orientation val="minMax"/>
          <c:max val="55"/>
          <c:min val="-35"/>
        </c:scaling>
        <c:axPos val="l"/>
        <c:majorGridlines/>
        <c:numFmt formatCode="#,##0" sourceLinked="0"/>
        <c:tickLblPos val="nextTo"/>
        <c:crossAx val="119138176"/>
        <c:crosses val="autoZero"/>
        <c:crossBetween val="between"/>
        <c:majorUnit val="5"/>
      </c:valAx>
      <c:spPr>
        <a:ln>
          <a:solidFill>
            <a:prstClr val="black"/>
          </a:solidFill>
        </a:ln>
      </c:spPr>
    </c:plotArea>
    <c:legend>
      <c:legendPos val="r"/>
      <c:layout>
        <c:manualLayout>
          <c:xMode val="edge"/>
          <c:yMode val="edge"/>
          <c:x val="6.7547492401215811E-2"/>
          <c:y val="0.93303529213103764"/>
          <c:w val="0.91636841438703143"/>
          <c:h val="4.8935607339862693E-2"/>
        </c:manualLayout>
      </c:layout>
      <c:spPr>
        <a:ln>
          <a:solidFill>
            <a:prstClr val="black"/>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4.9011887316812934E-2"/>
          <c:y val="1.6233377178020283E-2"/>
          <c:w val="0.90155164654132913"/>
          <c:h val="0.77179151035441007"/>
        </c:manualLayout>
      </c:layout>
      <c:barChart>
        <c:barDir val="col"/>
        <c:grouping val="clustered"/>
        <c:ser>
          <c:idx val="0"/>
          <c:order val="0"/>
          <c:tx>
            <c:strRef>
              <c:f>'GRŘAF-zaměstnanost, VM'!$A$104</c:f>
              <c:strCache>
                <c:ptCount val="1"/>
                <c:pt idx="0">
                  <c:v>Míra volných míst v NH* (pravá osa)</c:v>
                </c:pt>
              </c:strCache>
            </c:strRef>
          </c:tx>
          <c:spPr>
            <a:solidFill>
              <a:schemeClr val="bg1">
                <a:lumMod val="65000"/>
              </a:schemeClr>
            </a:solidFill>
            <a:ln>
              <a:solidFill>
                <a:prstClr val="white">
                  <a:lumMod val="50000"/>
                </a:prstClr>
              </a:solidFill>
            </a:ln>
          </c:spPr>
          <c:cat>
            <c:multiLvlStrRef>
              <c:f>'GRŘAF-zaměstnanost, VM'!$N$102:$AO$103</c:f>
              <c:multiLvlStrCache>
                <c:ptCount val="28"/>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lvl>
                <c:lvl>
                  <c:pt idx="0">
                    <c:v>2011</c:v>
                  </c:pt>
                  <c:pt idx="4">
                    <c:v>2012</c:v>
                  </c:pt>
                  <c:pt idx="8">
                    <c:v>2013</c:v>
                  </c:pt>
                  <c:pt idx="12">
                    <c:v>2014</c:v>
                  </c:pt>
                  <c:pt idx="16">
                    <c:v>2015</c:v>
                  </c:pt>
                  <c:pt idx="20">
                    <c:v>2016</c:v>
                  </c:pt>
                  <c:pt idx="24">
                    <c:v>2017</c:v>
                  </c:pt>
                </c:lvl>
              </c:multiLvlStrCache>
            </c:multiLvlStrRef>
          </c:cat>
          <c:val>
            <c:numRef>
              <c:f>'GRŘAF-zaměstnanost, VM'!$N$104:$AO$104</c:f>
              <c:numCache>
                <c:formatCode>General</c:formatCode>
                <c:ptCount val="28"/>
                <c:pt idx="0">
                  <c:v>0.9</c:v>
                </c:pt>
                <c:pt idx="1">
                  <c:v>0.9</c:v>
                </c:pt>
                <c:pt idx="2">
                  <c:v>0.9</c:v>
                </c:pt>
                <c:pt idx="3">
                  <c:v>0.9</c:v>
                </c:pt>
                <c:pt idx="4">
                  <c:v>0.9</c:v>
                </c:pt>
                <c:pt idx="5">
                  <c:v>1</c:v>
                </c:pt>
                <c:pt idx="6">
                  <c:v>1</c:v>
                </c:pt>
                <c:pt idx="7">
                  <c:v>1</c:v>
                </c:pt>
                <c:pt idx="8">
                  <c:v>0.9</c:v>
                </c:pt>
                <c:pt idx="9">
                  <c:v>0.9</c:v>
                </c:pt>
                <c:pt idx="10">
                  <c:v>0.9</c:v>
                </c:pt>
                <c:pt idx="11">
                  <c:v>0.9</c:v>
                </c:pt>
                <c:pt idx="12">
                  <c:v>1.1000000000000001</c:v>
                </c:pt>
                <c:pt idx="13">
                  <c:v>1.2</c:v>
                </c:pt>
                <c:pt idx="14">
                  <c:v>1.3</c:v>
                </c:pt>
                <c:pt idx="15">
                  <c:v>1.6</c:v>
                </c:pt>
                <c:pt idx="16">
                  <c:v>1.8</c:v>
                </c:pt>
                <c:pt idx="17">
                  <c:v>2.2000000000000002</c:v>
                </c:pt>
                <c:pt idx="18">
                  <c:v>2.2000000000000002</c:v>
                </c:pt>
                <c:pt idx="19">
                  <c:v>2.5</c:v>
                </c:pt>
                <c:pt idx="20">
                  <c:v>2.6</c:v>
                </c:pt>
                <c:pt idx="21">
                  <c:v>2.8</c:v>
                </c:pt>
                <c:pt idx="22">
                  <c:v>2.9</c:v>
                </c:pt>
                <c:pt idx="23">
                  <c:v>3.1</c:v>
                </c:pt>
                <c:pt idx="24">
                  <c:v>3.3</c:v>
                </c:pt>
                <c:pt idx="25">
                  <c:v>3.5</c:v>
                </c:pt>
                <c:pt idx="26">
                  <c:v>3.9</c:v>
                </c:pt>
                <c:pt idx="27">
                  <c:v>4.5</c:v>
                </c:pt>
              </c:numCache>
            </c:numRef>
          </c:val>
          <c:extLst xmlns:c16r2="http://schemas.microsoft.com/office/drawing/2015/06/chart">
            <c:ext xmlns:c16="http://schemas.microsoft.com/office/drawing/2014/chart" uri="{C3380CC4-5D6E-409C-BE32-E72D297353CC}">
              <c16:uniqueId val="{00000000-F2DD-40A5-B972-CA8F48531D2B}"/>
            </c:ext>
          </c:extLst>
        </c:ser>
        <c:ser>
          <c:idx val="1"/>
          <c:order val="1"/>
          <c:tx>
            <c:strRef>
              <c:f>'GRŘAF-zaměstnanost, VM'!$A$105</c:f>
              <c:strCache>
                <c:ptCount val="1"/>
                <c:pt idx="0">
                  <c:v>Míra VM v průmyslu a stavebn.  (pr. osa)</c:v>
                </c:pt>
              </c:strCache>
            </c:strRef>
          </c:tx>
          <c:spPr>
            <a:solidFill>
              <a:schemeClr val="bg1">
                <a:lumMod val="85000"/>
              </a:schemeClr>
            </a:solidFill>
            <a:ln>
              <a:solidFill>
                <a:prstClr val="white">
                  <a:lumMod val="50000"/>
                </a:prstClr>
              </a:solidFill>
            </a:ln>
          </c:spPr>
          <c:cat>
            <c:multiLvlStrRef>
              <c:f>'GRŘAF-zaměstnanost, VM'!$N$102:$AO$103</c:f>
              <c:multiLvlStrCache>
                <c:ptCount val="28"/>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lvl>
                <c:lvl>
                  <c:pt idx="0">
                    <c:v>2011</c:v>
                  </c:pt>
                  <c:pt idx="4">
                    <c:v>2012</c:v>
                  </c:pt>
                  <c:pt idx="8">
                    <c:v>2013</c:v>
                  </c:pt>
                  <c:pt idx="12">
                    <c:v>2014</c:v>
                  </c:pt>
                  <c:pt idx="16">
                    <c:v>2015</c:v>
                  </c:pt>
                  <c:pt idx="20">
                    <c:v>2016</c:v>
                  </c:pt>
                  <c:pt idx="24">
                    <c:v>2017</c:v>
                  </c:pt>
                </c:lvl>
              </c:multiLvlStrCache>
            </c:multiLvlStrRef>
          </c:cat>
          <c:val>
            <c:numRef>
              <c:f>'GRŘAF-zaměstnanost, VM'!$N$105:$AO$105</c:f>
              <c:numCache>
                <c:formatCode>General</c:formatCode>
                <c:ptCount val="28"/>
                <c:pt idx="0">
                  <c:v>0.8</c:v>
                </c:pt>
                <c:pt idx="1">
                  <c:v>0.8</c:v>
                </c:pt>
                <c:pt idx="2">
                  <c:v>0.9</c:v>
                </c:pt>
                <c:pt idx="3">
                  <c:v>0.9</c:v>
                </c:pt>
                <c:pt idx="4">
                  <c:v>0.9</c:v>
                </c:pt>
                <c:pt idx="5">
                  <c:v>0.9</c:v>
                </c:pt>
                <c:pt idx="6">
                  <c:v>0.8</c:v>
                </c:pt>
                <c:pt idx="7">
                  <c:v>0.8</c:v>
                </c:pt>
                <c:pt idx="8">
                  <c:v>0.70000000000000062</c:v>
                </c:pt>
                <c:pt idx="9">
                  <c:v>0.60000000000000064</c:v>
                </c:pt>
                <c:pt idx="10">
                  <c:v>0.70000000000000062</c:v>
                </c:pt>
                <c:pt idx="11">
                  <c:v>0.70000000000000062</c:v>
                </c:pt>
                <c:pt idx="12">
                  <c:v>0.8</c:v>
                </c:pt>
                <c:pt idx="13">
                  <c:v>1</c:v>
                </c:pt>
                <c:pt idx="14">
                  <c:v>1.1000000000000001</c:v>
                </c:pt>
                <c:pt idx="15">
                  <c:v>1.3</c:v>
                </c:pt>
                <c:pt idx="16">
                  <c:v>1.5</c:v>
                </c:pt>
                <c:pt idx="17">
                  <c:v>1.9000000000000001</c:v>
                </c:pt>
                <c:pt idx="18">
                  <c:v>2.1</c:v>
                </c:pt>
                <c:pt idx="19">
                  <c:v>2.2999999999999998</c:v>
                </c:pt>
                <c:pt idx="20">
                  <c:v>2.5</c:v>
                </c:pt>
                <c:pt idx="21">
                  <c:v>2.7</c:v>
                </c:pt>
                <c:pt idx="22">
                  <c:v>2.9</c:v>
                </c:pt>
                <c:pt idx="23">
                  <c:v>3.1</c:v>
                </c:pt>
                <c:pt idx="24">
                  <c:v>3.4</c:v>
                </c:pt>
                <c:pt idx="25">
                  <c:v>3.8</c:v>
                </c:pt>
                <c:pt idx="26">
                  <c:v>4.3</c:v>
                </c:pt>
                <c:pt idx="27">
                  <c:v>5</c:v>
                </c:pt>
              </c:numCache>
            </c:numRef>
          </c:val>
          <c:extLst xmlns:c16r2="http://schemas.microsoft.com/office/drawing/2015/06/chart">
            <c:ext xmlns:c16="http://schemas.microsoft.com/office/drawing/2014/chart" uri="{C3380CC4-5D6E-409C-BE32-E72D297353CC}">
              <c16:uniqueId val="{00000001-F2DD-40A5-B972-CA8F48531D2B}"/>
            </c:ext>
          </c:extLst>
        </c:ser>
        <c:gapWidth val="89"/>
        <c:axId val="119482624"/>
        <c:axId val="119481088"/>
      </c:barChart>
      <c:lineChart>
        <c:grouping val="standard"/>
        <c:ser>
          <c:idx val="2"/>
          <c:order val="2"/>
          <c:tx>
            <c:strRef>
              <c:f>'GRŘAF-zaměstnanost, VM'!$A$106</c:f>
              <c:strCache>
                <c:ptCount val="1"/>
                <c:pt idx="0">
                  <c:v>Nezaměstnaní celkem</c:v>
                </c:pt>
              </c:strCache>
            </c:strRef>
          </c:tx>
          <c:spPr>
            <a:ln w="22225">
              <a:solidFill>
                <a:srgbClr val="BD1B21"/>
              </a:solidFill>
            </a:ln>
          </c:spPr>
          <c:marker>
            <c:symbol val="none"/>
          </c:marker>
          <c:cat>
            <c:multiLvlStrRef>
              <c:f>'GRŘAF-zaměstnanost, VM'!$N$102:$AO$103</c:f>
              <c:multiLvlStrCache>
                <c:ptCount val="28"/>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lvl>
                <c:lvl>
                  <c:pt idx="0">
                    <c:v>2011</c:v>
                  </c:pt>
                  <c:pt idx="4">
                    <c:v>2012</c:v>
                  </c:pt>
                  <c:pt idx="8">
                    <c:v>2013</c:v>
                  </c:pt>
                  <c:pt idx="12">
                    <c:v>2014</c:v>
                  </c:pt>
                  <c:pt idx="16">
                    <c:v>2015</c:v>
                  </c:pt>
                  <c:pt idx="20">
                    <c:v>2016</c:v>
                  </c:pt>
                  <c:pt idx="24">
                    <c:v>2017</c:v>
                  </c:pt>
                </c:lvl>
              </c:multiLvlStrCache>
            </c:multiLvlStrRef>
          </c:cat>
          <c:val>
            <c:numRef>
              <c:f>'GRŘAF-zaměstnanost, VM'!$N$106:$AO$106</c:f>
              <c:numCache>
                <c:formatCode>0.0</c:formatCode>
                <c:ptCount val="28"/>
                <c:pt idx="0">
                  <c:v>-11.786982248520722</c:v>
                </c:pt>
                <c:pt idx="1">
                  <c:v>-6.1682242990653862</c:v>
                </c:pt>
                <c:pt idx="2">
                  <c:v>-8.3934776797648247</c:v>
                </c:pt>
                <c:pt idx="3">
                  <c:v>-7.6054009368971691</c:v>
                </c:pt>
                <c:pt idx="4">
                  <c:v>-0.93909310437348903</c:v>
                </c:pt>
                <c:pt idx="5">
                  <c:v>-0.14228799089356525</c:v>
                </c:pt>
                <c:pt idx="6">
                  <c:v>7.3533702947184025</c:v>
                </c:pt>
                <c:pt idx="7">
                  <c:v>13.122576796898302</c:v>
                </c:pt>
                <c:pt idx="8">
                  <c:v>6.3651137594799234</c:v>
                </c:pt>
                <c:pt idx="9">
                  <c:v>2.0233684810487347</c:v>
                </c:pt>
                <c:pt idx="10">
                  <c:v>0.46208208752378288</c:v>
                </c:pt>
                <c:pt idx="11">
                  <c:v>-6.3010809385710616</c:v>
                </c:pt>
                <c:pt idx="12">
                  <c:v>-8.8871912401324007</c:v>
                </c:pt>
                <c:pt idx="13">
                  <c:v>-11.005586592178878</c:v>
                </c:pt>
                <c:pt idx="14">
                  <c:v>-15.395021645021657</c:v>
                </c:pt>
                <c:pt idx="15">
                  <c:v>-14.096792346651654</c:v>
                </c:pt>
                <c:pt idx="16">
                  <c:v>-11.626607043040821</c:v>
                </c:pt>
                <c:pt idx="17">
                  <c:v>-17.827997489014699</c:v>
                </c:pt>
                <c:pt idx="18">
                  <c:v>-17.812599936040922</c:v>
                </c:pt>
                <c:pt idx="19">
                  <c:v>-22.469701932525034</c:v>
                </c:pt>
                <c:pt idx="20">
                  <c:v>-26.881720430107489</c:v>
                </c:pt>
                <c:pt idx="21">
                  <c:v>-19.90068754774618</c:v>
                </c:pt>
                <c:pt idx="22">
                  <c:v>-17.120622568093289</c:v>
                </c:pt>
                <c:pt idx="23">
                  <c:v>-19.053654414871147</c:v>
                </c:pt>
                <c:pt idx="24">
                  <c:v>-20.242214532871671</c:v>
                </c:pt>
                <c:pt idx="25">
                  <c:v>-24.320457796852811</c:v>
                </c:pt>
                <c:pt idx="26">
                  <c:v>-29.718309859154889</c:v>
                </c:pt>
                <c:pt idx="27">
                  <c:v>-32.828810020877114</c:v>
                </c:pt>
              </c:numCache>
            </c:numRef>
          </c:val>
          <c:extLst xmlns:c16r2="http://schemas.microsoft.com/office/drawing/2015/06/chart">
            <c:ext xmlns:c16="http://schemas.microsoft.com/office/drawing/2014/chart" uri="{C3380CC4-5D6E-409C-BE32-E72D297353CC}">
              <c16:uniqueId val="{00000002-F2DD-40A5-B972-CA8F48531D2B}"/>
            </c:ext>
          </c:extLst>
        </c:ser>
        <c:ser>
          <c:idx val="3"/>
          <c:order val="3"/>
          <c:tx>
            <c:strRef>
              <c:f>'GRŘAF-zaměstnanost, VM'!$A$107</c:f>
              <c:strCache>
                <c:ptCount val="1"/>
                <c:pt idx="0">
                  <c:v>Nezaměstnaní nad 1 rok</c:v>
                </c:pt>
              </c:strCache>
            </c:strRef>
          </c:tx>
          <c:spPr>
            <a:ln w="22225">
              <a:solidFill>
                <a:srgbClr val="F8A124"/>
              </a:solidFill>
            </a:ln>
          </c:spPr>
          <c:marker>
            <c:symbol val="none"/>
          </c:marker>
          <c:cat>
            <c:multiLvlStrRef>
              <c:f>'GRŘAF-zaměstnanost, VM'!$N$102:$AO$103</c:f>
              <c:multiLvlStrCache>
                <c:ptCount val="28"/>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lvl>
                <c:lvl>
                  <c:pt idx="0">
                    <c:v>2011</c:v>
                  </c:pt>
                  <c:pt idx="4">
                    <c:v>2012</c:v>
                  </c:pt>
                  <c:pt idx="8">
                    <c:v>2013</c:v>
                  </c:pt>
                  <c:pt idx="12">
                    <c:v>2014</c:v>
                  </c:pt>
                  <c:pt idx="16">
                    <c:v>2015</c:v>
                  </c:pt>
                  <c:pt idx="20">
                    <c:v>2016</c:v>
                  </c:pt>
                  <c:pt idx="24">
                    <c:v>2017</c:v>
                  </c:pt>
                </c:lvl>
              </c:multiLvlStrCache>
            </c:multiLvlStrRef>
          </c:cat>
          <c:val>
            <c:numRef>
              <c:f>'GRŘAF-zaměstnanost, VM'!$N$107:$AO$107</c:f>
              <c:numCache>
                <c:formatCode>0.0</c:formatCode>
                <c:ptCount val="28"/>
                <c:pt idx="0">
                  <c:v>-1.3227513227513301</c:v>
                </c:pt>
                <c:pt idx="1">
                  <c:v>-11.69665809768637</c:v>
                </c:pt>
                <c:pt idx="2">
                  <c:v>-13.966480446927486</c:v>
                </c:pt>
                <c:pt idx="3">
                  <c:v>-10.256410256410341</c:v>
                </c:pt>
                <c:pt idx="4">
                  <c:v>6.6353887399463654</c:v>
                </c:pt>
                <c:pt idx="5">
                  <c:v>13.245997088791848</c:v>
                </c:pt>
                <c:pt idx="6">
                  <c:v>14.86291486291487</c:v>
                </c:pt>
                <c:pt idx="7">
                  <c:v>12.891986062717777</c:v>
                </c:pt>
                <c:pt idx="8">
                  <c:v>6.7881835323695867</c:v>
                </c:pt>
                <c:pt idx="9">
                  <c:v>2.1850899742930467</c:v>
                </c:pt>
                <c:pt idx="10">
                  <c:v>1.4447236180904315</c:v>
                </c:pt>
                <c:pt idx="11">
                  <c:v>-7.2222222222222294</c:v>
                </c:pt>
                <c:pt idx="12">
                  <c:v>-13.360800470865302</c:v>
                </c:pt>
                <c:pt idx="13">
                  <c:v>-13.459119496855354</c:v>
                </c:pt>
                <c:pt idx="14">
                  <c:v>-15.170278637770815</c:v>
                </c:pt>
                <c:pt idx="15">
                  <c:v>-6.0545575515634695</c:v>
                </c:pt>
                <c:pt idx="16">
                  <c:v>-1.6983695652174049</c:v>
                </c:pt>
                <c:pt idx="17">
                  <c:v>-11.11918604651162</c:v>
                </c:pt>
                <c:pt idx="18">
                  <c:v>-8.9781021897810405</c:v>
                </c:pt>
                <c:pt idx="19">
                  <c:v>-18.62606232294619</c:v>
                </c:pt>
                <c:pt idx="20">
                  <c:v>-26.744989633724789</c:v>
                </c:pt>
                <c:pt idx="21">
                  <c:v>-25.429272281275399</c:v>
                </c:pt>
                <c:pt idx="22">
                  <c:v>-32.878909382518053</c:v>
                </c:pt>
                <c:pt idx="23">
                  <c:v>-34.638816362054257</c:v>
                </c:pt>
                <c:pt idx="24">
                  <c:v>-35.471698113207104</c:v>
                </c:pt>
                <c:pt idx="25">
                  <c:v>-34.978070175438575</c:v>
                </c:pt>
                <c:pt idx="26">
                  <c:v>-41.33811230585458</c:v>
                </c:pt>
                <c:pt idx="27">
                  <c:v>-45.938748335552603</c:v>
                </c:pt>
              </c:numCache>
            </c:numRef>
          </c:val>
          <c:extLst xmlns:c16r2="http://schemas.microsoft.com/office/drawing/2015/06/chart">
            <c:ext xmlns:c16="http://schemas.microsoft.com/office/drawing/2014/chart" uri="{C3380CC4-5D6E-409C-BE32-E72D297353CC}">
              <c16:uniqueId val="{00000003-F2DD-40A5-B972-CA8F48531D2B}"/>
            </c:ext>
          </c:extLst>
        </c:ser>
        <c:ser>
          <c:idx val="4"/>
          <c:order val="4"/>
          <c:tx>
            <c:strRef>
              <c:f>'GRŘAF-zaměstnanost, VM'!$A$108</c:f>
              <c:strCache>
                <c:ptCount val="1"/>
                <c:pt idx="0">
                  <c:v>Zaměstnaní (fyz. osoby)</c:v>
                </c:pt>
              </c:strCache>
            </c:strRef>
          </c:tx>
          <c:spPr>
            <a:ln w="22225">
              <a:solidFill>
                <a:srgbClr val="0071BC"/>
              </a:solidFill>
            </a:ln>
          </c:spPr>
          <c:marker>
            <c:symbol val="none"/>
          </c:marker>
          <c:cat>
            <c:multiLvlStrRef>
              <c:f>'GRŘAF-zaměstnanost, VM'!$N$102:$AO$103</c:f>
              <c:multiLvlStrCache>
                <c:ptCount val="28"/>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lvl>
                <c:lvl>
                  <c:pt idx="0">
                    <c:v>2011</c:v>
                  </c:pt>
                  <c:pt idx="4">
                    <c:v>2012</c:v>
                  </c:pt>
                  <c:pt idx="8">
                    <c:v>2013</c:v>
                  </c:pt>
                  <c:pt idx="12">
                    <c:v>2014</c:v>
                  </c:pt>
                  <c:pt idx="16">
                    <c:v>2015</c:v>
                  </c:pt>
                  <c:pt idx="20">
                    <c:v>2016</c:v>
                  </c:pt>
                  <c:pt idx="24">
                    <c:v>2017</c:v>
                  </c:pt>
                </c:lvl>
              </c:multiLvlStrCache>
            </c:multiLvlStrRef>
          </c:cat>
          <c:val>
            <c:numRef>
              <c:f>'GRŘAF-zaměstnanost, VM'!$N$108:$AO$108</c:f>
              <c:numCache>
                <c:formatCode>0.0</c:formatCode>
                <c:ptCount val="28"/>
                <c:pt idx="0">
                  <c:v>0.13178268176454822</c:v>
                </c:pt>
                <c:pt idx="1">
                  <c:v>-2.5904437184507856E-2</c:v>
                </c:pt>
                <c:pt idx="2">
                  <c:v>-0.47317989959568058</c:v>
                </c:pt>
                <c:pt idx="3">
                  <c:v>-0.71438463737113023</c:v>
                </c:pt>
                <c:pt idx="4">
                  <c:v>-4.7090463500993433E-2</c:v>
                </c:pt>
                <c:pt idx="5">
                  <c:v>0.14863253315159874</c:v>
                </c:pt>
                <c:pt idx="6">
                  <c:v>0.64790260604069372</c:v>
                </c:pt>
                <c:pt idx="7">
                  <c:v>0.9244843217549833</c:v>
                </c:pt>
                <c:pt idx="8">
                  <c:v>0.48683737830315038</c:v>
                </c:pt>
                <c:pt idx="9">
                  <c:v>0.67963294796599882</c:v>
                </c:pt>
                <c:pt idx="10">
                  <c:v>8.1323393285174544E-2</c:v>
                </c:pt>
                <c:pt idx="11">
                  <c:v>4.6834927367626934E-2</c:v>
                </c:pt>
                <c:pt idx="12">
                  <c:v>0.63885469819912</c:v>
                </c:pt>
                <c:pt idx="13">
                  <c:v>8.2909584151451554E-3</c:v>
                </c:pt>
                <c:pt idx="14">
                  <c:v>0.59283393486965563</c:v>
                </c:pt>
                <c:pt idx="15">
                  <c:v>0.96720091752699899</c:v>
                </c:pt>
                <c:pt idx="16">
                  <c:v>1.3359559669863335</c:v>
                </c:pt>
                <c:pt idx="17">
                  <c:v>1.69553724099778</c:v>
                </c:pt>
                <c:pt idx="18">
                  <c:v>1.323505550404235</c:v>
                </c:pt>
                <c:pt idx="19">
                  <c:v>1.3573813201072369</c:v>
                </c:pt>
                <c:pt idx="20">
                  <c:v>1.6422999503363087</c:v>
                </c:pt>
                <c:pt idx="21">
                  <c:v>1.3591708244697531</c:v>
                </c:pt>
                <c:pt idx="22">
                  <c:v>1.5096733610931068</c:v>
                </c:pt>
                <c:pt idx="23">
                  <c:v>1.8473425889066861</c:v>
                </c:pt>
                <c:pt idx="24">
                  <c:v>1.5023054897902461</c:v>
                </c:pt>
                <c:pt idx="25">
                  <c:v>1.3213337752391019</c:v>
                </c:pt>
                <c:pt idx="26">
                  <c:v>1.9737307528905996</c:v>
                </c:pt>
                <c:pt idx="27">
                  <c:v>1.4157007382128532</c:v>
                </c:pt>
              </c:numCache>
            </c:numRef>
          </c:val>
          <c:extLst xmlns:c16r2="http://schemas.microsoft.com/office/drawing/2015/06/chart">
            <c:ext xmlns:c16="http://schemas.microsoft.com/office/drawing/2014/chart" uri="{C3380CC4-5D6E-409C-BE32-E72D297353CC}">
              <c16:uniqueId val="{00000004-F2DD-40A5-B972-CA8F48531D2B}"/>
            </c:ext>
          </c:extLst>
        </c:ser>
        <c:ser>
          <c:idx val="5"/>
          <c:order val="5"/>
          <c:tx>
            <c:strRef>
              <c:f>'GRŘAF-zaměstnanost, VM'!$A$109</c:f>
              <c:strCache>
                <c:ptCount val="1"/>
                <c:pt idx="0">
                  <c:v>Sebezaměstnaní  (fyz. osoby)</c:v>
                </c:pt>
              </c:strCache>
            </c:strRef>
          </c:tx>
          <c:spPr>
            <a:ln w="22225">
              <a:solidFill>
                <a:srgbClr val="7DBB2D"/>
              </a:solidFill>
            </a:ln>
          </c:spPr>
          <c:marker>
            <c:symbol val="none"/>
          </c:marker>
          <c:cat>
            <c:multiLvlStrRef>
              <c:f>'GRŘAF-zaměstnanost, VM'!$N$102:$AO$103</c:f>
              <c:multiLvlStrCache>
                <c:ptCount val="28"/>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lvl>
                <c:lvl>
                  <c:pt idx="0">
                    <c:v>2011</c:v>
                  </c:pt>
                  <c:pt idx="4">
                    <c:v>2012</c:v>
                  </c:pt>
                  <c:pt idx="8">
                    <c:v>2013</c:v>
                  </c:pt>
                  <c:pt idx="12">
                    <c:v>2014</c:v>
                  </c:pt>
                  <c:pt idx="16">
                    <c:v>2015</c:v>
                  </c:pt>
                  <c:pt idx="20">
                    <c:v>2016</c:v>
                  </c:pt>
                  <c:pt idx="24">
                    <c:v>2017</c:v>
                  </c:pt>
                </c:lvl>
              </c:multiLvlStrCache>
            </c:multiLvlStrRef>
          </c:cat>
          <c:val>
            <c:numRef>
              <c:f>'GRŘAF-zaměstnanost, VM'!$N$109:$AO$109</c:f>
              <c:numCache>
                <c:formatCode>0.0</c:formatCode>
                <c:ptCount val="28"/>
                <c:pt idx="0">
                  <c:v>1.345434433596296</c:v>
                </c:pt>
                <c:pt idx="1">
                  <c:v>0.95831892963799659</c:v>
                </c:pt>
                <c:pt idx="2">
                  <c:v>0.62927352520523527</c:v>
                </c:pt>
                <c:pt idx="3">
                  <c:v>0.78283085612804892</c:v>
                </c:pt>
                <c:pt idx="4">
                  <c:v>1.2836109374110691</c:v>
                </c:pt>
                <c:pt idx="5">
                  <c:v>0.60013992963968465</c:v>
                </c:pt>
                <c:pt idx="6">
                  <c:v>-1.8913475988536845</c:v>
                </c:pt>
                <c:pt idx="7">
                  <c:v>-1.8639357029450558</c:v>
                </c:pt>
                <c:pt idx="8">
                  <c:v>-4.3044267832107863</c:v>
                </c:pt>
                <c:pt idx="9">
                  <c:v>-4.2393218264682284</c:v>
                </c:pt>
                <c:pt idx="10">
                  <c:v>-1.182632725252134</c:v>
                </c:pt>
                <c:pt idx="11">
                  <c:v>-2.2433900334116612</c:v>
                </c:pt>
                <c:pt idx="12">
                  <c:v>0.30107723087142801</c:v>
                </c:pt>
                <c:pt idx="13">
                  <c:v>-0.46860644757293812</c:v>
                </c:pt>
                <c:pt idx="14">
                  <c:v>-2.9778453327844527</c:v>
                </c:pt>
                <c:pt idx="15">
                  <c:v>-1.8622473945852354</c:v>
                </c:pt>
                <c:pt idx="16">
                  <c:v>-1.6714854688748011</c:v>
                </c:pt>
                <c:pt idx="17">
                  <c:v>-0.58632425742571703</c:v>
                </c:pt>
                <c:pt idx="18">
                  <c:v>-1.1958726610365693</c:v>
                </c:pt>
                <c:pt idx="19">
                  <c:v>-2.500920537184669</c:v>
                </c:pt>
                <c:pt idx="20">
                  <c:v>-2.9947455503692377</c:v>
                </c:pt>
                <c:pt idx="21">
                  <c:v>-0.84901158297169843</c:v>
                </c:pt>
                <c:pt idx="22">
                  <c:v>0.72746508010490629</c:v>
                </c:pt>
                <c:pt idx="23">
                  <c:v>3.7710909255421114</c:v>
                </c:pt>
                <c:pt idx="24">
                  <c:v>3.3775140286990002</c:v>
                </c:pt>
                <c:pt idx="25">
                  <c:v>0.33351425936961376</c:v>
                </c:pt>
                <c:pt idx="26">
                  <c:v>0.13479716730971347</c:v>
                </c:pt>
                <c:pt idx="27">
                  <c:v>-3.5266361617946558</c:v>
                </c:pt>
              </c:numCache>
            </c:numRef>
          </c:val>
          <c:extLst xmlns:c16r2="http://schemas.microsoft.com/office/drawing/2015/06/chart">
            <c:ext xmlns:c16="http://schemas.microsoft.com/office/drawing/2014/chart" uri="{C3380CC4-5D6E-409C-BE32-E72D297353CC}">
              <c16:uniqueId val="{00000005-F2DD-40A5-B972-CA8F48531D2B}"/>
            </c:ext>
          </c:extLst>
        </c:ser>
        <c:marker val="1"/>
        <c:axId val="119203328"/>
        <c:axId val="119204864"/>
      </c:lineChart>
      <c:catAx>
        <c:axId val="119203328"/>
        <c:scaling>
          <c:orientation val="minMax"/>
        </c:scaling>
        <c:axPos val="b"/>
        <c:numFmt formatCode="General" sourceLinked="1"/>
        <c:tickLblPos val="low"/>
        <c:txPr>
          <a:bodyPr/>
          <a:lstStyle/>
          <a:p>
            <a:pPr>
              <a:defRPr sz="800">
                <a:latin typeface="Arial" pitchFamily="34" charset="0"/>
                <a:cs typeface="Arial" pitchFamily="34" charset="0"/>
              </a:defRPr>
            </a:pPr>
            <a:endParaRPr lang="cs-CZ"/>
          </a:p>
        </c:txPr>
        <c:crossAx val="119204864"/>
        <c:crossesAt val="-50"/>
        <c:auto val="1"/>
        <c:lblAlgn val="ctr"/>
        <c:lblOffset val="0"/>
      </c:catAx>
      <c:valAx>
        <c:axId val="119204864"/>
        <c:scaling>
          <c:orientation val="minMax"/>
          <c:max val="20"/>
          <c:min val="-50"/>
        </c:scaling>
        <c:axPos val="l"/>
        <c:majorGridlines>
          <c:spPr>
            <a:ln w="6350">
              <a:solidFill>
                <a:sysClr val="window" lastClr="FFFFFF">
                  <a:lumMod val="75000"/>
                </a:sysClr>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19203328"/>
        <c:crosses val="autoZero"/>
        <c:crossBetween val="between"/>
        <c:majorUnit val="5"/>
      </c:valAx>
      <c:valAx>
        <c:axId val="119481088"/>
        <c:scaling>
          <c:orientation val="minMax"/>
          <c:max val="7"/>
          <c:min val="0"/>
        </c:scaling>
        <c:axPos val="r"/>
        <c:numFmt formatCode="General" sourceLinked="1"/>
        <c:tickLblPos val="nextTo"/>
        <c:txPr>
          <a:bodyPr/>
          <a:lstStyle/>
          <a:p>
            <a:pPr>
              <a:defRPr sz="800">
                <a:latin typeface="Arial" pitchFamily="34" charset="0"/>
                <a:cs typeface="Arial" pitchFamily="34" charset="0"/>
              </a:defRPr>
            </a:pPr>
            <a:endParaRPr lang="cs-CZ"/>
          </a:p>
        </c:txPr>
        <c:crossAx val="119482624"/>
        <c:crosses val="max"/>
        <c:crossBetween val="between"/>
        <c:majorUnit val="1"/>
      </c:valAx>
      <c:catAx>
        <c:axId val="119482624"/>
        <c:scaling>
          <c:orientation val="minMax"/>
        </c:scaling>
        <c:delete val="1"/>
        <c:axPos val="b"/>
        <c:numFmt formatCode="General" sourceLinked="1"/>
        <c:tickLblPos val="none"/>
        <c:crossAx val="119481088"/>
        <c:crosses val="autoZero"/>
        <c:auto val="1"/>
        <c:lblAlgn val="ctr"/>
        <c:lblOffset val="100"/>
      </c:catAx>
      <c:spPr>
        <a:ln>
          <a:solidFill>
            <a:sysClr val="windowText" lastClr="000000"/>
          </a:solidFill>
        </a:ln>
      </c:spPr>
    </c:plotArea>
    <c:legend>
      <c:legendPos val="r"/>
      <c:layout>
        <c:manualLayout>
          <c:xMode val="edge"/>
          <c:yMode val="edge"/>
          <c:x val="1.0164599870360341E-2"/>
          <c:y val="0.87755460637508687"/>
          <c:w val="0.96727554804637272"/>
          <c:h val="0.11185260622883711"/>
        </c:manualLayout>
      </c:layout>
      <c:spPr>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solidFill>
      <a:srgbClr val="FFFFFF"/>
    </a:solidFill>
    <a:ln>
      <a:noFill/>
    </a:ln>
  </c:spPr>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4.9011887316812913E-2"/>
          <c:y val="1.6233377178020272E-2"/>
          <c:w val="0.90123915184864356"/>
          <c:h val="0.77179151035441174"/>
        </c:manualLayout>
      </c:layout>
      <c:lineChart>
        <c:grouping val="standard"/>
        <c:ser>
          <c:idx val="0"/>
          <c:order val="0"/>
          <c:tx>
            <c:strRef>
              <c:f>List1!$A$27</c:f>
              <c:strCache>
                <c:ptCount val="1"/>
                <c:pt idx="0">
                  <c:v>Zemědělství, lesnictví a rybářství</c:v>
                </c:pt>
              </c:strCache>
            </c:strRef>
          </c:tx>
          <c:spPr>
            <a:ln w="22225">
              <a:solidFill>
                <a:schemeClr val="tx1">
                  <a:lumMod val="95000"/>
                  <a:lumOff val="5000"/>
                </a:schemeClr>
              </a:solidFill>
              <a:prstDash val="sysDot"/>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List1!$B$27:$L$27</c:f>
              <c:numCache>
                <c:formatCode>0.0</c:formatCode>
                <c:ptCount val="11"/>
                <c:pt idx="0" formatCode="General">
                  <c:v>100</c:v>
                </c:pt>
                <c:pt idx="1">
                  <c:v>99.191789381845624</c:v>
                </c:pt>
                <c:pt idx="2">
                  <c:v>98.698963651154841</c:v>
                </c:pt>
                <c:pt idx="3">
                  <c:v>93.557305728804351</c:v>
                </c:pt>
                <c:pt idx="4">
                  <c:v>96.271973778841499</c:v>
                </c:pt>
                <c:pt idx="5">
                  <c:v>97.395569284459484</c:v>
                </c:pt>
                <c:pt idx="6">
                  <c:v>98.424254571607804</c:v>
                </c:pt>
                <c:pt idx="7">
                  <c:v>97.61250692667744</c:v>
                </c:pt>
                <c:pt idx="8">
                  <c:v>96.316776117994024</c:v>
                </c:pt>
                <c:pt idx="9">
                  <c:v>94.417392739663043</c:v>
                </c:pt>
                <c:pt idx="10">
                  <c:v>94.998644139736129</c:v>
                </c:pt>
              </c:numCache>
            </c:numRef>
          </c:val>
          <c:extLst xmlns:c16r2="http://schemas.microsoft.com/office/drawing/2015/06/chart">
            <c:ext xmlns:c16="http://schemas.microsoft.com/office/drawing/2014/chart" uri="{C3380CC4-5D6E-409C-BE32-E72D297353CC}">
              <c16:uniqueId val="{00000000-8EBA-40BD-83DA-F08A383258BD}"/>
            </c:ext>
          </c:extLst>
        </c:ser>
        <c:ser>
          <c:idx val="1"/>
          <c:order val="1"/>
          <c:tx>
            <c:strRef>
              <c:f>List1!$A$28</c:f>
              <c:strCache>
                <c:ptCount val="1"/>
                <c:pt idx="0">
                  <c:v>Těžba a dobývání</c:v>
                </c:pt>
              </c:strCache>
            </c:strRef>
          </c:tx>
          <c:spPr>
            <a:ln w="22225">
              <a:solidFill>
                <a:schemeClr val="bg2">
                  <a:lumMod val="75000"/>
                </a:schemeClr>
              </a:solidFill>
              <a:prstDash val="sysDash"/>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List1!$B$28:$L$28</c:f>
              <c:numCache>
                <c:formatCode>0.0</c:formatCode>
                <c:ptCount val="11"/>
                <c:pt idx="0" formatCode="General">
                  <c:v>100</c:v>
                </c:pt>
                <c:pt idx="1">
                  <c:v>105.54307116104869</c:v>
                </c:pt>
                <c:pt idx="2">
                  <c:v>91.985018726590837</c:v>
                </c:pt>
                <c:pt idx="3">
                  <c:v>86.509604929322919</c:v>
                </c:pt>
                <c:pt idx="4">
                  <c:v>84.214087229672927</c:v>
                </c:pt>
                <c:pt idx="5">
                  <c:v>83.155732753411698</c:v>
                </c:pt>
                <c:pt idx="6">
                  <c:v>79.859852603600288</c:v>
                </c:pt>
                <c:pt idx="7">
                  <c:v>84.2430832427208</c:v>
                </c:pt>
                <c:pt idx="8">
                  <c:v>80.763561676936092</c:v>
                </c:pt>
                <c:pt idx="9">
                  <c:v>75.15041681768642</c:v>
                </c:pt>
                <c:pt idx="10">
                  <c:v>69.646007007369818</c:v>
                </c:pt>
              </c:numCache>
            </c:numRef>
          </c:val>
          <c:extLst xmlns:c16r2="http://schemas.microsoft.com/office/drawing/2015/06/chart">
            <c:ext xmlns:c16="http://schemas.microsoft.com/office/drawing/2014/chart" uri="{C3380CC4-5D6E-409C-BE32-E72D297353CC}">
              <c16:uniqueId val="{00000001-8EBA-40BD-83DA-F08A383258BD}"/>
            </c:ext>
          </c:extLst>
        </c:ser>
        <c:ser>
          <c:idx val="2"/>
          <c:order val="2"/>
          <c:tx>
            <c:strRef>
              <c:f>List1!$A$29</c:f>
              <c:strCache>
                <c:ptCount val="1"/>
                <c:pt idx="0">
                  <c:v>Zpracovatelský průmysl</c:v>
                </c:pt>
              </c:strCache>
            </c:strRef>
          </c:tx>
          <c:spPr>
            <a:ln w="22225">
              <a:solidFill>
                <a:srgbClr val="0071BC"/>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List1!$B$29:$L$29</c:f>
              <c:numCache>
                <c:formatCode>0.0</c:formatCode>
                <c:ptCount val="11"/>
                <c:pt idx="0" formatCode="General">
                  <c:v>100</c:v>
                </c:pt>
                <c:pt idx="1">
                  <c:v>100.5582109772967</c:v>
                </c:pt>
                <c:pt idx="2">
                  <c:v>92.96079808312733</c:v>
                </c:pt>
                <c:pt idx="3">
                  <c:v>90.13167173190088</c:v>
                </c:pt>
                <c:pt idx="4">
                  <c:v>93.520908979969718</c:v>
                </c:pt>
                <c:pt idx="5">
                  <c:v>94.176965813869913</c:v>
                </c:pt>
                <c:pt idx="6">
                  <c:v>93.84111849725133</c:v>
                </c:pt>
                <c:pt idx="7">
                  <c:v>95.110630122932108</c:v>
                </c:pt>
                <c:pt idx="8">
                  <c:v>98.320982638388472</c:v>
                </c:pt>
                <c:pt idx="9">
                  <c:v>100.74118784431479</c:v>
                </c:pt>
                <c:pt idx="10">
                  <c:v>101.71482353766481</c:v>
                </c:pt>
              </c:numCache>
            </c:numRef>
          </c:val>
          <c:extLst xmlns:c16r2="http://schemas.microsoft.com/office/drawing/2015/06/chart">
            <c:ext xmlns:c16="http://schemas.microsoft.com/office/drawing/2014/chart" uri="{C3380CC4-5D6E-409C-BE32-E72D297353CC}">
              <c16:uniqueId val="{00000002-8EBA-40BD-83DA-F08A383258BD}"/>
            </c:ext>
          </c:extLst>
        </c:ser>
        <c:ser>
          <c:idx val="3"/>
          <c:order val="3"/>
          <c:tx>
            <c:strRef>
              <c:f>List1!$A$30</c:f>
              <c:strCache>
                <c:ptCount val="1"/>
                <c:pt idx="0">
                  <c:v>Energetika; Zásob. vodou, odpady</c:v>
                </c:pt>
              </c:strCache>
            </c:strRef>
          </c:tx>
          <c:spPr>
            <a:ln w="22225">
              <a:solidFill>
                <a:srgbClr val="48AEE7"/>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List1!$B$30:$L$30</c:f>
              <c:numCache>
                <c:formatCode>0.0</c:formatCode>
                <c:ptCount val="11"/>
                <c:pt idx="0" formatCode="General">
                  <c:v>100</c:v>
                </c:pt>
                <c:pt idx="1">
                  <c:v>102.62372185781565</c:v>
                </c:pt>
                <c:pt idx="2">
                  <c:v>103.45256896492099</c:v>
                </c:pt>
                <c:pt idx="3">
                  <c:v>102.22716635733799</c:v>
                </c:pt>
                <c:pt idx="4">
                  <c:v>103.45602729777399</c:v>
                </c:pt>
                <c:pt idx="5">
                  <c:v>103.44565229921591</c:v>
                </c:pt>
                <c:pt idx="6">
                  <c:v>104.13270775934615</c:v>
                </c:pt>
                <c:pt idx="7">
                  <c:v>105.37079092072281</c:v>
                </c:pt>
                <c:pt idx="8">
                  <c:v>106.97891569737322</c:v>
                </c:pt>
                <c:pt idx="9">
                  <c:v>107.64406838276828</c:v>
                </c:pt>
                <c:pt idx="10">
                  <c:v>109.75365142310396</c:v>
                </c:pt>
              </c:numCache>
            </c:numRef>
          </c:val>
          <c:extLst xmlns:c16r2="http://schemas.microsoft.com/office/drawing/2015/06/chart">
            <c:ext xmlns:c16="http://schemas.microsoft.com/office/drawing/2014/chart" uri="{C3380CC4-5D6E-409C-BE32-E72D297353CC}">
              <c16:uniqueId val="{00000003-8EBA-40BD-83DA-F08A383258BD}"/>
            </c:ext>
          </c:extLst>
        </c:ser>
        <c:ser>
          <c:idx val="4"/>
          <c:order val="4"/>
          <c:tx>
            <c:strRef>
              <c:f>List1!$A$31</c:f>
              <c:strCache>
                <c:ptCount val="1"/>
                <c:pt idx="0">
                  <c:v>Stavebnictví</c:v>
                </c:pt>
              </c:strCache>
            </c:strRef>
          </c:tx>
          <c:spPr>
            <a:ln w="22225">
              <a:solidFill>
                <a:srgbClr val="7030A0"/>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List1!$B$31:$L$31</c:f>
              <c:numCache>
                <c:formatCode>0.0</c:formatCode>
                <c:ptCount val="11"/>
                <c:pt idx="0" formatCode="General">
                  <c:v>100</c:v>
                </c:pt>
                <c:pt idx="1">
                  <c:v>103.47072079278446</c:v>
                </c:pt>
                <c:pt idx="2">
                  <c:v>106.09718749571473</c:v>
                </c:pt>
                <c:pt idx="3">
                  <c:v>107.97790403751834</c:v>
                </c:pt>
                <c:pt idx="4">
                  <c:v>102.63103765089841</c:v>
                </c:pt>
                <c:pt idx="5">
                  <c:v>100.91350395158452</c:v>
                </c:pt>
                <c:pt idx="6">
                  <c:v>98.148080430399958</c:v>
                </c:pt>
                <c:pt idx="7">
                  <c:v>94.026913741640897</c:v>
                </c:pt>
                <c:pt idx="8">
                  <c:v>93.377839130056245</c:v>
                </c:pt>
                <c:pt idx="9">
                  <c:v>91.264689884035747</c:v>
                </c:pt>
                <c:pt idx="10">
                  <c:v>90.775598451362811</c:v>
                </c:pt>
              </c:numCache>
            </c:numRef>
          </c:val>
          <c:extLst xmlns:c16r2="http://schemas.microsoft.com/office/drawing/2015/06/chart">
            <c:ext xmlns:c16="http://schemas.microsoft.com/office/drawing/2014/chart" uri="{C3380CC4-5D6E-409C-BE32-E72D297353CC}">
              <c16:uniqueId val="{00000004-8EBA-40BD-83DA-F08A383258BD}"/>
            </c:ext>
          </c:extLst>
        </c:ser>
        <c:ser>
          <c:idx val="5"/>
          <c:order val="5"/>
          <c:tx>
            <c:strRef>
              <c:f>List1!$A$32</c:f>
              <c:strCache>
                <c:ptCount val="1"/>
                <c:pt idx="0">
                  <c:v>Obchod; Doprava a skladování</c:v>
                </c:pt>
              </c:strCache>
            </c:strRef>
          </c:tx>
          <c:spPr>
            <a:ln w="22225">
              <a:solidFill>
                <a:srgbClr val="BD1B21"/>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List1!$B$32:$L$32</c:f>
              <c:numCache>
                <c:formatCode>0.0</c:formatCode>
                <c:ptCount val="11"/>
                <c:pt idx="0" formatCode="General">
                  <c:v>100</c:v>
                </c:pt>
                <c:pt idx="1">
                  <c:v>104.07023296031029</c:v>
                </c:pt>
                <c:pt idx="2">
                  <c:v>102.70915697456478</c:v>
                </c:pt>
                <c:pt idx="3">
                  <c:v>103.29273229806518</c:v>
                </c:pt>
                <c:pt idx="4">
                  <c:v>102.95776126191468</c:v>
                </c:pt>
                <c:pt idx="5">
                  <c:v>102.24483573824079</c:v>
                </c:pt>
                <c:pt idx="6">
                  <c:v>102.66197513957074</c:v>
                </c:pt>
                <c:pt idx="7">
                  <c:v>103.31162502436653</c:v>
                </c:pt>
                <c:pt idx="8">
                  <c:v>103.79733802486041</c:v>
                </c:pt>
                <c:pt idx="9">
                  <c:v>103.44027549393486</c:v>
                </c:pt>
                <c:pt idx="10">
                  <c:v>103.91859134233322</c:v>
                </c:pt>
              </c:numCache>
            </c:numRef>
          </c:val>
          <c:extLst xmlns:c16r2="http://schemas.microsoft.com/office/drawing/2015/06/chart">
            <c:ext xmlns:c16="http://schemas.microsoft.com/office/drawing/2014/chart" uri="{C3380CC4-5D6E-409C-BE32-E72D297353CC}">
              <c16:uniqueId val="{00000005-8EBA-40BD-83DA-F08A383258BD}"/>
            </c:ext>
          </c:extLst>
        </c:ser>
        <c:ser>
          <c:idx val="6"/>
          <c:order val="6"/>
          <c:tx>
            <c:strRef>
              <c:f>List1!$A$33</c:f>
              <c:strCache>
                <c:ptCount val="1"/>
                <c:pt idx="0">
                  <c:v>Informační a komunikační činnosti</c:v>
                </c:pt>
              </c:strCache>
            </c:strRef>
          </c:tx>
          <c:spPr>
            <a:ln w="22225">
              <a:solidFill>
                <a:srgbClr val="F8A124"/>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List1!$B$33:$L$33</c:f>
              <c:numCache>
                <c:formatCode>0.0</c:formatCode>
                <c:ptCount val="11"/>
                <c:pt idx="0" formatCode="General">
                  <c:v>100</c:v>
                </c:pt>
                <c:pt idx="1">
                  <c:v>108.59119755050375</c:v>
                </c:pt>
                <c:pt idx="2">
                  <c:v>113.1780161133053</c:v>
                </c:pt>
                <c:pt idx="3">
                  <c:v>110.12469851695896</c:v>
                </c:pt>
                <c:pt idx="4">
                  <c:v>105.6533415439345</c:v>
                </c:pt>
                <c:pt idx="5">
                  <c:v>107.17743452900224</c:v>
                </c:pt>
                <c:pt idx="6">
                  <c:v>108.78021244932586</c:v>
                </c:pt>
                <c:pt idx="7">
                  <c:v>112.36037700347157</c:v>
                </c:pt>
                <c:pt idx="8">
                  <c:v>114.7585569867091</c:v>
                </c:pt>
                <c:pt idx="9">
                  <c:v>120.63341372881069</c:v>
                </c:pt>
                <c:pt idx="10">
                  <c:v>123.32324113511571</c:v>
                </c:pt>
              </c:numCache>
            </c:numRef>
          </c:val>
          <c:extLst xmlns:c16r2="http://schemas.microsoft.com/office/drawing/2015/06/chart">
            <c:ext xmlns:c16="http://schemas.microsoft.com/office/drawing/2014/chart" uri="{C3380CC4-5D6E-409C-BE32-E72D297353CC}">
              <c16:uniqueId val="{00000006-8EBA-40BD-83DA-F08A383258BD}"/>
            </c:ext>
          </c:extLst>
        </c:ser>
        <c:ser>
          <c:idx val="7"/>
          <c:order val="7"/>
          <c:tx>
            <c:strRef>
              <c:f>List1!$A$34</c:f>
              <c:strCache>
                <c:ptCount val="1"/>
                <c:pt idx="0">
                  <c:v>Peněžnictví a pojišť.; nemovitostí</c:v>
                </c:pt>
              </c:strCache>
            </c:strRef>
          </c:tx>
          <c:spPr>
            <a:ln w="22225"/>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List1!$B$34:$L$34</c:f>
              <c:numCache>
                <c:formatCode>0.0</c:formatCode>
                <c:ptCount val="11"/>
                <c:pt idx="0" formatCode="General">
                  <c:v>100</c:v>
                </c:pt>
                <c:pt idx="1">
                  <c:v>104.85070752009879</c:v>
                </c:pt>
                <c:pt idx="2">
                  <c:v>107.36214425867526</c:v>
                </c:pt>
                <c:pt idx="3">
                  <c:v>107.12329815317797</c:v>
                </c:pt>
                <c:pt idx="4">
                  <c:v>100.66133589851501</c:v>
                </c:pt>
                <c:pt idx="5">
                  <c:v>105.93781256319583</c:v>
                </c:pt>
                <c:pt idx="6">
                  <c:v>105.95584899679073</c:v>
                </c:pt>
                <c:pt idx="7">
                  <c:v>107.28999852429178</c:v>
                </c:pt>
                <c:pt idx="8">
                  <c:v>106.11325787181013</c:v>
                </c:pt>
                <c:pt idx="9">
                  <c:v>107.0489661844198</c:v>
                </c:pt>
                <c:pt idx="10">
                  <c:v>106.58165858670878</c:v>
                </c:pt>
              </c:numCache>
            </c:numRef>
          </c:val>
          <c:extLst xmlns:c16r2="http://schemas.microsoft.com/office/drawing/2015/06/chart">
            <c:ext xmlns:c16="http://schemas.microsoft.com/office/drawing/2014/chart" uri="{C3380CC4-5D6E-409C-BE32-E72D297353CC}">
              <c16:uniqueId val="{00000007-8EBA-40BD-83DA-F08A383258BD}"/>
            </c:ext>
          </c:extLst>
        </c:ser>
        <c:ser>
          <c:idx val="8"/>
          <c:order val="8"/>
          <c:tx>
            <c:strRef>
              <c:f>List1!$A$35</c:f>
              <c:strCache>
                <c:ptCount val="1"/>
                <c:pt idx="0">
                  <c:v>Profesní, vědecké a technické činnosti</c:v>
                </c:pt>
              </c:strCache>
            </c:strRef>
          </c:tx>
          <c:spPr>
            <a:ln w="22225">
              <a:solidFill>
                <a:srgbClr val="808080"/>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List1!$B$35:$L$35</c:f>
              <c:numCache>
                <c:formatCode>0.0</c:formatCode>
                <c:ptCount val="11"/>
                <c:pt idx="0" formatCode="General">
                  <c:v>100</c:v>
                </c:pt>
                <c:pt idx="1">
                  <c:v>100.90394365341994</c:v>
                </c:pt>
                <c:pt idx="2">
                  <c:v>101.95626764625572</c:v>
                </c:pt>
                <c:pt idx="3">
                  <c:v>102.65338959895512</c:v>
                </c:pt>
                <c:pt idx="4">
                  <c:v>97.916603418440801</c:v>
                </c:pt>
                <c:pt idx="5">
                  <c:v>100.69560399526399</c:v>
                </c:pt>
                <c:pt idx="6">
                  <c:v>101.45989556452837</c:v>
                </c:pt>
                <c:pt idx="7">
                  <c:v>104.74171954218403</c:v>
                </c:pt>
                <c:pt idx="8">
                  <c:v>107.00727101612019</c:v>
                </c:pt>
                <c:pt idx="9">
                  <c:v>111.60440511247945</c:v>
                </c:pt>
                <c:pt idx="10">
                  <c:v>113.36675369622635</c:v>
                </c:pt>
              </c:numCache>
            </c:numRef>
          </c:val>
          <c:extLst xmlns:c16r2="http://schemas.microsoft.com/office/drawing/2015/06/chart">
            <c:ext xmlns:c16="http://schemas.microsoft.com/office/drawing/2014/chart" uri="{C3380CC4-5D6E-409C-BE32-E72D297353CC}">
              <c16:uniqueId val="{00000008-8EBA-40BD-83DA-F08A383258BD}"/>
            </c:ext>
          </c:extLst>
        </c:ser>
        <c:ser>
          <c:idx val="9"/>
          <c:order val="9"/>
          <c:tx>
            <c:strRef>
              <c:f>List1!$A$36</c:f>
              <c:strCache>
                <c:ptCount val="1"/>
                <c:pt idx="0">
                  <c:v>Veřejné služby*</c:v>
                </c:pt>
              </c:strCache>
            </c:strRef>
          </c:tx>
          <c:spPr>
            <a:ln w="22225">
              <a:solidFill>
                <a:srgbClr val="7DBB2D"/>
              </a:solidFill>
            </a:ln>
          </c:spPr>
          <c:marker>
            <c:symbol val="none"/>
          </c:marker>
          <c:cat>
            <c:numRef>
              <c:f>List1!$B$26:$L$26</c:f>
              <c:numCache>
                <c:formatCode>General</c:formatCode>
                <c:ptCount val="11"/>
                <c:pt idx="0">
                  <c:v>2007</c:v>
                </c:pt>
                <c:pt idx="1">
                  <c:v>2008</c:v>
                </c:pt>
                <c:pt idx="2">
                  <c:v>2009</c:v>
                </c:pt>
                <c:pt idx="3">
                  <c:v>2010</c:v>
                </c:pt>
                <c:pt idx="4">
                  <c:v>2011</c:v>
                </c:pt>
                <c:pt idx="5">
                  <c:v>2012</c:v>
                </c:pt>
                <c:pt idx="6">
                  <c:v>2013</c:v>
                </c:pt>
                <c:pt idx="7">
                  <c:v>2014</c:v>
                </c:pt>
                <c:pt idx="8">
                  <c:v>2015</c:v>
                </c:pt>
                <c:pt idx="9">
                  <c:v>2016</c:v>
                </c:pt>
                <c:pt idx="10">
                  <c:v>2017</c:v>
                </c:pt>
              </c:numCache>
            </c:numRef>
          </c:cat>
          <c:val>
            <c:numRef>
              <c:f>List1!$B$36:$L$36</c:f>
              <c:numCache>
                <c:formatCode>0.0</c:formatCode>
                <c:ptCount val="11"/>
                <c:pt idx="0" formatCode="General">
                  <c:v>100</c:v>
                </c:pt>
                <c:pt idx="1">
                  <c:v>101.00162811132512</c:v>
                </c:pt>
                <c:pt idx="2">
                  <c:v>100.51856331775338</c:v>
                </c:pt>
                <c:pt idx="3">
                  <c:v>100.24859923261833</c:v>
                </c:pt>
                <c:pt idx="4">
                  <c:v>99.693222630528282</c:v>
                </c:pt>
                <c:pt idx="5">
                  <c:v>98.46205930883059</c:v>
                </c:pt>
                <c:pt idx="6">
                  <c:v>99.539395692407481</c:v>
                </c:pt>
                <c:pt idx="7">
                  <c:v>101.12499643919124</c:v>
                </c:pt>
                <c:pt idx="8">
                  <c:v>101.98879386094659</c:v>
                </c:pt>
                <c:pt idx="9">
                  <c:v>104.36861930462335</c:v>
                </c:pt>
                <c:pt idx="10">
                  <c:v>107.55296839973914</c:v>
                </c:pt>
              </c:numCache>
            </c:numRef>
          </c:val>
          <c:extLst xmlns:c16r2="http://schemas.microsoft.com/office/drawing/2015/06/chart">
            <c:ext xmlns:c16="http://schemas.microsoft.com/office/drawing/2014/chart" uri="{C3380CC4-5D6E-409C-BE32-E72D297353CC}">
              <c16:uniqueId val="{00000009-8EBA-40BD-83DA-F08A383258BD}"/>
            </c:ext>
          </c:extLst>
        </c:ser>
        <c:marker val="1"/>
        <c:axId val="121660160"/>
        <c:axId val="121661696"/>
      </c:lineChart>
      <c:catAx>
        <c:axId val="121660160"/>
        <c:scaling>
          <c:orientation val="minMax"/>
        </c:scaling>
        <c:axPos val="b"/>
        <c:numFmt formatCode="General" sourceLinked="1"/>
        <c:tickLblPos val="low"/>
        <c:txPr>
          <a:bodyPr/>
          <a:lstStyle/>
          <a:p>
            <a:pPr>
              <a:defRPr sz="800">
                <a:latin typeface="Arial" pitchFamily="34" charset="0"/>
                <a:cs typeface="Arial" pitchFamily="34" charset="0"/>
              </a:defRPr>
            </a:pPr>
            <a:endParaRPr lang="cs-CZ"/>
          </a:p>
        </c:txPr>
        <c:crossAx val="121661696"/>
        <c:crossesAt val="-50"/>
        <c:auto val="1"/>
        <c:lblAlgn val="ctr"/>
        <c:lblOffset val="0"/>
      </c:catAx>
      <c:valAx>
        <c:axId val="121661696"/>
        <c:scaling>
          <c:orientation val="minMax"/>
          <c:max val="125"/>
          <c:min val="70"/>
        </c:scaling>
        <c:axPos val="l"/>
        <c:majorGridlines>
          <c:spPr>
            <a:ln w="6350">
              <a:solidFill>
                <a:sysClr val="window" lastClr="FFFFFF">
                  <a:lumMod val="75000"/>
                </a:sysClr>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21660160"/>
        <c:crosses val="autoZero"/>
        <c:crossBetween val="midCat"/>
        <c:majorUnit val="5"/>
      </c:valAx>
      <c:spPr>
        <a:ln>
          <a:solidFill>
            <a:sysClr val="windowText" lastClr="000000"/>
          </a:solidFill>
        </a:ln>
      </c:spPr>
    </c:plotArea>
    <c:legend>
      <c:legendPos val="r"/>
      <c:layout>
        <c:manualLayout>
          <c:xMode val="edge"/>
          <c:yMode val="edge"/>
          <c:x val="3.7085809539466469E-2"/>
          <c:y val="0.83188986898196926"/>
          <c:w val="0.93193119802522451"/>
          <c:h val="0.15404331085318998"/>
        </c:manualLayout>
      </c:layout>
      <c:spPr>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solidFill>
      <a:srgbClr val="FFFFFF"/>
    </a:solidFill>
    <a:ln>
      <a:noFill/>
    </a:ln>
  </c:sp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4.9011887316812913E-2"/>
          <c:y val="1.6233377178020279E-2"/>
          <c:w val="0.89885548988082087"/>
          <c:h val="0.76132031171153591"/>
        </c:manualLayout>
      </c:layout>
      <c:barChart>
        <c:barDir val="col"/>
        <c:grouping val="clustered"/>
        <c:ser>
          <c:idx val="0"/>
          <c:order val="0"/>
          <c:tx>
            <c:strRef>
              <c:f>GRAF!$A$110</c:f>
              <c:strCache>
                <c:ptCount val="1"/>
                <c:pt idx="0">
                  <c:v>Ženy bez dětí</c:v>
                </c:pt>
              </c:strCache>
            </c:strRef>
          </c:tx>
          <c:spPr>
            <a:solidFill>
              <a:srgbClr val="DBDBDB"/>
            </a:solidFill>
            <a:ln>
              <a:solidFill>
                <a:prstClr val="white">
                  <a:lumMod val="50000"/>
                </a:prstClr>
              </a:solidFill>
            </a:ln>
          </c:spP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GRAF!$B$110:$N$110</c:f>
              <c:numCache>
                <c:formatCode>#,##0.0</c:formatCode>
                <c:ptCount val="13"/>
                <c:pt idx="0">
                  <c:v>82</c:v>
                </c:pt>
                <c:pt idx="1">
                  <c:v>82.7</c:v>
                </c:pt>
                <c:pt idx="2">
                  <c:v>86.1</c:v>
                </c:pt>
                <c:pt idx="3">
                  <c:v>85.9</c:v>
                </c:pt>
                <c:pt idx="4">
                  <c:v>82.9</c:v>
                </c:pt>
                <c:pt idx="5">
                  <c:v>81</c:v>
                </c:pt>
                <c:pt idx="6">
                  <c:v>82.6</c:v>
                </c:pt>
                <c:pt idx="7">
                  <c:v>82.9</c:v>
                </c:pt>
                <c:pt idx="8">
                  <c:v>82.9</c:v>
                </c:pt>
                <c:pt idx="9">
                  <c:v>82</c:v>
                </c:pt>
                <c:pt idx="10">
                  <c:v>85.5</c:v>
                </c:pt>
                <c:pt idx="11">
                  <c:v>85.4</c:v>
                </c:pt>
                <c:pt idx="12">
                  <c:v>86.5</c:v>
                </c:pt>
              </c:numCache>
            </c:numRef>
          </c:val>
          <c:extLst xmlns:c16r2="http://schemas.microsoft.com/office/drawing/2015/06/chart">
            <c:ext xmlns:c16="http://schemas.microsoft.com/office/drawing/2014/chart" uri="{C3380CC4-5D6E-409C-BE32-E72D297353CC}">
              <c16:uniqueId val="{00000000-4C51-4E0E-9859-E6ACB608A6D1}"/>
            </c:ext>
          </c:extLst>
        </c:ser>
        <c:ser>
          <c:idx val="1"/>
          <c:order val="1"/>
          <c:tx>
            <c:strRef>
              <c:f>GRAF!$A$111</c:f>
              <c:strCache>
                <c:ptCount val="1"/>
                <c:pt idx="0">
                  <c:v>Ženy s 1 dítětem (&lt;6 let)</c:v>
                </c:pt>
              </c:strCache>
            </c:strRef>
          </c:tx>
          <c:spPr>
            <a:solidFill>
              <a:srgbClr val="FDDEB3"/>
            </a:solidFill>
            <a:ln>
              <a:solidFill>
                <a:prstClr val="white">
                  <a:lumMod val="50000"/>
                </a:prstClr>
              </a:solidFill>
            </a:ln>
          </c:spP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GRAF!$B$111:$N$111</c:f>
              <c:numCache>
                <c:formatCode>#,##0.0</c:formatCode>
                <c:ptCount val="13"/>
                <c:pt idx="0">
                  <c:v>35.1</c:v>
                </c:pt>
                <c:pt idx="1">
                  <c:v>33.4</c:v>
                </c:pt>
                <c:pt idx="2">
                  <c:v>31.1</c:v>
                </c:pt>
                <c:pt idx="3">
                  <c:v>30.4</c:v>
                </c:pt>
                <c:pt idx="4">
                  <c:v>31.2</c:v>
                </c:pt>
                <c:pt idx="5">
                  <c:v>32.1</c:v>
                </c:pt>
                <c:pt idx="6">
                  <c:v>37.6</c:v>
                </c:pt>
                <c:pt idx="7">
                  <c:v>36.300000000000004</c:v>
                </c:pt>
                <c:pt idx="8">
                  <c:v>40.5</c:v>
                </c:pt>
                <c:pt idx="9">
                  <c:v>41.1</c:v>
                </c:pt>
                <c:pt idx="10">
                  <c:v>40.200000000000003</c:v>
                </c:pt>
                <c:pt idx="11">
                  <c:v>40.4</c:v>
                </c:pt>
                <c:pt idx="12">
                  <c:v>38.200000000000003</c:v>
                </c:pt>
              </c:numCache>
            </c:numRef>
          </c:val>
          <c:extLst xmlns:c16r2="http://schemas.microsoft.com/office/drawing/2015/06/chart">
            <c:ext xmlns:c16="http://schemas.microsoft.com/office/drawing/2014/chart" uri="{C3380CC4-5D6E-409C-BE32-E72D297353CC}">
              <c16:uniqueId val="{00000001-4C51-4E0E-9859-E6ACB608A6D1}"/>
            </c:ext>
          </c:extLst>
        </c:ser>
        <c:ser>
          <c:idx val="2"/>
          <c:order val="2"/>
          <c:tx>
            <c:strRef>
              <c:f>GRAF!$A$112</c:f>
              <c:strCache>
                <c:ptCount val="1"/>
                <c:pt idx="0">
                  <c:v>Ženy s 2 dětmi (nejmladší &lt;6 let)</c:v>
                </c:pt>
              </c:strCache>
            </c:strRef>
          </c:tx>
          <c:spPr>
            <a:solidFill>
              <a:srgbClr val="BFE3F7"/>
            </a:solidFill>
            <a:ln>
              <a:solidFill>
                <a:schemeClr val="bg1">
                  <a:lumMod val="50000"/>
                </a:schemeClr>
              </a:solidFill>
            </a:ln>
          </c:spP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GRAF!$B$112:$N$112</c:f>
              <c:numCache>
                <c:formatCode>#,##0.0</c:formatCode>
                <c:ptCount val="13"/>
                <c:pt idx="0">
                  <c:v>37.300000000000004</c:v>
                </c:pt>
                <c:pt idx="1">
                  <c:v>36.700000000000003</c:v>
                </c:pt>
                <c:pt idx="2">
                  <c:v>35.6</c:v>
                </c:pt>
                <c:pt idx="3">
                  <c:v>36.200000000000003</c:v>
                </c:pt>
                <c:pt idx="4">
                  <c:v>35.800000000000004</c:v>
                </c:pt>
                <c:pt idx="5">
                  <c:v>39.700000000000003</c:v>
                </c:pt>
                <c:pt idx="6">
                  <c:v>42.6</c:v>
                </c:pt>
                <c:pt idx="7">
                  <c:v>43.3</c:v>
                </c:pt>
                <c:pt idx="8">
                  <c:v>45</c:v>
                </c:pt>
                <c:pt idx="9">
                  <c:v>48.3</c:v>
                </c:pt>
                <c:pt idx="10">
                  <c:v>46.1</c:v>
                </c:pt>
                <c:pt idx="11">
                  <c:v>48.1</c:v>
                </c:pt>
                <c:pt idx="12">
                  <c:v>49.5</c:v>
                </c:pt>
              </c:numCache>
            </c:numRef>
          </c:val>
          <c:extLst xmlns:c16r2="http://schemas.microsoft.com/office/drawing/2015/06/chart">
            <c:ext xmlns:c16="http://schemas.microsoft.com/office/drawing/2014/chart" uri="{C3380CC4-5D6E-409C-BE32-E72D297353CC}">
              <c16:uniqueId val="{00000002-4C51-4E0E-9859-E6ACB608A6D1}"/>
            </c:ext>
          </c:extLst>
        </c:ser>
        <c:ser>
          <c:idx val="3"/>
          <c:order val="3"/>
          <c:tx>
            <c:strRef>
              <c:f>GRAF!$A$113</c:f>
              <c:strCache>
                <c:ptCount val="1"/>
                <c:pt idx="0">
                  <c:v>Ženy s 3+ dětmi (nejmladší &lt;6 let)</c:v>
                </c:pt>
              </c:strCache>
            </c:strRef>
          </c:tx>
          <c:spPr>
            <a:solidFill>
              <a:srgbClr val="BCA6E8"/>
            </a:solidFill>
            <a:ln>
              <a:solidFill>
                <a:prstClr val="white">
                  <a:lumMod val="50000"/>
                </a:prstClr>
              </a:solidFill>
            </a:ln>
          </c:spP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GRAF!$B$113:$N$113</c:f>
              <c:numCache>
                <c:formatCode>#,##0.0</c:formatCode>
                <c:ptCount val="13"/>
                <c:pt idx="0">
                  <c:v>29.1</c:v>
                </c:pt>
                <c:pt idx="1">
                  <c:v>30.1</c:v>
                </c:pt>
                <c:pt idx="2">
                  <c:v>30.9</c:v>
                </c:pt>
                <c:pt idx="3">
                  <c:v>30.4</c:v>
                </c:pt>
                <c:pt idx="4">
                  <c:v>33.5</c:v>
                </c:pt>
                <c:pt idx="5">
                  <c:v>33.800000000000004</c:v>
                </c:pt>
                <c:pt idx="6">
                  <c:v>36.5</c:v>
                </c:pt>
                <c:pt idx="7">
                  <c:v>34.9</c:v>
                </c:pt>
                <c:pt idx="8">
                  <c:v>38.1</c:v>
                </c:pt>
                <c:pt idx="9">
                  <c:v>38</c:v>
                </c:pt>
                <c:pt idx="10">
                  <c:v>38.4</c:v>
                </c:pt>
                <c:pt idx="11">
                  <c:v>46.6</c:v>
                </c:pt>
                <c:pt idx="12">
                  <c:v>40.700000000000003</c:v>
                </c:pt>
              </c:numCache>
            </c:numRef>
          </c:val>
          <c:extLst xmlns:c16r2="http://schemas.microsoft.com/office/drawing/2015/06/chart">
            <c:ext xmlns:c16="http://schemas.microsoft.com/office/drawing/2014/chart" uri="{C3380CC4-5D6E-409C-BE32-E72D297353CC}">
              <c16:uniqueId val="{00000003-4C51-4E0E-9859-E6ACB608A6D1}"/>
            </c:ext>
          </c:extLst>
        </c:ser>
        <c:axId val="122796288"/>
        <c:axId val="122830848"/>
      </c:barChart>
      <c:lineChart>
        <c:grouping val="standard"/>
        <c:ser>
          <c:idx val="4"/>
          <c:order val="4"/>
          <c:tx>
            <c:strRef>
              <c:f>GRAF!$A$114</c:f>
              <c:strCache>
                <c:ptCount val="1"/>
                <c:pt idx="0">
                  <c:v>Pracující ženy s nejmlad. dítětem &lt;6 let</c:v>
                </c:pt>
              </c:strCache>
            </c:strRef>
          </c:tx>
          <c:spPr>
            <a:ln w="22225">
              <a:noFill/>
            </a:ln>
          </c:spPr>
          <c:marker>
            <c:symbol val="none"/>
          </c:marke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GRAF!$B$114:$N$114</c:f>
              <c:numCache>
                <c:formatCode>General</c:formatCode>
                <c:ptCount val="13"/>
              </c:numCache>
            </c:numRef>
          </c:val>
          <c:extLst xmlns:c16r2="http://schemas.microsoft.com/office/drawing/2015/06/chart">
            <c:ext xmlns:c16="http://schemas.microsoft.com/office/drawing/2014/chart" uri="{C3380CC4-5D6E-409C-BE32-E72D297353CC}">
              <c16:uniqueId val="{00000004-4C51-4E0E-9859-E6ACB608A6D1}"/>
            </c:ext>
          </c:extLst>
        </c:ser>
        <c:ser>
          <c:idx val="5"/>
          <c:order val="5"/>
          <c:tx>
            <c:strRef>
              <c:f>GRAF!$A$115</c:f>
              <c:strCache>
                <c:ptCount val="1"/>
              </c:strCache>
            </c:strRef>
          </c:tx>
          <c:spPr>
            <a:ln w="22225">
              <a:noFill/>
            </a:ln>
          </c:spPr>
          <c:marker>
            <c:symbol val="none"/>
          </c:marke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GRAF!$B$115:$N$115</c:f>
              <c:numCache>
                <c:formatCode>General</c:formatCode>
                <c:ptCount val="13"/>
              </c:numCache>
            </c:numRef>
          </c:val>
          <c:extLst xmlns:c16r2="http://schemas.microsoft.com/office/drawing/2015/06/chart">
            <c:ext xmlns:c16="http://schemas.microsoft.com/office/drawing/2014/chart" uri="{C3380CC4-5D6E-409C-BE32-E72D297353CC}">
              <c16:uniqueId val="{00000005-4C51-4E0E-9859-E6ACB608A6D1}"/>
            </c:ext>
          </c:extLst>
        </c:ser>
        <c:marker val="1"/>
        <c:axId val="122796288"/>
        <c:axId val="122830848"/>
      </c:lineChart>
      <c:lineChart>
        <c:grouping val="standard"/>
        <c:ser>
          <c:idx val="6"/>
          <c:order val="6"/>
          <c:tx>
            <c:strRef>
              <c:f>GRAF!$A$116</c:f>
              <c:strCache>
                <c:ptCount val="1"/>
                <c:pt idx="0">
                  <c:v>% z domova pracujících žen</c:v>
                </c:pt>
              </c:strCache>
            </c:strRef>
          </c:tx>
          <c:spPr>
            <a:ln w="22225">
              <a:solidFill>
                <a:srgbClr val="BD1B21"/>
              </a:solidFill>
            </a:ln>
          </c:spPr>
          <c:marker>
            <c:symbol val="none"/>
          </c:marke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GRAF!$B$116:$N$116</c:f>
              <c:numCache>
                <c:formatCode>#,##0.0</c:formatCode>
                <c:ptCount val="13"/>
                <c:pt idx="0">
                  <c:v>13.1</c:v>
                </c:pt>
                <c:pt idx="1">
                  <c:v>9.1</c:v>
                </c:pt>
                <c:pt idx="2">
                  <c:v>8.4</c:v>
                </c:pt>
                <c:pt idx="3">
                  <c:v>9.9</c:v>
                </c:pt>
                <c:pt idx="4">
                  <c:v>7.7</c:v>
                </c:pt>
                <c:pt idx="5">
                  <c:v>10.8</c:v>
                </c:pt>
                <c:pt idx="6">
                  <c:v>8.9</c:v>
                </c:pt>
                <c:pt idx="7">
                  <c:v>8.5</c:v>
                </c:pt>
                <c:pt idx="8">
                  <c:v>8.7000000000000011</c:v>
                </c:pt>
                <c:pt idx="9">
                  <c:v>7.3</c:v>
                </c:pt>
                <c:pt idx="10">
                  <c:v>10.7</c:v>
                </c:pt>
                <c:pt idx="11">
                  <c:v>12.1</c:v>
                </c:pt>
                <c:pt idx="12">
                  <c:v>13.4</c:v>
                </c:pt>
              </c:numCache>
            </c:numRef>
          </c:val>
          <c:extLst xmlns:c16r2="http://schemas.microsoft.com/office/drawing/2015/06/chart">
            <c:ext xmlns:c16="http://schemas.microsoft.com/office/drawing/2014/chart" uri="{C3380CC4-5D6E-409C-BE32-E72D297353CC}">
              <c16:uniqueId val="{00000006-4C51-4E0E-9859-E6ACB608A6D1}"/>
            </c:ext>
          </c:extLst>
        </c:ser>
        <c:ser>
          <c:idx val="7"/>
          <c:order val="7"/>
          <c:tx>
            <c:strRef>
              <c:f>GRAF!$A$117</c:f>
              <c:strCache>
                <c:ptCount val="1"/>
                <c:pt idx="0">
                  <c:v>% podnikajících žen</c:v>
                </c:pt>
              </c:strCache>
            </c:strRef>
          </c:tx>
          <c:spPr>
            <a:ln w="22225">
              <a:solidFill>
                <a:srgbClr val="7DBB2D"/>
              </a:solidFill>
            </a:ln>
          </c:spPr>
          <c:marker>
            <c:symbol val="none"/>
          </c:marke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GRAF!$B$117:$N$117</c:f>
              <c:numCache>
                <c:formatCode>#,##0.0</c:formatCode>
                <c:ptCount val="13"/>
                <c:pt idx="0">
                  <c:v>9.6</c:v>
                </c:pt>
                <c:pt idx="1">
                  <c:v>9.1</c:v>
                </c:pt>
                <c:pt idx="2">
                  <c:v>9.4</c:v>
                </c:pt>
                <c:pt idx="3">
                  <c:v>11.3</c:v>
                </c:pt>
                <c:pt idx="4">
                  <c:v>11.8</c:v>
                </c:pt>
                <c:pt idx="5">
                  <c:v>13.7</c:v>
                </c:pt>
                <c:pt idx="6">
                  <c:v>13</c:v>
                </c:pt>
                <c:pt idx="7">
                  <c:v>11.7</c:v>
                </c:pt>
                <c:pt idx="8">
                  <c:v>12.8</c:v>
                </c:pt>
                <c:pt idx="9">
                  <c:v>10.3</c:v>
                </c:pt>
                <c:pt idx="10">
                  <c:v>12</c:v>
                </c:pt>
                <c:pt idx="11">
                  <c:v>12.4</c:v>
                </c:pt>
                <c:pt idx="12">
                  <c:v>14.4</c:v>
                </c:pt>
              </c:numCache>
            </c:numRef>
          </c:val>
          <c:extLst xmlns:c16r2="http://schemas.microsoft.com/office/drawing/2015/06/chart">
            <c:ext xmlns:c16="http://schemas.microsoft.com/office/drawing/2014/chart" uri="{C3380CC4-5D6E-409C-BE32-E72D297353CC}">
              <c16:uniqueId val="{00000007-4C51-4E0E-9859-E6ACB608A6D1}"/>
            </c:ext>
          </c:extLst>
        </c:ser>
        <c:ser>
          <c:idx val="8"/>
          <c:order val="8"/>
          <c:tx>
            <c:strRef>
              <c:f>GRAF!$A$118</c:f>
              <c:strCache>
                <c:ptCount val="1"/>
                <c:pt idx="0">
                  <c:v>% žen na zkrácené úvazky</c:v>
                </c:pt>
              </c:strCache>
            </c:strRef>
          </c:tx>
          <c:spPr>
            <a:ln w="22225">
              <a:solidFill>
                <a:srgbClr val="0071BC"/>
              </a:solidFill>
            </a:ln>
          </c:spPr>
          <c:marker>
            <c:symbol val="none"/>
          </c:marke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GRAF!$B$118:$N$118</c:f>
              <c:numCache>
                <c:formatCode>#,##0.0</c:formatCode>
                <c:ptCount val="13"/>
                <c:pt idx="0">
                  <c:v>18.399999999999999</c:v>
                </c:pt>
                <c:pt idx="1">
                  <c:v>20.2</c:v>
                </c:pt>
                <c:pt idx="2">
                  <c:v>21</c:v>
                </c:pt>
                <c:pt idx="3">
                  <c:v>19.3</c:v>
                </c:pt>
                <c:pt idx="4">
                  <c:v>19.100000000000001</c:v>
                </c:pt>
                <c:pt idx="5">
                  <c:v>22.2</c:v>
                </c:pt>
                <c:pt idx="6">
                  <c:v>15.1</c:v>
                </c:pt>
                <c:pt idx="7">
                  <c:v>17.3</c:v>
                </c:pt>
                <c:pt idx="8">
                  <c:v>18</c:v>
                </c:pt>
                <c:pt idx="9">
                  <c:v>18.899999999999999</c:v>
                </c:pt>
                <c:pt idx="10">
                  <c:v>18.2</c:v>
                </c:pt>
                <c:pt idx="11">
                  <c:v>20.399999999999999</c:v>
                </c:pt>
                <c:pt idx="12">
                  <c:v>22.9</c:v>
                </c:pt>
              </c:numCache>
            </c:numRef>
          </c:val>
          <c:extLst xmlns:c16r2="http://schemas.microsoft.com/office/drawing/2015/06/chart">
            <c:ext xmlns:c16="http://schemas.microsoft.com/office/drawing/2014/chart" uri="{C3380CC4-5D6E-409C-BE32-E72D297353CC}">
              <c16:uniqueId val="{00000008-4C51-4E0E-9859-E6ACB608A6D1}"/>
            </c:ext>
          </c:extLst>
        </c:ser>
        <c:ser>
          <c:idx val="9"/>
          <c:order val="9"/>
          <c:tx>
            <c:strRef>
              <c:f>GRAF!$A$119</c:f>
              <c:strCache>
                <c:ptCount val="1"/>
                <c:pt idx="0">
                  <c:v>% žen pracujících na dobu určitou</c:v>
                </c:pt>
              </c:strCache>
            </c:strRef>
          </c:tx>
          <c:spPr>
            <a:ln w="22225">
              <a:solidFill>
                <a:srgbClr val="F8A124"/>
              </a:solidFill>
            </a:ln>
          </c:spPr>
          <c:marker>
            <c:symbol val="none"/>
          </c:marker>
          <c:cat>
            <c:strRef>
              <c:f>GRAF!$B$109:$N$109</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GRAF!$B$119:$N$119</c:f>
              <c:numCache>
                <c:formatCode>#,##0.0</c:formatCode>
                <c:ptCount val="13"/>
                <c:pt idx="0">
                  <c:v>12</c:v>
                </c:pt>
                <c:pt idx="1">
                  <c:v>12.5</c:v>
                </c:pt>
                <c:pt idx="2">
                  <c:v>11.3</c:v>
                </c:pt>
                <c:pt idx="3">
                  <c:v>11.7</c:v>
                </c:pt>
                <c:pt idx="4">
                  <c:v>10.200000000000001</c:v>
                </c:pt>
                <c:pt idx="5">
                  <c:v>12.3</c:v>
                </c:pt>
                <c:pt idx="6">
                  <c:v>10.1</c:v>
                </c:pt>
                <c:pt idx="7">
                  <c:v>12.3</c:v>
                </c:pt>
                <c:pt idx="8">
                  <c:v>11.3</c:v>
                </c:pt>
                <c:pt idx="9">
                  <c:v>12.8</c:v>
                </c:pt>
                <c:pt idx="10">
                  <c:v>15.1</c:v>
                </c:pt>
                <c:pt idx="11">
                  <c:v>13.5</c:v>
                </c:pt>
                <c:pt idx="12">
                  <c:v>16.600000000000001</c:v>
                </c:pt>
              </c:numCache>
            </c:numRef>
          </c:val>
          <c:extLst xmlns:c16r2="http://schemas.microsoft.com/office/drawing/2015/06/chart">
            <c:ext xmlns:c16="http://schemas.microsoft.com/office/drawing/2014/chart" uri="{C3380CC4-5D6E-409C-BE32-E72D297353CC}">
              <c16:uniqueId val="{00000009-4C51-4E0E-9859-E6ACB608A6D1}"/>
            </c:ext>
          </c:extLst>
        </c:ser>
        <c:marker val="1"/>
        <c:axId val="122833920"/>
        <c:axId val="122832384"/>
      </c:lineChart>
      <c:catAx>
        <c:axId val="122796288"/>
        <c:scaling>
          <c:orientation val="minMax"/>
        </c:scaling>
        <c:axPos val="b"/>
        <c:numFmt formatCode="General" sourceLinked="0"/>
        <c:tickLblPos val="nextTo"/>
        <c:txPr>
          <a:bodyPr/>
          <a:lstStyle/>
          <a:p>
            <a:pPr>
              <a:defRPr sz="800">
                <a:latin typeface="Arial" pitchFamily="34" charset="0"/>
                <a:cs typeface="Arial" pitchFamily="34" charset="0"/>
              </a:defRPr>
            </a:pPr>
            <a:endParaRPr lang="cs-CZ"/>
          </a:p>
        </c:txPr>
        <c:crossAx val="122830848"/>
        <c:crosses val="autoZero"/>
        <c:auto val="1"/>
        <c:lblAlgn val="ctr"/>
        <c:lblOffset val="0"/>
      </c:catAx>
      <c:valAx>
        <c:axId val="122830848"/>
        <c:scaling>
          <c:orientation val="minMax"/>
          <c:max val="90"/>
          <c:min val="0"/>
        </c:scaling>
        <c:axPos val="l"/>
        <c:majorGridlines>
          <c:spPr>
            <a:ln w="6350">
              <a:solidFill>
                <a:sysClr val="window" lastClr="FFFFFF">
                  <a:lumMod val="75000"/>
                </a:sysClr>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22796288"/>
        <c:crosses val="autoZero"/>
        <c:crossBetween val="between"/>
        <c:majorUnit val="5"/>
      </c:valAx>
      <c:valAx>
        <c:axId val="122832384"/>
        <c:scaling>
          <c:orientation val="minMax"/>
          <c:max val="45"/>
          <c:min val="0"/>
        </c:scaling>
        <c:axPos val="r"/>
        <c:numFmt formatCode="#,##0" sourceLinked="0"/>
        <c:tickLblPos val="nextTo"/>
        <c:txPr>
          <a:bodyPr/>
          <a:lstStyle/>
          <a:p>
            <a:pPr>
              <a:defRPr sz="800">
                <a:latin typeface="Arial" pitchFamily="34" charset="0"/>
                <a:cs typeface="Arial" pitchFamily="34" charset="0"/>
              </a:defRPr>
            </a:pPr>
            <a:endParaRPr lang="cs-CZ"/>
          </a:p>
        </c:txPr>
        <c:crossAx val="122833920"/>
        <c:crosses val="max"/>
        <c:crossBetween val="between"/>
      </c:valAx>
      <c:catAx>
        <c:axId val="122833920"/>
        <c:scaling>
          <c:orientation val="minMax"/>
        </c:scaling>
        <c:delete val="1"/>
        <c:axPos val="b"/>
        <c:numFmt formatCode="General" sourceLinked="1"/>
        <c:tickLblPos val="none"/>
        <c:crossAx val="122832384"/>
        <c:crosses val="autoZero"/>
        <c:auto val="1"/>
        <c:lblAlgn val="ctr"/>
        <c:lblOffset val="100"/>
      </c:catAx>
      <c:spPr>
        <a:ln>
          <a:solidFill>
            <a:sysClr val="windowText" lastClr="000000"/>
          </a:solidFill>
        </a:ln>
      </c:spPr>
    </c:plotArea>
    <c:legend>
      <c:legendPos val="r"/>
      <c:layout>
        <c:manualLayout>
          <c:xMode val="edge"/>
          <c:yMode val="edge"/>
          <c:x val="4.2534456265990943E-2"/>
          <c:y val="0.82812159852668565"/>
          <c:w val="0.90361023513779004"/>
          <c:h val="0.16017934895783378"/>
        </c:manualLayout>
      </c:layout>
      <c:spPr>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solidFill>
      <a:srgbClr val="FFFFFF"/>
    </a:solidFill>
    <a:ln>
      <a:noFill/>
    </a:ln>
  </c:sp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4.0539794922592513E-2"/>
          <c:y val="1.5600235547846463E-2"/>
          <c:w val="0.95230792888272386"/>
          <c:h val="0.78608883701991361"/>
        </c:manualLayout>
      </c:layout>
      <c:areaChart>
        <c:grouping val="standard"/>
        <c:ser>
          <c:idx val="5"/>
          <c:order val="5"/>
          <c:tx>
            <c:strRef>
              <c:f>'Graf-UV'!$H$57</c:f>
              <c:strCache>
                <c:ptCount val="1"/>
                <c:pt idx="0">
                  <c:v>Celkem (všechny kvalifikační třídy)</c:v>
                </c:pt>
              </c:strCache>
            </c:strRef>
          </c:tx>
          <c:spPr>
            <a:solidFill>
              <a:schemeClr val="bg2">
                <a:lumMod val="90000"/>
              </a:schemeClr>
            </a:solidFill>
          </c:spPr>
          <c:cat>
            <c:multiLvlStrRef>
              <c:f>'Graf-UV'!$A$66:$B$109</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'Graf-UV'!$H$66:$H$109</c:f>
              <c:numCache>
                <c:formatCode>0.0</c:formatCode>
                <c:ptCount val="44"/>
                <c:pt idx="0">
                  <c:v>3.9966390923692527</c:v>
                </c:pt>
                <c:pt idx="1">
                  <c:v>3.0079825422450415</c:v>
                </c:pt>
                <c:pt idx="2">
                  <c:v>2.6557567907792388</c:v>
                </c:pt>
                <c:pt idx="3">
                  <c:v>2.5156876922858777</c:v>
                </c:pt>
                <c:pt idx="4">
                  <c:v>2.2225548704324471</c:v>
                </c:pt>
                <c:pt idx="5">
                  <c:v>1.9612723118757573</c:v>
                </c:pt>
                <c:pt idx="6">
                  <c:v>2.2539750782834256</c:v>
                </c:pt>
                <c:pt idx="7">
                  <c:v>3.8628562655583427</c:v>
                </c:pt>
                <c:pt idx="8">
                  <c:v>8.1013498881108639</c:v>
                </c:pt>
                <c:pt idx="9">
                  <c:v>10.680498594534814</c:v>
                </c:pt>
                <c:pt idx="10">
                  <c:v>12.892904953146068</c:v>
                </c:pt>
                <c:pt idx="11">
                  <c:v>17.432534678436106</c:v>
                </c:pt>
                <c:pt idx="12">
                  <c:v>17.286537707094787</c:v>
                </c:pt>
                <c:pt idx="13">
                  <c:v>15.200291554043794</c:v>
                </c:pt>
                <c:pt idx="14">
                  <c:v>14.258717948717949</c:v>
                </c:pt>
                <c:pt idx="15">
                  <c:v>18.230399636398989</c:v>
                </c:pt>
                <c:pt idx="16">
                  <c:v>16.143408682325695</c:v>
                </c:pt>
                <c:pt idx="17">
                  <c:v>12.462906080799726</c:v>
                </c:pt>
                <c:pt idx="18">
                  <c:v>11.939037567533624</c:v>
                </c:pt>
                <c:pt idx="19">
                  <c:v>14.208892242342946</c:v>
                </c:pt>
                <c:pt idx="20">
                  <c:v>13.160427003458127</c:v>
                </c:pt>
                <c:pt idx="21">
                  <c:v>11.09390121321209</c:v>
                </c:pt>
                <c:pt idx="22">
                  <c:v>12.085201793721973</c:v>
                </c:pt>
                <c:pt idx="23">
                  <c:v>15.628091594302568</c:v>
                </c:pt>
                <c:pt idx="24">
                  <c:v>15.124102616884954</c:v>
                </c:pt>
                <c:pt idx="25">
                  <c:v>12.274550327034881</c:v>
                </c:pt>
                <c:pt idx="26">
                  <c:v>13.448360774467668</c:v>
                </c:pt>
                <c:pt idx="27">
                  <c:v>16.966086758769499</c:v>
                </c:pt>
                <c:pt idx="28">
                  <c:v>14.906758478729676</c:v>
                </c:pt>
                <c:pt idx="29">
                  <c:v>10.856706885749686</c:v>
                </c:pt>
                <c:pt idx="30">
                  <c:v>9.3552938680247344</c:v>
                </c:pt>
                <c:pt idx="31">
                  <c:v>9.2257954680876448</c:v>
                </c:pt>
                <c:pt idx="32">
                  <c:v>6.9074950690335308</c:v>
                </c:pt>
                <c:pt idx="33">
                  <c:v>4.6543724157842092</c:v>
                </c:pt>
                <c:pt idx="34">
                  <c:v>4.0699989868567688</c:v>
                </c:pt>
                <c:pt idx="35">
                  <c:v>4.4187234872495535</c:v>
                </c:pt>
                <c:pt idx="36">
                  <c:v>3.7764435164273236</c:v>
                </c:pt>
                <c:pt idx="37">
                  <c:v>2.869425634057265</c:v>
                </c:pt>
                <c:pt idx="38">
                  <c:v>2.6828140404133602</c:v>
                </c:pt>
                <c:pt idx="39">
                  <c:v>2.8783736867528078</c:v>
                </c:pt>
                <c:pt idx="40">
                  <c:v>2.3596546446059747</c:v>
                </c:pt>
                <c:pt idx="41">
                  <c:v>1.6209209809264304</c:v>
                </c:pt>
                <c:pt idx="42">
                  <c:v>1.3825389046054721</c:v>
                </c:pt>
                <c:pt idx="43">
                  <c:v>1.2953944301086178</c:v>
                </c:pt>
              </c:numCache>
            </c:numRef>
          </c:val>
          <c:extLst xmlns:c16r2="http://schemas.microsoft.com/office/drawing/2015/06/chart">
            <c:ext xmlns:c16="http://schemas.microsoft.com/office/drawing/2014/chart" uri="{C3380CC4-5D6E-409C-BE32-E72D297353CC}">
              <c16:uniqueId val="{00000000-E59E-4FD0-B9A4-C384A13D52D8}"/>
            </c:ext>
          </c:extLst>
        </c:ser>
        <c:axId val="124277120"/>
        <c:axId val="124278656"/>
      </c:areaChart>
      <c:lineChart>
        <c:grouping val="standard"/>
        <c:ser>
          <c:idx val="0"/>
          <c:order val="0"/>
          <c:tx>
            <c:strRef>
              <c:f>'Graf-UV'!$C$57</c:f>
              <c:strCache>
                <c:ptCount val="1"/>
                <c:pt idx="0">
                  <c:v>Zákonodárci a řídící prac., Specialisté</c:v>
                </c:pt>
              </c:strCache>
            </c:strRef>
          </c:tx>
          <c:spPr>
            <a:ln w="22225">
              <a:solidFill>
                <a:srgbClr val="F8A124"/>
              </a:solidFill>
            </a:ln>
          </c:spPr>
          <c:marker>
            <c:symbol val="none"/>
          </c:marker>
          <c:dPt>
            <c:idx val="16"/>
            <c:spPr>
              <a:ln w="22225">
                <a:solidFill>
                  <a:srgbClr val="F8A124"/>
                </a:solidFill>
                <a:prstDash val="sysDot"/>
              </a:ln>
            </c:spPr>
            <c:extLst xmlns:c16r2="http://schemas.microsoft.com/office/drawing/2015/06/chart">
              <c:ext xmlns:c16="http://schemas.microsoft.com/office/drawing/2014/chart" uri="{C3380CC4-5D6E-409C-BE32-E72D297353CC}">
                <c16:uniqueId val="{00000001-E59E-4FD0-B9A4-C384A13D52D8}"/>
              </c:ext>
            </c:extLst>
          </c:dPt>
          <c:dPt>
            <c:idx val="24"/>
            <c:spPr>
              <a:ln w="22225">
                <a:solidFill>
                  <a:srgbClr val="F8A124"/>
                </a:solidFill>
                <a:prstDash val="solid"/>
              </a:ln>
            </c:spPr>
            <c:extLst xmlns:c16r2="http://schemas.microsoft.com/office/drawing/2015/06/chart">
              <c:ext xmlns:c16="http://schemas.microsoft.com/office/drawing/2014/chart" uri="{C3380CC4-5D6E-409C-BE32-E72D297353CC}">
                <c16:uniqueId val="{00000002-E59E-4FD0-B9A4-C384A13D52D8}"/>
              </c:ext>
            </c:extLst>
          </c:dPt>
          <c:dPt>
            <c:idx val="25"/>
            <c:spPr>
              <a:ln w="22225">
                <a:solidFill>
                  <a:srgbClr val="F8A124"/>
                </a:solidFill>
                <a:prstDash val="solid"/>
              </a:ln>
            </c:spPr>
            <c:extLst xmlns:c16r2="http://schemas.microsoft.com/office/drawing/2015/06/chart">
              <c:ext xmlns:c16="http://schemas.microsoft.com/office/drawing/2014/chart" uri="{C3380CC4-5D6E-409C-BE32-E72D297353CC}">
                <c16:uniqueId val="{00000003-E59E-4FD0-B9A4-C384A13D52D8}"/>
              </c:ext>
            </c:extLst>
          </c:dPt>
          <c:cat>
            <c:multiLvlStrRef>
              <c:f>'Graf-UV'!$A$66:$B$109</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'Graf-UV'!$C$66:$C$109</c:f>
              <c:numCache>
                <c:formatCode>0.0</c:formatCode>
                <c:ptCount val="44"/>
                <c:pt idx="0">
                  <c:v>2.7407306434024417</c:v>
                </c:pt>
                <c:pt idx="1">
                  <c:v>2.3143930215653015</c:v>
                </c:pt>
                <c:pt idx="2">
                  <c:v>2.5831460674157412</c:v>
                </c:pt>
                <c:pt idx="3">
                  <c:v>2.3631249200869688</c:v>
                </c:pt>
                <c:pt idx="4">
                  <c:v>1.9922227231740341</c:v>
                </c:pt>
                <c:pt idx="5">
                  <c:v>1.9335414808206957</c:v>
                </c:pt>
                <c:pt idx="6">
                  <c:v>2.4957094888695437</c:v>
                </c:pt>
                <c:pt idx="7">
                  <c:v>3.4378780024192137</c:v>
                </c:pt>
                <c:pt idx="8">
                  <c:v>5.0625139043381475</c:v>
                </c:pt>
                <c:pt idx="9">
                  <c:v>6.3270658090053651</c:v>
                </c:pt>
                <c:pt idx="10">
                  <c:v>8.1983536909186689</c:v>
                </c:pt>
                <c:pt idx="11">
                  <c:v>8.7228474957794031</c:v>
                </c:pt>
                <c:pt idx="12">
                  <c:v>8.0429495472186296</c:v>
                </c:pt>
                <c:pt idx="13">
                  <c:v>7.1950640721404655</c:v>
                </c:pt>
                <c:pt idx="14">
                  <c:v>8.5209077001529483</c:v>
                </c:pt>
                <c:pt idx="15">
                  <c:v>8.3038130381303805</c:v>
                </c:pt>
                <c:pt idx="16">
                  <c:v>5.8094652735095273</c:v>
                </c:pt>
                <c:pt idx="17">
                  <c:v>4.8575322551335605</c:v>
                </c:pt>
                <c:pt idx="18">
                  <c:v>5.3561460523800415</c:v>
                </c:pt>
                <c:pt idx="19">
                  <c:v>5.1998420221169015</c:v>
                </c:pt>
                <c:pt idx="20">
                  <c:v>4.0882580146774821</c:v>
                </c:pt>
                <c:pt idx="21">
                  <c:v>3.6018820818129442</c:v>
                </c:pt>
                <c:pt idx="22">
                  <c:v>4.6146829810901</c:v>
                </c:pt>
                <c:pt idx="23">
                  <c:v>4.3694092827004223</c:v>
                </c:pt>
                <c:pt idx="24">
                  <c:v>5.0173436786855286</c:v>
                </c:pt>
                <c:pt idx="25">
                  <c:v>5.922198275862069</c:v>
                </c:pt>
                <c:pt idx="26">
                  <c:v>7.5583804143126194</c:v>
                </c:pt>
                <c:pt idx="27">
                  <c:v>8.3436203319502074</c:v>
                </c:pt>
                <c:pt idx="28">
                  <c:v>7.4655253283301946</c:v>
                </c:pt>
                <c:pt idx="29">
                  <c:v>6.8245729303547655</c:v>
                </c:pt>
                <c:pt idx="30">
                  <c:v>6.6010256410256405</c:v>
                </c:pt>
                <c:pt idx="31">
                  <c:v>5.5419496970809634</c:v>
                </c:pt>
                <c:pt idx="32">
                  <c:v>4.1792874657435934</c:v>
                </c:pt>
                <c:pt idx="33">
                  <c:v>3.3535180191223342</c:v>
                </c:pt>
                <c:pt idx="34">
                  <c:v>3.441485550513494</c:v>
                </c:pt>
                <c:pt idx="35">
                  <c:v>3.1929698708751793</c:v>
                </c:pt>
                <c:pt idx="36">
                  <c:v>2.4794507301034567</c:v>
                </c:pt>
                <c:pt idx="37">
                  <c:v>2.1267287118378801</c:v>
                </c:pt>
                <c:pt idx="38">
                  <c:v>2.1648237733241191</c:v>
                </c:pt>
                <c:pt idx="39">
                  <c:v>1.9994654312188302</c:v>
                </c:pt>
                <c:pt idx="40">
                  <c:v>1.6083227445997461</c:v>
                </c:pt>
                <c:pt idx="41">
                  <c:v>1.271277642889943</c:v>
                </c:pt>
                <c:pt idx="42">
                  <c:v>1.2369542753810379</c:v>
                </c:pt>
                <c:pt idx="43">
                  <c:v>1.0531748514232093</c:v>
                </c:pt>
              </c:numCache>
            </c:numRef>
          </c:val>
          <c:extLst xmlns:c16r2="http://schemas.microsoft.com/office/drawing/2015/06/chart">
            <c:ext xmlns:c16="http://schemas.microsoft.com/office/drawing/2014/chart" uri="{C3380CC4-5D6E-409C-BE32-E72D297353CC}">
              <c16:uniqueId val="{00000004-E59E-4FD0-B9A4-C384A13D52D8}"/>
            </c:ext>
          </c:extLst>
        </c:ser>
        <c:ser>
          <c:idx val="1"/>
          <c:order val="1"/>
          <c:tx>
            <c:strRef>
              <c:f>'Graf-UV'!$D$57</c:f>
              <c:strCache>
                <c:ptCount val="1"/>
                <c:pt idx="0">
                  <c:v>Úředníci</c:v>
                </c:pt>
              </c:strCache>
            </c:strRef>
          </c:tx>
          <c:spPr>
            <a:ln w="22225">
              <a:solidFill>
                <a:srgbClr val="BD1B21"/>
              </a:solidFill>
            </a:ln>
          </c:spPr>
          <c:marker>
            <c:symbol val="none"/>
          </c:marker>
          <c:dPt>
            <c:idx val="16"/>
            <c:spPr>
              <a:ln w="22225">
                <a:solidFill>
                  <a:srgbClr val="BD1B21"/>
                </a:solidFill>
                <a:prstDash val="sysDot"/>
              </a:ln>
            </c:spPr>
            <c:extLst xmlns:c16r2="http://schemas.microsoft.com/office/drawing/2015/06/chart">
              <c:ext xmlns:c16="http://schemas.microsoft.com/office/drawing/2014/chart" uri="{C3380CC4-5D6E-409C-BE32-E72D297353CC}">
                <c16:uniqueId val="{00000005-E59E-4FD0-B9A4-C384A13D52D8}"/>
              </c:ext>
            </c:extLst>
          </c:dPt>
          <c:dPt>
            <c:idx val="24"/>
            <c:spPr>
              <a:ln w="22225">
                <a:solidFill>
                  <a:srgbClr val="BD1B21"/>
                </a:solidFill>
                <a:prstDash val="solid"/>
              </a:ln>
            </c:spPr>
            <c:extLst xmlns:c16r2="http://schemas.microsoft.com/office/drawing/2015/06/chart">
              <c:ext xmlns:c16="http://schemas.microsoft.com/office/drawing/2014/chart" uri="{C3380CC4-5D6E-409C-BE32-E72D297353CC}">
                <c16:uniqueId val="{00000006-E59E-4FD0-B9A4-C384A13D52D8}"/>
              </c:ext>
            </c:extLst>
          </c:dPt>
          <c:cat>
            <c:multiLvlStrRef>
              <c:f>'Graf-UV'!$A$66:$B$109</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'Graf-UV'!$D$66:$D$109</c:f>
              <c:numCache>
                <c:formatCode>0.0</c:formatCode>
                <c:ptCount val="44"/>
                <c:pt idx="0">
                  <c:v>8.6432527693856986</c:v>
                </c:pt>
                <c:pt idx="1">
                  <c:v>6.193351691581432</c:v>
                </c:pt>
                <c:pt idx="2">
                  <c:v>5.9840396257567416</c:v>
                </c:pt>
                <c:pt idx="3">
                  <c:v>6.013738959764475</c:v>
                </c:pt>
                <c:pt idx="4">
                  <c:v>5.9302325581395374</c:v>
                </c:pt>
                <c:pt idx="5">
                  <c:v>5.3039123039123037</c:v>
                </c:pt>
                <c:pt idx="6">
                  <c:v>6.6026349341266455</c:v>
                </c:pt>
                <c:pt idx="7">
                  <c:v>10.67337512372144</c:v>
                </c:pt>
                <c:pt idx="8">
                  <c:v>22.054114994363022</c:v>
                </c:pt>
                <c:pt idx="9">
                  <c:v>26.879872204472843</c:v>
                </c:pt>
                <c:pt idx="10">
                  <c:v>30.31691919191919</c:v>
                </c:pt>
                <c:pt idx="11">
                  <c:v>37.847509578543708</c:v>
                </c:pt>
                <c:pt idx="12">
                  <c:v>34.796334012220306</c:v>
                </c:pt>
                <c:pt idx="13">
                  <c:v>31.818897637795274</c:v>
                </c:pt>
                <c:pt idx="14">
                  <c:v>33.498687664041995</c:v>
                </c:pt>
                <c:pt idx="15">
                  <c:v>36.506529209622002</c:v>
                </c:pt>
                <c:pt idx="16">
                  <c:v>32.015375153751535</c:v>
                </c:pt>
                <c:pt idx="17">
                  <c:v>24.829871414441335</c:v>
                </c:pt>
                <c:pt idx="18">
                  <c:v>24.415548357242017</c:v>
                </c:pt>
                <c:pt idx="19">
                  <c:v>25.710334788937409</c:v>
                </c:pt>
                <c:pt idx="20">
                  <c:v>22.555608140085187</c:v>
                </c:pt>
                <c:pt idx="21">
                  <c:v>21.053041362530415</c:v>
                </c:pt>
                <c:pt idx="22">
                  <c:v>24.698579694897425</c:v>
                </c:pt>
                <c:pt idx="23">
                  <c:v>27.114109050028105</c:v>
                </c:pt>
                <c:pt idx="24">
                  <c:v>25.639860139860332</c:v>
                </c:pt>
                <c:pt idx="25">
                  <c:v>24.317546583850927</c:v>
                </c:pt>
                <c:pt idx="26">
                  <c:v>25.327023014105418</c:v>
                </c:pt>
                <c:pt idx="27">
                  <c:v>32.419309039280279</c:v>
                </c:pt>
                <c:pt idx="28">
                  <c:v>35.723942208462333</c:v>
                </c:pt>
                <c:pt idx="29">
                  <c:v>28.37280701754386</c:v>
                </c:pt>
                <c:pt idx="30">
                  <c:v>26.841328413284131</c:v>
                </c:pt>
                <c:pt idx="31">
                  <c:v>22.058698727015631</c:v>
                </c:pt>
                <c:pt idx="32">
                  <c:v>17.164863325740331</c:v>
                </c:pt>
                <c:pt idx="33">
                  <c:v>12.795623836126676</c:v>
                </c:pt>
                <c:pt idx="34">
                  <c:v>10.784466019417476</c:v>
                </c:pt>
                <c:pt idx="35">
                  <c:v>10.656418446795767</c:v>
                </c:pt>
                <c:pt idx="36">
                  <c:v>9.3174024078803548</c:v>
                </c:pt>
                <c:pt idx="37">
                  <c:v>8.061917902725078</c:v>
                </c:pt>
                <c:pt idx="38">
                  <c:v>8.1831862999482592</c:v>
                </c:pt>
                <c:pt idx="39">
                  <c:v>9.2546768707483267</c:v>
                </c:pt>
                <c:pt idx="40">
                  <c:v>7.3874394334699955</c:v>
                </c:pt>
                <c:pt idx="41">
                  <c:v>6.0053908355795151</c:v>
                </c:pt>
                <c:pt idx="42">
                  <c:v>5.2486953928731994</c:v>
                </c:pt>
                <c:pt idx="43">
                  <c:v>4.7284728472847286</c:v>
                </c:pt>
              </c:numCache>
            </c:numRef>
          </c:val>
          <c:extLst xmlns:c16r2="http://schemas.microsoft.com/office/drawing/2015/06/chart">
            <c:ext xmlns:c16="http://schemas.microsoft.com/office/drawing/2014/chart" uri="{C3380CC4-5D6E-409C-BE32-E72D297353CC}">
              <c16:uniqueId val="{00000007-E59E-4FD0-B9A4-C384A13D52D8}"/>
            </c:ext>
          </c:extLst>
        </c:ser>
        <c:ser>
          <c:idx val="2"/>
          <c:order val="2"/>
          <c:tx>
            <c:strRef>
              <c:f>'Graf-UV'!$E$57</c:f>
              <c:strCache>
                <c:ptCount val="1"/>
                <c:pt idx="0">
                  <c:v>Pracovníci ve službách a prodeji</c:v>
                </c:pt>
              </c:strCache>
            </c:strRef>
          </c:tx>
          <c:spPr>
            <a:ln w="22225">
              <a:solidFill>
                <a:srgbClr val="7DBB2D"/>
              </a:solidFill>
            </a:ln>
          </c:spPr>
          <c:marker>
            <c:symbol val="none"/>
          </c:marker>
          <c:dPt>
            <c:idx val="16"/>
            <c:spPr>
              <a:ln w="22225">
                <a:solidFill>
                  <a:srgbClr val="7DBB2D"/>
                </a:solidFill>
                <a:prstDash val="sysDot"/>
              </a:ln>
            </c:spPr>
            <c:extLst xmlns:c16r2="http://schemas.microsoft.com/office/drawing/2015/06/chart">
              <c:ext xmlns:c16="http://schemas.microsoft.com/office/drawing/2014/chart" uri="{C3380CC4-5D6E-409C-BE32-E72D297353CC}">
                <c16:uniqueId val="{00000008-E59E-4FD0-B9A4-C384A13D52D8}"/>
              </c:ext>
            </c:extLst>
          </c:dPt>
          <c:dPt>
            <c:idx val="24"/>
            <c:spPr>
              <a:ln w="22225">
                <a:solidFill>
                  <a:srgbClr val="7DBB2D"/>
                </a:solidFill>
                <a:prstDash val="solid"/>
              </a:ln>
            </c:spPr>
            <c:extLst xmlns:c16r2="http://schemas.microsoft.com/office/drawing/2015/06/chart">
              <c:ext xmlns:c16="http://schemas.microsoft.com/office/drawing/2014/chart" uri="{C3380CC4-5D6E-409C-BE32-E72D297353CC}">
                <c16:uniqueId val="{00000009-E59E-4FD0-B9A4-C384A13D52D8}"/>
              </c:ext>
            </c:extLst>
          </c:dPt>
          <c:cat>
            <c:multiLvlStrRef>
              <c:f>'Graf-UV'!$A$66:$B$109</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'Graf-UV'!$E$66:$E$109</c:f>
              <c:numCache>
                <c:formatCode>0.0</c:formatCode>
                <c:ptCount val="44"/>
                <c:pt idx="0">
                  <c:v>6.9105115116157645</c:v>
                </c:pt>
                <c:pt idx="1">
                  <c:v>4.8080614203454886</c:v>
                </c:pt>
                <c:pt idx="2">
                  <c:v>4.8679890560874481</c:v>
                </c:pt>
                <c:pt idx="3">
                  <c:v>4.6579155325313142</c:v>
                </c:pt>
                <c:pt idx="4">
                  <c:v>4.2932646932647582</c:v>
                </c:pt>
                <c:pt idx="5">
                  <c:v>3.4677868979402202</c:v>
                </c:pt>
                <c:pt idx="6">
                  <c:v>3.8974338217437037</c:v>
                </c:pt>
                <c:pt idx="7">
                  <c:v>5.6240481872940107</c:v>
                </c:pt>
                <c:pt idx="8">
                  <c:v>11.635271687321248</c:v>
                </c:pt>
                <c:pt idx="9">
                  <c:v>14.842653384650214</c:v>
                </c:pt>
                <c:pt idx="10">
                  <c:v>19.224681933842227</c:v>
                </c:pt>
                <c:pt idx="11">
                  <c:v>31.565387627251372</c:v>
                </c:pt>
                <c:pt idx="12">
                  <c:v>30.230582524271789</c:v>
                </c:pt>
                <c:pt idx="13">
                  <c:v>22.392866866321789</c:v>
                </c:pt>
                <c:pt idx="14">
                  <c:v>23.380926281172677</c:v>
                </c:pt>
                <c:pt idx="15">
                  <c:v>29.831756756756835</c:v>
                </c:pt>
                <c:pt idx="16">
                  <c:v>27.968223266095489</c:v>
                </c:pt>
                <c:pt idx="17">
                  <c:v>20.67927848658163</c:v>
                </c:pt>
                <c:pt idx="18">
                  <c:v>20.096781024989411</c:v>
                </c:pt>
                <c:pt idx="19">
                  <c:v>22.679568379075768</c:v>
                </c:pt>
                <c:pt idx="20">
                  <c:v>18.822433862433616</c:v>
                </c:pt>
                <c:pt idx="21">
                  <c:v>14.45271846402297</c:v>
                </c:pt>
                <c:pt idx="22">
                  <c:v>16.409436537336397</c:v>
                </c:pt>
                <c:pt idx="23">
                  <c:v>15.738023687466722</c:v>
                </c:pt>
                <c:pt idx="24">
                  <c:v>16.372333103922713</c:v>
                </c:pt>
                <c:pt idx="25">
                  <c:v>16.732679155515889</c:v>
                </c:pt>
                <c:pt idx="26">
                  <c:v>16.029844753747323</c:v>
                </c:pt>
                <c:pt idx="27">
                  <c:v>18.6021005251311</c:v>
                </c:pt>
                <c:pt idx="28">
                  <c:v>16.106427542872087</c:v>
                </c:pt>
                <c:pt idx="29">
                  <c:v>12.070052910052922</c:v>
                </c:pt>
                <c:pt idx="30">
                  <c:v>11.597384017984876</c:v>
                </c:pt>
                <c:pt idx="31">
                  <c:v>11.175035289372859</c:v>
                </c:pt>
                <c:pt idx="32">
                  <c:v>8.677174877045875</c:v>
                </c:pt>
                <c:pt idx="33">
                  <c:v>5.9144872886510145</c:v>
                </c:pt>
                <c:pt idx="34">
                  <c:v>5.4584400068271037</c:v>
                </c:pt>
                <c:pt idx="35">
                  <c:v>5.5616947324264396</c:v>
                </c:pt>
                <c:pt idx="36">
                  <c:v>4.6642631114800022</c:v>
                </c:pt>
                <c:pt idx="37">
                  <c:v>3.6688151828476792</c:v>
                </c:pt>
                <c:pt idx="38">
                  <c:v>3.6427833894500572</c:v>
                </c:pt>
                <c:pt idx="39">
                  <c:v>3.9716235632183907</c:v>
                </c:pt>
                <c:pt idx="40">
                  <c:v>3.3611778846153846</c:v>
                </c:pt>
                <c:pt idx="41">
                  <c:v>2.5437591951966283</c:v>
                </c:pt>
                <c:pt idx="42">
                  <c:v>2.329897302268547</c:v>
                </c:pt>
                <c:pt idx="43">
                  <c:v>2.1788856304985327</c:v>
                </c:pt>
              </c:numCache>
            </c:numRef>
          </c:val>
          <c:extLst xmlns:c16r2="http://schemas.microsoft.com/office/drawing/2015/06/chart">
            <c:ext xmlns:c16="http://schemas.microsoft.com/office/drawing/2014/chart" uri="{C3380CC4-5D6E-409C-BE32-E72D297353CC}">
              <c16:uniqueId val="{0000000A-E59E-4FD0-B9A4-C384A13D52D8}"/>
            </c:ext>
          </c:extLst>
        </c:ser>
        <c:ser>
          <c:idx val="3"/>
          <c:order val="3"/>
          <c:tx>
            <c:strRef>
              <c:f>'Graf-UV'!$F$57</c:f>
              <c:strCache>
                <c:ptCount val="1"/>
                <c:pt idx="0">
                  <c:v>Řemeslníci a opraváři, Obsluha strojů</c:v>
                </c:pt>
              </c:strCache>
            </c:strRef>
          </c:tx>
          <c:spPr>
            <a:ln w="22225">
              <a:solidFill>
                <a:srgbClr val="7030A0"/>
              </a:solidFill>
            </a:ln>
          </c:spPr>
          <c:marker>
            <c:symbol val="none"/>
          </c:marker>
          <c:dPt>
            <c:idx val="16"/>
            <c:spPr>
              <a:ln w="22225">
                <a:solidFill>
                  <a:srgbClr val="7030A0"/>
                </a:solidFill>
                <a:prstDash val="sysDot"/>
              </a:ln>
            </c:spPr>
            <c:extLst xmlns:c16r2="http://schemas.microsoft.com/office/drawing/2015/06/chart">
              <c:ext xmlns:c16="http://schemas.microsoft.com/office/drawing/2014/chart" uri="{C3380CC4-5D6E-409C-BE32-E72D297353CC}">
                <c16:uniqueId val="{0000000B-E59E-4FD0-B9A4-C384A13D52D8}"/>
              </c:ext>
            </c:extLst>
          </c:dPt>
          <c:dPt>
            <c:idx val="24"/>
            <c:spPr>
              <a:ln w="22225">
                <a:solidFill>
                  <a:srgbClr val="7030A0"/>
                </a:solidFill>
                <a:prstDash val="solid"/>
              </a:ln>
            </c:spPr>
            <c:extLst xmlns:c16r2="http://schemas.microsoft.com/office/drawing/2015/06/chart">
              <c:ext xmlns:c16="http://schemas.microsoft.com/office/drawing/2014/chart" uri="{C3380CC4-5D6E-409C-BE32-E72D297353CC}">
                <c16:uniqueId val="{0000000C-E59E-4FD0-B9A4-C384A13D52D8}"/>
              </c:ext>
            </c:extLst>
          </c:dPt>
          <c:cat>
            <c:multiLvlStrRef>
              <c:f>'Graf-UV'!$A$66:$B$109</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'Graf-UV'!$F$66:$F$109</c:f>
              <c:numCache>
                <c:formatCode>0.0</c:formatCode>
                <c:ptCount val="44"/>
                <c:pt idx="0">
                  <c:v>1.7440970824028996</c:v>
                </c:pt>
                <c:pt idx="1">
                  <c:v>1.188861638425277</c:v>
                </c:pt>
                <c:pt idx="2">
                  <c:v>0.97417069330583306</c:v>
                </c:pt>
                <c:pt idx="3">
                  <c:v>1.0057571998705641</c:v>
                </c:pt>
                <c:pt idx="4">
                  <c:v>0.92083906915765257</c:v>
                </c:pt>
                <c:pt idx="5">
                  <c:v>0.72796292769631177</c:v>
                </c:pt>
                <c:pt idx="6">
                  <c:v>0.85209392739924783</c:v>
                </c:pt>
                <c:pt idx="7">
                  <c:v>1.909758682738051</c:v>
                </c:pt>
                <c:pt idx="8">
                  <c:v>6.8567851180538995</c:v>
                </c:pt>
                <c:pt idx="9">
                  <c:v>8.7403991533110919</c:v>
                </c:pt>
                <c:pt idx="10">
                  <c:v>9.8954301512442413</c:v>
                </c:pt>
                <c:pt idx="11">
                  <c:v>15.835817550151306</c:v>
                </c:pt>
                <c:pt idx="12">
                  <c:v>17.853839245621728</c:v>
                </c:pt>
                <c:pt idx="13">
                  <c:v>11.782321515298689</c:v>
                </c:pt>
                <c:pt idx="14">
                  <c:v>8.4407691174303814</c:v>
                </c:pt>
                <c:pt idx="15">
                  <c:v>13.149793573864656</c:v>
                </c:pt>
                <c:pt idx="16">
                  <c:v>11.443751026441118</c:v>
                </c:pt>
                <c:pt idx="17">
                  <c:v>7.0296775934169702</c:v>
                </c:pt>
                <c:pt idx="18">
                  <c:v>6.3932893641544473</c:v>
                </c:pt>
                <c:pt idx="19">
                  <c:v>9.5637583892617446</c:v>
                </c:pt>
                <c:pt idx="20">
                  <c:v>8.2296737246627689</c:v>
                </c:pt>
                <c:pt idx="21">
                  <c:v>5.8171021377671845</c:v>
                </c:pt>
                <c:pt idx="22">
                  <c:v>6.3691581895916434</c:v>
                </c:pt>
                <c:pt idx="23">
                  <c:v>11.622408376963374</c:v>
                </c:pt>
                <c:pt idx="24">
                  <c:v>13.501312611571983</c:v>
                </c:pt>
                <c:pt idx="25">
                  <c:v>11.129851501856225</c:v>
                </c:pt>
                <c:pt idx="26">
                  <c:v>9.9671568261551098</c:v>
                </c:pt>
                <c:pt idx="27">
                  <c:v>15.077613915674046</c:v>
                </c:pt>
                <c:pt idx="28">
                  <c:v>12.446670318491275</c:v>
                </c:pt>
                <c:pt idx="29">
                  <c:v>6.5427334437971032</c:v>
                </c:pt>
                <c:pt idx="30">
                  <c:v>4.9897291051483839</c:v>
                </c:pt>
                <c:pt idx="31">
                  <c:v>5.7087995820089734</c:v>
                </c:pt>
                <c:pt idx="32">
                  <c:v>4.2699637476302925</c:v>
                </c:pt>
                <c:pt idx="33">
                  <c:v>2.4122973310052367</c:v>
                </c:pt>
                <c:pt idx="34">
                  <c:v>1.9648157625383931</c:v>
                </c:pt>
                <c:pt idx="35">
                  <c:v>2.4517351184250287</c:v>
                </c:pt>
                <c:pt idx="36">
                  <c:v>2.1824548239854935</c:v>
                </c:pt>
                <c:pt idx="37">
                  <c:v>1.4209829764861581</c:v>
                </c:pt>
                <c:pt idx="38">
                  <c:v>1.2373437448735201</c:v>
                </c:pt>
                <c:pt idx="39">
                  <c:v>1.4601948384891354</c:v>
                </c:pt>
                <c:pt idx="40">
                  <c:v>1.2241929544617769</c:v>
                </c:pt>
                <c:pt idx="41">
                  <c:v>0.71510550237412873</c:v>
                </c:pt>
                <c:pt idx="42">
                  <c:v>0.56774638180564463</c:v>
                </c:pt>
                <c:pt idx="43">
                  <c:v>0.59415736476464387</c:v>
                </c:pt>
              </c:numCache>
            </c:numRef>
          </c:val>
          <c:extLst xmlns:c16r2="http://schemas.microsoft.com/office/drawing/2015/06/chart">
            <c:ext xmlns:c16="http://schemas.microsoft.com/office/drawing/2014/chart" uri="{C3380CC4-5D6E-409C-BE32-E72D297353CC}">
              <c16:uniqueId val="{0000000D-E59E-4FD0-B9A4-C384A13D52D8}"/>
            </c:ext>
          </c:extLst>
        </c:ser>
        <c:ser>
          <c:idx val="4"/>
          <c:order val="4"/>
          <c:tx>
            <c:strRef>
              <c:f>'Graf-UV'!$G$57</c:f>
              <c:strCache>
                <c:ptCount val="1"/>
                <c:pt idx="0">
                  <c:v>Pomocní a nekvalif. pracovníci</c:v>
                </c:pt>
              </c:strCache>
            </c:strRef>
          </c:tx>
          <c:spPr>
            <a:ln w="22225">
              <a:solidFill>
                <a:srgbClr val="48AEE7"/>
              </a:solidFill>
            </a:ln>
          </c:spPr>
          <c:marker>
            <c:symbol val="none"/>
          </c:marker>
          <c:dPt>
            <c:idx val="16"/>
            <c:spPr>
              <a:ln w="22225">
                <a:solidFill>
                  <a:srgbClr val="48AEE7"/>
                </a:solidFill>
                <a:prstDash val="sysDot"/>
              </a:ln>
            </c:spPr>
            <c:extLst xmlns:c16r2="http://schemas.microsoft.com/office/drawing/2015/06/chart">
              <c:ext xmlns:c16="http://schemas.microsoft.com/office/drawing/2014/chart" uri="{C3380CC4-5D6E-409C-BE32-E72D297353CC}">
                <c16:uniqueId val="{0000000E-E59E-4FD0-B9A4-C384A13D52D8}"/>
              </c:ext>
            </c:extLst>
          </c:dPt>
          <c:dPt>
            <c:idx val="24"/>
            <c:spPr>
              <a:ln w="22225">
                <a:solidFill>
                  <a:srgbClr val="48AEE7"/>
                </a:solidFill>
                <a:prstDash val="solid"/>
              </a:ln>
            </c:spPr>
            <c:extLst xmlns:c16r2="http://schemas.microsoft.com/office/drawing/2015/06/chart">
              <c:ext xmlns:c16="http://schemas.microsoft.com/office/drawing/2014/chart" uri="{C3380CC4-5D6E-409C-BE32-E72D297353CC}">
                <c16:uniqueId val="{0000000F-E59E-4FD0-B9A4-C384A13D52D8}"/>
              </c:ext>
            </c:extLst>
          </c:dPt>
          <c:cat>
            <c:multiLvlStrRef>
              <c:f>'Graf-UV'!$A$66:$B$109</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'Graf-UV'!$G$66:$G$109</c:f>
              <c:numCache>
                <c:formatCode>0.0</c:formatCode>
                <c:ptCount val="44"/>
                <c:pt idx="0">
                  <c:v>6.7311523539897324</c:v>
                </c:pt>
                <c:pt idx="1">
                  <c:v>5.4495004498319064</c:v>
                </c:pt>
                <c:pt idx="2">
                  <c:v>4.6093489148580984</c:v>
                </c:pt>
                <c:pt idx="3">
                  <c:v>3.9074551048150528</c:v>
                </c:pt>
                <c:pt idx="4">
                  <c:v>3.1522865176853632</c:v>
                </c:pt>
                <c:pt idx="5">
                  <c:v>3.0553320243345028</c:v>
                </c:pt>
                <c:pt idx="6">
                  <c:v>3.1401146423363033</c:v>
                </c:pt>
                <c:pt idx="7">
                  <c:v>4.6927515326361275</c:v>
                </c:pt>
                <c:pt idx="8">
                  <c:v>6.5818877417326132</c:v>
                </c:pt>
                <c:pt idx="9">
                  <c:v>9.8496676456948506</c:v>
                </c:pt>
                <c:pt idx="10">
                  <c:v>12.569192913385876</c:v>
                </c:pt>
                <c:pt idx="11">
                  <c:v>16.569405784823889</c:v>
                </c:pt>
                <c:pt idx="12">
                  <c:v>16.074562887760656</c:v>
                </c:pt>
                <c:pt idx="13">
                  <c:v>22.773836303858801</c:v>
                </c:pt>
                <c:pt idx="14">
                  <c:v>23.93719351188231</c:v>
                </c:pt>
                <c:pt idx="15">
                  <c:v>31.96238887622485</c:v>
                </c:pt>
                <c:pt idx="16">
                  <c:v>26.203313840155669</c:v>
                </c:pt>
                <c:pt idx="17">
                  <c:v>26.223642842170921</c:v>
                </c:pt>
                <c:pt idx="18">
                  <c:v>22.619002822201317</c:v>
                </c:pt>
                <c:pt idx="19">
                  <c:v>23.475054229934923</c:v>
                </c:pt>
                <c:pt idx="20">
                  <c:v>15.047801857585139</c:v>
                </c:pt>
                <c:pt idx="21">
                  <c:v>11.891856102405654</c:v>
                </c:pt>
                <c:pt idx="22">
                  <c:v>10.614633153556518</c:v>
                </c:pt>
                <c:pt idx="23">
                  <c:v>14.831763122476355</c:v>
                </c:pt>
                <c:pt idx="24">
                  <c:v>11.06402523893477</c:v>
                </c:pt>
                <c:pt idx="25">
                  <c:v>12.532026726057907</c:v>
                </c:pt>
                <c:pt idx="26">
                  <c:v>21.473835886546329</c:v>
                </c:pt>
                <c:pt idx="27">
                  <c:v>26.980451936872289</c:v>
                </c:pt>
                <c:pt idx="28">
                  <c:v>20.327046445984092</c:v>
                </c:pt>
                <c:pt idx="29">
                  <c:v>17.233562781865629</c:v>
                </c:pt>
                <c:pt idx="30">
                  <c:v>15.029040267731837</c:v>
                </c:pt>
                <c:pt idx="31">
                  <c:v>13.497801066716548</c:v>
                </c:pt>
                <c:pt idx="32">
                  <c:v>9.7578570937349571</c:v>
                </c:pt>
                <c:pt idx="33">
                  <c:v>7.033440550133097</c:v>
                </c:pt>
                <c:pt idx="34">
                  <c:v>6.1480065259508505</c:v>
                </c:pt>
                <c:pt idx="35">
                  <c:v>6.7799022503893873</c:v>
                </c:pt>
                <c:pt idx="36">
                  <c:v>5.7094511500797083</c:v>
                </c:pt>
                <c:pt idx="37">
                  <c:v>4.279070647443902</c:v>
                </c:pt>
                <c:pt idx="38">
                  <c:v>3.9636297109403826</c:v>
                </c:pt>
                <c:pt idx="39">
                  <c:v>4.2881330079316724</c:v>
                </c:pt>
                <c:pt idx="40">
                  <c:v>3.2636056473995416</c:v>
                </c:pt>
                <c:pt idx="41">
                  <c:v>2.0747722557950752</c:v>
                </c:pt>
                <c:pt idx="42">
                  <c:v>1.7502058290795341</c:v>
                </c:pt>
                <c:pt idx="43">
                  <c:v>1.6721018017667642</c:v>
                </c:pt>
              </c:numCache>
            </c:numRef>
          </c:val>
          <c:extLst xmlns:c16r2="http://schemas.microsoft.com/office/drawing/2015/06/chart">
            <c:ext xmlns:c16="http://schemas.microsoft.com/office/drawing/2014/chart" uri="{C3380CC4-5D6E-409C-BE32-E72D297353CC}">
              <c16:uniqueId val="{00000010-E59E-4FD0-B9A4-C384A13D52D8}"/>
            </c:ext>
          </c:extLst>
        </c:ser>
        <c:marker val="1"/>
        <c:axId val="124277120"/>
        <c:axId val="124278656"/>
      </c:lineChart>
      <c:catAx>
        <c:axId val="124277120"/>
        <c:scaling>
          <c:orientation val="minMax"/>
        </c:scaling>
        <c:axPos val="b"/>
        <c:numFmt formatCode="General" sourceLinked="1"/>
        <c:tickLblPos val="nextTo"/>
        <c:txPr>
          <a:bodyPr rot="0" vert="horz"/>
          <a:lstStyle/>
          <a:p>
            <a:pPr>
              <a:defRPr sz="800">
                <a:latin typeface="Arial" pitchFamily="34" charset="0"/>
                <a:cs typeface="Arial" pitchFamily="34" charset="0"/>
              </a:defRPr>
            </a:pPr>
            <a:endParaRPr lang="cs-CZ"/>
          </a:p>
        </c:txPr>
        <c:crossAx val="124278656"/>
        <c:crosses val="autoZero"/>
        <c:auto val="1"/>
        <c:lblAlgn val="ctr"/>
        <c:lblOffset val="0"/>
        <c:tickMarkSkip val="4"/>
      </c:catAx>
      <c:valAx>
        <c:axId val="124278656"/>
        <c:scaling>
          <c:orientation val="minMax"/>
        </c:scaling>
        <c:axPos val="l"/>
        <c:numFmt formatCode="0" sourceLinked="0"/>
        <c:tickLblPos val="nextTo"/>
        <c:txPr>
          <a:bodyPr/>
          <a:lstStyle/>
          <a:p>
            <a:pPr>
              <a:defRPr sz="800">
                <a:latin typeface="Arial" pitchFamily="34" charset="0"/>
                <a:cs typeface="Arial" pitchFamily="34" charset="0"/>
              </a:defRPr>
            </a:pPr>
            <a:endParaRPr lang="cs-CZ"/>
          </a:p>
        </c:txPr>
        <c:crossAx val="124277120"/>
        <c:crosses val="autoZero"/>
        <c:crossBetween val="midCat"/>
      </c:valAx>
      <c:spPr>
        <a:ln w="9525">
          <a:solidFill>
            <a:schemeClr val="tx1">
              <a:lumMod val="95000"/>
              <a:lumOff val="5000"/>
            </a:schemeClr>
          </a:solidFill>
        </a:ln>
      </c:spPr>
    </c:plotArea>
    <c:legend>
      <c:legendPos val="r"/>
      <c:layout>
        <c:manualLayout>
          <c:xMode val="edge"/>
          <c:yMode val="edge"/>
          <c:x val="4.2687539606681334E-2"/>
          <c:y val="0.88431757920082021"/>
          <c:w val="0.94498714447540477"/>
          <c:h val="0.11264001684316705"/>
        </c:manualLayout>
      </c:layout>
      <c:spPr>
        <a:ln>
          <a:solidFill>
            <a:sysClr val="windowText" lastClr="000000">
              <a:lumMod val="95000"/>
              <a:lumOff val="5000"/>
            </a:sysClr>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4.9011887316812913E-2"/>
          <c:y val="1.6233377178020272E-2"/>
          <c:w val="0.93080536961356963"/>
          <c:h val="0.77179151035441029"/>
        </c:manualLayout>
      </c:layout>
      <c:barChart>
        <c:barDir val="col"/>
        <c:grouping val="clustered"/>
        <c:ser>
          <c:idx val="2"/>
          <c:order val="2"/>
          <c:tx>
            <c:strRef>
              <c:f>'Mzdy a produktivita'!$E$90</c:f>
              <c:strCache>
                <c:ptCount val="1"/>
                <c:pt idx="0">
                  <c:v>Vyplacené mzdy a platy na 1 zaměstnance (nominálně)</c:v>
                </c:pt>
              </c:strCache>
            </c:strRef>
          </c:tx>
          <c:spPr>
            <a:solidFill>
              <a:sysClr val="window" lastClr="FFFFFF">
                <a:lumMod val="65000"/>
              </a:sysClr>
            </a:solidFill>
            <a:ln w="22225">
              <a:noFill/>
            </a:ln>
          </c:spPr>
          <c:cat>
            <c:multiLvlStrRef>
              <c:f>'Mzdy a produktivita'!$A$91:$B$134</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'Mzdy a produktivita'!$E$91:$E$134</c:f>
              <c:numCache>
                <c:formatCode>0.0</c:formatCode>
                <c:ptCount val="44"/>
                <c:pt idx="0">
                  <c:v>7.1145912959309205</c:v>
                </c:pt>
                <c:pt idx="1">
                  <c:v>5.5437905981515794</c:v>
                </c:pt>
                <c:pt idx="2">
                  <c:v>5.4624650955409324</c:v>
                </c:pt>
                <c:pt idx="3">
                  <c:v>5.4263632565805011</c:v>
                </c:pt>
                <c:pt idx="4">
                  <c:v>7.545730709816965</c:v>
                </c:pt>
                <c:pt idx="5">
                  <c:v>5.8316934962009421</c:v>
                </c:pt>
                <c:pt idx="6">
                  <c:v>3.9943327520595053</c:v>
                </c:pt>
                <c:pt idx="7">
                  <c:v>2.1514503433726588</c:v>
                </c:pt>
                <c:pt idx="8">
                  <c:v>-1.0382798579541463</c:v>
                </c:pt>
                <c:pt idx="9">
                  <c:v>-1.0536274040125875</c:v>
                </c:pt>
                <c:pt idx="10">
                  <c:v>1.1791782998793252</c:v>
                </c:pt>
                <c:pt idx="11">
                  <c:v>2.7509155694290972</c:v>
                </c:pt>
                <c:pt idx="12">
                  <c:v>2.1891775485762306</c:v>
                </c:pt>
                <c:pt idx="13">
                  <c:v>3.466288001965907</c:v>
                </c:pt>
                <c:pt idx="14">
                  <c:v>3.1320465347573627</c:v>
                </c:pt>
                <c:pt idx="15">
                  <c:v>2.2052273403621006</c:v>
                </c:pt>
                <c:pt idx="16">
                  <c:v>2.9444945170146894</c:v>
                </c:pt>
                <c:pt idx="17">
                  <c:v>2.9704833798524675</c:v>
                </c:pt>
                <c:pt idx="18">
                  <c:v>2.4267212566699343</c:v>
                </c:pt>
                <c:pt idx="19">
                  <c:v>2.3124255239017502</c:v>
                </c:pt>
                <c:pt idx="20">
                  <c:v>3.7316933373723082</c:v>
                </c:pt>
                <c:pt idx="21">
                  <c:v>1.9158959665629425</c:v>
                </c:pt>
                <c:pt idx="22">
                  <c:v>0.5183374905682856</c:v>
                </c:pt>
                <c:pt idx="23">
                  <c:v>1.7401874530554835</c:v>
                </c:pt>
                <c:pt idx="24">
                  <c:v>-1.2209868455968405</c:v>
                </c:pt>
                <c:pt idx="25">
                  <c:v>-0.41837106779134287</c:v>
                </c:pt>
                <c:pt idx="26">
                  <c:v>1.4028773472451745</c:v>
                </c:pt>
                <c:pt idx="27">
                  <c:v>-1.56675881882542</c:v>
                </c:pt>
                <c:pt idx="28">
                  <c:v>3.1256494200529787</c:v>
                </c:pt>
                <c:pt idx="29">
                  <c:v>3.3574572479724614</c:v>
                </c:pt>
                <c:pt idx="30">
                  <c:v>1.6711665278176184</c:v>
                </c:pt>
                <c:pt idx="31">
                  <c:v>2.6832339945580088</c:v>
                </c:pt>
                <c:pt idx="32">
                  <c:v>2.1198536831547541</c:v>
                </c:pt>
                <c:pt idx="33">
                  <c:v>2.6809651172683151</c:v>
                </c:pt>
                <c:pt idx="34">
                  <c:v>3.3331686574264152</c:v>
                </c:pt>
                <c:pt idx="35">
                  <c:v>3.0786274035115753</c:v>
                </c:pt>
                <c:pt idx="36">
                  <c:v>3.5198331057782508</c:v>
                </c:pt>
                <c:pt idx="37">
                  <c:v>3.6241208063056667</c:v>
                </c:pt>
                <c:pt idx="38">
                  <c:v>3.9496571007880967</c:v>
                </c:pt>
                <c:pt idx="39">
                  <c:v>4.1654698021102465</c:v>
                </c:pt>
                <c:pt idx="40">
                  <c:v>5.4410578367084446</c:v>
                </c:pt>
                <c:pt idx="41">
                  <c:v>6.7790836699442893</c:v>
                </c:pt>
                <c:pt idx="42">
                  <c:v>5.7632737667049838</c:v>
                </c:pt>
                <c:pt idx="43">
                  <c:v>7.0851085183863445</c:v>
                </c:pt>
              </c:numCache>
            </c:numRef>
          </c:val>
          <c:extLst xmlns:c16r2="http://schemas.microsoft.com/office/drawing/2015/06/chart">
            <c:ext xmlns:c16="http://schemas.microsoft.com/office/drawing/2014/chart" uri="{C3380CC4-5D6E-409C-BE32-E72D297353CC}">
              <c16:uniqueId val="{00000000-7797-4C34-B774-8EAA862FA144}"/>
            </c:ext>
          </c:extLst>
        </c:ser>
        <c:gapWidth val="51"/>
        <c:axId val="124307712"/>
        <c:axId val="124318464"/>
      </c:barChart>
      <c:lineChart>
        <c:grouping val="standard"/>
        <c:ser>
          <c:idx val="0"/>
          <c:order val="0"/>
          <c:tx>
            <c:strRef>
              <c:f>'Mzdy a produktivita'!$C$90</c:f>
              <c:strCache>
                <c:ptCount val="1"/>
                <c:pt idx="0">
                  <c:v>Objem vyplacených mezd a platů (nominálně)</c:v>
                </c:pt>
              </c:strCache>
            </c:strRef>
          </c:tx>
          <c:spPr>
            <a:ln w="22225">
              <a:solidFill>
                <a:srgbClr val="0071BC"/>
              </a:solidFill>
              <a:prstDash val="sysDot"/>
            </a:ln>
          </c:spPr>
          <c:marker>
            <c:symbol val="none"/>
          </c:marker>
          <c:cat>
            <c:multiLvlStrRef>
              <c:f>'Mzdy a produktivita'!$A$91:$B$134</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'Mzdy a produktivita'!$C$91:$C$134</c:f>
              <c:numCache>
                <c:formatCode>0.0</c:formatCode>
                <c:ptCount val="44"/>
                <c:pt idx="0">
                  <c:v>8.8803530098498147</c:v>
                </c:pt>
                <c:pt idx="1">
                  <c:v>8.0611065809762721</c:v>
                </c:pt>
                <c:pt idx="2">
                  <c:v>8.1594400662353248</c:v>
                </c:pt>
                <c:pt idx="3">
                  <c:v>8.0049905560657777</c:v>
                </c:pt>
                <c:pt idx="4">
                  <c:v>10.395000262433754</c:v>
                </c:pt>
                <c:pt idx="5">
                  <c:v>8.5165581861097195</c:v>
                </c:pt>
                <c:pt idx="6">
                  <c:v>6.9336404713387134</c:v>
                </c:pt>
                <c:pt idx="7">
                  <c:v>4.8359821975786303</c:v>
                </c:pt>
                <c:pt idx="8">
                  <c:v>-1.3319251106258598</c:v>
                </c:pt>
                <c:pt idx="9">
                  <c:v>-3.0893044286401619</c:v>
                </c:pt>
                <c:pt idx="10">
                  <c:v>-2.2917080930602403</c:v>
                </c:pt>
                <c:pt idx="11">
                  <c:v>-1.3243999338871362</c:v>
                </c:pt>
                <c:pt idx="12">
                  <c:v>-1.6407435834776161</c:v>
                </c:pt>
                <c:pt idx="13">
                  <c:v>1.1314017547439335</c:v>
                </c:pt>
                <c:pt idx="14">
                  <c:v>2.1911303315526292</c:v>
                </c:pt>
                <c:pt idx="15">
                  <c:v>1.3170506254904808</c:v>
                </c:pt>
                <c:pt idx="16">
                  <c:v>2.8484246182271202</c:v>
                </c:pt>
                <c:pt idx="17">
                  <c:v>2.7526421800549343</c:v>
                </c:pt>
                <c:pt idx="18">
                  <c:v>1.7266043779146056</c:v>
                </c:pt>
                <c:pt idx="19">
                  <c:v>1.2855406526590856</c:v>
                </c:pt>
                <c:pt idx="20">
                  <c:v>3.4231334549116812</c:v>
                </c:pt>
                <c:pt idx="21">
                  <c:v>1.9795597124091511</c:v>
                </c:pt>
                <c:pt idx="22">
                  <c:v>1.6630395416445083</c:v>
                </c:pt>
                <c:pt idx="23">
                  <c:v>3.2388039851042167</c:v>
                </c:pt>
                <c:pt idx="24">
                  <c:v>0.16448829336816642</c:v>
                </c:pt>
                <c:pt idx="25">
                  <c:v>1.1982465936294631</c:v>
                </c:pt>
                <c:pt idx="26">
                  <c:v>1.725698367053488</c:v>
                </c:pt>
                <c:pt idx="27">
                  <c:v>-1.0917970293985921</c:v>
                </c:pt>
                <c:pt idx="28">
                  <c:v>3.8473033733697122</c:v>
                </c:pt>
                <c:pt idx="29">
                  <c:v>3.4551427592942567</c:v>
                </c:pt>
                <c:pt idx="30">
                  <c:v>2.9445262981881086</c:v>
                </c:pt>
                <c:pt idx="31">
                  <c:v>4.2141034521547169</c:v>
                </c:pt>
                <c:pt idx="32">
                  <c:v>4.0359028043531424</c:v>
                </c:pt>
                <c:pt idx="33">
                  <c:v>4.8431887007589296</c:v>
                </c:pt>
                <c:pt idx="34">
                  <c:v>5.1616027263756052</c:v>
                </c:pt>
                <c:pt idx="35">
                  <c:v>5.1895447857431192</c:v>
                </c:pt>
                <c:pt idx="36">
                  <c:v>6.0523243795371773</c:v>
                </c:pt>
                <c:pt idx="37">
                  <c:v>5.4330761607119404</c:v>
                </c:pt>
                <c:pt idx="38">
                  <c:v>5.6586892660635844</c:v>
                </c:pt>
                <c:pt idx="39">
                  <c:v>5.7471295406184755</c:v>
                </c:pt>
                <c:pt idx="40">
                  <c:v>6.7004531942888041</c:v>
                </c:pt>
                <c:pt idx="41">
                  <c:v>8.3699121277073747</c:v>
                </c:pt>
                <c:pt idx="42">
                  <c:v>8.1819761524521919</c:v>
                </c:pt>
                <c:pt idx="43">
                  <c:v>9.5261320660764426</c:v>
                </c:pt>
              </c:numCache>
            </c:numRef>
          </c:val>
          <c:extLst xmlns:c16r2="http://schemas.microsoft.com/office/drawing/2015/06/chart">
            <c:ext xmlns:c16="http://schemas.microsoft.com/office/drawing/2014/chart" uri="{C3380CC4-5D6E-409C-BE32-E72D297353CC}">
              <c16:uniqueId val="{00000001-7797-4C34-B774-8EAA862FA144}"/>
            </c:ext>
          </c:extLst>
        </c:ser>
        <c:ser>
          <c:idx val="1"/>
          <c:order val="1"/>
          <c:tx>
            <c:strRef>
              <c:f>'Mzdy a produktivita'!$D$90</c:f>
              <c:strCache>
                <c:ptCount val="1"/>
                <c:pt idx="0">
                  <c:v>Objem vyplacených mezd a platů (reálně)</c:v>
                </c:pt>
              </c:strCache>
            </c:strRef>
          </c:tx>
          <c:spPr>
            <a:ln w="22225">
              <a:solidFill>
                <a:srgbClr val="0071BC"/>
              </a:solidFill>
              <a:prstDash val="solid"/>
            </a:ln>
          </c:spPr>
          <c:marker>
            <c:symbol val="none"/>
          </c:marker>
          <c:cat>
            <c:multiLvlStrRef>
              <c:f>'Mzdy a produktivita'!$A$91:$B$134</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'Mzdy a produktivita'!$D$91:$D$134</c:f>
              <c:numCache>
                <c:formatCode>#,##0.0</c:formatCode>
                <c:ptCount val="44"/>
                <c:pt idx="0">
                  <c:v>6.6822423590738724</c:v>
                </c:pt>
                <c:pt idx="1">
                  <c:v>5.4869603847052133</c:v>
                </c:pt>
                <c:pt idx="2">
                  <c:v>5.4114386439917324</c:v>
                </c:pt>
                <c:pt idx="3">
                  <c:v>3.4302081595239469</c:v>
                </c:pt>
                <c:pt idx="4">
                  <c:v>4.4066040441991801</c:v>
                </c:pt>
                <c:pt idx="5">
                  <c:v>3.1720008130913726</c:v>
                </c:pt>
                <c:pt idx="6">
                  <c:v>1.7820694304571558</c:v>
                </c:pt>
                <c:pt idx="7">
                  <c:v>1.5073983694903739</c:v>
                </c:pt>
                <c:pt idx="8">
                  <c:v>-3.0275843351882799</c:v>
                </c:pt>
                <c:pt idx="9">
                  <c:v>-4.2613563966589805</c:v>
                </c:pt>
                <c:pt idx="10">
                  <c:v>-2.3479445442104092</c:v>
                </c:pt>
                <c:pt idx="11">
                  <c:v>-1.7921804008888864</c:v>
                </c:pt>
                <c:pt idx="12">
                  <c:v>-1.026885916876898</c:v>
                </c:pt>
                <c:pt idx="13">
                  <c:v>0.98726773012953117</c:v>
                </c:pt>
                <c:pt idx="14">
                  <c:v>1.2456155283742163</c:v>
                </c:pt>
                <c:pt idx="15">
                  <c:v>1.1930485152063911E-2</c:v>
                </c:pt>
                <c:pt idx="16">
                  <c:v>1.1143409784457321</c:v>
                </c:pt>
                <c:pt idx="17">
                  <c:v>0.91232499227259023</c:v>
                </c:pt>
                <c:pt idx="18">
                  <c:v>6.7106080198215123E-2</c:v>
                </c:pt>
                <c:pt idx="19">
                  <c:v>-0.57822053920969563</c:v>
                </c:pt>
                <c:pt idx="20">
                  <c:v>0.69995446854495924</c:v>
                </c:pt>
                <c:pt idx="21">
                  <c:v>-0.23192219608451126</c:v>
                </c:pt>
                <c:pt idx="22">
                  <c:v>-0.47392166339740877</c:v>
                </c:pt>
                <c:pt idx="23">
                  <c:v>1.3359876679448774</c:v>
                </c:pt>
                <c:pt idx="24">
                  <c:v>-0.82142500744606661</c:v>
                </c:pt>
                <c:pt idx="25">
                  <c:v>0.24333633434729204</c:v>
                </c:pt>
                <c:pt idx="26">
                  <c:v>0.91821494232728151</c:v>
                </c:pt>
                <c:pt idx="27">
                  <c:v>-1.7952866708239978</c:v>
                </c:pt>
                <c:pt idx="28">
                  <c:v>3.3606651611940777</c:v>
                </c:pt>
                <c:pt idx="29">
                  <c:v>2.9192137628583912</c:v>
                </c:pt>
                <c:pt idx="30">
                  <c:v>2.0856371015448607</c:v>
                </c:pt>
                <c:pt idx="31">
                  <c:v>3.5997693463677511</c:v>
                </c:pt>
                <c:pt idx="32">
                  <c:v>3.9076300287547392</c:v>
                </c:pt>
                <c:pt idx="33">
                  <c:v>4.3078224221934684</c:v>
                </c:pt>
                <c:pt idx="34">
                  <c:v>5.1916660151557634</c:v>
                </c:pt>
                <c:pt idx="35">
                  <c:v>5.1713798945581972</c:v>
                </c:pt>
                <c:pt idx="36">
                  <c:v>5.9583662867217981</c:v>
                </c:pt>
                <c:pt idx="37">
                  <c:v>5.4199903485808694</c:v>
                </c:pt>
                <c:pt idx="38">
                  <c:v>4.8999581012189566</c:v>
                </c:pt>
                <c:pt idx="39">
                  <c:v>4.4012056651944524</c:v>
                </c:pt>
                <c:pt idx="40">
                  <c:v>4.2135207127115137</c:v>
                </c:pt>
                <c:pt idx="41">
                  <c:v>6.0170589216941863</c:v>
                </c:pt>
                <c:pt idx="42">
                  <c:v>5.7771516212248804</c:v>
                </c:pt>
                <c:pt idx="43">
                  <c:v>6.7933851863724612</c:v>
                </c:pt>
              </c:numCache>
            </c:numRef>
          </c:val>
          <c:extLst xmlns:c16r2="http://schemas.microsoft.com/office/drawing/2015/06/chart">
            <c:ext xmlns:c16="http://schemas.microsoft.com/office/drawing/2014/chart" uri="{C3380CC4-5D6E-409C-BE32-E72D297353CC}">
              <c16:uniqueId val="{00000002-7797-4C34-B774-8EAA862FA144}"/>
            </c:ext>
          </c:extLst>
        </c:ser>
        <c:ser>
          <c:idx val="3"/>
          <c:order val="3"/>
          <c:tx>
            <c:strRef>
              <c:f>'Mzdy a produktivita'!$F$90</c:f>
              <c:strCache>
                <c:ptCount val="1"/>
                <c:pt idx="0">
                  <c:v>Produktivita práce (nominálně)*</c:v>
                </c:pt>
              </c:strCache>
            </c:strRef>
          </c:tx>
          <c:spPr>
            <a:ln w="22225">
              <a:noFill/>
            </a:ln>
          </c:spPr>
          <c:marker>
            <c:symbol val="diamond"/>
            <c:size val="4"/>
            <c:spPr>
              <a:solidFill>
                <a:srgbClr val="FFFF00"/>
              </a:solidFill>
              <a:ln>
                <a:solidFill>
                  <a:schemeClr val="bg1">
                    <a:lumMod val="50000"/>
                  </a:schemeClr>
                </a:solidFill>
              </a:ln>
            </c:spPr>
          </c:marker>
          <c:cat>
            <c:multiLvlStrRef>
              <c:f>'Mzdy a produktivita'!$A$91:$B$134</c:f>
              <c:multiLvlStrCache>
                <c:ptCount val="44"/>
                <c:lvl>
                  <c:pt idx="0">
                    <c:v>1</c:v>
                  </c:pt>
                  <c:pt idx="1">
                    <c:v>2</c:v>
                  </c:pt>
                  <c:pt idx="2">
                    <c:v>3</c:v>
                  </c:pt>
                  <c:pt idx="3">
                    <c:v>4</c:v>
                  </c:pt>
                  <c:pt idx="4">
                    <c:v>1</c:v>
                  </c:pt>
                  <c:pt idx="5">
                    <c:v>2</c:v>
                  </c:pt>
                  <c:pt idx="6">
                    <c:v>3</c:v>
                  </c:pt>
                  <c:pt idx="7">
                    <c:v>4</c:v>
                  </c:pt>
                  <c:pt idx="8">
                    <c:v>1</c:v>
                  </c:pt>
                  <c:pt idx="9">
                    <c:v>2</c:v>
                  </c:pt>
                  <c:pt idx="10">
                    <c:v>3</c:v>
                  </c:pt>
                  <c:pt idx="11">
                    <c:v>4</c:v>
                  </c:pt>
                  <c:pt idx="12">
                    <c:v>1</c:v>
                  </c:pt>
                  <c:pt idx="13">
                    <c:v>2</c:v>
                  </c:pt>
                  <c:pt idx="14">
                    <c:v>3</c:v>
                  </c:pt>
                  <c:pt idx="15">
                    <c:v>4</c:v>
                  </c:pt>
                  <c:pt idx="16">
                    <c:v>1</c:v>
                  </c:pt>
                  <c:pt idx="17">
                    <c:v>2</c:v>
                  </c:pt>
                  <c:pt idx="18">
                    <c:v>3</c:v>
                  </c:pt>
                  <c:pt idx="19">
                    <c:v>4</c:v>
                  </c:pt>
                  <c:pt idx="20">
                    <c:v>1</c:v>
                  </c:pt>
                  <c:pt idx="21">
                    <c:v>2</c:v>
                  </c:pt>
                  <c:pt idx="22">
                    <c:v>3</c:v>
                  </c:pt>
                  <c:pt idx="23">
                    <c:v>4</c:v>
                  </c:pt>
                  <c:pt idx="24">
                    <c:v>1</c:v>
                  </c:pt>
                  <c:pt idx="25">
                    <c:v>2</c:v>
                  </c:pt>
                  <c:pt idx="26">
                    <c:v>3</c:v>
                  </c:pt>
                  <c:pt idx="27">
                    <c:v>4</c:v>
                  </c:pt>
                  <c:pt idx="28">
                    <c:v>1</c:v>
                  </c:pt>
                  <c:pt idx="29">
                    <c:v>2</c:v>
                  </c:pt>
                  <c:pt idx="30">
                    <c:v>3</c:v>
                  </c:pt>
                  <c:pt idx="31">
                    <c:v>4</c:v>
                  </c:pt>
                  <c:pt idx="32">
                    <c:v>1</c:v>
                  </c:pt>
                  <c:pt idx="33">
                    <c:v>2</c:v>
                  </c:pt>
                  <c:pt idx="34">
                    <c:v>3</c:v>
                  </c:pt>
                  <c:pt idx="35">
                    <c:v>4</c:v>
                  </c:pt>
                  <c:pt idx="36">
                    <c:v>1</c:v>
                  </c:pt>
                  <c:pt idx="37">
                    <c:v>2</c:v>
                  </c:pt>
                  <c:pt idx="38">
                    <c:v>3</c:v>
                  </c:pt>
                  <c:pt idx="39">
                    <c:v>4</c:v>
                  </c:pt>
                  <c:pt idx="40">
                    <c:v>1</c:v>
                  </c:pt>
                  <c:pt idx="41">
                    <c:v>2</c:v>
                  </c:pt>
                  <c:pt idx="42">
                    <c:v>3</c:v>
                  </c:pt>
                  <c:pt idx="43">
                    <c:v>4</c:v>
                  </c:pt>
                </c:lvl>
                <c:lvl>
                  <c:pt idx="0">
                    <c:v>2007</c:v>
                  </c:pt>
                  <c:pt idx="4">
                    <c:v>2008</c:v>
                  </c:pt>
                  <c:pt idx="8">
                    <c:v>2009</c:v>
                  </c:pt>
                  <c:pt idx="12">
                    <c:v>2010</c:v>
                  </c:pt>
                  <c:pt idx="16">
                    <c:v>2011</c:v>
                  </c:pt>
                  <c:pt idx="20">
                    <c:v>2012</c:v>
                  </c:pt>
                  <c:pt idx="24">
                    <c:v>2013</c:v>
                  </c:pt>
                  <c:pt idx="28">
                    <c:v>2014</c:v>
                  </c:pt>
                  <c:pt idx="32">
                    <c:v>2015</c:v>
                  </c:pt>
                  <c:pt idx="36">
                    <c:v>2016</c:v>
                  </c:pt>
                  <c:pt idx="40">
                    <c:v>2017</c:v>
                  </c:pt>
                </c:lvl>
              </c:multiLvlStrCache>
            </c:multiLvlStrRef>
          </c:cat>
          <c:val>
            <c:numRef>
              <c:f>'Mzdy a produktivita'!$F$91:$F$134</c:f>
              <c:numCache>
                <c:formatCode>0.0</c:formatCode>
                <c:ptCount val="44"/>
                <c:pt idx="0">
                  <c:v>8.4956516069712364</c:v>
                </c:pt>
                <c:pt idx="1">
                  <c:v>6.9434402333897935</c:v>
                </c:pt>
                <c:pt idx="2">
                  <c:v>6.7461025071596623</c:v>
                </c:pt>
                <c:pt idx="3">
                  <c:v>6.3019257610523454</c:v>
                </c:pt>
                <c:pt idx="4">
                  <c:v>2.806358665043077</c:v>
                </c:pt>
                <c:pt idx="5">
                  <c:v>4.7816448877113924</c:v>
                </c:pt>
                <c:pt idx="6">
                  <c:v>4.0648906158599205</c:v>
                </c:pt>
                <c:pt idx="7">
                  <c:v>-1.1488063230936241</c:v>
                </c:pt>
                <c:pt idx="8">
                  <c:v>0.30656288655466118</c:v>
                </c:pt>
                <c:pt idx="9">
                  <c:v>-1.823421387798243</c:v>
                </c:pt>
                <c:pt idx="10">
                  <c:v>-2.6646686351464837</c:v>
                </c:pt>
                <c:pt idx="11">
                  <c:v>2.2907081676093672</c:v>
                </c:pt>
                <c:pt idx="12">
                  <c:v>1.2317469791325806</c:v>
                </c:pt>
                <c:pt idx="13">
                  <c:v>3.3518502052260377</c:v>
                </c:pt>
                <c:pt idx="14">
                  <c:v>1.8996267146356158</c:v>
                </c:pt>
                <c:pt idx="15">
                  <c:v>0.84387803019754715</c:v>
                </c:pt>
                <c:pt idx="16">
                  <c:v>1.8310133185012205</c:v>
                </c:pt>
                <c:pt idx="17">
                  <c:v>1.2964413283224439</c:v>
                </c:pt>
                <c:pt idx="18">
                  <c:v>2.1573742418612381</c:v>
                </c:pt>
                <c:pt idx="19">
                  <c:v>3.0199821271076104</c:v>
                </c:pt>
                <c:pt idx="20">
                  <c:v>2.3633323320347159</c:v>
                </c:pt>
                <c:pt idx="21">
                  <c:v>0.43933049723523465</c:v>
                </c:pt>
                <c:pt idx="22">
                  <c:v>-0.61589379248633536</c:v>
                </c:pt>
                <c:pt idx="23">
                  <c:v>-1.0810464112920499</c:v>
                </c:pt>
                <c:pt idx="24">
                  <c:v>-1.5327807802749476</c:v>
                </c:pt>
                <c:pt idx="25">
                  <c:v>-0.70062858949981666</c:v>
                </c:pt>
                <c:pt idx="26">
                  <c:v>1.6617179847613472</c:v>
                </c:pt>
                <c:pt idx="27">
                  <c:v>2.8522333487817235</c:v>
                </c:pt>
                <c:pt idx="28">
                  <c:v>3.9010231953977126</c:v>
                </c:pt>
                <c:pt idx="29">
                  <c:v>5.4815294023793983</c:v>
                </c:pt>
                <c:pt idx="30">
                  <c:v>5.9469442046384975</c:v>
                </c:pt>
                <c:pt idx="31">
                  <c:v>3.4050967922386093</c:v>
                </c:pt>
                <c:pt idx="32">
                  <c:v>5.4455456963092095</c:v>
                </c:pt>
                <c:pt idx="33">
                  <c:v>5.4936668933391237</c:v>
                </c:pt>
                <c:pt idx="34">
                  <c:v>4.7962291610104382</c:v>
                </c:pt>
                <c:pt idx="35">
                  <c:v>4.4822959886302982</c:v>
                </c:pt>
                <c:pt idx="36">
                  <c:v>3.0160350625013876</c:v>
                </c:pt>
                <c:pt idx="37">
                  <c:v>3.2419993140823613</c:v>
                </c:pt>
                <c:pt idx="38">
                  <c:v>1.3394077784166143</c:v>
                </c:pt>
                <c:pt idx="39">
                  <c:v>1.032853411561552</c:v>
                </c:pt>
                <c:pt idx="40">
                  <c:v>2.8318877060545589</c:v>
                </c:pt>
                <c:pt idx="41">
                  <c:v>3.3468552602249133</c:v>
                </c:pt>
                <c:pt idx="42">
                  <c:v>4.5042882664808772</c:v>
                </c:pt>
                <c:pt idx="43">
                  <c:v>5.9358236171557905</c:v>
                </c:pt>
              </c:numCache>
            </c:numRef>
          </c:val>
          <c:extLst xmlns:c16r2="http://schemas.microsoft.com/office/drawing/2015/06/chart">
            <c:ext xmlns:c16="http://schemas.microsoft.com/office/drawing/2014/chart" uri="{C3380CC4-5D6E-409C-BE32-E72D297353CC}">
              <c16:uniqueId val="{00000003-7797-4C34-B774-8EAA862FA144}"/>
            </c:ext>
          </c:extLst>
        </c:ser>
        <c:marker val="1"/>
        <c:axId val="124307712"/>
        <c:axId val="124318464"/>
      </c:lineChart>
      <c:catAx>
        <c:axId val="124307712"/>
        <c:scaling>
          <c:orientation val="minMax"/>
        </c:scaling>
        <c:axPos val="b"/>
        <c:numFmt formatCode="General" sourceLinked="1"/>
        <c:tickLblPos val="low"/>
        <c:txPr>
          <a:bodyPr/>
          <a:lstStyle/>
          <a:p>
            <a:pPr>
              <a:defRPr sz="800">
                <a:latin typeface="Arial" pitchFamily="34" charset="0"/>
                <a:cs typeface="Arial" pitchFamily="34" charset="0"/>
              </a:defRPr>
            </a:pPr>
            <a:endParaRPr lang="cs-CZ"/>
          </a:p>
        </c:txPr>
        <c:crossAx val="124318464"/>
        <c:crossesAt val="0"/>
        <c:auto val="1"/>
        <c:lblAlgn val="ctr"/>
        <c:lblOffset val="0"/>
      </c:catAx>
      <c:valAx>
        <c:axId val="124318464"/>
        <c:scaling>
          <c:orientation val="minMax"/>
          <c:max val="11"/>
          <c:min val="-5"/>
        </c:scaling>
        <c:axPos val="l"/>
        <c:majorGridlines>
          <c:spPr>
            <a:ln w="6350">
              <a:solidFill>
                <a:sysClr val="window" lastClr="FFFFFF">
                  <a:lumMod val="75000"/>
                </a:sysClr>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24307712"/>
        <c:crosses val="autoZero"/>
        <c:crossBetween val="between"/>
        <c:majorUnit val="1"/>
      </c:valAx>
      <c:spPr>
        <a:ln>
          <a:solidFill>
            <a:sysClr val="windowText" lastClr="000000"/>
          </a:solidFill>
        </a:ln>
      </c:spPr>
    </c:plotArea>
    <c:legend>
      <c:legendPos val="r"/>
      <c:layout>
        <c:manualLayout>
          <c:xMode val="edge"/>
          <c:yMode val="edge"/>
          <c:x val="4.7906432638921685E-2"/>
          <c:y val="0.88075552074315322"/>
          <c:w val="0.92805738539131122"/>
          <c:h val="0.11226367646452627"/>
        </c:manualLayout>
      </c:layout>
      <c:spPr>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solidFill>
      <a:srgbClr val="FFFFFF"/>
    </a:solidFill>
    <a:ln>
      <a:noFill/>
    </a:ln>
  </c:spPr>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8.6942257217847679E-2"/>
          <c:y val="1.625987732965755E-2"/>
          <c:w val="0.84118730830360999"/>
          <c:h val="0.82953280542833252"/>
        </c:manualLayout>
      </c:layout>
      <c:barChart>
        <c:barDir val="col"/>
        <c:grouping val="clustered"/>
        <c:ser>
          <c:idx val="0"/>
          <c:order val="0"/>
          <c:tx>
            <c:strRef>
              <c:f>'Pohlaví a věk'!$C$238</c:f>
              <c:strCache>
                <c:ptCount val="1"/>
                <c:pt idx="0">
                  <c:v>Průměrná mzda mužů (rok 2017)</c:v>
                </c:pt>
              </c:strCache>
            </c:strRef>
          </c:tx>
          <c:spPr>
            <a:solidFill>
              <a:srgbClr val="A6CDE8"/>
            </a:solidFill>
          </c:spPr>
          <c:cat>
            <c:strRef>
              <c:f>'Pohlaví a věk'!$B$239:$B$249</c:f>
              <c:strCache>
                <c:ptCount val="11"/>
                <c:pt idx="0">
                  <c:v>&lt;19 let</c:v>
                </c:pt>
                <c:pt idx="1">
                  <c:v>20-24</c:v>
                </c:pt>
                <c:pt idx="2">
                  <c:v>25-29</c:v>
                </c:pt>
                <c:pt idx="3">
                  <c:v>30-34</c:v>
                </c:pt>
                <c:pt idx="4">
                  <c:v>35-39</c:v>
                </c:pt>
                <c:pt idx="5">
                  <c:v>40-44</c:v>
                </c:pt>
                <c:pt idx="6">
                  <c:v>45-49</c:v>
                </c:pt>
                <c:pt idx="7">
                  <c:v>50-54</c:v>
                </c:pt>
                <c:pt idx="8">
                  <c:v>55-59</c:v>
                </c:pt>
                <c:pt idx="9">
                  <c:v>60-64</c:v>
                </c:pt>
                <c:pt idx="10">
                  <c:v>&gt;65 let</c:v>
                </c:pt>
              </c:strCache>
            </c:strRef>
          </c:cat>
          <c:val>
            <c:numRef>
              <c:f>'Pohlaví a věk'!$C$239:$C$249</c:f>
              <c:numCache>
                <c:formatCode>#,##0</c:formatCode>
                <c:ptCount val="11"/>
                <c:pt idx="0">
                  <c:v>20743</c:v>
                </c:pt>
                <c:pt idx="1">
                  <c:v>24252</c:v>
                </c:pt>
                <c:pt idx="2">
                  <c:v>29339</c:v>
                </c:pt>
                <c:pt idx="3">
                  <c:v>33833</c:v>
                </c:pt>
                <c:pt idx="4">
                  <c:v>37283</c:v>
                </c:pt>
                <c:pt idx="5">
                  <c:v>38379</c:v>
                </c:pt>
                <c:pt idx="6">
                  <c:v>36994</c:v>
                </c:pt>
                <c:pt idx="7">
                  <c:v>35015</c:v>
                </c:pt>
                <c:pt idx="8">
                  <c:v>32937</c:v>
                </c:pt>
                <c:pt idx="9">
                  <c:v>32502</c:v>
                </c:pt>
                <c:pt idx="10">
                  <c:v>34306</c:v>
                </c:pt>
              </c:numCache>
            </c:numRef>
          </c:val>
          <c:extLst xmlns:c16r2="http://schemas.microsoft.com/office/drawing/2015/06/chart">
            <c:ext xmlns:c16="http://schemas.microsoft.com/office/drawing/2014/chart" uri="{C3380CC4-5D6E-409C-BE32-E72D297353CC}">
              <c16:uniqueId val="{00000000-E454-4A3A-9A9F-7E5F2E832274}"/>
            </c:ext>
          </c:extLst>
        </c:ser>
        <c:ser>
          <c:idx val="1"/>
          <c:order val="1"/>
          <c:tx>
            <c:strRef>
              <c:f>'Pohlaví a věk'!$D$238</c:f>
              <c:strCache>
                <c:ptCount val="1"/>
                <c:pt idx="0">
                  <c:v>Průměrná mzda žen (rok 2017)</c:v>
                </c:pt>
              </c:strCache>
            </c:strRef>
          </c:tx>
          <c:spPr>
            <a:solidFill>
              <a:srgbClr val="E8AFB2"/>
            </a:solidFill>
          </c:spPr>
          <c:cat>
            <c:strRef>
              <c:f>'Pohlaví a věk'!$B$239:$B$249</c:f>
              <c:strCache>
                <c:ptCount val="11"/>
                <c:pt idx="0">
                  <c:v>&lt;19 let</c:v>
                </c:pt>
                <c:pt idx="1">
                  <c:v>20-24</c:v>
                </c:pt>
                <c:pt idx="2">
                  <c:v>25-29</c:v>
                </c:pt>
                <c:pt idx="3">
                  <c:v>30-34</c:v>
                </c:pt>
                <c:pt idx="4">
                  <c:v>35-39</c:v>
                </c:pt>
                <c:pt idx="5">
                  <c:v>40-44</c:v>
                </c:pt>
                <c:pt idx="6">
                  <c:v>45-49</c:v>
                </c:pt>
                <c:pt idx="7">
                  <c:v>50-54</c:v>
                </c:pt>
                <c:pt idx="8">
                  <c:v>55-59</c:v>
                </c:pt>
                <c:pt idx="9">
                  <c:v>60-64</c:v>
                </c:pt>
                <c:pt idx="10">
                  <c:v>&gt;65 let</c:v>
                </c:pt>
              </c:strCache>
            </c:strRef>
          </c:cat>
          <c:val>
            <c:numRef>
              <c:f>'Pohlaví a věk'!$D$239:$D$249</c:f>
              <c:numCache>
                <c:formatCode>#,##0</c:formatCode>
                <c:ptCount val="11"/>
                <c:pt idx="0">
                  <c:v>18896</c:v>
                </c:pt>
                <c:pt idx="1">
                  <c:v>21352</c:v>
                </c:pt>
                <c:pt idx="2">
                  <c:v>26089</c:v>
                </c:pt>
                <c:pt idx="3">
                  <c:v>28447</c:v>
                </c:pt>
                <c:pt idx="4">
                  <c:v>27791</c:v>
                </c:pt>
                <c:pt idx="5">
                  <c:v>27544</c:v>
                </c:pt>
                <c:pt idx="6">
                  <c:v>27249</c:v>
                </c:pt>
                <c:pt idx="7">
                  <c:v>27472</c:v>
                </c:pt>
                <c:pt idx="8">
                  <c:v>26992</c:v>
                </c:pt>
                <c:pt idx="9">
                  <c:v>29776</c:v>
                </c:pt>
                <c:pt idx="10">
                  <c:v>27359</c:v>
                </c:pt>
              </c:numCache>
            </c:numRef>
          </c:val>
          <c:extLst xmlns:c16r2="http://schemas.microsoft.com/office/drawing/2015/06/chart">
            <c:ext xmlns:c16="http://schemas.microsoft.com/office/drawing/2014/chart" uri="{C3380CC4-5D6E-409C-BE32-E72D297353CC}">
              <c16:uniqueId val="{00000001-E454-4A3A-9A9F-7E5F2E832274}"/>
            </c:ext>
          </c:extLst>
        </c:ser>
        <c:axId val="124351232"/>
        <c:axId val="124353152"/>
      </c:barChart>
      <c:lineChart>
        <c:grouping val="standard"/>
        <c:ser>
          <c:idx val="2"/>
          <c:order val="2"/>
          <c:tx>
            <c:strRef>
              <c:f>'Pohlaví a věk'!$E$238</c:f>
              <c:strCache>
                <c:ptCount val="1"/>
                <c:pt idx="0">
                  <c:v>Prům. mzda mužů (2017/2012, pravá osa)</c:v>
                </c:pt>
              </c:strCache>
            </c:strRef>
          </c:tx>
          <c:spPr>
            <a:ln>
              <a:noFill/>
            </a:ln>
          </c:spPr>
          <c:marker>
            <c:symbol val="diamond"/>
            <c:size val="7"/>
            <c:spPr>
              <a:solidFill>
                <a:srgbClr val="0071BC"/>
              </a:solidFill>
              <a:ln>
                <a:noFill/>
              </a:ln>
            </c:spPr>
          </c:marker>
          <c:cat>
            <c:strRef>
              <c:f>'Pohlaví a věk'!$B$239:$B$249</c:f>
              <c:strCache>
                <c:ptCount val="11"/>
                <c:pt idx="0">
                  <c:v>&lt;19 let</c:v>
                </c:pt>
                <c:pt idx="1">
                  <c:v>20-24</c:v>
                </c:pt>
                <c:pt idx="2">
                  <c:v>25-29</c:v>
                </c:pt>
                <c:pt idx="3">
                  <c:v>30-34</c:v>
                </c:pt>
                <c:pt idx="4">
                  <c:v>35-39</c:v>
                </c:pt>
                <c:pt idx="5">
                  <c:v>40-44</c:v>
                </c:pt>
                <c:pt idx="6">
                  <c:v>45-49</c:v>
                </c:pt>
                <c:pt idx="7">
                  <c:v>50-54</c:v>
                </c:pt>
                <c:pt idx="8">
                  <c:v>55-59</c:v>
                </c:pt>
                <c:pt idx="9">
                  <c:v>60-64</c:v>
                </c:pt>
                <c:pt idx="10">
                  <c:v>&gt;65 let</c:v>
                </c:pt>
              </c:strCache>
            </c:strRef>
          </c:cat>
          <c:val>
            <c:numRef>
              <c:f>'Pohlaví a věk'!$E$239:$E$249</c:f>
              <c:numCache>
                <c:formatCode>0.00</c:formatCode>
                <c:ptCount val="11"/>
                <c:pt idx="0">
                  <c:v>1.2728890525282277</c:v>
                </c:pt>
                <c:pt idx="1">
                  <c:v>1.2704699041332705</c:v>
                </c:pt>
                <c:pt idx="2">
                  <c:v>1.212205098541504</c:v>
                </c:pt>
                <c:pt idx="3">
                  <c:v>1.1488675337023389</c:v>
                </c:pt>
                <c:pt idx="4">
                  <c:v>1.1690026024519486</c:v>
                </c:pt>
                <c:pt idx="5">
                  <c:v>1.2041981738884879</c:v>
                </c:pt>
                <c:pt idx="6">
                  <c:v>1.1874558644154911</c:v>
                </c:pt>
                <c:pt idx="7">
                  <c:v>1.2053356282271868</c:v>
                </c:pt>
                <c:pt idx="8">
                  <c:v>1.1793118264169919</c:v>
                </c:pt>
                <c:pt idx="9">
                  <c:v>1.1268592032728912</c:v>
                </c:pt>
                <c:pt idx="10">
                  <c:v>1.1350206782464838</c:v>
                </c:pt>
              </c:numCache>
            </c:numRef>
          </c:val>
          <c:extLst xmlns:c16r2="http://schemas.microsoft.com/office/drawing/2015/06/chart">
            <c:ext xmlns:c16="http://schemas.microsoft.com/office/drawing/2014/chart" uri="{C3380CC4-5D6E-409C-BE32-E72D297353CC}">
              <c16:uniqueId val="{00000002-E454-4A3A-9A9F-7E5F2E832274}"/>
            </c:ext>
          </c:extLst>
        </c:ser>
        <c:ser>
          <c:idx val="3"/>
          <c:order val="3"/>
          <c:tx>
            <c:strRef>
              <c:f>'Pohlaví a věk'!$F$238</c:f>
              <c:strCache>
                <c:ptCount val="1"/>
                <c:pt idx="0">
                  <c:v>Prům. mzda žen (2017/2012, pravá osa)</c:v>
                </c:pt>
              </c:strCache>
            </c:strRef>
          </c:tx>
          <c:spPr>
            <a:ln>
              <a:noFill/>
            </a:ln>
          </c:spPr>
          <c:marker>
            <c:symbol val="triangle"/>
            <c:size val="7"/>
            <c:spPr>
              <a:solidFill>
                <a:srgbClr val="BD1B21"/>
              </a:solidFill>
              <a:ln>
                <a:noFill/>
              </a:ln>
            </c:spPr>
          </c:marker>
          <c:cat>
            <c:strRef>
              <c:f>'Pohlaví a věk'!$B$239:$B$249</c:f>
              <c:strCache>
                <c:ptCount val="11"/>
                <c:pt idx="0">
                  <c:v>&lt;19 let</c:v>
                </c:pt>
                <c:pt idx="1">
                  <c:v>20-24</c:v>
                </c:pt>
                <c:pt idx="2">
                  <c:v>25-29</c:v>
                </c:pt>
                <c:pt idx="3">
                  <c:v>30-34</c:v>
                </c:pt>
                <c:pt idx="4">
                  <c:v>35-39</c:v>
                </c:pt>
                <c:pt idx="5">
                  <c:v>40-44</c:v>
                </c:pt>
                <c:pt idx="6">
                  <c:v>45-49</c:v>
                </c:pt>
                <c:pt idx="7">
                  <c:v>50-54</c:v>
                </c:pt>
                <c:pt idx="8">
                  <c:v>55-59</c:v>
                </c:pt>
                <c:pt idx="9">
                  <c:v>60-64</c:v>
                </c:pt>
                <c:pt idx="10">
                  <c:v>&gt;65 let</c:v>
                </c:pt>
              </c:strCache>
            </c:strRef>
          </c:cat>
          <c:val>
            <c:numRef>
              <c:f>'Pohlaví a věk'!$F$239:$F$249</c:f>
              <c:numCache>
                <c:formatCode>0.00</c:formatCode>
                <c:ptCount val="11"/>
                <c:pt idx="0">
                  <c:v>1.3425222024866779</c:v>
                </c:pt>
                <c:pt idx="1">
                  <c:v>1.2512159390565563</c:v>
                </c:pt>
                <c:pt idx="2">
                  <c:v>1.1550960772159684</c:v>
                </c:pt>
                <c:pt idx="3">
                  <c:v>1.1789059262329127</c:v>
                </c:pt>
                <c:pt idx="4">
                  <c:v>1.2480801185611001</c:v>
                </c:pt>
                <c:pt idx="5">
                  <c:v>1.2360437982408898</c:v>
                </c:pt>
                <c:pt idx="6">
                  <c:v>1.2037904223361018</c:v>
                </c:pt>
                <c:pt idx="7">
                  <c:v>1.21000704721635</c:v>
                </c:pt>
                <c:pt idx="8">
                  <c:v>1.1859402460456938</c:v>
                </c:pt>
                <c:pt idx="9">
                  <c:v>1.16658830904247</c:v>
                </c:pt>
                <c:pt idx="10">
                  <c:v>1.2339437127908996</c:v>
                </c:pt>
              </c:numCache>
            </c:numRef>
          </c:val>
          <c:extLst xmlns:c16r2="http://schemas.microsoft.com/office/drawing/2015/06/chart">
            <c:ext xmlns:c16="http://schemas.microsoft.com/office/drawing/2014/chart" uri="{C3380CC4-5D6E-409C-BE32-E72D297353CC}">
              <c16:uniqueId val="{00000003-E454-4A3A-9A9F-7E5F2E832274}"/>
            </c:ext>
          </c:extLst>
        </c:ser>
        <c:marker val="1"/>
        <c:axId val="124368768"/>
        <c:axId val="124367232"/>
      </c:lineChart>
      <c:catAx>
        <c:axId val="124351232"/>
        <c:scaling>
          <c:orientation val="minMax"/>
        </c:scaling>
        <c:axPos val="b"/>
        <c:numFmt formatCode="General" sourceLinked="1"/>
        <c:tickLblPos val="nextTo"/>
        <c:txPr>
          <a:bodyPr/>
          <a:lstStyle/>
          <a:p>
            <a:pPr>
              <a:defRPr>
                <a:latin typeface="Arial" pitchFamily="34" charset="0"/>
                <a:cs typeface="Arial" pitchFamily="34" charset="0"/>
              </a:defRPr>
            </a:pPr>
            <a:endParaRPr lang="cs-CZ"/>
          </a:p>
        </c:txPr>
        <c:crossAx val="124353152"/>
        <c:crosses val="autoZero"/>
        <c:auto val="1"/>
        <c:lblAlgn val="ctr"/>
        <c:lblOffset val="0"/>
      </c:catAx>
      <c:valAx>
        <c:axId val="124353152"/>
        <c:scaling>
          <c:orientation val="minMax"/>
        </c:scaling>
        <c:axPos val="l"/>
        <c:majorGridlines>
          <c:spPr>
            <a:ln w="6350">
              <a:solidFill>
                <a:srgbClr val="BFBFBF"/>
              </a:solidFill>
            </a:ln>
          </c:spPr>
        </c:majorGridlines>
        <c:numFmt formatCode="#,##0" sourceLinked="1"/>
        <c:tickLblPos val="nextTo"/>
        <c:txPr>
          <a:bodyPr/>
          <a:lstStyle/>
          <a:p>
            <a:pPr>
              <a:defRPr>
                <a:latin typeface="Arial" pitchFamily="34" charset="0"/>
                <a:cs typeface="Arial" pitchFamily="34" charset="0"/>
              </a:defRPr>
            </a:pPr>
            <a:endParaRPr lang="cs-CZ"/>
          </a:p>
        </c:txPr>
        <c:crossAx val="124351232"/>
        <c:crosses val="autoZero"/>
        <c:crossBetween val="between"/>
      </c:valAx>
      <c:valAx>
        <c:axId val="124367232"/>
        <c:scaling>
          <c:orientation val="minMax"/>
          <c:max val="1.35"/>
          <c:min val="1"/>
        </c:scaling>
        <c:axPos val="r"/>
        <c:numFmt formatCode="0.00" sourceLinked="1"/>
        <c:tickLblPos val="nextTo"/>
        <c:txPr>
          <a:bodyPr/>
          <a:lstStyle/>
          <a:p>
            <a:pPr>
              <a:defRPr>
                <a:latin typeface="Arial" pitchFamily="34" charset="0"/>
                <a:cs typeface="Arial" pitchFamily="34" charset="0"/>
              </a:defRPr>
            </a:pPr>
            <a:endParaRPr lang="cs-CZ"/>
          </a:p>
        </c:txPr>
        <c:crossAx val="124368768"/>
        <c:crosses val="max"/>
        <c:crossBetween val="between"/>
      </c:valAx>
      <c:catAx>
        <c:axId val="124368768"/>
        <c:scaling>
          <c:orientation val="minMax"/>
        </c:scaling>
        <c:delete val="1"/>
        <c:axPos val="b"/>
        <c:numFmt formatCode="General" sourceLinked="1"/>
        <c:tickLblPos val="none"/>
        <c:crossAx val="124367232"/>
        <c:crosses val="autoZero"/>
        <c:auto val="1"/>
        <c:lblAlgn val="ctr"/>
        <c:lblOffset val="100"/>
      </c:catAx>
      <c:spPr>
        <a:ln>
          <a:solidFill>
            <a:sysClr val="windowText" lastClr="000000"/>
          </a:solidFill>
        </a:ln>
      </c:spPr>
    </c:plotArea>
    <c:legend>
      <c:legendPos val="r"/>
      <c:layout>
        <c:manualLayout>
          <c:xMode val="edge"/>
          <c:yMode val="edge"/>
          <c:x val="8.2020324900936206E-2"/>
          <c:y val="0.89530124837032232"/>
          <c:w val="0.87389271912525313"/>
          <c:h val="9.4382536624593949E-2"/>
        </c:manualLayout>
      </c:layout>
      <c:spPr>
        <a:ln>
          <a:solidFill>
            <a:schemeClr val="tx1">
              <a:lumMod val="95000"/>
              <a:lumOff val="5000"/>
            </a:schemeClr>
          </a:solidFill>
        </a:ln>
      </c:spPr>
      <c:txPr>
        <a:bodyPr/>
        <a:lstStyle/>
        <a:p>
          <a:pPr>
            <a:defRPr>
              <a:latin typeface="Arial" pitchFamily="34" charset="0"/>
              <a:cs typeface="Arial" pitchFamily="34" charset="0"/>
            </a:defRPr>
          </a:pPr>
          <a:endParaRPr lang="cs-CZ"/>
        </a:p>
      </c:txPr>
    </c:legend>
    <c:plotVisOnly val="1"/>
    <c:dispBlanksAs val="gap"/>
  </c:chart>
  <c:spPr>
    <a:ln>
      <a:noFill/>
    </a:ln>
  </c:spPr>
  <c:txPr>
    <a:bodyPr/>
    <a:lstStyle/>
    <a:p>
      <a:pPr>
        <a:defRPr sz="800"/>
      </a:pPr>
      <a:endParaRPr lang="cs-CZ"/>
    </a:p>
  </c:txPr>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4.6145390381095747E-2"/>
          <c:y val="1.4829626761507265E-2"/>
          <c:w val="0.89926664048735527"/>
          <c:h val="0.70775056421031568"/>
        </c:manualLayout>
      </c:layout>
      <c:barChart>
        <c:barDir val="col"/>
        <c:grouping val="clustered"/>
        <c:ser>
          <c:idx val="6"/>
          <c:order val="6"/>
          <c:tx>
            <c:strRef>
              <c:f>'odvětví a vzdělání'!$K$342</c:f>
              <c:strCache>
                <c:ptCount val="1"/>
                <c:pt idx="0">
                  <c:v>2017</c:v>
                </c:pt>
              </c:strCache>
            </c:strRef>
          </c:tx>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vzdělání'!$K$343:$K$362</c:f>
              <c:numCache>
                <c:formatCode>0.00</c:formatCode>
                <c:ptCount val="20"/>
                <c:pt idx="0">
                  <c:v>1.5666030800725816</c:v>
                </c:pt>
                <c:pt idx="1">
                  <c:v>2.1181676037126986</c:v>
                </c:pt>
                <c:pt idx="2">
                  <c:v>2.2725742208352155</c:v>
                </c:pt>
                <c:pt idx="3">
                  <c:v>3.4358723623262977</c:v>
                </c:pt>
                <c:pt idx="4">
                  <c:v>2.3687252069151281</c:v>
                </c:pt>
                <c:pt idx="5">
                  <c:v>2.2036602773246412</c:v>
                </c:pt>
                <c:pt idx="6">
                  <c:v>2.5489151873767253</c:v>
                </c:pt>
                <c:pt idx="7">
                  <c:v>2.218527715812975</c:v>
                </c:pt>
                <c:pt idx="8">
                  <c:v>2.022448060719098</c:v>
                </c:pt>
                <c:pt idx="11">
                  <c:v>2.0533191856223891</c:v>
                </c:pt>
                <c:pt idx="13">
                  <c:v>1.8603351955307261</c:v>
                </c:pt>
                <c:pt idx="14">
                  <c:v>2.8965494620834367</c:v>
                </c:pt>
                <c:pt idx="15">
                  <c:v>2.3749431707475477</c:v>
                </c:pt>
                <c:pt idx="16">
                  <c:v>2.7110186041730771</c:v>
                </c:pt>
                <c:pt idx="17">
                  <c:v>1.8424836601307235</c:v>
                </c:pt>
                <c:pt idx="18">
                  <c:v>1.896334647290693</c:v>
                </c:pt>
                <c:pt idx="19">
                  <c:v>2.2736852008655601</c:v>
                </c:pt>
              </c:numCache>
            </c:numRef>
          </c:val>
          <c:extLst xmlns:c16r2="http://schemas.microsoft.com/office/drawing/2015/06/chart">
            <c:ext xmlns:c16="http://schemas.microsoft.com/office/drawing/2014/chart" uri="{C3380CC4-5D6E-409C-BE32-E72D297353CC}">
              <c16:uniqueId val="{00000000-FF17-4EB2-84EB-BF123D623BB2}"/>
            </c:ext>
          </c:extLst>
        </c:ser>
        <c:ser>
          <c:idx val="7"/>
          <c:order val="7"/>
          <c:tx>
            <c:strRef>
              <c:f>'odvětví a vzdělání'!$L$342</c:f>
              <c:strCache>
                <c:ptCount val="1"/>
                <c:pt idx="0">
                  <c:v>2012</c:v>
                </c:pt>
              </c:strCache>
            </c:strRef>
          </c:tx>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vzdělání'!$L$343:$L$362</c:f>
              <c:numCache>
                <c:formatCode>0.00</c:formatCode>
                <c:ptCount val="20"/>
                <c:pt idx="0">
                  <c:v>1.812569036683914</c:v>
                </c:pt>
                <c:pt idx="1">
                  <c:v>2.3231997806491416</c:v>
                </c:pt>
                <c:pt idx="2">
                  <c:v>2.6448524383186793</c:v>
                </c:pt>
                <c:pt idx="3">
                  <c:v>3.4742921194989909</c:v>
                </c:pt>
                <c:pt idx="4">
                  <c:v>2.6405887382435602</c:v>
                </c:pt>
                <c:pt idx="5">
                  <c:v>2.5266859743483567</c:v>
                </c:pt>
                <c:pt idx="6">
                  <c:v>3.0399949373497024</c:v>
                </c:pt>
                <c:pt idx="7">
                  <c:v>2.5808796222611279</c:v>
                </c:pt>
                <c:pt idx="8">
                  <c:v>2.4031830238726792</c:v>
                </c:pt>
                <c:pt idx="10">
                  <c:v>3.1894102453723816</c:v>
                </c:pt>
                <c:pt idx="11">
                  <c:v>2.3491052716427552</c:v>
                </c:pt>
                <c:pt idx="12">
                  <c:v>2.2138187143679082</c:v>
                </c:pt>
                <c:pt idx="13">
                  <c:v>2.5096591801476364</c:v>
                </c:pt>
                <c:pt idx="14">
                  <c:v>2.6191873258031393</c:v>
                </c:pt>
                <c:pt idx="15">
                  <c:v>2.4751271455816912</c:v>
                </c:pt>
                <c:pt idx="16">
                  <c:v>3.0300941270051704</c:v>
                </c:pt>
                <c:pt idx="17">
                  <c:v>1.7970665059272655</c:v>
                </c:pt>
                <c:pt idx="18">
                  <c:v>1.9313774241670871</c:v>
                </c:pt>
                <c:pt idx="19">
                  <c:v>2.5631269662254526</c:v>
                </c:pt>
              </c:numCache>
            </c:numRef>
          </c:val>
          <c:extLst xmlns:c16r2="http://schemas.microsoft.com/office/drawing/2015/06/chart">
            <c:ext xmlns:c16="http://schemas.microsoft.com/office/drawing/2014/chart" uri="{C3380CC4-5D6E-409C-BE32-E72D297353CC}">
              <c16:uniqueId val="{00000001-FF17-4EB2-84EB-BF123D623BB2}"/>
            </c:ext>
          </c:extLst>
        </c:ser>
        <c:axId val="124522496"/>
        <c:axId val="124512512"/>
      </c:barChart>
      <c:lineChart>
        <c:grouping val="standard"/>
        <c:ser>
          <c:idx val="0"/>
          <c:order val="0"/>
          <c:tx>
            <c:strRef>
              <c:f>'odvětví a vzdělání'!$E$342</c:f>
              <c:strCache>
                <c:ptCount val="1"/>
                <c:pt idx="0">
                  <c:v>Celkem</c:v>
                </c:pt>
              </c:strCache>
            </c:strRef>
          </c:tx>
          <c:spPr>
            <a:ln>
              <a:noFill/>
            </a:ln>
          </c:spPr>
          <c:marker>
            <c:symbol val="dash"/>
            <c:size val="7"/>
            <c:spPr>
              <a:solidFill>
                <a:schemeClr val="tx1">
                  <a:lumMod val="95000"/>
                  <a:lumOff val="5000"/>
                </a:schemeClr>
              </a:solidFill>
              <a:ln>
                <a:noFill/>
              </a:ln>
            </c:spPr>
          </c:marker>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vzdělání'!$E$343:$E$362</c:f>
              <c:numCache>
                <c:formatCode>#,##0.0</c:formatCode>
                <c:ptCount val="20"/>
                <c:pt idx="0">
                  <c:v>25.076000000000001</c:v>
                </c:pt>
                <c:pt idx="1">
                  <c:v>35.499000000000002</c:v>
                </c:pt>
                <c:pt idx="2">
                  <c:v>31.517000000000031</c:v>
                </c:pt>
                <c:pt idx="3">
                  <c:v>44.498000000000012</c:v>
                </c:pt>
                <c:pt idx="4">
                  <c:v>28.342000000000002</c:v>
                </c:pt>
                <c:pt idx="5">
                  <c:v>27.441999999999986</c:v>
                </c:pt>
                <c:pt idx="6">
                  <c:v>28.919</c:v>
                </c:pt>
                <c:pt idx="7">
                  <c:v>28.868000000000002</c:v>
                </c:pt>
                <c:pt idx="8">
                  <c:v>18.315000000000001</c:v>
                </c:pt>
                <c:pt idx="9">
                  <c:v>53.663000000000011</c:v>
                </c:pt>
                <c:pt idx="10">
                  <c:v>53.672000000000011</c:v>
                </c:pt>
                <c:pt idx="11">
                  <c:v>26.708999999999989</c:v>
                </c:pt>
                <c:pt idx="12">
                  <c:v>36.893000000000001</c:v>
                </c:pt>
                <c:pt idx="13">
                  <c:v>21.424999999999986</c:v>
                </c:pt>
                <c:pt idx="14">
                  <c:v>34.408000000000001</c:v>
                </c:pt>
                <c:pt idx="15">
                  <c:v>30.035000000000004</c:v>
                </c:pt>
                <c:pt idx="16">
                  <c:v>31.706</c:v>
                </c:pt>
                <c:pt idx="17">
                  <c:v>26.381</c:v>
                </c:pt>
                <c:pt idx="18">
                  <c:v>24.067999999999987</c:v>
                </c:pt>
                <c:pt idx="19">
                  <c:v>31.108999999999988</c:v>
                </c:pt>
              </c:numCache>
            </c:numRef>
          </c:val>
          <c:extLst xmlns:c16r2="http://schemas.microsoft.com/office/drawing/2015/06/chart">
            <c:ext xmlns:c16="http://schemas.microsoft.com/office/drawing/2014/chart" uri="{C3380CC4-5D6E-409C-BE32-E72D297353CC}">
              <c16:uniqueId val="{00000002-FF17-4EB2-84EB-BF123D623BB2}"/>
            </c:ext>
          </c:extLst>
        </c:ser>
        <c:ser>
          <c:idx val="1"/>
          <c:order val="1"/>
          <c:tx>
            <c:strRef>
              <c:f>'odvětví a vzdělání'!$F$342</c:f>
              <c:strCache>
                <c:ptCount val="1"/>
                <c:pt idx="0">
                  <c:v>ZŠ</c:v>
                </c:pt>
              </c:strCache>
            </c:strRef>
          </c:tx>
          <c:spPr>
            <a:ln>
              <a:noFill/>
            </a:ln>
          </c:spPr>
          <c:marker>
            <c:symbol val="diamond"/>
            <c:size val="5"/>
            <c:spPr>
              <a:solidFill>
                <a:srgbClr val="7030A0"/>
              </a:solidFill>
              <a:ln>
                <a:noFill/>
              </a:ln>
            </c:spPr>
          </c:marker>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vzdělání'!$F$343:$F$362</c:f>
              <c:numCache>
                <c:formatCode>#,##0.0</c:formatCode>
                <c:ptCount val="20"/>
                <c:pt idx="0">
                  <c:v>21.493000000000002</c:v>
                </c:pt>
                <c:pt idx="1">
                  <c:v>30.058999999999987</c:v>
                </c:pt>
                <c:pt idx="2">
                  <c:v>24.353000000000005</c:v>
                </c:pt>
                <c:pt idx="3">
                  <c:v>19.43</c:v>
                </c:pt>
                <c:pt idx="4">
                  <c:v>20.419</c:v>
                </c:pt>
                <c:pt idx="5">
                  <c:v>19.616000000000035</c:v>
                </c:pt>
                <c:pt idx="6">
                  <c:v>20.279999999999987</c:v>
                </c:pt>
                <c:pt idx="7">
                  <c:v>23.759</c:v>
                </c:pt>
                <c:pt idx="8">
                  <c:v>15.547000000000001</c:v>
                </c:pt>
                <c:pt idx="11">
                  <c:v>15.079000000000002</c:v>
                </c:pt>
                <c:pt idx="13">
                  <c:v>17.721</c:v>
                </c:pt>
                <c:pt idx="14">
                  <c:v>15.243999999999998</c:v>
                </c:pt>
                <c:pt idx="15">
                  <c:v>15.397</c:v>
                </c:pt>
                <c:pt idx="16">
                  <c:v>19.458000000000002</c:v>
                </c:pt>
                <c:pt idx="17">
                  <c:v>18.36</c:v>
                </c:pt>
                <c:pt idx="18">
                  <c:v>16.997</c:v>
                </c:pt>
                <c:pt idx="19">
                  <c:v>21.258000000000003</c:v>
                </c:pt>
              </c:numCache>
            </c:numRef>
          </c:val>
          <c:extLst xmlns:c16r2="http://schemas.microsoft.com/office/drawing/2015/06/chart">
            <c:ext xmlns:c16="http://schemas.microsoft.com/office/drawing/2014/chart" uri="{C3380CC4-5D6E-409C-BE32-E72D297353CC}">
              <c16:uniqueId val="{00000003-FF17-4EB2-84EB-BF123D623BB2}"/>
            </c:ext>
          </c:extLst>
        </c:ser>
        <c:ser>
          <c:idx val="2"/>
          <c:order val="2"/>
          <c:tx>
            <c:strRef>
              <c:f>'odvětví a vzdělání'!$G$342</c:f>
              <c:strCache>
                <c:ptCount val="1"/>
                <c:pt idx="0">
                  <c:v>SŠ bez mat.</c:v>
                </c:pt>
              </c:strCache>
            </c:strRef>
          </c:tx>
          <c:spPr>
            <a:ln>
              <a:noFill/>
            </a:ln>
          </c:spPr>
          <c:marker>
            <c:symbol val="diamond"/>
            <c:size val="5"/>
            <c:spPr>
              <a:solidFill>
                <a:srgbClr val="48AEE7"/>
              </a:solidFill>
              <a:ln>
                <a:noFill/>
              </a:ln>
            </c:spPr>
          </c:marker>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vzdělání'!$G$343:$G$362</c:f>
              <c:numCache>
                <c:formatCode>#,##0.0</c:formatCode>
                <c:ptCount val="20"/>
                <c:pt idx="0">
                  <c:v>23.411000000000001</c:v>
                </c:pt>
                <c:pt idx="1">
                  <c:v>31.882999999999921</c:v>
                </c:pt>
                <c:pt idx="2">
                  <c:v>27.24</c:v>
                </c:pt>
                <c:pt idx="3">
                  <c:v>32.407000000000004</c:v>
                </c:pt>
                <c:pt idx="4">
                  <c:v>25.341000000000001</c:v>
                </c:pt>
                <c:pt idx="5">
                  <c:v>23.984000000000002</c:v>
                </c:pt>
                <c:pt idx="6">
                  <c:v>21.865000000000002</c:v>
                </c:pt>
                <c:pt idx="7">
                  <c:v>24.369</c:v>
                </c:pt>
                <c:pt idx="8">
                  <c:v>16.259</c:v>
                </c:pt>
                <c:pt idx="9">
                  <c:v>28.939</c:v>
                </c:pt>
                <c:pt idx="10">
                  <c:v>26.23</c:v>
                </c:pt>
                <c:pt idx="11">
                  <c:v>21.849</c:v>
                </c:pt>
                <c:pt idx="12">
                  <c:v>24.780999999999914</c:v>
                </c:pt>
                <c:pt idx="13">
                  <c:v>18.246000000000002</c:v>
                </c:pt>
                <c:pt idx="14">
                  <c:v>22.125999999999987</c:v>
                </c:pt>
                <c:pt idx="15">
                  <c:v>17.233000000000001</c:v>
                </c:pt>
                <c:pt idx="16">
                  <c:v>21.265999999999906</c:v>
                </c:pt>
                <c:pt idx="17">
                  <c:v>21.421999999999986</c:v>
                </c:pt>
                <c:pt idx="18">
                  <c:v>18.624000000000031</c:v>
                </c:pt>
                <c:pt idx="19">
                  <c:v>24.138999999999999</c:v>
                </c:pt>
              </c:numCache>
            </c:numRef>
          </c:val>
          <c:extLst xmlns:c16r2="http://schemas.microsoft.com/office/drawing/2015/06/chart">
            <c:ext xmlns:c16="http://schemas.microsoft.com/office/drawing/2014/chart" uri="{C3380CC4-5D6E-409C-BE32-E72D297353CC}">
              <c16:uniqueId val="{00000004-FF17-4EB2-84EB-BF123D623BB2}"/>
            </c:ext>
          </c:extLst>
        </c:ser>
        <c:ser>
          <c:idx val="3"/>
          <c:order val="3"/>
          <c:tx>
            <c:strRef>
              <c:f>'odvětví a vzdělání'!$H$342</c:f>
              <c:strCache>
                <c:ptCount val="1"/>
                <c:pt idx="0">
                  <c:v>SŠ s mat.</c:v>
                </c:pt>
              </c:strCache>
            </c:strRef>
          </c:tx>
          <c:spPr>
            <a:ln>
              <a:noFill/>
            </a:ln>
          </c:spPr>
          <c:marker>
            <c:symbol val="diamond"/>
            <c:size val="5"/>
            <c:spPr>
              <a:solidFill>
                <a:srgbClr val="7DBB2D"/>
              </a:solidFill>
              <a:ln>
                <a:noFill/>
              </a:ln>
            </c:spPr>
          </c:marker>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vzdělání'!$H$343:$H$362</c:f>
              <c:numCache>
                <c:formatCode>#,##0.0</c:formatCode>
                <c:ptCount val="20"/>
                <c:pt idx="0">
                  <c:v>26.145999999999987</c:v>
                </c:pt>
                <c:pt idx="1">
                  <c:v>37.20900000000001</c:v>
                </c:pt>
                <c:pt idx="2">
                  <c:v>32.523000000000003</c:v>
                </c:pt>
                <c:pt idx="3">
                  <c:v>40.946999999999996</c:v>
                </c:pt>
                <c:pt idx="4">
                  <c:v>30.077999999999996</c:v>
                </c:pt>
                <c:pt idx="5">
                  <c:v>28.901</c:v>
                </c:pt>
                <c:pt idx="6">
                  <c:v>28.298000000000002</c:v>
                </c:pt>
                <c:pt idx="7">
                  <c:v>30.780999999999914</c:v>
                </c:pt>
                <c:pt idx="8">
                  <c:v>20.234999999999999</c:v>
                </c:pt>
                <c:pt idx="9">
                  <c:v>43.44</c:v>
                </c:pt>
                <c:pt idx="10">
                  <c:v>41.3</c:v>
                </c:pt>
                <c:pt idx="11">
                  <c:v>27.764999999999986</c:v>
                </c:pt>
                <c:pt idx="12">
                  <c:v>28.794999999999987</c:v>
                </c:pt>
                <c:pt idx="13">
                  <c:v>23.428999999999906</c:v>
                </c:pt>
                <c:pt idx="14">
                  <c:v>31.663</c:v>
                </c:pt>
                <c:pt idx="15">
                  <c:v>25.612000000000005</c:v>
                </c:pt>
                <c:pt idx="16">
                  <c:v>28.625999999999987</c:v>
                </c:pt>
                <c:pt idx="17">
                  <c:v>25.3</c:v>
                </c:pt>
                <c:pt idx="18">
                  <c:v>24.192</c:v>
                </c:pt>
                <c:pt idx="19">
                  <c:v>30.267000000000003</c:v>
                </c:pt>
              </c:numCache>
            </c:numRef>
          </c:val>
          <c:extLst xmlns:c16r2="http://schemas.microsoft.com/office/drawing/2015/06/chart">
            <c:ext xmlns:c16="http://schemas.microsoft.com/office/drawing/2014/chart" uri="{C3380CC4-5D6E-409C-BE32-E72D297353CC}">
              <c16:uniqueId val="{00000005-FF17-4EB2-84EB-BF123D623BB2}"/>
            </c:ext>
          </c:extLst>
        </c:ser>
        <c:ser>
          <c:idx val="4"/>
          <c:order val="4"/>
          <c:tx>
            <c:strRef>
              <c:f>'odvětví a vzdělání'!$I$342</c:f>
              <c:strCache>
                <c:ptCount val="1"/>
                <c:pt idx="0">
                  <c:v>VOŠ a bak.</c:v>
                </c:pt>
              </c:strCache>
            </c:strRef>
          </c:tx>
          <c:spPr>
            <a:ln>
              <a:noFill/>
            </a:ln>
          </c:spPr>
          <c:marker>
            <c:symbol val="diamond"/>
            <c:size val="5"/>
            <c:spPr>
              <a:solidFill>
                <a:srgbClr val="F8A124"/>
              </a:solidFill>
              <a:ln>
                <a:noFill/>
              </a:ln>
            </c:spPr>
          </c:marker>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vzdělání'!$I$343:$I$362</c:f>
              <c:numCache>
                <c:formatCode>#,##0.0</c:formatCode>
                <c:ptCount val="20"/>
                <c:pt idx="1">
                  <c:v>40.720000000000013</c:v>
                </c:pt>
                <c:pt idx="2">
                  <c:v>38.878</c:v>
                </c:pt>
                <c:pt idx="3">
                  <c:v>47.102000000000011</c:v>
                </c:pt>
                <c:pt idx="4">
                  <c:v>31.512</c:v>
                </c:pt>
                <c:pt idx="5">
                  <c:v>29.326000000000001</c:v>
                </c:pt>
                <c:pt idx="6">
                  <c:v>34.050999999999995</c:v>
                </c:pt>
                <c:pt idx="7">
                  <c:v>35.083000000000006</c:v>
                </c:pt>
                <c:pt idx="8">
                  <c:v>25.297000000000001</c:v>
                </c:pt>
                <c:pt idx="9">
                  <c:v>53.684000000000005</c:v>
                </c:pt>
                <c:pt idx="10">
                  <c:v>45.291000000000011</c:v>
                </c:pt>
                <c:pt idx="12">
                  <c:v>36.855000000000004</c:v>
                </c:pt>
                <c:pt idx="13">
                  <c:v>28.767000000000003</c:v>
                </c:pt>
                <c:pt idx="14">
                  <c:v>35.446000000000005</c:v>
                </c:pt>
                <c:pt idx="15">
                  <c:v>29.189</c:v>
                </c:pt>
                <c:pt idx="16">
                  <c:v>32.226000000000013</c:v>
                </c:pt>
                <c:pt idx="17">
                  <c:v>27.633999999999997</c:v>
                </c:pt>
                <c:pt idx="18">
                  <c:v>24.798999999999989</c:v>
                </c:pt>
                <c:pt idx="19">
                  <c:v>35.545000000000002</c:v>
                </c:pt>
              </c:numCache>
            </c:numRef>
          </c:val>
          <c:extLst xmlns:c16r2="http://schemas.microsoft.com/office/drawing/2015/06/chart">
            <c:ext xmlns:c16="http://schemas.microsoft.com/office/drawing/2014/chart" uri="{C3380CC4-5D6E-409C-BE32-E72D297353CC}">
              <c16:uniqueId val="{00000006-FF17-4EB2-84EB-BF123D623BB2}"/>
            </c:ext>
          </c:extLst>
        </c:ser>
        <c:ser>
          <c:idx val="5"/>
          <c:order val="5"/>
          <c:tx>
            <c:strRef>
              <c:f>'odvětví a vzdělání'!$J$342</c:f>
              <c:strCache>
                <c:ptCount val="1"/>
                <c:pt idx="0">
                  <c:v>ost. VŠ</c:v>
                </c:pt>
              </c:strCache>
            </c:strRef>
          </c:tx>
          <c:spPr>
            <a:ln>
              <a:noFill/>
            </a:ln>
          </c:spPr>
          <c:marker>
            <c:symbol val="diamond"/>
            <c:size val="5"/>
            <c:spPr>
              <a:solidFill>
                <a:srgbClr val="BD1B21"/>
              </a:solidFill>
              <a:ln>
                <a:noFill/>
              </a:ln>
            </c:spPr>
          </c:marker>
          <c:cat>
            <c:strRef>
              <c:f>'odvětví a vzdělání'!$D$343:$D$362</c:f>
              <c:strCache>
                <c:ptCount val="20"/>
                <c:pt idx="0">
                  <c:v>Zemědělství (A)</c:v>
                </c:pt>
                <c:pt idx="1">
                  <c:v>Těžba  
a dobývání (B)</c:v>
                </c:pt>
                <c:pt idx="2">
                  <c:v>Zpracovatelský 
průmysl (C)</c:v>
                </c:pt>
                <c:pt idx="3">
                  <c:v>Energetika (D)</c:v>
                </c:pt>
                <c:pt idx="4">
                  <c:v>Odpady, 
zásob. vodou (E)</c:v>
                </c:pt>
                <c:pt idx="5">
                  <c:v>Stavebnictví (F)</c:v>
                </c:pt>
                <c:pt idx="6">
                  <c:v>Obchod (G)</c:v>
                </c:pt>
                <c:pt idx="7">
                  <c:v>Doprava a 
skladování (H)</c:v>
                </c:pt>
                <c:pt idx="8">
                  <c:v>Ubytování, stravo-
vání a pohost. (I)</c:v>
                </c:pt>
                <c:pt idx="9">
                  <c:v>Informační a 
komunikač. čin. (J)</c:v>
                </c:pt>
                <c:pt idx="10">
                  <c:v>Peněžnictví,
pojišť. (NACE (K)</c:v>
                </c:pt>
                <c:pt idx="11">
                  <c:v>Nemovitostí (L)</c:v>
                </c:pt>
                <c:pt idx="12">
                  <c:v>Profesní, vědec.
a technic .čin. (M)</c:v>
                </c:pt>
                <c:pt idx="13">
                  <c:v>Administrativní
a podpůr. čin. (N)</c:v>
                </c:pt>
                <c:pt idx="14">
                  <c:v>Veř.správa,obrana,
soc.zabezpeč. (O)</c:v>
                </c:pt>
                <c:pt idx="15">
                  <c:v>Vzdělávání (P)</c:v>
                </c:pt>
                <c:pt idx="16">
                  <c:v>Zdravotní a 
sociální péče (Q)</c:v>
                </c:pt>
                <c:pt idx="17">
                  <c:v>Kulturní zábavní 
a rekreač. čin. (R)</c:v>
                </c:pt>
                <c:pt idx="18">
                  <c:v>Ost. činnosti (S)</c:v>
                </c:pt>
                <c:pt idx="19">
                  <c:v>Všechna 
odvětví NH</c:v>
                </c:pt>
              </c:strCache>
            </c:strRef>
          </c:cat>
          <c:val>
            <c:numRef>
              <c:f>'odvětví a vzdělání'!$J$343:$J$362</c:f>
              <c:numCache>
                <c:formatCode>#,##0.0</c:formatCode>
                <c:ptCount val="20"/>
                <c:pt idx="0">
                  <c:v>33.671000000000006</c:v>
                </c:pt>
                <c:pt idx="1">
                  <c:v>63.67</c:v>
                </c:pt>
                <c:pt idx="2">
                  <c:v>55.344000000000001</c:v>
                </c:pt>
                <c:pt idx="3">
                  <c:v>66.759</c:v>
                </c:pt>
                <c:pt idx="4">
                  <c:v>48.367000000000004</c:v>
                </c:pt>
                <c:pt idx="5">
                  <c:v>43.227000000000011</c:v>
                </c:pt>
                <c:pt idx="6">
                  <c:v>51.692000000000142</c:v>
                </c:pt>
                <c:pt idx="7">
                  <c:v>52.71</c:v>
                </c:pt>
                <c:pt idx="8">
                  <c:v>31.442999999999905</c:v>
                </c:pt>
                <c:pt idx="9">
                  <c:v>66.298000000000002</c:v>
                </c:pt>
                <c:pt idx="10">
                  <c:v>77.344000000000023</c:v>
                </c:pt>
                <c:pt idx="11">
                  <c:v>30.961999999999989</c:v>
                </c:pt>
                <c:pt idx="12">
                  <c:v>46.923000000000002</c:v>
                </c:pt>
                <c:pt idx="13">
                  <c:v>32.967000000000006</c:v>
                </c:pt>
                <c:pt idx="14">
                  <c:v>44.155000000000001</c:v>
                </c:pt>
                <c:pt idx="15">
                  <c:v>36.567</c:v>
                </c:pt>
                <c:pt idx="16">
                  <c:v>52.751000000000005</c:v>
                </c:pt>
                <c:pt idx="17">
                  <c:v>33.828000000000003</c:v>
                </c:pt>
                <c:pt idx="18">
                  <c:v>32.232000000000063</c:v>
                </c:pt>
                <c:pt idx="19">
                  <c:v>48.334000000000003</c:v>
                </c:pt>
              </c:numCache>
            </c:numRef>
          </c:val>
          <c:extLst xmlns:c16r2="http://schemas.microsoft.com/office/drawing/2015/06/chart">
            <c:ext xmlns:c16="http://schemas.microsoft.com/office/drawing/2014/chart" uri="{C3380CC4-5D6E-409C-BE32-E72D297353CC}">
              <c16:uniqueId val="{00000007-FF17-4EB2-84EB-BF123D623BB2}"/>
            </c:ext>
          </c:extLst>
        </c:ser>
        <c:marker val="1"/>
        <c:axId val="124488320"/>
        <c:axId val="124510976"/>
      </c:lineChart>
      <c:catAx>
        <c:axId val="124488320"/>
        <c:scaling>
          <c:orientation val="minMax"/>
        </c:scaling>
        <c:axPos val="b"/>
        <c:numFmt formatCode="General" sourceLinked="1"/>
        <c:tickLblPos val="nextTo"/>
        <c:txPr>
          <a:bodyPr rot="-5400000" vert="horz"/>
          <a:lstStyle/>
          <a:p>
            <a:pPr>
              <a:defRPr sz="700">
                <a:latin typeface="Arial" pitchFamily="34" charset="0"/>
                <a:cs typeface="Arial" pitchFamily="34" charset="0"/>
              </a:defRPr>
            </a:pPr>
            <a:endParaRPr lang="cs-CZ"/>
          </a:p>
        </c:txPr>
        <c:crossAx val="124510976"/>
        <c:crosses val="autoZero"/>
        <c:auto val="1"/>
        <c:lblAlgn val="ctr"/>
        <c:lblOffset val="0"/>
      </c:catAx>
      <c:valAx>
        <c:axId val="124510976"/>
        <c:scaling>
          <c:orientation val="minMax"/>
          <c:max val="80"/>
        </c:scaling>
        <c:axPos val="l"/>
        <c:majorGridlines>
          <c:spPr>
            <a:ln w="6350">
              <a:solidFill>
                <a:srgbClr val="BFBFBF"/>
              </a:solidFill>
            </a:ln>
          </c:spPr>
        </c:majorGridlines>
        <c:numFmt formatCode="#,##0" sourceLinked="0"/>
        <c:tickLblPos val="nextTo"/>
        <c:txPr>
          <a:bodyPr/>
          <a:lstStyle/>
          <a:p>
            <a:pPr>
              <a:defRPr sz="750">
                <a:latin typeface="Arial" pitchFamily="34" charset="0"/>
                <a:cs typeface="Arial" pitchFamily="34" charset="0"/>
              </a:defRPr>
            </a:pPr>
            <a:endParaRPr lang="cs-CZ"/>
          </a:p>
        </c:txPr>
        <c:crossAx val="124488320"/>
        <c:crosses val="autoZero"/>
        <c:crossBetween val="between"/>
        <c:minorUnit val="10"/>
      </c:valAx>
      <c:valAx>
        <c:axId val="124512512"/>
        <c:scaling>
          <c:orientation val="minMax"/>
          <c:max val="16"/>
          <c:min val="0"/>
        </c:scaling>
        <c:axPos val="r"/>
        <c:numFmt formatCode="0" sourceLinked="0"/>
        <c:tickLblPos val="nextTo"/>
        <c:txPr>
          <a:bodyPr/>
          <a:lstStyle/>
          <a:p>
            <a:pPr>
              <a:defRPr sz="750">
                <a:latin typeface="Arial" pitchFamily="34" charset="0"/>
                <a:cs typeface="Arial" pitchFamily="34" charset="0"/>
              </a:defRPr>
            </a:pPr>
            <a:endParaRPr lang="cs-CZ"/>
          </a:p>
        </c:txPr>
        <c:crossAx val="124522496"/>
        <c:crosses val="max"/>
        <c:crossBetween val="between"/>
        <c:majorUnit val="2"/>
      </c:valAx>
      <c:catAx>
        <c:axId val="124522496"/>
        <c:scaling>
          <c:orientation val="minMax"/>
        </c:scaling>
        <c:delete val="1"/>
        <c:axPos val="b"/>
        <c:numFmt formatCode="General" sourceLinked="1"/>
        <c:tickLblPos val="none"/>
        <c:crossAx val="124512512"/>
        <c:crosses val="autoZero"/>
        <c:auto val="1"/>
        <c:lblAlgn val="ctr"/>
        <c:lblOffset val="100"/>
      </c:catAx>
      <c:spPr>
        <a:ln>
          <a:solidFill>
            <a:sysClr val="windowText" lastClr="000000"/>
          </a:solidFill>
        </a:ln>
      </c:spPr>
    </c:plotArea>
    <c:legend>
      <c:legendPos val="r"/>
      <c:layout>
        <c:manualLayout>
          <c:xMode val="edge"/>
          <c:yMode val="edge"/>
          <c:x val="1.3331771460430363E-2"/>
          <c:y val="0.95375980006580263"/>
          <c:w val="0.96345932054327399"/>
          <c:h val="4.2801461599175784E-2"/>
        </c:manualLayout>
      </c:layout>
      <c:spPr>
        <a:ln>
          <a:noFill/>
        </a:ln>
      </c:spPr>
      <c:txPr>
        <a:bodyPr/>
        <a:lstStyle/>
        <a:p>
          <a:pPr>
            <a:defRPr sz="750">
              <a:latin typeface="Arial" pitchFamily="34" charset="0"/>
              <a:cs typeface="Arial" pitchFamily="34" charset="0"/>
            </a:defRPr>
          </a:pPr>
          <a:endParaRPr lang="cs-CZ"/>
        </a:p>
      </c:txPr>
    </c:legend>
    <c:plotVisOnly val="1"/>
    <c:dispBlanksAs val="gap"/>
  </c:chart>
  <c:spPr>
    <a:ln>
      <a:noFill/>
    </a:ln>
  </c:spPr>
  <c:txPr>
    <a:bodyPr/>
    <a:lstStyle/>
    <a:p>
      <a:pPr>
        <a:defRPr sz="800"/>
      </a:pPr>
      <a:endParaRPr lang="cs-CZ"/>
    </a:p>
  </c:txPr>
  <c:externalData r:id="rId1"/>
  <c:userShapes r:id="rId2"/>
</c:chartSpace>
</file>

<file path=word/charts/chart20.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5.3160670300827814E-2"/>
          <c:y val="2.1454144318916658E-2"/>
          <c:w val="0.89353506965475449"/>
          <c:h val="0.69692035147392295"/>
        </c:manualLayout>
      </c:layout>
      <c:barChart>
        <c:barDir val="col"/>
        <c:grouping val="clustered"/>
        <c:ser>
          <c:idx val="0"/>
          <c:order val="0"/>
          <c:tx>
            <c:strRef>
              <c:f>'GRAF-ISCO'!$C$66</c:f>
              <c:strCache>
                <c:ptCount val="1"/>
                <c:pt idx="0">
                  <c:v>Mzdový medián, obě pohlaví (y/y, %)</c:v>
                </c:pt>
              </c:strCache>
            </c:strRef>
          </c:tx>
          <c:spPr>
            <a:solidFill>
              <a:srgbClr val="DFF1F5"/>
            </a:solidFill>
            <a:ln w="6350">
              <a:solidFill>
                <a:schemeClr val="bg1">
                  <a:lumMod val="50000"/>
                </a:schemeClr>
              </a:solidFill>
            </a:ln>
          </c:spPr>
          <c:dPt>
            <c:idx val="0"/>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0-10BD-4787-AB3E-4A7C79D9F631}"/>
              </c:ext>
            </c:extLst>
          </c:dPt>
          <c:dPt>
            <c:idx val="1"/>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1-10BD-4787-AB3E-4A7C79D9F631}"/>
              </c:ext>
            </c:extLst>
          </c:dPt>
          <c:dPt>
            <c:idx val="2"/>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2-10BD-4787-AB3E-4A7C79D9F631}"/>
              </c:ext>
            </c:extLst>
          </c:dPt>
          <c:dPt>
            <c:idx val="3"/>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3-10BD-4787-AB3E-4A7C79D9F631}"/>
              </c:ext>
            </c:extLst>
          </c:dPt>
          <c:dPt>
            <c:idx val="4"/>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4-10BD-4787-AB3E-4A7C79D9F631}"/>
              </c:ext>
            </c:extLst>
          </c:dPt>
          <c:dPt>
            <c:idx val="6"/>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5-10BD-4787-AB3E-4A7C79D9F631}"/>
              </c:ext>
            </c:extLst>
          </c:dPt>
          <c:dPt>
            <c:idx val="7"/>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6-10BD-4787-AB3E-4A7C79D9F631}"/>
              </c:ext>
            </c:extLst>
          </c:dPt>
          <c:dPt>
            <c:idx val="8"/>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7-10BD-4787-AB3E-4A7C79D9F631}"/>
              </c:ext>
            </c:extLst>
          </c:dPt>
          <c:dPt>
            <c:idx val="9"/>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8-10BD-4787-AB3E-4A7C79D9F631}"/>
              </c:ext>
            </c:extLst>
          </c:dPt>
          <c:dPt>
            <c:idx val="10"/>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9-10BD-4787-AB3E-4A7C79D9F631}"/>
              </c:ext>
            </c:extLst>
          </c:dPt>
          <c:dPt>
            <c:idx val="12"/>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A-10BD-4787-AB3E-4A7C79D9F631}"/>
              </c:ext>
            </c:extLst>
          </c:dPt>
          <c:dPt>
            <c:idx val="13"/>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B-10BD-4787-AB3E-4A7C79D9F631}"/>
              </c:ext>
            </c:extLst>
          </c:dPt>
          <c:dPt>
            <c:idx val="14"/>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C-10BD-4787-AB3E-4A7C79D9F631}"/>
              </c:ext>
            </c:extLst>
          </c:dPt>
          <c:dPt>
            <c:idx val="15"/>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D-10BD-4787-AB3E-4A7C79D9F631}"/>
              </c:ext>
            </c:extLst>
          </c:dPt>
          <c:dPt>
            <c:idx val="16"/>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E-10BD-4787-AB3E-4A7C79D9F631}"/>
              </c:ext>
            </c:extLst>
          </c:dPt>
          <c:dPt>
            <c:idx val="18"/>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F-10BD-4787-AB3E-4A7C79D9F631}"/>
              </c:ext>
            </c:extLst>
          </c:dPt>
          <c:dPt>
            <c:idx val="19"/>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0-10BD-4787-AB3E-4A7C79D9F631}"/>
              </c:ext>
            </c:extLst>
          </c:dPt>
          <c:dPt>
            <c:idx val="20"/>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1-10BD-4787-AB3E-4A7C79D9F631}"/>
              </c:ext>
            </c:extLst>
          </c:dPt>
          <c:dPt>
            <c:idx val="21"/>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2-10BD-4787-AB3E-4A7C79D9F631}"/>
              </c:ext>
            </c:extLst>
          </c:dPt>
          <c:dPt>
            <c:idx val="22"/>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3-10BD-4787-AB3E-4A7C79D9F631}"/>
              </c:ext>
            </c:extLst>
          </c:dPt>
          <c:dPt>
            <c:idx val="24"/>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4-10BD-4787-AB3E-4A7C79D9F631}"/>
              </c:ext>
            </c:extLst>
          </c:dPt>
          <c:dPt>
            <c:idx val="25"/>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5-10BD-4787-AB3E-4A7C79D9F631}"/>
              </c:ext>
            </c:extLst>
          </c:dPt>
          <c:dPt>
            <c:idx val="26"/>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6-10BD-4787-AB3E-4A7C79D9F631}"/>
              </c:ext>
            </c:extLst>
          </c:dPt>
          <c:dPt>
            <c:idx val="27"/>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7-10BD-4787-AB3E-4A7C79D9F631}"/>
              </c:ext>
            </c:extLst>
          </c:dPt>
          <c:dPt>
            <c:idx val="28"/>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8-10BD-4787-AB3E-4A7C79D9F631}"/>
              </c:ext>
            </c:extLst>
          </c:dPt>
          <c:dPt>
            <c:idx val="30"/>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9-10BD-4787-AB3E-4A7C79D9F631}"/>
              </c:ext>
            </c:extLst>
          </c:dPt>
          <c:dPt>
            <c:idx val="31"/>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A-10BD-4787-AB3E-4A7C79D9F631}"/>
              </c:ext>
            </c:extLst>
          </c:dPt>
          <c:dPt>
            <c:idx val="32"/>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B-10BD-4787-AB3E-4A7C79D9F631}"/>
              </c:ext>
            </c:extLst>
          </c:dPt>
          <c:dPt>
            <c:idx val="33"/>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C-10BD-4787-AB3E-4A7C79D9F631}"/>
              </c:ext>
            </c:extLst>
          </c:dPt>
          <c:dPt>
            <c:idx val="34"/>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D-10BD-4787-AB3E-4A7C79D9F631}"/>
              </c:ext>
            </c:extLst>
          </c:dPt>
          <c:dPt>
            <c:idx val="36"/>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E-10BD-4787-AB3E-4A7C79D9F631}"/>
              </c:ext>
            </c:extLst>
          </c:dPt>
          <c:dPt>
            <c:idx val="37"/>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F-10BD-4787-AB3E-4A7C79D9F631}"/>
              </c:ext>
            </c:extLst>
          </c:dPt>
          <c:dPt>
            <c:idx val="38"/>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0-10BD-4787-AB3E-4A7C79D9F631}"/>
              </c:ext>
            </c:extLst>
          </c:dPt>
          <c:dPt>
            <c:idx val="39"/>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1-10BD-4787-AB3E-4A7C79D9F631}"/>
              </c:ext>
            </c:extLst>
          </c:dPt>
          <c:dPt>
            <c:idx val="40"/>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2-10BD-4787-AB3E-4A7C79D9F631}"/>
              </c:ext>
            </c:extLst>
          </c:dPt>
          <c:dPt>
            <c:idx val="42"/>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3-10BD-4787-AB3E-4A7C79D9F631}"/>
              </c:ext>
            </c:extLst>
          </c:dPt>
          <c:dPt>
            <c:idx val="43"/>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4-10BD-4787-AB3E-4A7C79D9F631}"/>
              </c:ext>
            </c:extLst>
          </c:dPt>
          <c:dPt>
            <c:idx val="44"/>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5-10BD-4787-AB3E-4A7C79D9F631}"/>
              </c:ext>
            </c:extLst>
          </c:dPt>
          <c:dPt>
            <c:idx val="45"/>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6-10BD-4787-AB3E-4A7C79D9F631}"/>
              </c:ext>
            </c:extLst>
          </c:dPt>
          <c:dPt>
            <c:idx val="46"/>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7-10BD-4787-AB3E-4A7C79D9F631}"/>
              </c:ext>
            </c:extLst>
          </c:dPt>
          <c:dPt>
            <c:idx val="48"/>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8-10BD-4787-AB3E-4A7C79D9F631}"/>
              </c:ext>
            </c:extLst>
          </c:dPt>
          <c:dPt>
            <c:idx val="49"/>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9-10BD-4787-AB3E-4A7C79D9F631}"/>
              </c:ext>
            </c:extLst>
          </c:dPt>
          <c:dPt>
            <c:idx val="50"/>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A-10BD-4787-AB3E-4A7C79D9F631}"/>
              </c:ext>
            </c:extLst>
          </c:dPt>
          <c:dPt>
            <c:idx val="51"/>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B-10BD-4787-AB3E-4A7C79D9F631}"/>
              </c:ext>
            </c:extLst>
          </c:dPt>
          <c:dPt>
            <c:idx val="52"/>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C-10BD-4787-AB3E-4A7C79D9F631}"/>
              </c:ext>
            </c:extLst>
          </c:dPt>
          <c:dPt>
            <c:idx val="54"/>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D-10BD-4787-AB3E-4A7C79D9F631}"/>
              </c:ext>
            </c:extLst>
          </c:dPt>
          <c:dPt>
            <c:idx val="55"/>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E-10BD-4787-AB3E-4A7C79D9F631}"/>
              </c:ext>
            </c:extLst>
          </c:dPt>
          <c:dPt>
            <c:idx val="56"/>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F-10BD-4787-AB3E-4A7C79D9F631}"/>
              </c:ext>
            </c:extLst>
          </c:dPt>
          <c:dPt>
            <c:idx val="57"/>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0-10BD-4787-AB3E-4A7C79D9F631}"/>
              </c:ext>
            </c:extLst>
          </c:dPt>
          <c:dPt>
            <c:idx val="58"/>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1-10BD-4787-AB3E-4A7C79D9F631}"/>
              </c:ext>
            </c:extLst>
          </c:dPt>
          <c:dPt>
            <c:idx val="60"/>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2-10BD-4787-AB3E-4A7C79D9F631}"/>
              </c:ext>
            </c:extLst>
          </c:dPt>
          <c:dPt>
            <c:idx val="61"/>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3-10BD-4787-AB3E-4A7C79D9F631}"/>
              </c:ext>
            </c:extLst>
          </c:dPt>
          <c:dPt>
            <c:idx val="62"/>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4-10BD-4787-AB3E-4A7C79D9F631}"/>
              </c:ext>
            </c:extLst>
          </c:dPt>
          <c:dPt>
            <c:idx val="63"/>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5-10BD-4787-AB3E-4A7C79D9F631}"/>
              </c:ext>
            </c:extLst>
          </c:dPt>
          <c:dPt>
            <c:idx val="64"/>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6-10BD-4787-AB3E-4A7C79D9F631}"/>
              </c:ext>
            </c:extLst>
          </c:dPt>
          <c:cat>
            <c:strRef>
              <c:f>'GRAF-ISCO'!$A$67:$B$131</c:f>
              <c:strCache>
                <c:ptCount val="61"/>
                <c:pt idx="0">
                  <c:v>Zaměstnanci v 
ozbroj. silách</c:v>
                </c:pt>
                <c:pt idx="6">
                  <c:v>Zákonodárci a 
řídící prac.</c:v>
                </c:pt>
                <c:pt idx="12">
                  <c:v>Specialisté</c:v>
                </c:pt>
                <c:pt idx="18">
                  <c:v>Techničtí a 
odborní pracov.</c:v>
                </c:pt>
                <c:pt idx="24">
                  <c:v>Úředníci</c:v>
                </c:pt>
                <c:pt idx="30">
                  <c:v>Pracovníci ve 
službách, prodeji</c:v>
                </c:pt>
                <c:pt idx="36">
                  <c:v>Kvalif. pracov. v
zeměd.,lesn.,ryb.</c:v>
                </c:pt>
                <c:pt idx="42">
                  <c:v>Řemeslníci 
a opraváři</c:v>
                </c:pt>
                <c:pt idx="48">
                  <c:v>Obsluha strojů a
zařízení, montéři</c:v>
                </c:pt>
                <c:pt idx="54">
                  <c:v>Pomocní a 
nekvalif. pracov.</c:v>
                </c:pt>
                <c:pt idx="60">
                  <c:v>NH celkem</c:v>
                </c:pt>
              </c:strCache>
            </c:strRef>
          </c:cat>
          <c:val>
            <c:numRef>
              <c:f>'GRAF-ISCO'!$C$67:$C$131</c:f>
              <c:numCache>
                <c:formatCode>0.0</c:formatCode>
                <c:ptCount val="65"/>
                <c:pt idx="0">
                  <c:v>0.59357245823793725</c:v>
                </c:pt>
                <c:pt idx="1">
                  <c:v>4.7795667200539524</c:v>
                </c:pt>
                <c:pt idx="2">
                  <c:v>9.328238133547849</c:v>
                </c:pt>
                <c:pt idx="3">
                  <c:v>12.1969167371868</c:v>
                </c:pt>
                <c:pt idx="4">
                  <c:v>10.123302944841612</c:v>
                </c:pt>
                <c:pt idx="6">
                  <c:v>3.2909095367713812</c:v>
                </c:pt>
                <c:pt idx="7">
                  <c:v>1.6523824220697605</c:v>
                </c:pt>
                <c:pt idx="8">
                  <c:v>3.9049910082444215</c:v>
                </c:pt>
                <c:pt idx="9">
                  <c:v>1.4767695385376098</c:v>
                </c:pt>
                <c:pt idx="10">
                  <c:v>7.7681300668940665</c:v>
                </c:pt>
                <c:pt idx="12">
                  <c:v>2.3106151370964767</c:v>
                </c:pt>
                <c:pt idx="13">
                  <c:v>2.4223768736616762</c:v>
                </c:pt>
                <c:pt idx="14">
                  <c:v>3.8220305762446145</c:v>
                </c:pt>
                <c:pt idx="15">
                  <c:v>4.9430495248883508</c:v>
                </c:pt>
                <c:pt idx="16">
                  <c:v>7.3636554432884465</c:v>
                </c:pt>
                <c:pt idx="18">
                  <c:v>0.97125401425551339</c:v>
                </c:pt>
                <c:pt idx="19">
                  <c:v>2.4823520285470551</c:v>
                </c:pt>
                <c:pt idx="20">
                  <c:v>4.5189614715010151</c:v>
                </c:pt>
                <c:pt idx="21">
                  <c:v>4.8196697566628606</c:v>
                </c:pt>
                <c:pt idx="22">
                  <c:v>7.503368224686497</c:v>
                </c:pt>
                <c:pt idx="24">
                  <c:v>0.31716599980483323</c:v>
                </c:pt>
                <c:pt idx="25">
                  <c:v>1.6294566856364554</c:v>
                </c:pt>
                <c:pt idx="26">
                  <c:v>2.7232698382310812</c:v>
                </c:pt>
                <c:pt idx="27">
                  <c:v>5.1157806457624755</c:v>
                </c:pt>
                <c:pt idx="28">
                  <c:v>6.5333983422720934</c:v>
                </c:pt>
                <c:pt idx="30">
                  <c:v>0.66225165562915811</c:v>
                </c:pt>
                <c:pt idx="31">
                  <c:v>2.3574561403508767</c:v>
                </c:pt>
                <c:pt idx="32">
                  <c:v>3.8698446705945377</c:v>
                </c:pt>
                <c:pt idx="33">
                  <c:v>8.8758540672940747</c:v>
                </c:pt>
                <c:pt idx="34">
                  <c:v>10.366467349476126</c:v>
                </c:pt>
                <c:pt idx="36">
                  <c:v>2.9386832438541997</c:v>
                </c:pt>
                <c:pt idx="37">
                  <c:v>3.8155366456217341</c:v>
                </c:pt>
                <c:pt idx="38">
                  <c:v>3.072448439978785</c:v>
                </c:pt>
                <c:pt idx="39">
                  <c:v>3.6067928787645602</c:v>
                </c:pt>
                <c:pt idx="40">
                  <c:v>6.5118351985738414</c:v>
                </c:pt>
                <c:pt idx="42">
                  <c:v>1.8073456730303399</c:v>
                </c:pt>
                <c:pt idx="43">
                  <c:v>3.4505735091142578</c:v>
                </c:pt>
                <c:pt idx="44">
                  <c:v>4.2648141332351646</c:v>
                </c:pt>
                <c:pt idx="45">
                  <c:v>5.1317124829017065</c:v>
                </c:pt>
                <c:pt idx="46">
                  <c:v>7.5631662889280555</c:v>
                </c:pt>
                <c:pt idx="48">
                  <c:v>1.2699350265800433</c:v>
                </c:pt>
                <c:pt idx="49">
                  <c:v>2.6927189656848327</c:v>
                </c:pt>
                <c:pt idx="50">
                  <c:v>4.2976145399469239</c:v>
                </c:pt>
                <c:pt idx="51">
                  <c:v>5.590851334180428</c:v>
                </c:pt>
                <c:pt idx="52">
                  <c:v>7.8820697954272134</c:v>
                </c:pt>
                <c:pt idx="54">
                  <c:v>1.4053089449029557</c:v>
                </c:pt>
                <c:pt idx="55">
                  <c:v>2.3830473676491981</c:v>
                </c:pt>
                <c:pt idx="56">
                  <c:v>3.5164362959249473</c:v>
                </c:pt>
                <c:pt idx="57">
                  <c:v>7.6449425764493686</c:v>
                </c:pt>
                <c:pt idx="58">
                  <c:v>8.1367697152773211</c:v>
                </c:pt>
                <c:pt idx="60">
                  <c:v>1.2228940310042158</c:v>
                </c:pt>
                <c:pt idx="61">
                  <c:v>2.5958861043743724</c:v>
                </c:pt>
                <c:pt idx="62">
                  <c:v>3.8609700577832342</c:v>
                </c:pt>
                <c:pt idx="63">
                  <c:v>5.2937705470791627</c:v>
                </c:pt>
                <c:pt idx="64">
                  <c:v>7.4493635417501096</c:v>
                </c:pt>
              </c:numCache>
            </c:numRef>
          </c:val>
          <c:extLst xmlns:c16r2="http://schemas.microsoft.com/office/drawing/2015/06/chart">
            <c:ext xmlns:c16="http://schemas.microsoft.com/office/drawing/2014/chart" uri="{C3380CC4-5D6E-409C-BE32-E72D297353CC}">
              <c16:uniqueId val="{00000037-10BD-4787-AB3E-4A7C79D9F631}"/>
            </c:ext>
          </c:extLst>
        </c:ser>
        <c:gapWidth val="0"/>
        <c:axId val="124683776"/>
        <c:axId val="124685696"/>
      </c:barChart>
      <c:lineChart>
        <c:grouping val="standard"/>
        <c:ser>
          <c:idx val="1"/>
          <c:order val="1"/>
          <c:tx>
            <c:strRef>
              <c:f>'GRAF-ISCO'!$D$66</c:f>
              <c:strCache>
                <c:ptCount val="1"/>
                <c:pt idx="0">
                  <c:v>Medián Ž/M (pravá osa)</c:v>
                </c:pt>
              </c:strCache>
            </c:strRef>
          </c:tx>
          <c:spPr>
            <a:ln w="6350">
              <a:noFill/>
            </a:ln>
          </c:spPr>
          <c:marker>
            <c:symbol val="diamond"/>
            <c:size val="5"/>
            <c:spPr>
              <a:solidFill>
                <a:srgbClr val="FFFF00"/>
              </a:solidFill>
              <a:ln w="6350">
                <a:solidFill>
                  <a:prstClr val="white">
                    <a:lumMod val="50000"/>
                  </a:prstClr>
                </a:solidFill>
              </a:ln>
            </c:spPr>
          </c:marker>
          <c:cat>
            <c:strRef>
              <c:f>'GRAF-ISCO'!$A$67:$B$131</c:f>
              <c:strCache>
                <c:ptCount val="61"/>
                <c:pt idx="0">
                  <c:v>Zaměstnanci v 
ozbroj. silách</c:v>
                </c:pt>
                <c:pt idx="6">
                  <c:v>Zákonodárci a 
řídící prac.</c:v>
                </c:pt>
                <c:pt idx="12">
                  <c:v>Specialisté</c:v>
                </c:pt>
                <c:pt idx="18">
                  <c:v>Techničtí a 
odborní pracov.</c:v>
                </c:pt>
                <c:pt idx="24">
                  <c:v>Úředníci</c:v>
                </c:pt>
                <c:pt idx="30">
                  <c:v>Pracovníci ve 
službách, prodeji</c:v>
                </c:pt>
                <c:pt idx="36">
                  <c:v>Kvalif. pracov. v
zeměd.,lesn.,ryb.</c:v>
                </c:pt>
                <c:pt idx="42">
                  <c:v>Řemeslníci 
a opraváři</c:v>
                </c:pt>
                <c:pt idx="48">
                  <c:v>Obsluha strojů a
zařízení, montéři</c:v>
                </c:pt>
                <c:pt idx="54">
                  <c:v>Pomocní a 
nekvalif. pracov.</c:v>
                </c:pt>
                <c:pt idx="60">
                  <c:v>NH celkem</c:v>
                </c:pt>
              </c:strCache>
            </c:strRef>
          </c:cat>
          <c:val>
            <c:numRef>
              <c:f>'GRAF-ISCO'!$D$67:$D$131</c:f>
              <c:numCache>
                <c:formatCode>#,##0.00</c:formatCode>
                <c:ptCount val="65"/>
                <c:pt idx="0">
                  <c:v>1.0443812112460715</c:v>
                </c:pt>
                <c:pt idx="1">
                  <c:v>1.0810898871828278</c:v>
                </c:pt>
                <c:pt idx="2">
                  <c:v>1.092607818222588</c:v>
                </c:pt>
                <c:pt idx="3">
                  <c:v>1.1068597611960378</c:v>
                </c:pt>
                <c:pt idx="4">
                  <c:v>1.110364741641338</c:v>
                </c:pt>
                <c:pt idx="6">
                  <c:v>0.79885183399798465</c:v>
                </c:pt>
                <c:pt idx="7">
                  <c:v>0.79651846624323686</c:v>
                </c:pt>
                <c:pt idx="8">
                  <c:v>0.79515748435416034</c:v>
                </c:pt>
                <c:pt idx="9">
                  <c:v>0.81118623232944065</c:v>
                </c:pt>
                <c:pt idx="10">
                  <c:v>0.815688299764733</c:v>
                </c:pt>
                <c:pt idx="12">
                  <c:v>0.75867341265429966</c:v>
                </c:pt>
                <c:pt idx="13">
                  <c:v>0.75868050849754765</c:v>
                </c:pt>
                <c:pt idx="14">
                  <c:v>0.75264677574590955</c:v>
                </c:pt>
                <c:pt idx="15">
                  <c:v>0.76137702780633354</c:v>
                </c:pt>
                <c:pt idx="16">
                  <c:v>0.76280146904021162</c:v>
                </c:pt>
                <c:pt idx="18">
                  <c:v>0.82571507722141912</c:v>
                </c:pt>
                <c:pt idx="19">
                  <c:v>0.82465605611006265</c:v>
                </c:pt>
                <c:pt idx="20">
                  <c:v>0.8267959024896343</c:v>
                </c:pt>
                <c:pt idx="21">
                  <c:v>0.82878604463482064</c:v>
                </c:pt>
                <c:pt idx="22">
                  <c:v>0.82976634029402419</c:v>
                </c:pt>
                <c:pt idx="24">
                  <c:v>0.83163586068151096</c:v>
                </c:pt>
                <c:pt idx="25">
                  <c:v>0.82595313333606923</c:v>
                </c:pt>
                <c:pt idx="26">
                  <c:v>0.82224610852342861</c:v>
                </c:pt>
                <c:pt idx="27">
                  <c:v>0.81275410329769615</c:v>
                </c:pt>
                <c:pt idx="28">
                  <c:v>0.8157008683324477</c:v>
                </c:pt>
                <c:pt idx="30">
                  <c:v>0.90451686678101217</c:v>
                </c:pt>
                <c:pt idx="31">
                  <c:v>0.91419803344398598</c:v>
                </c:pt>
                <c:pt idx="32">
                  <c:v>0.91858780929390449</c:v>
                </c:pt>
                <c:pt idx="33">
                  <c:v>0.92912284627433461</c:v>
                </c:pt>
                <c:pt idx="34">
                  <c:v>0.92134097305991169</c:v>
                </c:pt>
                <c:pt idx="36">
                  <c:v>0.90430270950159841</c:v>
                </c:pt>
                <c:pt idx="37">
                  <c:v>0.89428049893519923</c:v>
                </c:pt>
                <c:pt idx="38">
                  <c:v>0.87546839262251264</c:v>
                </c:pt>
                <c:pt idx="39">
                  <c:v>0.84271093927677965</c:v>
                </c:pt>
                <c:pt idx="40">
                  <c:v>0.85670188252685431</c:v>
                </c:pt>
                <c:pt idx="42">
                  <c:v>0.7513784230839976</c:v>
                </c:pt>
                <c:pt idx="43">
                  <c:v>0.75261385787701574</c:v>
                </c:pt>
                <c:pt idx="44">
                  <c:v>0.74196838347781768</c:v>
                </c:pt>
                <c:pt idx="45">
                  <c:v>0.7568203007823584</c:v>
                </c:pt>
                <c:pt idx="46">
                  <c:v>0.76635090764992264</c:v>
                </c:pt>
                <c:pt idx="48">
                  <c:v>0.81413648704615527</c:v>
                </c:pt>
                <c:pt idx="49">
                  <c:v>0.81368702630405765</c:v>
                </c:pt>
                <c:pt idx="50">
                  <c:v>0.82198952879581155</c:v>
                </c:pt>
                <c:pt idx="51">
                  <c:v>0.83034949635007504</c:v>
                </c:pt>
                <c:pt idx="52">
                  <c:v>0.84105784873822409</c:v>
                </c:pt>
                <c:pt idx="54">
                  <c:v>0.75480973478182201</c:v>
                </c:pt>
                <c:pt idx="55">
                  <c:v>0.76832579185520367</c:v>
                </c:pt>
                <c:pt idx="56">
                  <c:v>0.7702852476229366</c:v>
                </c:pt>
                <c:pt idx="57">
                  <c:v>0.75862818631448337</c:v>
                </c:pt>
                <c:pt idx="58">
                  <c:v>0.77515691435513745</c:v>
                </c:pt>
                <c:pt idx="60">
                  <c:v>0.84621164683782091</c:v>
                </c:pt>
                <c:pt idx="61">
                  <c:v>0.83745439805431698</c:v>
                </c:pt>
                <c:pt idx="62">
                  <c:v>0.83544845842417437</c:v>
                </c:pt>
                <c:pt idx="63">
                  <c:v>0.83976569161754777</c:v>
                </c:pt>
                <c:pt idx="64">
                  <c:v>0.84385989105702264</c:v>
                </c:pt>
              </c:numCache>
            </c:numRef>
          </c:val>
          <c:extLst xmlns:c16r2="http://schemas.microsoft.com/office/drawing/2015/06/chart">
            <c:ext xmlns:c16="http://schemas.microsoft.com/office/drawing/2014/chart" uri="{C3380CC4-5D6E-409C-BE32-E72D297353CC}">
              <c16:uniqueId val="{00000038-10BD-4787-AB3E-4A7C79D9F631}"/>
            </c:ext>
          </c:extLst>
        </c:ser>
        <c:marker val="1"/>
        <c:axId val="124689024"/>
        <c:axId val="124687488"/>
      </c:lineChart>
      <c:catAx>
        <c:axId val="124683776"/>
        <c:scaling>
          <c:orientation val="minMax"/>
        </c:scaling>
        <c:axPos val="b"/>
        <c:numFmt formatCode="General" sourceLinked="0"/>
        <c:majorTickMark val="none"/>
        <c:tickLblPos val="low"/>
        <c:txPr>
          <a:bodyPr rot="-5400000" vert="horz"/>
          <a:lstStyle/>
          <a:p>
            <a:pPr>
              <a:defRPr sz="800">
                <a:latin typeface="Arial" pitchFamily="34" charset="0"/>
                <a:cs typeface="Arial" pitchFamily="34" charset="0"/>
              </a:defRPr>
            </a:pPr>
            <a:endParaRPr lang="cs-CZ"/>
          </a:p>
        </c:txPr>
        <c:crossAx val="124685696"/>
        <c:crosses val="autoZero"/>
        <c:auto val="1"/>
        <c:lblAlgn val="ctr"/>
        <c:lblOffset val="0"/>
      </c:catAx>
      <c:valAx>
        <c:axId val="124685696"/>
        <c:scaling>
          <c:orientation val="minMax"/>
          <c:max val="13"/>
          <c:min val="0"/>
        </c:scaling>
        <c:axPos val="l"/>
        <c:majorGridlines/>
        <c:numFmt formatCode="0" sourceLinked="0"/>
        <c:tickLblPos val="nextTo"/>
        <c:txPr>
          <a:bodyPr/>
          <a:lstStyle/>
          <a:p>
            <a:pPr>
              <a:defRPr sz="800">
                <a:latin typeface="Arial" pitchFamily="34" charset="0"/>
                <a:cs typeface="Arial" pitchFamily="34" charset="0"/>
              </a:defRPr>
            </a:pPr>
            <a:endParaRPr lang="cs-CZ"/>
          </a:p>
        </c:txPr>
        <c:crossAx val="124683776"/>
        <c:crosses val="autoZero"/>
        <c:crossBetween val="between"/>
        <c:majorUnit val="1"/>
      </c:valAx>
      <c:valAx>
        <c:axId val="124687488"/>
        <c:scaling>
          <c:orientation val="minMax"/>
          <c:max val="1.1500000000000001"/>
          <c:min val="0.5"/>
        </c:scaling>
        <c:axPos val="r"/>
        <c:numFmt formatCode="#,##0.00" sourceLinked="0"/>
        <c:tickLblPos val="nextTo"/>
        <c:txPr>
          <a:bodyPr/>
          <a:lstStyle/>
          <a:p>
            <a:pPr>
              <a:defRPr sz="800">
                <a:latin typeface="Arial" pitchFamily="34" charset="0"/>
                <a:cs typeface="Arial" pitchFamily="34" charset="0"/>
              </a:defRPr>
            </a:pPr>
            <a:endParaRPr lang="cs-CZ"/>
          </a:p>
        </c:txPr>
        <c:crossAx val="124689024"/>
        <c:crosses val="max"/>
        <c:crossBetween val="between"/>
        <c:majorUnit val="0.1"/>
      </c:valAx>
      <c:catAx>
        <c:axId val="124689024"/>
        <c:scaling>
          <c:orientation val="minMax"/>
        </c:scaling>
        <c:delete val="1"/>
        <c:axPos val="b"/>
        <c:numFmt formatCode="General" sourceLinked="1"/>
        <c:tickLblPos val="none"/>
        <c:crossAx val="124687488"/>
        <c:crosses val="autoZero"/>
        <c:auto val="1"/>
        <c:lblAlgn val="ctr"/>
        <c:lblOffset val="100"/>
      </c:catAx>
    </c:plotArea>
    <c:legend>
      <c:legendPos val="r"/>
      <c:layout>
        <c:manualLayout>
          <c:xMode val="edge"/>
          <c:yMode val="edge"/>
          <c:x val="4.0612466448754582E-2"/>
          <c:y val="0.94845833333333363"/>
          <c:w val="0.89602948609910371"/>
          <c:h val="4.6498866213151906E-2"/>
        </c:manualLayout>
      </c:layout>
      <c:spPr>
        <a:ln>
          <a:solidFill>
            <a:schemeClr val="tx1">
              <a:lumMod val="95000"/>
              <a:lumOff val="5000"/>
            </a:schemeClr>
          </a:solidFill>
        </a:ln>
      </c:spPr>
      <c:txPr>
        <a:bodyPr/>
        <a:lstStyle/>
        <a:p>
          <a:pPr>
            <a:defRPr sz="800">
              <a:latin typeface="Arial" pitchFamily="34" charset="0"/>
              <a:cs typeface="Arial" pitchFamily="34" charset="0"/>
            </a:defRPr>
          </a:pPr>
          <a:endParaRPr lang="cs-CZ"/>
        </a:p>
      </c:txPr>
    </c:legend>
    <c:plotVisOnly val="1"/>
    <c:dispBlanksAs val="gap"/>
  </c:chart>
  <c:externalData r:id="rId1"/>
  <c:userShapes r:id="rId2"/>
</c:chartSpace>
</file>

<file path=word/charts/chart21.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4.6316626494282913E-2"/>
          <c:y val="1.5755757049289401E-2"/>
          <c:w val="0.93593697124995157"/>
          <c:h val="0.75149239107226351"/>
        </c:manualLayout>
      </c:layout>
      <c:lineChart>
        <c:grouping val="standard"/>
        <c:ser>
          <c:idx val="0"/>
          <c:order val="0"/>
          <c:tx>
            <c:strRef>
              <c:f>'Mzdy-ISCO'!$B$62</c:f>
              <c:strCache>
                <c:ptCount val="1"/>
                <c:pt idx="0">
                  <c:v>Hl. m. Praha</c:v>
                </c:pt>
              </c:strCache>
            </c:strRef>
          </c:tx>
          <c:spPr>
            <a:ln w="19050">
              <a:solidFill>
                <a:srgbClr val="BD1B21"/>
              </a:solidFill>
              <a:prstDash val="sysDot"/>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'Mzdy-ISCO'!$C$62:$R$62</c:f>
              <c:numCache>
                <c:formatCode>0</c:formatCode>
                <c:ptCount val="16"/>
                <c:pt idx="0">
                  <c:v>141.44043078303801</c:v>
                </c:pt>
                <c:pt idx="1">
                  <c:v>129.16762000640645</c:v>
                </c:pt>
                <c:pt idx="2">
                  <c:v>123.75314929699563</c:v>
                </c:pt>
                <c:pt idx="3">
                  <c:v>119.92324113185265</c:v>
                </c:pt>
                <c:pt idx="4">
                  <c:v>119.23263551920145</c:v>
                </c:pt>
                <c:pt idx="5">
                  <c:v>114.56047163203316</c:v>
                </c:pt>
                <c:pt idx="6">
                  <c:v>115.01766784452296</c:v>
                </c:pt>
                <c:pt idx="7">
                  <c:v>113.5212576473328</c:v>
                </c:pt>
                <c:pt idx="8">
                  <c:v>110.70995880785026</c:v>
                </c:pt>
                <c:pt idx="9">
                  <c:v>113.12990325841075</c:v>
                </c:pt>
                <c:pt idx="10">
                  <c:v>110.91376382578366</c:v>
                </c:pt>
                <c:pt idx="11">
                  <c:v>104.29938097917839</c:v>
                </c:pt>
                <c:pt idx="12">
                  <c:v>107.38397620508898</c:v>
                </c:pt>
                <c:pt idx="13">
                  <c:v>106.00077730275828</c:v>
                </c:pt>
                <c:pt idx="14">
                  <c:v>106.82220106108014</c:v>
                </c:pt>
                <c:pt idx="15">
                  <c:v>98.689861375373738</c:v>
                </c:pt>
              </c:numCache>
            </c:numRef>
          </c:val>
          <c:extLst xmlns:c16r2="http://schemas.microsoft.com/office/drawing/2015/06/chart">
            <c:ext xmlns:c16="http://schemas.microsoft.com/office/drawing/2014/chart" uri="{C3380CC4-5D6E-409C-BE32-E72D297353CC}">
              <c16:uniqueId val="{00000000-769A-449F-B106-369F6C2D850C}"/>
            </c:ext>
          </c:extLst>
        </c:ser>
        <c:ser>
          <c:idx val="1"/>
          <c:order val="1"/>
          <c:tx>
            <c:strRef>
              <c:f>'Mzdy-ISCO'!$B$63</c:f>
              <c:strCache>
                <c:ptCount val="1"/>
                <c:pt idx="0">
                  <c:v>Středočeský kraj</c:v>
                </c:pt>
              </c:strCache>
            </c:strRef>
          </c:tx>
          <c:spPr>
            <a:ln w="19050">
              <a:solidFill>
                <a:srgbClr val="7DBB2D"/>
              </a:solidFill>
              <a:prstDash val="sysDot"/>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'Mzdy-ISCO'!$C$63:$R$63</c:f>
              <c:numCache>
                <c:formatCode>0</c:formatCode>
                <c:ptCount val="16"/>
                <c:pt idx="0">
                  <c:v>99.787715089487577</c:v>
                </c:pt>
                <c:pt idx="1">
                  <c:v>109.24053142970453</c:v>
                </c:pt>
                <c:pt idx="2">
                  <c:v>91.731910167149792</c:v>
                </c:pt>
                <c:pt idx="3">
                  <c:v>93.009946859245133</c:v>
                </c:pt>
                <c:pt idx="4">
                  <c:v>102.91140995425005</c:v>
                </c:pt>
                <c:pt idx="5">
                  <c:v>104.0450618725188</c:v>
                </c:pt>
                <c:pt idx="6">
                  <c:v>100.51678445229678</c:v>
                </c:pt>
                <c:pt idx="7">
                  <c:v>99.883837992719705</c:v>
                </c:pt>
                <c:pt idx="8">
                  <c:v>100.92076568936353</c:v>
                </c:pt>
                <c:pt idx="9">
                  <c:v>99.918178755354418</c:v>
                </c:pt>
                <c:pt idx="10">
                  <c:v>111.11570058286244</c:v>
                </c:pt>
                <c:pt idx="11">
                  <c:v>112.26036390921114</c:v>
                </c:pt>
                <c:pt idx="12">
                  <c:v>107.16207922194418</c:v>
                </c:pt>
                <c:pt idx="13">
                  <c:v>107.34162456276798</c:v>
                </c:pt>
                <c:pt idx="14">
                  <c:v>109.40008162154822</c:v>
                </c:pt>
                <c:pt idx="15">
                  <c:v>106.77901603696606</c:v>
                </c:pt>
              </c:numCache>
            </c:numRef>
          </c:val>
          <c:extLst xmlns:c16r2="http://schemas.microsoft.com/office/drawing/2015/06/chart">
            <c:ext xmlns:c16="http://schemas.microsoft.com/office/drawing/2014/chart" uri="{C3380CC4-5D6E-409C-BE32-E72D297353CC}">
              <c16:uniqueId val="{00000001-769A-449F-B106-369F6C2D850C}"/>
            </c:ext>
          </c:extLst>
        </c:ser>
        <c:ser>
          <c:idx val="2"/>
          <c:order val="2"/>
          <c:tx>
            <c:strRef>
              <c:f>'Mzdy-ISCO'!$B$64</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'Mzdy-ISCO'!$C$64:$R$64</c:f>
              <c:numCache>
                <c:formatCode>0</c:formatCode>
                <c:ptCount val="16"/>
                <c:pt idx="0">
                  <c:v>77.371809254241384</c:v>
                </c:pt>
                <c:pt idx="1">
                  <c:v>89.220396894399755</c:v>
                </c:pt>
                <c:pt idx="2">
                  <c:v>84.815647603825212</c:v>
                </c:pt>
                <c:pt idx="3">
                  <c:v>81.630104010537309</c:v>
                </c:pt>
                <c:pt idx="4">
                  <c:v>95.629419104394458</c:v>
                </c:pt>
                <c:pt idx="5">
                  <c:v>94.597828624795696</c:v>
                </c:pt>
                <c:pt idx="6">
                  <c:v>97.014134275618943</c:v>
                </c:pt>
                <c:pt idx="7">
                  <c:v>93.789204677456809</c:v>
                </c:pt>
                <c:pt idx="8">
                  <c:v>97.486067361279396</c:v>
                </c:pt>
                <c:pt idx="9">
                  <c:v>102.75304423160226</c:v>
                </c:pt>
                <c:pt idx="10">
                  <c:v>94.951581073018502</c:v>
                </c:pt>
                <c:pt idx="11">
                  <c:v>94.455074094916512</c:v>
                </c:pt>
                <c:pt idx="12">
                  <c:v>97.743260469289396</c:v>
                </c:pt>
                <c:pt idx="13">
                  <c:v>95.915273999223274</c:v>
                </c:pt>
                <c:pt idx="14">
                  <c:v>95.313562780574074</c:v>
                </c:pt>
                <c:pt idx="15">
                  <c:v>97.401467790160396</c:v>
                </c:pt>
              </c:numCache>
            </c:numRef>
          </c:val>
          <c:extLst xmlns:c16r2="http://schemas.microsoft.com/office/drawing/2015/06/chart">
            <c:ext xmlns:c16="http://schemas.microsoft.com/office/drawing/2014/chart" uri="{C3380CC4-5D6E-409C-BE32-E72D297353CC}">
              <c16:uniqueId val="{00000002-769A-449F-B106-369F6C2D850C}"/>
            </c:ext>
          </c:extLst>
        </c:ser>
        <c:ser>
          <c:idx val="3"/>
          <c:order val="3"/>
          <c:tx>
            <c:strRef>
              <c:f>'Mzdy-ISCO'!$B$65</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'Mzdy-ISCO'!$C$65:$R$65</c:f>
              <c:numCache>
                <c:formatCode>0</c:formatCode>
                <c:ptCount val="16"/>
                <c:pt idx="0">
                  <c:v>88.679863999585749</c:v>
                </c:pt>
                <c:pt idx="1">
                  <c:v>90.786924754801021</c:v>
                </c:pt>
                <c:pt idx="2">
                  <c:v>92.103053124915363</c:v>
                </c:pt>
                <c:pt idx="3">
                  <c:v>91.792705636552768</c:v>
                </c:pt>
                <c:pt idx="4">
                  <c:v>96.579093303757048</c:v>
                </c:pt>
                <c:pt idx="5">
                  <c:v>100.32395517160865</c:v>
                </c:pt>
                <c:pt idx="6">
                  <c:v>102.20848056537102</c:v>
                </c:pt>
                <c:pt idx="7">
                  <c:v>96.999148145279946</c:v>
                </c:pt>
                <c:pt idx="8">
                  <c:v>99.33971407802278</c:v>
                </c:pt>
                <c:pt idx="9">
                  <c:v>101.5401646050931</c:v>
                </c:pt>
                <c:pt idx="10">
                  <c:v>105.86993437055325</c:v>
                </c:pt>
                <c:pt idx="11">
                  <c:v>110.0543987994743</c:v>
                </c:pt>
                <c:pt idx="12">
                  <c:v>103.14904867569985</c:v>
                </c:pt>
                <c:pt idx="13">
                  <c:v>103.15973571706074</c:v>
                </c:pt>
                <c:pt idx="14">
                  <c:v>100.46252210583594</c:v>
                </c:pt>
                <c:pt idx="15">
                  <c:v>111.30198423484643</c:v>
                </c:pt>
              </c:numCache>
            </c:numRef>
          </c:val>
          <c:extLst xmlns:c16r2="http://schemas.microsoft.com/office/drawing/2015/06/chart">
            <c:ext xmlns:c16="http://schemas.microsoft.com/office/drawing/2014/chart" uri="{C3380CC4-5D6E-409C-BE32-E72D297353CC}">
              <c16:uniqueId val="{00000003-769A-449F-B106-369F6C2D850C}"/>
            </c:ext>
          </c:extLst>
        </c:ser>
        <c:ser>
          <c:idx val="4"/>
          <c:order val="4"/>
          <c:tx>
            <c:strRef>
              <c:f>'Mzdy-ISCO'!$B$66</c:f>
              <c:strCache>
                <c:ptCount val="1"/>
                <c:pt idx="0">
                  <c:v>Karlovarský kraj</c:v>
                </c:pt>
              </c:strCache>
            </c:strRef>
          </c:tx>
          <c:spPr>
            <a:ln w="19050">
              <a:solidFill>
                <a:srgbClr val="0071BC"/>
              </a:solidFill>
              <a:prstDash val="sysDot"/>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'Mzdy-ISCO'!$C$66:$R$66</c:f>
              <c:numCache>
                <c:formatCode>0</c:formatCode>
                <c:ptCount val="16"/>
                <c:pt idx="0">
                  <c:v>76.260333787818666</c:v>
                </c:pt>
                <c:pt idx="1">
                  <c:v>72.505681904849055</c:v>
                </c:pt>
                <c:pt idx="2">
                  <c:v>81.467233765882739</c:v>
                </c:pt>
                <c:pt idx="3">
                  <c:v>82.708815914974778</c:v>
                </c:pt>
                <c:pt idx="4">
                  <c:v>87.491335089421852</c:v>
                </c:pt>
                <c:pt idx="5">
                  <c:v>90.780410926920382</c:v>
                </c:pt>
                <c:pt idx="6">
                  <c:v>96.426678445229683</c:v>
                </c:pt>
                <c:pt idx="7">
                  <c:v>98.052350344613558</c:v>
                </c:pt>
                <c:pt idx="8">
                  <c:v>103.0591228495275</c:v>
                </c:pt>
                <c:pt idx="9">
                  <c:v>100.66419598594682</c:v>
                </c:pt>
                <c:pt idx="10">
                  <c:v>97.585937858551361</c:v>
                </c:pt>
                <c:pt idx="11">
                  <c:v>91.735134121178021</c:v>
                </c:pt>
                <c:pt idx="12">
                  <c:v>94.891648175251348</c:v>
                </c:pt>
                <c:pt idx="13">
                  <c:v>98.51923824329576</c:v>
                </c:pt>
                <c:pt idx="14">
                  <c:v>95.095905319004189</c:v>
                </c:pt>
                <c:pt idx="15">
                  <c:v>100.85349279695498</c:v>
                </c:pt>
              </c:numCache>
            </c:numRef>
          </c:val>
          <c:extLst xmlns:c16r2="http://schemas.microsoft.com/office/drawing/2015/06/chart">
            <c:ext xmlns:c16="http://schemas.microsoft.com/office/drawing/2014/chart" uri="{C3380CC4-5D6E-409C-BE32-E72D297353CC}">
              <c16:uniqueId val="{00000004-769A-449F-B106-369F6C2D850C}"/>
            </c:ext>
          </c:extLst>
        </c:ser>
        <c:ser>
          <c:idx val="5"/>
          <c:order val="5"/>
          <c:tx>
            <c:strRef>
              <c:f>'Mzdy-ISCO'!$B$67</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'Mzdy-ISCO'!$C$67:$R$67</c:f>
              <c:numCache>
                <c:formatCode>0</c:formatCode>
                <c:ptCount val="16"/>
                <c:pt idx="0">
                  <c:v>89.896618974474009</c:v>
                </c:pt>
                <c:pt idx="1">
                  <c:v>85.846336887383558</c:v>
                </c:pt>
                <c:pt idx="2">
                  <c:v>87.551811015089058</c:v>
                </c:pt>
                <c:pt idx="3">
                  <c:v>86.337829858745522</c:v>
                </c:pt>
                <c:pt idx="4">
                  <c:v>94.194509912657679</c:v>
                </c:pt>
                <c:pt idx="5">
                  <c:v>91.889446649544709</c:v>
                </c:pt>
                <c:pt idx="6">
                  <c:v>91.886042402826035</c:v>
                </c:pt>
                <c:pt idx="7">
                  <c:v>93.239371176333108</c:v>
                </c:pt>
                <c:pt idx="8">
                  <c:v>92.936757935546382</c:v>
                </c:pt>
                <c:pt idx="9">
                  <c:v>97.28545988352505</c:v>
                </c:pt>
                <c:pt idx="10">
                  <c:v>95.162696773600828</c:v>
                </c:pt>
                <c:pt idx="11">
                  <c:v>97.572688051021544</c:v>
                </c:pt>
                <c:pt idx="12">
                  <c:v>100.98201218072801</c:v>
                </c:pt>
                <c:pt idx="13">
                  <c:v>101.77225029148848</c:v>
                </c:pt>
                <c:pt idx="14">
                  <c:v>96.27941776629028</c:v>
                </c:pt>
                <c:pt idx="15">
                  <c:v>99.537917912476189</c:v>
                </c:pt>
              </c:numCache>
            </c:numRef>
          </c:val>
          <c:extLst xmlns:c16r2="http://schemas.microsoft.com/office/drawing/2015/06/chart">
            <c:ext xmlns:c16="http://schemas.microsoft.com/office/drawing/2014/chart" uri="{C3380CC4-5D6E-409C-BE32-E72D297353CC}">
              <c16:uniqueId val="{00000005-769A-449F-B106-369F6C2D850C}"/>
            </c:ext>
          </c:extLst>
        </c:ser>
        <c:ser>
          <c:idx val="6"/>
          <c:order val="6"/>
          <c:tx>
            <c:strRef>
              <c:f>'Mzdy-ISCO'!$B$68</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'Mzdy-ISCO'!$C$68:$R$68</c:f>
              <c:numCache>
                <c:formatCode>0</c:formatCode>
                <c:ptCount val="16"/>
                <c:pt idx="0">
                  <c:v>86.700264061718912</c:v>
                </c:pt>
                <c:pt idx="1">
                  <c:v>94.647569364999526</c:v>
                </c:pt>
                <c:pt idx="2">
                  <c:v>86.319182943678371</c:v>
                </c:pt>
                <c:pt idx="3">
                  <c:v>87.800336103918866</c:v>
                </c:pt>
                <c:pt idx="4">
                  <c:v>90.409676972133639</c:v>
                </c:pt>
                <c:pt idx="5">
                  <c:v>95.773990193788578</c:v>
                </c:pt>
                <c:pt idx="6">
                  <c:v>91.590106007067135</c:v>
                </c:pt>
                <c:pt idx="7">
                  <c:v>93.09610470068921</c:v>
                </c:pt>
                <c:pt idx="8">
                  <c:v>99.957596316937241</c:v>
                </c:pt>
                <c:pt idx="9">
                  <c:v>98.291379891225873</c:v>
                </c:pt>
                <c:pt idx="10">
                  <c:v>102.22130432787185</c:v>
                </c:pt>
                <c:pt idx="11">
                  <c:v>102.02213468392421</c:v>
                </c:pt>
                <c:pt idx="12">
                  <c:v>97.493036211699149</c:v>
                </c:pt>
                <c:pt idx="13">
                  <c:v>102.63505635444918</c:v>
                </c:pt>
                <c:pt idx="14">
                  <c:v>107.25071418854577</c:v>
                </c:pt>
                <c:pt idx="15">
                  <c:v>108.88284860016275</c:v>
                </c:pt>
              </c:numCache>
            </c:numRef>
          </c:val>
          <c:extLst xmlns:c16r2="http://schemas.microsoft.com/office/drawing/2015/06/chart">
            <c:ext xmlns:c16="http://schemas.microsoft.com/office/drawing/2014/chart" uri="{C3380CC4-5D6E-409C-BE32-E72D297353CC}">
              <c16:uniqueId val="{00000006-769A-449F-B106-369F6C2D850C}"/>
            </c:ext>
          </c:extLst>
        </c:ser>
        <c:ser>
          <c:idx val="7"/>
          <c:order val="7"/>
          <c:tx>
            <c:strRef>
              <c:f>'Mzdy-ISCO'!$B$69</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'Mzdy-ISCO'!$C$69:$R$69</c:f>
              <c:numCache>
                <c:formatCode>0</c:formatCode>
                <c:ptCount val="16"/>
                <c:pt idx="0">
                  <c:v>80.752834780207465</c:v>
                </c:pt>
                <c:pt idx="1">
                  <c:v>84.766393630165197</c:v>
                </c:pt>
                <c:pt idx="2">
                  <c:v>81.935903340286615</c:v>
                </c:pt>
                <c:pt idx="3">
                  <c:v>87.191715492573849</c:v>
                </c:pt>
                <c:pt idx="4">
                  <c:v>88.458339109940383</c:v>
                </c:pt>
                <c:pt idx="5">
                  <c:v>92.972215736633188</c:v>
                </c:pt>
                <c:pt idx="6">
                  <c:v>89.138692579505289</c:v>
                </c:pt>
                <c:pt idx="7">
                  <c:v>89.75063889104004</c:v>
                </c:pt>
                <c:pt idx="8">
                  <c:v>100.6299975769319</c:v>
                </c:pt>
                <c:pt idx="9">
                  <c:v>99.865235597053669</c:v>
                </c:pt>
                <c:pt idx="10">
                  <c:v>98.352379641103312</c:v>
                </c:pt>
                <c:pt idx="11">
                  <c:v>98.506846745450858</c:v>
                </c:pt>
                <c:pt idx="12">
                  <c:v>96.850951324300084</c:v>
                </c:pt>
                <c:pt idx="13">
                  <c:v>99.549164399533623</c:v>
                </c:pt>
                <c:pt idx="14">
                  <c:v>103.31247449326621</c:v>
                </c:pt>
                <c:pt idx="15">
                  <c:v>107.98042946452887</c:v>
                </c:pt>
              </c:numCache>
            </c:numRef>
          </c:val>
          <c:extLst xmlns:c16r2="http://schemas.microsoft.com/office/drawing/2015/06/chart">
            <c:ext xmlns:c16="http://schemas.microsoft.com/office/drawing/2014/chart" uri="{C3380CC4-5D6E-409C-BE32-E72D297353CC}">
              <c16:uniqueId val="{00000007-769A-449F-B106-369F6C2D850C}"/>
            </c:ext>
          </c:extLst>
        </c:ser>
        <c:ser>
          <c:idx val="8"/>
          <c:order val="8"/>
          <c:tx>
            <c:strRef>
              <c:f>'Mzdy-ISCO'!$B$70</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'Mzdy-ISCO'!$C$70:$R$70</c:f>
              <c:numCache>
                <c:formatCode>0</c:formatCode>
                <c:ptCount val="16"/>
                <c:pt idx="0">
                  <c:v>79.187449301876043</c:v>
                </c:pt>
                <c:pt idx="1">
                  <c:v>87.176436492319169</c:v>
                </c:pt>
                <c:pt idx="2">
                  <c:v>82.076775119875649</c:v>
                </c:pt>
                <c:pt idx="3">
                  <c:v>84.716355543443683</c:v>
                </c:pt>
                <c:pt idx="4">
                  <c:v>90.302232080964558</c:v>
                </c:pt>
                <c:pt idx="5">
                  <c:v>92.295120242820445</c:v>
                </c:pt>
                <c:pt idx="6">
                  <c:v>94.076855123674093</c:v>
                </c:pt>
                <c:pt idx="7">
                  <c:v>97.169519089289864</c:v>
                </c:pt>
                <c:pt idx="8">
                  <c:v>96.965107826508358</c:v>
                </c:pt>
                <c:pt idx="9">
                  <c:v>95.957067911633061</c:v>
                </c:pt>
                <c:pt idx="10">
                  <c:v>95.433475606957643</c:v>
                </c:pt>
                <c:pt idx="11">
                  <c:v>95.310448321140498</c:v>
                </c:pt>
                <c:pt idx="12">
                  <c:v>90.274302440866819</c:v>
                </c:pt>
                <c:pt idx="13">
                  <c:v>93.264671589584154</c:v>
                </c:pt>
                <c:pt idx="14">
                  <c:v>96.299823153313</c:v>
                </c:pt>
                <c:pt idx="15">
                  <c:v>98.749660233759172</c:v>
                </c:pt>
              </c:numCache>
            </c:numRef>
          </c:val>
          <c:extLst xmlns:c16r2="http://schemas.microsoft.com/office/drawing/2015/06/chart">
            <c:ext xmlns:c16="http://schemas.microsoft.com/office/drawing/2014/chart" uri="{C3380CC4-5D6E-409C-BE32-E72D297353CC}">
              <c16:uniqueId val="{00000008-769A-449F-B106-369F6C2D850C}"/>
            </c:ext>
          </c:extLst>
        </c:ser>
        <c:ser>
          <c:idx val="9"/>
          <c:order val="9"/>
          <c:tx>
            <c:strRef>
              <c:f>'Mzdy-ISCO'!$B$71</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'Mzdy-ISCO'!$C$71:$R$71</c:f>
              <c:numCache>
                <c:formatCode>0</c:formatCode>
                <c:ptCount val="16"/>
                <c:pt idx="0">
                  <c:v>81.431110957698365</c:v>
                </c:pt>
                <c:pt idx="1">
                  <c:v>90.282036028615408</c:v>
                </c:pt>
                <c:pt idx="2">
                  <c:v>84.563703844174142</c:v>
                </c:pt>
                <c:pt idx="3">
                  <c:v>87.325702865967159</c:v>
                </c:pt>
                <c:pt idx="4">
                  <c:v>91.463330098433389</c:v>
                </c:pt>
                <c:pt idx="5">
                  <c:v>94.054984823721114</c:v>
                </c:pt>
                <c:pt idx="6">
                  <c:v>94.500883392226058</c:v>
                </c:pt>
                <c:pt idx="7">
                  <c:v>100.46464802911875</c:v>
                </c:pt>
                <c:pt idx="8">
                  <c:v>92.736854858250553</c:v>
                </c:pt>
                <c:pt idx="9">
                  <c:v>97.198825624488578</c:v>
                </c:pt>
                <c:pt idx="10">
                  <c:v>96.195327917755847</c:v>
                </c:pt>
                <c:pt idx="11">
                  <c:v>98.334271243669079</c:v>
                </c:pt>
                <c:pt idx="12">
                  <c:v>94.103205703224589</c:v>
                </c:pt>
                <c:pt idx="13">
                  <c:v>98.865137971239719</c:v>
                </c:pt>
                <c:pt idx="14">
                  <c:v>102.56427696912033</c:v>
                </c:pt>
                <c:pt idx="15">
                  <c:v>94.987768415330265</c:v>
                </c:pt>
              </c:numCache>
            </c:numRef>
          </c:val>
          <c:extLst xmlns:c16r2="http://schemas.microsoft.com/office/drawing/2015/06/chart">
            <c:ext xmlns:c16="http://schemas.microsoft.com/office/drawing/2014/chart" uri="{C3380CC4-5D6E-409C-BE32-E72D297353CC}">
              <c16:uniqueId val="{00000009-769A-449F-B106-369F6C2D850C}"/>
            </c:ext>
          </c:extLst>
        </c:ser>
        <c:ser>
          <c:idx val="10"/>
          <c:order val="10"/>
          <c:tx>
            <c:strRef>
              <c:f>'Mzdy-ISCO'!$B$72</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'Mzdy-ISCO'!$C$72:$R$72</c:f>
              <c:numCache>
                <c:formatCode>0</c:formatCode>
                <c:ptCount val="16"/>
                <c:pt idx="0">
                  <c:v>91.448197304154178</c:v>
                </c:pt>
                <c:pt idx="1">
                  <c:v>88.739913665553715</c:v>
                </c:pt>
                <c:pt idx="2">
                  <c:v>94.671254029745626</c:v>
                </c:pt>
                <c:pt idx="3">
                  <c:v>98.816823363764357</c:v>
                </c:pt>
                <c:pt idx="4">
                  <c:v>94.814917510051288</c:v>
                </c:pt>
                <c:pt idx="5">
                  <c:v>94.685384076580505</c:v>
                </c:pt>
                <c:pt idx="6">
                  <c:v>95.711130742049463</c:v>
                </c:pt>
                <c:pt idx="7">
                  <c:v>97.661271586773012</c:v>
                </c:pt>
                <c:pt idx="8">
                  <c:v>95.535497940392531</c:v>
                </c:pt>
                <c:pt idx="9">
                  <c:v>93.483178514703084</c:v>
                </c:pt>
                <c:pt idx="10">
                  <c:v>97.016843361329123</c:v>
                </c:pt>
                <c:pt idx="11">
                  <c:v>97.291314950290797</c:v>
                </c:pt>
                <c:pt idx="12">
                  <c:v>96.822624049856003</c:v>
                </c:pt>
                <c:pt idx="13">
                  <c:v>96.292265837543709</c:v>
                </c:pt>
                <c:pt idx="14">
                  <c:v>102.5370697864236</c:v>
                </c:pt>
                <c:pt idx="15">
                  <c:v>95.797771133459051</c:v>
                </c:pt>
              </c:numCache>
            </c:numRef>
          </c:val>
          <c:extLst xmlns:c16r2="http://schemas.microsoft.com/office/drawing/2015/06/chart">
            <c:ext xmlns:c16="http://schemas.microsoft.com/office/drawing/2014/chart" uri="{C3380CC4-5D6E-409C-BE32-E72D297353CC}">
              <c16:uniqueId val="{0000000A-769A-449F-B106-369F6C2D850C}"/>
            </c:ext>
          </c:extLst>
        </c:ser>
        <c:ser>
          <c:idx val="11"/>
          <c:order val="11"/>
          <c:tx>
            <c:strRef>
              <c:f>'Mzdy-ISCO'!$B$73</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'Mzdy-ISCO'!$C$73:$R$73</c:f>
              <c:numCache>
                <c:formatCode>0</c:formatCode>
                <c:ptCount val="16"/>
                <c:pt idx="0">
                  <c:v>79.974456774995247</c:v>
                </c:pt>
                <c:pt idx="1">
                  <c:v>83.587303040009772</c:v>
                </c:pt>
                <c:pt idx="2">
                  <c:v>82.997859832579309</c:v>
                </c:pt>
                <c:pt idx="3">
                  <c:v>85.870009538083394</c:v>
                </c:pt>
                <c:pt idx="4">
                  <c:v>87.484403160959374</c:v>
                </c:pt>
                <c:pt idx="5">
                  <c:v>86.595260331543315</c:v>
                </c:pt>
                <c:pt idx="6">
                  <c:v>88.175795053002616</c:v>
                </c:pt>
                <c:pt idx="7">
                  <c:v>90.494075737628748</c:v>
                </c:pt>
                <c:pt idx="8">
                  <c:v>98.855100557305548</c:v>
                </c:pt>
                <c:pt idx="9">
                  <c:v>93.348414111758188</c:v>
                </c:pt>
                <c:pt idx="10">
                  <c:v>97.140759098627754</c:v>
                </c:pt>
                <c:pt idx="11">
                  <c:v>94.590133183267696</c:v>
                </c:pt>
                <c:pt idx="12">
                  <c:v>95.462914876540282</c:v>
                </c:pt>
                <c:pt idx="13">
                  <c:v>93.326855810338088</c:v>
                </c:pt>
                <c:pt idx="14">
                  <c:v>93.497483335600592</c:v>
                </c:pt>
                <c:pt idx="15">
                  <c:v>94.623539005164389</c:v>
                </c:pt>
              </c:numCache>
            </c:numRef>
          </c:val>
          <c:extLst xmlns:c16r2="http://schemas.microsoft.com/office/drawing/2015/06/chart">
            <c:ext xmlns:c16="http://schemas.microsoft.com/office/drawing/2014/chart" uri="{C3380CC4-5D6E-409C-BE32-E72D297353CC}">
              <c16:uniqueId val="{0000000B-769A-449F-B106-369F6C2D850C}"/>
            </c:ext>
          </c:extLst>
        </c:ser>
        <c:ser>
          <c:idx val="12"/>
          <c:order val="12"/>
          <c:tx>
            <c:strRef>
              <c:f>'Mzdy-ISCO'!$B$74</c:f>
              <c:strCache>
                <c:ptCount val="1"/>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'Mzdy-ISCO'!$C$74:$R$74</c:f>
              <c:numCache>
                <c:formatCode>0</c:formatCode>
                <c:ptCount val="16"/>
                <c:pt idx="0">
                  <c:v>79.933035329041616</c:v>
                </c:pt>
                <c:pt idx="1">
                  <c:v>73.761039674186605</c:v>
                </c:pt>
                <c:pt idx="2">
                  <c:v>80.743911359141762</c:v>
                </c:pt>
                <c:pt idx="3">
                  <c:v>83.462778761865778</c:v>
                </c:pt>
                <c:pt idx="4">
                  <c:v>88.700956606127832</c:v>
                </c:pt>
                <c:pt idx="5">
                  <c:v>89.852323137986787</c:v>
                </c:pt>
                <c:pt idx="6">
                  <c:v>88.785335689045937</c:v>
                </c:pt>
                <c:pt idx="7">
                  <c:v>88.9065283048091</c:v>
                </c:pt>
                <c:pt idx="8">
                  <c:v>92.100799612309089</c:v>
                </c:pt>
                <c:pt idx="9">
                  <c:v>94.137748471867909</c:v>
                </c:pt>
                <c:pt idx="10">
                  <c:v>98.563495341686149</c:v>
                </c:pt>
                <c:pt idx="11">
                  <c:v>96.368411179890671</c:v>
                </c:pt>
                <c:pt idx="12">
                  <c:v>98.102072612246005</c:v>
                </c:pt>
                <c:pt idx="13">
                  <c:v>96.261173727166721</c:v>
                </c:pt>
                <c:pt idx="14">
                  <c:v>90.790368657325544</c:v>
                </c:pt>
                <c:pt idx="15">
                  <c:v>97.216634955150866</c:v>
                </c:pt>
              </c:numCache>
            </c:numRef>
          </c:val>
          <c:extLst xmlns:c16r2="http://schemas.microsoft.com/office/drawing/2015/06/chart">
            <c:ext xmlns:c16="http://schemas.microsoft.com/office/drawing/2014/chart" uri="{C3380CC4-5D6E-409C-BE32-E72D297353CC}">
              <c16:uniqueId val="{0000000C-769A-449F-B106-369F6C2D850C}"/>
            </c:ext>
          </c:extLst>
        </c:ser>
        <c:ser>
          <c:idx val="13"/>
          <c:order val="13"/>
          <c:tx>
            <c:strRef>
              <c:f>'Mzdy-ISCO'!$B$75</c:f>
              <c:strCache>
                <c:ptCount val="1"/>
                <c:pt idx="0">
                  <c:v>ostatní kraje</c:v>
                </c:pt>
              </c:strCache>
            </c:strRef>
          </c:tx>
          <c:spPr>
            <a:ln>
              <a:noFill/>
            </a:ln>
          </c:spPr>
          <c:marker>
            <c:symbol val="dash"/>
            <c:size val="7"/>
            <c:spPr>
              <a:solidFill>
                <a:sysClr val="windowText" lastClr="000000">
                  <a:lumMod val="95000"/>
                  <a:lumOff val="5000"/>
                </a:sysClr>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'Mzdy-ISCO'!$C$75:$R$75</c:f>
              <c:numCache>
                <c:formatCode>0</c:formatCode>
                <c:ptCount val="16"/>
                <c:pt idx="0">
                  <c:v>85.631935934830253</c:v>
                </c:pt>
                <c:pt idx="1">
                  <c:v>87.325920163516358</c:v>
                </c:pt>
                <c:pt idx="2">
                  <c:v>87.32695798228265</c:v>
                </c:pt>
                <c:pt idx="3">
                  <c:v>86.537675432620219</c:v>
                </c:pt>
                <c:pt idx="4">
                  <c:v>94.312352696519426</c:v>
                </c:pt>
                <c:pt idx="5">
                  <c:v>91.3349287882331</c:v>
                </c:pt>
                <c:pt idx="6">
                  <c:v>93.639575971731418</c:v>
                </c:pt>
                <c:pt idx="7">
                  <c:v>87.214435065437996</c:v>
                </c:pt>
                <c:pt idx="8">
                  <c:v>96.286648897503468</c:v>
                </c:pt>
                <c:pt idx="9">
                  <c:v>94.426529335322726</c:v>
                </c:pt>
                <c:pt idx="10">
                  <c:v>101.12442057919134</c:v>
                </c:pt>
                <c:pt idx="11">
                  <c:v>96.964922153442132</c:v>
                </c:pt>
                <c:pt idx="12">
                  <c:v>107.04404891176054</c:v>
                </c:pt>
                <c:pt idx="13">
                  <c:v>98.705790905557649</c:v>
                </c:pt>
                <c:pt idx="14">
                  <c:v>93.830771323628326</c:v>
                </c:pt>
                <c:pt idx="15">
                  <c:v>95.868442511550924</c:v>
                </c:pt>
              </c:numCache>
            </c:numRef>
          </c:val>
          <c:extLst xmlns:c16r2="http://schemas.microsoft.com/office/drawing/2015/06/chart">
            <c:ext xmlns:c16="http://schemas.microsoft.com/office/drawing/2014/chart" uri="{C3380CC4-5D6E-409C-BE32-E72D297353CC}">
              <c16:uniqueId val="{0000000D-769A-449F-B106-369F6C2D850C}"/>
            </c:ext>
          </c:extLst>
        </c:ser>
        <c:ser>
          <c:idx val="14"/>
          <c:order val="14"/>
          <c:tx>
            <c:strRef>
              <c:f>'Mzdy-ISCO'!$B$76</c:f>
              <c:strCache>
                <c:ptCount val="1"/>
                <c:pt idx="0">
                  <c:v>maximum (kraj)</c:v>
                </c:pt>
              </c:strCache>
            </c:strRef>
          </c:tx>
          <c:spPr>
            <a:ln>
              <a:noFill/>
              <a:prstDash val="sysDot"/>
            </a:ln>
          </c:spPr>
          <c:marker>
            <c:symbol val="circle"/>
            <c:size val="5"/>
            <c:spPr>
              <a:solidFill>
                <a:srgbClr val="FF0000"/>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'Mzdy-ISCO'!$C$76:$R$76</c:f>
              <c:numCache>
                <c:formatCode>0</c:formatCode>
                <c:ptCount val="16"/>
                <c:pt idx="0">
                  <c:v>141.44043078303801</c:v>
                </c:pt>
                <c:pt idx="1">
                  <c:v>129.16762000640645</c:v>
                </c:pt>
                <c:pt idx="2">
                  <c:v>123.75314929699563</c:v>
                </c:pt>
                <c:pt idx="3">
                  <c:v>119.92324113185265</c:v>
                </c:pt>
                <c:pt idx="4">
                  <c:v>119.23263551920145</c:v>
                </c:pt>
                <c:pt idx="5">
                  <c:v>114.56047163203316</c:v>
                </c:pt>
                <c:pt idx="6">
                  <c:v>115.01766784452296</c:v>
                </c:pt>
                <c:pt idx="7">
                  <c:v>113.5212576473328</c:v>
                </c:pt>
                <c:pt idx="8">
                  <c:v>110.70995880785026</c:v>
                </c:pt>
                <c:pt idx="9">
                  <c:v>113.12990325841075</c:v>
                </c:pt>
                <c:pt idx="10">
                  <c:v>111.11570058286244</c:v>
                </c:pt>
                <c:pt idx="11">
                  <c:v>112.26036390921114</c:v>
                </c:pt>
                <c:pt idx="12">
                  <c:v>107.38397620508898</c:v>
                </c:pt>
                <c:pt idx="13">
                  <c:v>107.34162456276798</c:v>
                </c:pt>
                <c:pt idx="14">
                  <c:v>109.40008162154822</c:v>
                </c:pt>
                <c:pt idx="15">
                  <c:v>111.30198423484643</c:v>
                </c:pt>
              </c:numCache>
            </c:numRef>
          </c:val>
          <c:extLst xmlns:c16r2="http://schemas.microsoft.com/office/drawing/2015/06/chart">
            <c:ext xmlns:c16="http://schemas.microsoft.com/office/drawing/2014/chart" uri="{C3380CC4-5D6E-409C-BE32-E72D297353CC}">
              <c16:uniqueId val="{0000000E-769A-449F-B106-369F6C2D850C}"/>
            </c:ext>
          </c:extLst>
        </c:ser>
        <c:ser>
          <c:idx val="15"/>
          <c:order val="15"/>
          <c:tx>
            <c:strRef>
              <c:f>'Mzdy-ISCO'!$B$77</c:f>
              <c:strCache>
                <c:ptCount val="1"/>
                <c:pt idx="0">
                  <c:v>minimum (kraj)</c:v>
                </c:pt>
              </c:strCache>
            </c:strRef>
          </c:tx>
          <c:spPr>
            <a:ln>
              <a:noFill/>
            </a:ln>
          </c:spPr>
          <c:marker>
            <c:symbol val="circle"/>
            <c:size val="5"/>
            <c:spPr>
              <a:solidFill>
                <a:srgbClr val="0071BC"/>
              </a:solidFill>
              <a:ln>
                <a:noFill/>
              </a:ln>
            </c:spPr>
          </c:marker>
          <c:cat>
            <c:multiLvlStrRef>
              <c:f>'Mzdy-ISCO'!$C$60:$R$61</c:f>
              <c:multiLvlStrCache>
                <c:ptCount val="16"/>
                <c:lvl>
                  <c:pt idx="0">
                    <c:v>2012</c:v>
                  </c:pt>
                  <c:pt idx="1">
                    <c:v>2017</c:v>
                  </c:pt>
                  <c:pt idx="2">
                    <c:v>2012</c:v>
                  </c:pt>
                  <c:pt idx="3">
                    <c:v>2017</c:v>
                  </c:pt>
                  <c:pt idx="4">
                    <c:v>2012</c:v>
                  </c:pt>
                  <c:pt idx="5">
                    <c:v>2017</c:v>
                  </c:pt>
                  <c:pt idx="6">
                    <c:v>2012</c:v>
                  </c:pt>
                  <c:pt idx="7">
                    <c:v>2017</c:v>
                  </c:pt>
                  <c:pt idx="8">
                    <c:v>2012</c:v>
                  </c:pt>
                  <c:pt idx="9">
                    <c:v>2017</c:v>
                  </c:pt>
                  <c:pt idx="10">
                    <c:v>2012</c:v>
                  </c:pt>
                  <c:pt idx="11">
                    <c:v>2017</c:v>
                  </c:pt>
                  <c:pt idx="12">
                    <c:v>2012</c:v>
                  </c:pt>
                  <c:pt idx="13">
                    <c:v>2017</c:v>
                  </c:pt>
                  <c:pt idx="14">
                    <c:v>2012</c:v>
                  </c:pt>
                  <c:pt idx="15">
                    <c:v>2017</c:v>
                  </c:pt>
                </c:lvl>
                <c:lvl>
                  <c:pt idx="0">
                    <c:v>Řídící 
pracovníci</c:v>
                  </c:pt>
                  <c:pt idx="2">
                    <c:v>Specialisté</c:v>
                  </c:pt>
                  <c:pt idx="4">
                    <c:v>Techničtí  
a odbor. pracovníci</c:v>
                  </c:pt>
                  <c:pt idx="6">
                    <c:v>Úředníci</c:v>
                  </c:pt>
                  <c:pt idx="8">
                    <c:v>Prac. ve 
službách 
a prodeji</c:v>
                  </c:pt>
                  <c:pt idx="10">
                    <c:v>Řemeslníci 
a opraváři</c:v>
                  </c:pt>
                  <c:pt idx="12">
                    <c:v>Obsluha strojů, zař., montéři</c:v>
                  </c:pt>
                  <c:pt idx="14">
                    <c:v>Pomocní 
a nekvalif. prac.</c:v>
                  </c:pt>
                </c:lvl>
              </c:multiLvlStrCache>
            </c:multiLvlStrRef>
          </c:cat>
          <c:val>
            <c:numRef>
              <c:f>'Mzdy-ISCO'!$C$77:$R$77</c:f>
              <c:numCache>
                <c:formatCode>0</c:formatCode>
                <c:ptCount val="16"/>
                <c:pt idx="0">
                  <c:v>76.260333787818666</c:v>
                </c:pt>
                <c:pt idx="1">
                  <c:v>72.505681904849055</c:v>
                </c:pt>
                <c:pt idx="2">
                  <c:v>80.743911359141762</c:v>
                </c:pt>
                <c:pt idx="3">
                  <c:v>81.630104010537309</c:v>
                </c:pt>
                <c:pt idx="4">
                  <c:v>87.484403160959374</c:v>
                </c:pt>
                <c:pt idx="5">
                  <c:v>86.595260331543315</c:v>
                </c:pt>
                <c:pt idx="6">
                  <c:v>88.175795053002616</c:v>
                </c:pt>
                <c:pt idx="7">
                  <c:v>87.214435065437996</c:v>
                </c:pt>
                <c:pt idx="8">
                  <c:v>92.100799612309089</c:v>
                </c:pt>
                <c:pt idx="9">
                  <c:v>93.348414111758188</c:v>
                </c:pt>
                <c:pt idx="10">
                  <c:v>94.951581073018502</c:v>
                </c:pt>
                <c:pt idx="11">
                  <c:v>91.735134121178021</c:v>
                </c:pt>
                <c:pt idx="12">
                  <c:v>90.274302440866819</c:v>
                </c:pt>
                <c:pt idx="13">
                  <c:v>93.264671589584154</c:v>
                </c:pt>
                <c:pt idx="14">
                  <c:v>90.790368657325544</c:v>
                </c:pt>
                <c:pt idx="15">
                  <c:v>94.623539005164389</c:v>
                </c:pt>
              </c:numCache>
            </c:numRef>
          </c:val>
          <c:extLst xmlns:c16r2="http://schemas.microsoft.com/office/drawing/2015/06/chart">
            <c:ext xmlns:c16="http://schemas.microsoft.com/office/drawing/2014/chart" uri="{C3380CC4-5D6E-409C-BE32-E72D297353CC}">
              <c16:uniqueId val="{0000000F-769A-449F-B106-369F6C2D850C}"/>
            </c:ext>
          </c:extLst>
        </c:ser>
        <c:marker val="1"/>
        <c:axId val="125012224"/>
        <c:axId val="125026688"/>
      </c:lineChart>
      <c:catAx>
        <c:axId val="125012224"/>
        <c:scaling>
          <c:orientation val="minMax"/>
        </c:scaling>
        <c:axPos val="b"/>
        <c:numFmt formatCode="General" sourceLinked="0"/>
        <c:tickLblPos val="nextTo"/>
        <c:txPr>
          <a:bodyPr/>
          <a:lstStyle/>
          <a:p>
            <a:pPr>
              <a:defRPr sz="800">
                <a:latin typeface="Arial" pitchFamily="34" charset="0"/>
                <a:cs typeface="Arial" pitchFamily="34" charset="0"/>
              </a:defRPr>
            </a:pPr>
            <a:endParaRPr lang="cs-CZ"/>
          </a:p>
        </c:txPr>
        <c:crossAx val="125026688"/>
        <c:crosses val="autoZero"/>
        <c:auto val="1"/>
        <c:lblAlgn val="ctr"/>
        <c:lblOffset val="0"/>
      </c:catAx>
      <c:valAx>
        <c:axId val="125026688"/>
        <c:scaling>
          <c:orientation val="minMax"/>
          <c:max val="142"/>
          <c:min val="70"/>
        </c:scaling>
        <c:axPos val="l"/>
        <c:majorGridlines>
          <c:spPr>
            <a:ln w="6350">
              <a:solidFill>
                <a:schemeClr val="bg1">
                  <a:lumMod val="65000"/>
                </a:schemeClr>
              </a:solidFill>
            </a:ln>
          </c:spPr>
        </c:majorGridlines>
        <c:numFmt formatCode="0" sourceLinked="1"/>
        <c:tickLblPos val="nextTo"/>
        <c:txPr>
          <a:bodyPr/>
          <a:lstStyle/>
          <a:p>
            <a:pPr>
              <a:defRPr sz="800">
                <a:latin typeface="Arial" pitchFamily="34" charset="0"/>
                <a:cs typeface="Arial" pitchFamily="34" charset="0"/>
              </a:defRPr>
            </a:pPr>
            <a:endParaRPr lang="cs-CZ"/>
          </a:p>
        </c:txPr>
        <c:crossAx val="125012224"/>
        <c:crosses val="autoZero"/>
        <c:crossBetween val="between"/>
        <c:majorUnit val="10"/>
      </c:valAx>
      <c:spPr>
        <a:ln>
          <a:solidFill>
            <a:sysClr val="windowText" lastClr="000000">
              <a:lumMod val="95000"/>
              <a:lumOff val="5000"/>
            </a:sysClr>
          </a:solidFill>
        </a:ln>
      </c:spPr>
    </c:plotArea>
    <c:legend>
      <c:legendPos val="r"/>
      <c:legendEntry>
        <c:idx val="2"/>
        <c:delete val="1"/>
      </c:legendEntry>
      <c:legendEntry>
        <c:idx val="3"/>
        <c:delete val="1"/>
      </c:legendEntry>
      <c:legendEntry>
        <c:idx val="5"/>
        <c:delete val="1"/>
      </c:legendEntry>
      <c:legendEntry>
        <c:idx val="6"/>
        <c:delete val="1"/>
      </c:legendEntry>
      <c:legendEntry>
        <c:idx val="7"/>
        <c:delete val="1"/>
      </c:legendEntry>
      <c:legendEntry>
        <c:idx val="8"/>
        <c:delete val="1"/>
      </c:legendEntry>
      <c:legendEntry>
        <c:idx val="9"/>
        <c:delete val="1"/>
      </c:legendEntry>
      <c:legendEntry>
        <c:idx val="10"/>
        <c:delete val="1"/>
      </c:legendEntry>
      <c:legendEntry>
        <c:idx val="11"/>
        <c:delete val="1"/>
      </c:legendEntry>
      <c:legendEntry>
        <c:idx val="12"/>
        <c:delete val="1"/>
      </c:legendEntry>
      <c:layout>
        <c:manualLayout>
          <c:xMode val="edge"/>
          <c:yMode val="edge"/>
          <c:x val="6.2166305371347874E-2"/>
          <c:y val="0.91845539551454425"/>
          <c:w val="0.92608605098451768"/>
          <c:h val="6.5886960935409078E-2"/>
        </c:manualLayout>
      </c:layout>
      <c:spPr>
        <a:ln>
          <a:solidFill>
            <a:sysClr val="windowText" lastClr="000000">
              <a:lumMod val="95000"/>
              <a:lumOff val="5000"/>
            </a:sysClr>
          </a:solidFill>
        </a:ln>
      </c:spPr>
      <c:txPr>
        <a:bodyPr/>
        <a:lstStyle/>
        <a:p>
          <a:pPr>
            <a:defRPr sz="800">
              <a:latin typeface="Arial" pitchFamily="34" charset="0"/>
              <a:cs typeface="Arial" pitchFamily="34" charset="0"/>
            </a:defRPr>
          </a:pPr>
          <a:endParaRPr lang="cs-CZ"/>
        </a:p>
      </c:txPr>
    </c:legend>
    <c:plotVisOnly val="1"/>
    <c:dispBlanksAs val="gap"/>
  </c:chart>
  <c:spPr>
    <a:ln>
      <a:noFill/>
    </a:ln>
  </c:spPr>
  <c:txPr>
    <a:bodyPr/>
    <a:lstStyle/>
    <a:p>
      <a:pPr>
        <a:defRPr sz="1400"/>
      </a:pPr>
      <a:endParaRPr lang="cs-CZ"/>
    </a:p>
  </c:txPr>
  <c:externalData r:id="rId1"/>
  <c:userShapes r:id="rId2"/>
</c:chartSpace>
</file>

<file path=word/charts/chart22.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534E-2"/>
          <c:y val="1.9513175616353004E-2"/>
          <c:w val="0.92433548575002356"/>
          <c:h val="0.80087357874591858"/>
        </c:manualLayout>
      </c:layout>
      <c:barChart>
        <c:barDir val="col"/>
        <c:grouping val="clustered"/>
        <c:ser>
          <c:idx val="0"/>
          <c:order val="0"/>
          <c:tx>
            <c:strRef>
              <c:f>'Sektorové účty'!$B$30</c:f>
              <c:strCache>
                <c:ptCount val="1"/>
                <c:pt idx="0">
                  <c:v>Saldo hospodaření (v mld. korun, pr.osa)</c:v>
                </c:pt>
              </c:strCache>
            </c:strRef>
          </c:tx>
          <c:spPr>
            <a:solidFill>
              <a:srgbClr val="C5C5C5"/>
            </a:solidFill>
            <a:ln w="12700">
              <a:noFill/>
              <a:prstDash val="solid"/>
            </a:ln>
          </c:spPr>
          <c:cat>
            <c:numRef>
              <c:f>'Sektorové účty'!$C$29:$O$29</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'Sektorové účty'!$C$30:$O$30</c:f>
              <c:numCache>
                <c:formatCode>0.0</c:formatCode>
                <c:ptCount val="13"/>
                <c:pt idx="0">
                  <c:v>-70.325999999999979</c:v>
                </c:pt>
                <c:pt idx="1">
                  <c:v>-124.30200000000001</c:v>
                </c:pt>
                <c:pt idx="2">
                  <c:v>-209.72499999999999</c:v>
                </c:pt>
                <c:pt idx="3">
                  <c:v>-137.05000000000001</c:v>
                </c:pt>
                <c:pt idx="4">
                  <c:v>9.7479999999999993</c:v>
                </c:pt>
                <c:pt idx="5">
                  <c:v>-61.682000000000002</c:v>
                </c:pt>
                <c:pt idx="6">
                  <c:v>-104.57</c:v>
                </c:pt>
                <c:pt idx="7">
                  <c:v>-49.120000000000012</c:v>
                </c:pt>
                <c:pt idx="8">
                  <c:v>-14.412000000000004</c:v>
                </c:pt>
                <c:pt idx="9">
                  <c:v>-47.303999999999995</c:v>
                </c:pt>
                <c:pt idx="10">
                  <c:v>-47.641000000000005</c:v>
                </c:pt>
                <c:pt idx="11">
                  <c:v>-120.47799999999999</c:v>
                </c:pt>
                <c:pt idx="12">
                  <c:v>-93.483000000000004</c:v>
                </c:pt>
              </c:numCache>
            </c:numRef>
          </c:val>
          <c:extLst xmlns:c16r2="http://schemas.microsoft.com/office/drawing/2015/06/chart">
            <c:ext xmlns:c16="http://schemas.microsoft.com/office/drawing/2014/chart" uri="{C3380CC4-5D6E-409C-BE32-E72D297353CC}">
              <c16:uniqueId val="{00000000-ED62-4B45-96BA-0754909D93D0}"/>
            </c:ext>
          </c:extLst>
        </c:ser>
        <c:gapWidth val="75"/>
        <c:axId val="125202816"/>
        <c:axId val="125287040"/>
      </c:barChart>
      <c:lineChart>
        <c:grouping val="standard"/>
        <c:ser>
          <c:idx val="3"/>
          <c:order val="1"/>
          <c:tx>
            <c:strRef>
              <c:f>'Sektorové účty'!$B$31</c:f>
              <c:strCache>
                <c:ptCount val="1"/>
                <c:pt idx="0">
                  <c:v>Míra zisku (v %)</c:v>
                </c:pt>
              </c:strCache>
            </c:strRef>
          </c:tx>
          <c:spPr>
            <a:ln w="19050">
              <a:solidFill>
                <a:srgbClr val="0071BC"/>
              </a:solidFill>
              <a:prstDash val="solid"/>
            </a:ln>
          </c:spPr>
          <c:marker>
            <c:symbol val="none"/>
          </c:marker>
          <c:cat>
            <c:numRef>
              <c:f>'Sektorové účty'!$C$29:$O$29</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'Sektorové účty'!$C$31:$O$31</c:f>
              <c:numCache>
                <c:formatCode>0.0</c:formatCode>
                <c:ptCount val="13"/>
                <c:pt idx="0">
                  <c:v>51.091354181715992</c:v>
                </c:pt>
                <c:pt idx="1">
                  <c:v>52.01162610423679</c:v>
                </c:pt>
                <c:pt idx="2">
                  <c:v>52.050782863143141</c:v>
                </c:pt>
                <c:pt idx="3">
                  <c:v>50.40145167229479</c:v>
                </c:pt>
                <c:pt idx="4">
                  <c:v>50.008232145538663</c:v>
                </c:pt>
                <c:pt idx="5">
                  <c:v>49.190628521923138</c:v>
                </c:pt>
                <c:pt idx="6">
                  <c:v>48.912290245307325</c:v>
                </c:pt>
                <c:pt idx="7">
                  <c:v>48.467856872370753</c:v>
                </c:pt>
                <c:pt idx="8">
                  <c:v>48.541000452922724</c:v>
                </c:pt>
                <c:pt idx="9">
                  <c:v>51.210706156991051</c:v>
                </c:pt>
                <c:pt idx="10">
                  <c:v>51.632696155739993</c:v>
                </c:pt>
                <c:pt idx="11">
                  <c:v>50.535833703082901</c:v>
                </c:pt>
                <c:pt idx="12">
                  <c:v>49.293417299844428</c:v>
                </c:pt>
              </c:numCache>
            </c:numRef>
          </c:val>
          <c:extLst xmlns:c16r2="http://schemas.microsoft.com/office/drawing/2015/06/chart">
            <c:ext xmlns:c16="http://schemas.microsoft.com/office/drawing/2014/chart" uri="{C3380CC4-5D6E-409C-BE32-E72D297353CC}">
              <c16:uniqueId val="{00000001-ED62-4B45-96BA-0754909D93D0}"/>
            </c:ext>
          </c:extLst>
        </c:ser>
        <c:ser>
          <c:idx val="1"/>
          <c:order val="2"/>
          <c:tx>
            <c:strRef>
              <c:f>'Sektorové účty'!$B$32</c:f>
              <c:strCache>
                <c:ptCount val="1"/>
                <c:pt idx="0">
                  <c:v>Míra investic (v %)</c:v>
                </c:pt>
              </c:strCache>
            </c:strRef>
          </c:tx>
          <c:spPr>
            <a:ln w="19050">
              <a:solidFill>
                <a:srgbClr val="7DBB2D"/>
              </a:solidFill>
            </a:ln>
          </c:spPr>
          <c:marker>
            <c:symbol val="none"/>
          </c:marker>
          <c:cat>
            <c:numRef>
              <c:f>'Sektorové účty'!$C$29:$O$29</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'Sektorové účty'!$C$32:$O$32</c:f>
              <c:numCache>
                <c:formatCode>0.0</c:formatCode>
                <c:ptCount val="13"/>
                <c:pt idx="0">
                  <c:v>32.507912972555467</c:v>
                </c:pt>
                <c:pt idx="1">
                  <c:v>30.86242077915556</c:v>
                </c:pt>
                <c:pt idx="2">
                  <c:v>33.412433778155361</c:v>
                </c:pt>
                <c:pt idx="3">
                  <c:v>31.846623673494289</c:v>
                </c:pt>
                <c:pt idx="4">
                  <c:v>28.76789646713009</c:v>
                </c:pt>
                <c:pt idx="5">
                  <c:v>29.071391059011141</c:v>
                </c:pt>
                <c:pt idx="6">
                  <c:v>30.543179540687522</c:v>
                </c:pt>
                <c:pt idx="7">
                  <c:v>30.84959940145459</c:v>
                </c:pt>
                <c:pt idx="8">
                  <c:v>30.493649275437399</c:v>
                </c:pt>
                <c:pt idx="9">
                  <c:v>28.605742566164725</c:v>
                </c:pt>
                <c:pt idx="10">
                  <c:v>28.970412227825392</c:v>
                </c:pt>
                <c:pt idx="11">
                  <c:v>28.914541528659125</c:v>
                </c:pt>
                <c:pt idx="12">
                  <c:v>28.093716884990705</c:v>
                </c:pt>
              </c:numCache>
            </c:numRef>
          </c:val>
          <c:extLst xmlns:c16r2="http://schemas.microsoft.com/office/drawing/2015/06/chart">
            <c:ext xmlns:c16="http://schemas.microsoft.com/office/drawing/2014/chart" uri="{C3380CC4-5D6E-409C-BE32-E72D297353CC}">
              <c16:uniqueId val="{00000002-ED62-4B45-96BA-0754909D93D0}"/>
            </c:ext>
          </c:extLst>
        </c:ser>
        <c:ser>
          <c:idx val="7"/>
          <c:order val="3"/>
          <c:tx>
            <c:strRef>
              <c:f>'Sektorové účty'!$B$33</c:f>
              <c:strCache>
                <c:ptCount val="1"/>
                <c:pt idx="0">
                  <c:v>Míra samofinancování (v %, užší pojetí)</c:v>
                </c:pt>
              </c:strCache>
            </c:strRef>
          </c:tx>
          <c:spPr>
            <a:ln w="19050">
              <a:solidFill>
                <a:srgbClr val="F8A124"/>
              </a:solidFill>
              <a:prstDash val="dash"/>
            </a:ln>
          </c:spPr>
          <c:marker>
            <c:symbol val="none"/>
          </c:marker>
          <c:cat>
            <c:numRef>
              <c:f>'Sektorové účty'!$C$29:$O$29</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'Sektorové účty'!$C$33:$O$33</c:f>
              <c:numCache>
                <c:formatCode>0.0</c:formatCode>
                <c:ptCount val="13"/>
                <c:pt idx="0">
                  <c:v>86.433463415325718</c:v>
                </c:pt>
                <c:pt idx="1">
                  <c:v>84.066214725960819</c:v>
                </c:pt>
                <c:pt idx="2">
                  <c:v>81.236130749162427</c:v>
                </c:pt>
                <c:pt idx="3">
                  <c:v>85.959915358334754</c:v>
                </c:pt>
                <c:pt idx="4">
                  <c:v>90.257222746238227</c:v>
                </c:pt>
                <c:pt idx="5">
                  <c:v>86.015800256798784</c:v>
                </c:pt>
                <c:pt idx="6">
                  <c:v>82.234399670540327</c:v>
                </c:pt>
                <c:pt idx="7">
                  <c:v>88.267563763402819</c:v>
                </c:pt>
                <c:pt idx="8">
                  <c:v>84.463862891537062</c:v>
                </c:pt>
                <c:pt idx="9">
                  <c:v>90.976599627973627</c:v>
                </c:pt>
                <c:pt idx="10">
                  <c:v>93.272269544939846</c:v>
                </c:pt>
                <c:pt idx="11">
                  <c:v>88.774005253428584</c:v>
                </c:pt>
                <c:pt idx="12">
                  <c:v>92.482688917145055</c:v>
                </c:pt>
              </c:numCache>
            </c:numRef>
          </c:val>
          <c:extLst xmlns:c16r2="http://schemas.microsoft.com/office/drawing/2015/06/chart">
            <c:ext xmlns:c16="http://schemas.microsoft.com/office/drawing/2014/chart" uri="{C3380CC4-5D6E-409C-BE32-E72D297353CC}">
              <c16:uniqueId val="{00000003-ED62-4B45-96BA-0754909D93D0}"/>
            </c:ext>
          </c:extLst>
        </c:ser>
        <c:ser>
          <c:idx val="2"/>
          <c:order val="4"/>
          <c:tx>
            <c:strRef>
              <c:f>'Sektorové účty'!$B$34</c:f>
              <c:strCache>
                <c:ptCount val="1"/>
                <c:pt idx="0">
                  <c:v>Míra samofinancování (v %, širší pojetí)</c:v>
                </c:pt>
              </c:strCache>
            </c:strRef>
          </c:tx>
          <c:spPr>
            <a:ln w="19050">
              <a:solidFill>
                <a:srgbClr val="F8A124"/>
              </a:solidFill>
              <a:prstDash val="solid"/>
            </a:ln>
          </c:spPr>
          <c:marker>
            <c:symbol val="none"/>
          </c:marker>
          <c:cat>
            <c:numRef>
              <c:f>'Sektorové účty'!$C$29:$O$29</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'Sektorové účty'!$C$34:$O$34</c:f>
              <c:numCache>
                <c:formatCode>0.0</c:formatCode>
                <c:ptCount val="13"/>
                <c:pt idx="0">
                  <c:v>88.125963459048023</c:v>
                </c:pt>
                <c:pt idx="1">
                  <c:v>80.963334716774185</c:v>
                </c:pt>
                <c:pt idx="2">
                  <c:v>74.051289919069973</c:v>
                </c:pt>
                <c:pt idx="3">
                  <c:v>82.339327180555088</c:v>
                </c:pt>
                <c:pt idx="4">
                  <c:v>101.74265298716297</c:v>
                </c:pt>
                <c:pt idx="5">
                  <c:v>89.882590681393964</c:v>
                </c:pt>
                <c:pt idx="6">
                  <c:v>84.535343033805688</c:v>
                </c:pt>
                <c:pt idx="7">
                  <c:v>92.803710659943093</c:v>
                </c:pt>
                <c:pt idx="8">
                  <c:v>97.761750344776175</c:v>
                </c:pt>
                <c:pt idx="9">
                  <c:v>93.157972385422994</c:v>
                </c:pt>
                <c:pt idx="10">
                  <c:v>93.879672047748372</c:v>
                </c:pt>
                <c:pt idx="11">
                  <c:v>84.956816306042953</c:v>
                </c:pt>
                <c:pt idx="12">
                  <c:v>88.928826052662799</c:v>
                </c:pt>
              </c:numCache>
            </c:numRef>
          </c:val>
          <c:extLst xmlns:c16r2="http://schemas.microsoft.com/office/drawing/2015/06/chart">
            <c:ext xmlns:c16="http://schemas.microsoft.com/office/drawing/2014/chart" uri="{C3380CC4-5D6E-409C-BE32-E72D297353CC}">
              <c16:uniqueId val="{00000004-ED62-4B45-96BA-0754909D93D0}"/>
            </c:ext>
          </c:extLst>
        </c:ser>
        <c:marker val="1"/>
        <c:axId val="125044608"/>
        <c:axId val="125285504"/>
      </c:lineChart>
      <c:catAx>
        <c:axId val="125044608"/>
        <c:scaling>
          <c:orientation val="minMax"/>
        </c:scaling>
        <c:axPos val="b"/>
        <c:numFmt formatCode="General" sourceLinked="1"/>
        <c:tickLblPos val="low"/>
        <c:spPr>
          <a:ln w="9525">
            <a:solidFill>
              <a:schemeClr val="tx1"/>
            </a:solidFill>
            <a:prstDash val="solid"/>
          </a:ln>
        </c:spPr>
        <c:txPr>
          <a:bodyPr rot="0" vert="horz"/>
          <a:lstStyle/>
          <a:p>
            <a:pPr>
              <a:defRPr/>
            </a:pPr>
            <a:endParaRPr lang="cs-CZ"/>
          </a:p>
        </c:txPr>
        <c:crossAx val="125285504"/>
        <c:crossesAt val="110"/>
        <c:lblAlgn val="ctr"/>
        <c:lblOffset val="0"/>
        <c:tickLblSkip val="1"/>
        <c:tickMarkSkip val="4"/>
      </c:catAx>
      <c:valAx>
        <c:axId val="125285504"/>
        <c:scaling>
          <c:orientation val="minMax"/>
          <c:max val="120"/>
          <c:min val="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25044608"/>
        <c:crosses val="autoZero"/>
        <c:crossBetween val="between"/>
        <c:majorUnit val="10"/>
      </c:valAx>
      <c:valAx>
        <c:axId val="125287040"/>
        <c:scaling>
          <c:orientation val="minMax"/>
          <c:max val="20"/>
          <c:min val="-220"/>
        </c:scaling>
        <c:axPos val="r"/>
        <c:numFmt formatCode="0" sourceLinked="0"/>
        <c:tickLblPos val="nextTo"/>
        <c:crossAx val="125202816"/>
        <c:crosses val="max"/>
        <c:crossBetween val="between"/>
        <c:majorUnit val="20"/>
      </c:valAx>
      <c:catAx>
        <c:axId val="125202816"/>
        <c:scaling>
          <c:orientation val="minMax"/>
        </c:scaling>
        <c:delete val="1"/>
        <c:axPos val="b"/>
        <c:numFmt formatCode="General" sourceLinked="1"/>
        <c:tickLblPos val="none"/>
        <c:crossAx val="125287040"/>
        <c:crosses val="autoZero"/>
        <c:auto val="1"/>
        <c:lblAlgn val="ctr"/>
        <c:lblOffset val="100"/>
      </c:catAx>
      <c:spPr>
        <a:noFill/>
        <a:ln w="9525">
          <a:solidFill>
            <a:schemeClr val="tx1"/>
          </a:solidFill>
        </a:ln>
      </c:spPr>
    </c:plotArea>
    <c:legend>
      <c:legendPos val="b"/>
      <c:layout>
        <c:manualLayout>
          <c:xMode val="edge"/>
          <c:yMode val="edge"/>
          <c:x val="3.3663135107558401E-3"/>
          <c:y val="0.88286164584036597"/>
          <c:w val="0.98108250301190203"/>
          <c:h val="0.11356411122368647"/>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493E-2"/>
          <c:y val="1.9513175616353011E-2"/>
          <c:w val="0.92433548575002356"/>
          <c:h val="0.65432961837218151"/>
        </c:manualLayout>
      </c:layout>
      <c:lineChart>
        <c:grouping val="standard"/>
        <c:ser>
          <c:idx val="0"/>
          <c:order val="2"/>
          <c:tx>
            <c:strRef>
              <c:f>'2-Sektor účty-Náhrady zam'!$B$44</c:f>
              <c:strCache>
                <c:ptCount val="1"/>
                <c:pt idx="0">
                  <c:v>Podíl vyplacených náhrad zaměstnancům na HPH (v %)</c:v>
                </c:pt>
              </c:strCache>
            </c:strRef>
          </c:tx>
          <c:spPr>
            <a:ln>
              <a:noFill/>
            </a:ln>
          </c:spPr>
          <c:marker>
            <c:symbol val="none"/>
          </c:marker>
          <c:cat>
            <c:numRef>
              <c:f>'2-Sektor účty-Náhrady zam'!$C$41:$T$41</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'2-Sektor účty-Náhrady zam'!$C$44:$T$44</c:f>
              <c:numCache>
                <c:formatCode>0.0</c:formatCode>
                <c:ptCount val="18"/>
                <c:pt idx="0">
                  <c:v>-999</c:v>
                </c:pt>
                <c:pt idx="1">
                  <c:v>-999</c:v>
                </c:pt>
                <c:pt idx="2">
                  <c:v>-999</c:v>
                </c:pt>
                <c:pt idx="3">
                  <c:v>-999</c:v>
                </c:pt>
                <c:pt idx="4">
                  <c:v>-999</c:v>
                </c:pt>
                <c:pt idx="5">
                  <c:v>-999</c:v>
                </c:pt>
                <c:pt idx="6">
                  <c:v>-999</c:v>
                </c:pt>
                <c:pt idx="7">
                  <c:v>-999</c:v>
                </c:pt>
                <c:pt idx="8">
                  <c:v>-999</c:v>
                </c:pt>
                <c:pt idx="9">
                  <c:v>-999</c:v>
                </c:pt>
                <c:pt idx="10">
                  <c:v>-999</c:v>
                </c:pt>
                <c:pt idx="11">
                  <c:v>-999</c:v>
                </c:pt>
                <c:pt idx="12">
                  <c:v>-999</c:v>
                </c:pt>
                <c:pt idx="13">
                  <c:v>-999</c:v>
                </c:pt>
                <c:pt idx="14">
                  <c:v>-999</c:v>
                </c:pt>
                <c:pt idx="15">
                  <c:v>-999</c:v>
                </c:pt>
                <c:pt idx="16">
                  <c:v>-999</c:v>
                </c:pt>
                <c:pt idx="17">
                  <c:v>-999</c:v>
                </c:pt>
              </c:numCache>
            </c:numRef>
          </c:val>
          <c:extLst xmlns:c16r2="http://schemas.microsoft.com/office/drawing/2015/06/chart">
            <c:ext xmlns:c16="http://schemas.microsoft.com/office/drawing/2014/chart" uri="{C3380CC4-5D6E-409C-BE32-E72D297353CC}">
              <c16:uniqueId val="{00000000-3CFA-4F34-87C0-027F79ED8099}"/>
            </c:ext>
          </c:extLst>
        </c:ser>
        <c:ser>
          <c:idx val="2"/>
          <c:order val="1"/>
          <c:tx>
            <c:strRef>
              <c:f>'2-Sektor účty-Náhrady zam'!$B$43</c:f>
              <c:strCache>
                <c:ptCount val="1"/>
                <c:pt idx="0">
                  <c:v>  veřejné nefinanční podniky</c:v>
                </c:pt>
              </c:strCache>
            </c:strRef>
          </c:tx>
          <c:spPr>
            <a:ln w="19050">
              <a:solidFill>
                <a:srgbClr val="80BB2D"/>
              </a:solidFill>
              <a:prstDash val="sysDash"/>
            </a:ln>
          </c:spPr>
          <c:marker>
            <c:symbol val="none"/>
          </c:marker>
          <c:cat>
            <c:numRef>
              <c:f>'2-Sektor účty-Náhrady zam'!$C$41:$T$41</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'2-Sektor účty-Náhrady zam'!$C$43:$T$43</c:f>
              <c:numCache>
                <c:formatCode>0.0</c:formatCode>
                <c:ptCount val="18"/>
                <c:pt idx="0">
                  <c:v>45.774374341046546</c:v>
                </c:pt>
                <c:pt idx="1">
                  <c:v>51.663152267530215</c:v>
                </c:pt>
                <c:pt idx="2">
                  <c:v>50.791122754268201</c:v>
                </c:pt>
                <c:pt idx="3">
                  <c:v>51.552749805223421</c:v>
                </c:pt>
                <c:pt idx="4">
                  <c:v>53.097787050654944</c:v>
                </c:pt>
                <c:pt idx="5">
                  <c:v>51.508600176762315</c:v>
                </c:pt>
                <c:pt idx="6">
                  <c:v>48.413486996721645</c:v>
                </c:pt>
                <c:pt idx="7">
                  <c:v>46.793020589921113</c:v>
                </c:pt>
                <c:pt idx="8">
                  <c:v>43.396245366976011</c:v>
                </c:pt>
                <c:pt idx="9">
                  <c:v>39.307695304131038</c:v>
                </c:pt>
                <c:pt idx="10">
                  <c:v>42.631077216396328</c:v>
                </c:pt>
                <c:pt idx="11">
                  <c:v>44.561445171875931</c:v>
                </c:pt>
                <c:pt idx="12">
                  <c:v>42.486651835372385</c:v>
                </c:pt>
                <c:pt idx="13">
                  <c:v>44.56186578460504</c:v>
                </c:pt>
                <c:pt idx="14">
                  <c:v>41.623538960226021</c:v>
                </c:pt>
                <c:pt idx="15">
                  <c:v>41.711571833044104</c:v>
                </c:pt>
                <c:pt idx="16">
                  <c:v>44.089147790809555</c:v>
                </c:pt>
              </c:numCache>
            </c:numRef>
          </c:val>
          <c:extLst xmlns:c16r2="http://schemas.microsoft.com/office/drawing/2015/06/chart">
            <c:ext xmlns:c16="http://schemas.microsoft.com/office/drawing/2014/chart" uri="{C3380CC4-5D6E-409C-BE32-E72D297353CC}">
              <c16:uniqueId val="{00000001-3CFA-4F34-87C0-027F79ED8099}"/>
            </c:ext>
          </c:extLst>
        </c:ser>
        <c:ser>
          <c:idx val="5"/>
          <c:order val="3"/>
          <c:tx>
            <c:strRef>
              <c:f>'2-Sektor účty-Náhrady zam'!$B$45</c:f>
              <c:strCache>
                <c:ptCount val="1"/>
                <c:pt idx="0">
                  <c:v>  národní soukromé nefinanční podniky</c:v>
                </c:pt>
              </c:strCache>
            </c:strRef>
          </c:tx>
          <c:spPr>
            <a:ln w="19050">
              <a:solidFill>
                <a:srgbClr val="0071BC"/>
              </a:solidFill>
              <a:prstDash val="sysDash"/>
            </a:ln>
          </c:spPr>
          <c:marker>
            <c:symbol val="none"/>
          </c:marker>
          <c:cat>
            <c:numRef>
              <c:f>'2-Sektor účty-Náhrady zam'!$C$41:$T$41</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'2-Sektor účty-Náhrady zam'!$C$45:$T$45</c:f>
              <c:numCache>
                <c:formatCode>0.0</c:formatCode>
                <c:ptCount val="18"/>
                <c:pt idx="0">
                  <c:v>54.560810118279136</c:v>
                </c:pt>
                <c:pt idx="1">
                  <c:v>52.486272624275266</c:v>
                </c:pt>
                <c:pt idx="2">
                  <c:v>53.401666003241971</c:v>
                </c:pt>
                <c:pt idx="3">
                  <c:v>55.047094700156194</c:v>
                </c:pt>
                <c:pt idx="4">
                  <c:v>55.60871009858127</c:v>
                </c:pt>
                <c:pt idx="5">
                  <c:v>54.163956155889679</c:v>
                </c:pt>
                <c:pt idx="6">
                  <c:v>56.412266045360269</c:v>
                </c:pt>
                <c:pt idx="7">
                  <c:v>56.278575970855883</c:v>
                </c:pt>
                <c:pt idx="8">
                  <c:v>58.09473369246215</c:v>
                </c:pt>
                <c:pt idx="9">
                  <c:v>62.941206911283608</c:v>
                </c:pt>
                <c:pt idx="10">
                  <c:v>61.07234562058116</c:v>
                </c:pt>
                <c:pt idx="11">
                  <c:v>58.547345665849775</c:v>
                </c:pt>
                <c:pt idx="12">
                  <c:v>59.642538986904107</c:v>
                </c:pt>
                <c:pt idx="13">
                  <c:v>58.309092519642562</c:v>
                </c:pt>
                <c:pt idx="14">
                  <c:v>56.145230427730198</c:v>
                </c:pt>
                <c:pt idx="15">
                  <c:v>54.654308062585699</c:v>
                </c:pt>
                <c:pt idx="16">
                  <c:v>55.483596763190128</c:v>
                </c:pt>
              </c:numCache>
            </c:numRef>
          </c:val>
          <c:extLst xmlns:c16r2="http://schemas.microsoft.com/office/drawing/2015/06/chart">
            <c:ext xmlns:c16="http://schemas.microsoft.com/office/drawing/2014/chart" uri="{C3380CC4-5D6E-409C-BE32-E72D297353CC}">
              <c16:uniqueId val="{00000002-3CFA-4F34-87C0-027F79ED8099}"/>
            </c:ext>
          </c:extLst>
        </c:ser>
        <c:ser>
          <c:idx val="4"/>
          <c:order val="4"/>
          <c:tx>
            <c:strRef>
              <c:f>'2-Sektor účty-Náhrady zam'!$B$46</c:f>
              <c:strCache>
                <c:ptCount val="1"/>
                <c:pt idx="0">
                  <c:v>  nefinanční podniky pod zahraniční kontrolou</c:v>
                </c:pt>
              </c:strCache>
            </c:strRef>
          </c:tx>
          <c:spPr>
            <a:ln w="19050">
              <a:solidFill>
                <a:srgbClr val="BD1B21"/>
              </a:solidFill>
              <a:prstDash val="sysDash"/>
            </a:ln>
          </c:spPr>
          <c:marker>
            <c:symbol val="none"/>
          </c:marker>
          <c:cat>
            <c:numRef>
              <c:f>'2-Sektor účty-Náhrady zam'!$C$41:$T$41</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'2-Sektor účty-Náhrady zam'!$C$46:$T$46</c:f>
              <c:numCache>
                <c:formatCode>0.0</c:formatCode>
                <c:ptCount val="18"/>
                <c:pt idx="0">
                  <c:v>41.609837764340249</c:v>
                </c:pt>
                <c:pt idx="1">
                  <c:v>41.347744015501995</c:v>
                </c:pt>
                <c:pt idx="2">
                  <c:v>42.955864180948794</c:v>
                </c:pt>
                <c:pt idx="3">
                  <c:v>42.712768381282196</c:v>
                </c:pt>
                <c:pt idx="4">
                  <c:v>43.138371022701463</c:v>
                </c:pt>
                <c:pt idx="5">
                  <c:v>44.869386514609893</c:v>
                </c:pt>
                <c:pt idx="6">
                  <c:v>42.645488388426969</c:v>
                </c:pt>
                <c:pt idx="7">
                  <c:v>42.985795181594057</c:v>
                </c:pt>
                <c:pt idx="8">
                  <c:v>45.671216976704152</c:v>
                </c:pt>
                <c:pt idx="9">
                  <c:v>45.093472845234963</c:v>
                </c:pt>
                <c:pt idx="10">
                  <c:v>45.928102056443336</c:v>
                </c:pt>
                <c:pt idx="11">
                  <c:v>47.72693087742465</c:v>
                </c:pt>
                <c:pt idx="12">
                  <c:v>48.006906638101171</c:v>
                </c:pt>
                <c:pt idx="13">
                  <c:v>48.913749227152294</c:v>
                </c:pt>
                <c:pt idx="14">
                  <c:v>45.825233060978213</c:v>
                </c:pt>
                <c:pt idx="15">
                  <c:v>45.794856567451205</c:v>
                </c:pt>
                <c:pt idx="16">
                  <c:v>46.921428599409992</c:v>
                </c:pt>
              </c:numCache>
            </c:numRef>
          </c:val>
          <c:extLst xmlns:c16r2="http://schemas.microsoft.com/office/drawing/2015/06/chart">
            <c:ext xmlns:c16="http://schemas.microsoft.com/office/drawing/2014/chart" uri="{C3380CC4-5D6E-409C-BE32-E72D297353CC}">
              <c16:uniqueId val="{00000003-3CFA-4F34-87C0-027F79ED8099}"/>
            </c:ext>
          </c:extLst>
        </c:ser>
        <c:ser>
          <c:idx val="3"/>
          <c:order val="5"/>
          <c:tx>
            <c:strRef>
              <c:f>'2-Sektor účty-Náhrady zam'!$B$47</c:f>
              <c:strCache>
                <c:ptCount val="1"/>
                <c:pt idx="0">
                  <c:v>Nefinanční podniky celkem</c:v>
                </c:pt>
              </c:strCache>
            </c:strRef>
          </c:tx>
          <c:spPr>
            <a:ln w="19050">
              <a:noFill/>
              <a:prstDash val="solid"/>
            </a:ln>
          </c:spPr>
          <c:marker>
            <c:symbol val="none"/>
          </c:marker>
          <c:cat>
            <c:numRef>
              <c:f>'2-Sektor účty-Náhrady zam'!$C$41:$T$41</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'2-Sektor účty-Náhrady zam'!$C$47:$T$47</c:f>
              <c:numCache>
                <c:formatCode>0.0</c:formatCode>
                <c:ptCount val="18"/>
                <c:pt idx="0">
                  <c:v>-999</c:v>
                </c:pt>
                <c:pt idx="1">
                  <c:v>-999</c:v>
                </c:pt>
                <c:pt idx="2">
                  <c:v>-999</c:v>
                </c:pt>
                <c:pt idx="3">
                  <c:v>-999</c:v>
                </c:pt>
                <c:pt idx="4">
                  <c:v>-999</c:v>
                </c:pt>
                <c:pt idx="5">
                  <c:v>-999</c:v>
                </c:pt>
                <c:pt idx="6">
                  <c:v>-999</c:v>
                </c:pt>
                <c:pt idx="7">
                  <c:v>-999</c:v>
                </c:pt>
                <c:pt idx="8">
                  <c:v>-999</c:v>
                </c:pt>
                <c:pt idx="9">
                  <c:v>-999</c:v>
                </c:pt>
                <c:pt idx="10">
                  <c:v>-999</c:v>
                </c:pt>
                <c:pt idx="11">
                  <c:v>-999</c:v>
                </c:pt>
                <c:pt idx="12">
                  <c:v>-999</c:v>
                </c:pt>
                <c:pt idx="13">
                  <c:v>-999</c:v>
                </c:pt>
                <c:pt idx="14">
                  <c:v>-999</c:v>
                </c:pt>
                <c:pt idx="15">
                  <c:v>-999</c:v>
                </c:pt>
                <c:pt idx="16">
                  <c:v>-999</c:v>
                </c:pt>
                <c:pt idx="17">
                  <c:v>-999</c:v>
                </c:pt>
              </c:numCache>
            </c:numRef>
          </c:val>
          <c:extLst xmlns:c16r2="http://schemas.microsoft.com/office/drawing/2015/06/chart">
            <c:ext xmlns:c16="http://schemas.microsoft.com/office/drawing/2014/chart" uri="{C3380CC4-5D6E-409C-BE32-E72D297353CC}">
              <c16:uniqueId val="{00000004-3CFA-4F34-87C0-027F79ED8099}"/>
            </c:ext>
          </c:extLst>
        </c:ser>
        <c:ser>
          <c:idx val="1"/>
          <c:order val="0"/>
          <c:tx>
            <c:strRef>
              <c:f>'2-Sektor účty-Náhrady zam'!$B$42</c:f>
              <c:strCache>
                <c:ptCount val="1"/>
                <c:pt idx="0">
                  <c:v>  podíl vyplacených náhrad zaměstnancům na HPH (v %)</c:v>
                </c:pt>
              </c:strCache>
            </c:strRef>
          </c:tx>
          <c:spPr>
            <a:ln w="22225">
              <a:solidFill>
                <a:srgbClr val="808080"/>
              </a:solidFill>
            </a:ln>
          </c:spPr>
          <c:marker>
            <c:symbol val="none"/>
          </c:marker>
          <c:cat>
            <c:numRef>
              <c:f>'2-Sektor účty-Náhrady zam'!$C$41:$T$41</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'2-Sektor účty-Náhrady zam'!$C$42:$T$42</c:f>
              <c:numCache>
                <c:formatCode>0.0</c:formatCode>
                <c:ptCount val="18"/>
                <c:pt idx="0">
                  <c:v>49.878281294412304</c:v>
                </c:pt>
                <c:pt idx="1">
                  <c:v>48.908956016108142</c:v>
                </c:pt>
                <c:pt idx="2">
                  <c:v>49.831042370360244</c:v>
                </c:pt>
                <c:pt idx="3">
                  <c:v>50.393367441834421</c:v>
                </c:pt>
                <c:pt idx="4">
                  <c:v>50.387734572041936</c:v>
                </c:pt>
                <c:pt idx="5">
                  <c:v>50.242526349234481</c:v>
                </c:pt>
                <c:pt idx="6">
                  <c:v>49.203132658797962</c:v>
                </c:pt>
                <c:pt idx="7">
                  <c:v>49.132467287293288</c:v>
                </c:pt>
                <c:pt idx="8">
                  <c:v>50.831533448153863</c:v>
                </c:pt>
                <c:pt idx="9">
                  <c:v>51.680154349107667</c:v>
                </c:pt>
                <c:pt idx="10">
                  <c:v>52.200315487645</c:v>
                </c:pt>
                <c:pt idx="11">
                  <c:v>52.235967734224623</c:v>
                </c:pt>
                <c:pt idx="12">
                  <c:v>52.767239737172467</c:v>
                </c:pt>
                <c:pt idx="13">
                  <c:v>52.768598452764913</c:v>
                </c:pt>
                <c:pt idx="14">
                  <c:v>50.004420309738393</c:v>
                </c:pt>
                <c:pt idx="15">
                  <c:v>49.440924193216077</c:v>
                </c:pt>
                <c:pt idx="16">
                  <c:v>50.563100780543536</c:v>
                </c:pt>
                <c:pt idx="17">
                  <c:v>51.556440657903259</c:v>
                </c:pt>
              </c:numCache>
            </c:numRef>
          </c:val>
          <c:extLst xmlns:c16r2="http://schemas.microsoft.com/office/drawing/2015/06/chart">
            <c:ext xmlns:c16="http://schemas.microsoft.com/office/drawing/2014/chart" uri="{C3380CC4-5D6E-409C-BE32-E72D297353CC}">
              <c16:uniqueId val="{00000005-3CFA-4F34-87C0-027F79ED8099}"/>
            </c:ext>
          </c:extLst>
        </c:ser>
        <c:marker val="1"/>
        <c:axId val="125288448"/>
        <c:axId val="125290368"/>
      </c:lineChart>
      <c:lineChart>
        <c:grouping val="standard"/>
        <c:ser>
          <c:idx val="7"/>
          <c:order val="6"/>
          <c:tx>
            <c:strRef>
              <c:f>'2-Sektor účty-Náhrady zam'!$B$48</c:f>
              <c:strCache>
                <c:ptCount val="1"/>
                <c:pt idx="0">
                  <c:v>  podíl vyplacených mezd a platů na celkových náhradách zam. (v %, pravá osa)</c:v>
                </c:pt>
              </c:strCache>
            </c:strRef>
          </c:tx>
          <c:spPr>
            <a:ln w="19050">
              <a:noFill/>
            </a:ln>
          </c:spPr>
          <c:marker>
            <c:symbol val="diamond"/>
            <c:size val="5"/>
            <c:spPr>
              <a:solidFill>
                <a:srgbClr val="FFFF00"/>
              </a:solidFill>
              <a:ln w="6350">
                <a:solidFill>
                  <a:sysClr val="windowText" lastClr="000000">
                    <a:lumMod val="65000"/>
                    <a:lumOff val="35000"/>
                  </a:sysClr>
                </a:solidFill>
              </a:ln>
            </c:spPr>
          </c:marker>
          <c:cat>
            <c:numRef>
              <c:f>'2-Sektor účty-Náhrady zam'!$C$41:$T$41</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'2-Sektor účty-Náhrady zam'!$C$48:$T$48</c:f>
              <c:numCache>
                <c:formatCode>0.0</c:formatCode>
                <c:ptCount val="18"/>
                <c:pt idx="0">
                  <c:v>75.248889244490314</c:v>
                </c:pt>
                <c:pt idx="1">
                  <c:v>75.496405917072821</c:v>
                </c:pt>
                <c:pt idx="2">
                  <c:v>75.332526861372514</c:v>
                </c:pt>
                <c:pt idx="3">
                  <c:v>75.082562793170212</c:v>
                </c:pt>
                <c:pt idx="4">
                  <c:v>75.301959592588048</c:v>
                </c:pt>
                <c:pt idx="5">
                  <c:v>75.416035615352527</c:v>
                </c:pt>
                <c:pt idx="6">
                  <c:v>75.279313458076203</c:v>
                </c:pt>
                <c:pt idx="7">
                  <c:v>75.099588773052858</c:v>
                </c:pt>
                <c:pt idx="8">
                  <c:v>75.746175801967965</c:v>
                </c:pt>
                <c:pt idx="9">
                  <c:v>76.504545611669954</c:v>
                </c:pt>
                <c:pt idx="10">
                  <c:v>75.924720690519322</c:v>
                </c:pt>
                <c:pt idx="11">
                  <c:v>75.958713859966181</c:v>
                </c:pt>
                <c:pt idx="12">
                  <c:v>76.225888247599414</c:v>
                </c:pt>
                <c:pt idx="13">
                  <c:v>76.028015935511078</c:v>
                </c:pt>
                <c:pt idx="14">
                  <c:v>76.132771030682278</c:v>
                </c:pt>
                <c:pt idx="15">
                  <c:v>76.009481346993567</c:v>
                </c:pt>
                <c:pt idx="16">
                  <c:v>75.876088457803206</c:v>
                </c:pt>
                <c:pt idx="17">
                  <c:v>75.790258405154304</c:v>
                </c:pt>
              </c:numCache>
            </c:numRef>
          </c:val>
          <c:extLst xmlns:c16r2="http://schemas.microsoft.com/office/drawing/2015/06/chart">
            <c:ext xmlns:c16="http://schemas.microsoft.com/office/drawing/2014/chart" uri="{C3380CC4-5D6E-409C-BE32-E72D297353CC}">
              <c16:uniqueId val="{00000006-3CFA-4F34-87C0-027F79ED8099}"/>
            </c:ext>
          </c:extLst>
        </c:ser>
        <c:marker val="1"/>
        <c:axId val="125572224"/>
        <c:axId val="125291904"/>
      </c:lineChart>
      <c:catAx>
        <c:axId val="125288448"/>
        <c:scaling>
          <c:orientation val="minMax"/>
        </c:scaling>
        <c:axPos val="b"/>
        <c:numFmt formatCode="General" sourceLinked="1"/>
        <c:tickLblPos val="low"/>
        <c:spPr>
          <a:ln w="9525">
            <a:solidFill>
              <a:schemeClr val="tx1"/>
            </a:solidFill>
            <a:prstDash val="solid"/>
          </a:ln>
        </c:spPr>
        <c:txPr>
          <a:bodyPr rot="-5400000" vert="horz" anchor="t" anchorCtr="0"/>
          <a:lstStyle/>
          <a:p>
            <a:pPr>
              <a:defRPr/>
            </a:pPr>
            <a:endParaRPr lang="cs-CZ"/>
          </a:p>
        </c:txPr>
        <c:crossAx val="125290368"/>
        <c:crossesAt val="0"/>
        <c:lblAlgn val="ctr"/>
        <c:lblOffset val="0"/>
        <c:tickLblSkip val="1"/>
        <c:tickMarkSkip val="4"/>
      </c:catAx>
      <c:valAx>
        <c:axId val="125290368"/>
        <c:scaling>
          <c:orientation val="minMax"/>
          <c:max val="65"/>
          <c:min val="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25288448"/>
        <c:crosses val="autoZero"/>
        <c:crossBetween val="between"/>
        <c:majorUnit val="5"/>
      </c:valAx>
      <c:valAx>
        <c:axId val="125291904"/>
        <c:scaling>
          <c:orientation val="minMax"/>
          <c:max val="81.5"/>
          <c:min val="75"/>
        </c:scaling>
        <c:axPos val="r"/>
        <c:numFmt formatCode="0.0" sourceLinked="1"/>
        <c:tickLblPos val="nextTo"/>
        <c:crossAx val="125572224"/>
        <c:crosses val="max"/>
        <c:crossBetween val="between"/>
      </c:valAx>
      <c:catAx>
        <c:axId val="125572224"/>
        <c:scaling>
          <c:orientation val="minMax"/>
        </c:scaling>
        <c:delete val="1"/>
        <c:axPos val="b"/>
        <c:numFmt formatCode="General" sourceLinked="1"/>
        <c:tickLblPos val="none"/>
        <c:crossAx val="125291904"/>
        <c:crosses val="autoZero"/>
        <c:auto val="1"/>
        <c:lblAlgn val="ctr"/>
        <c:lblOffset val="100"/>
      </c:catAx>
      <c:spPr>
        <a:noFill/>
        <a:ln w="9525">
          <a:solidFill>
            <a:schemeClr val="tx1"/>
          </a:solidFill>
        </a:ln>
      </c:spPr>
    </c:plotArea>
    <c:legend>
      <c:legendPos val="b"/>
      <c:layout>
        <c:manualLayout>
          <c:xMode val="edge"/>
          <c:yMode val="edge"/>
          <c:x val="4.7133710169576334E-2"/>
          <c:y val="0.75776314308229198"/>
          <c:w val="0.88531755998340556"/>
          <c:h val="0.23151412810987279"/>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24.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7.3699724781365911E-2"/>
          <c:y val="2.1390374331550797E-2"/>
          <c:w val="0.91022729446268613"/>
          <c:h val="0.65373756087975632"/>
        </c:manualLayout>
      </c:layout>
      <c:barChart>
        <c:barDir val="col"/>
        <c:grouping val="stacked"/>
        <c:ser>
          <c:idx val="0"/>
          <c:order val="0"/>
          <c:tx>
            <c:strRef>
              <c:f>'3-Sektor účty-odlivy zisků ČR'!$B$116</c:f>
              <c:strCache>
                <c:ptCount val="1"/>
                <c:pt idx="0">
                  <c:v>Ostatní vlastnické důchody (D.44+45) (-)</c:v>
                </c:pt>
              </c:strCache>
            </c:strRef>
          </c:tx>
          <c:spPr>
            <a:solidFill>
              <a:srgbClr val="BABABA"/>
            </a:solidFill>
            <a:ln w="22225"/>
          </c:spP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ČR'!$C$116:$T$116</c:f>
              <c:numCache>
                <c:formatCode>0.0</c:formatCode>
                <c:ptCount val="18"/>
                <c:pt idx="0">
                  <c:v>-6.0030000000000001</c:v>
                </c:pt>
                <c:pt idx="1">
                  <c:v>-6.9690000000000003</c:v>
                </c:pt>
                <c:pt idx="2">
                  <c:v>-7.1369999999999996</c:v>
                </c:pt>
                <c:pt idx="3">
                  <c:v>-7.8209999999999855</c:v>
                </c:pt>
                <c:pt idx="4">
                  <c:v>-8.447000000000001</c:v>
                </c:pt>
                <c:pt idx="5">
                  <c:v>-7.3890000000000002</c:v>
                </c:pt>
                <c:pt idx="6">
                  <c:v>-8.847999999999999</c:v>
                </c:pt>
                <c:pt idx="7">
                  <c:v>-9.1650000000000027</c:v>
                </c:pt>
                <c:pt idx="8">
                  <c:v>-9.5610000000000035</c:v>
                </c:pt>
                <c:pt idx="9">
                  <c:v>-9.3590000000000266</c:v>
                </c:pt>
                <c:pt idx="10">
                  <c:v>-9.327</c:v>
                </c:pt>
                <c:pt idx="11">
                  <c:v>-9.5409999999999986</c:v>
                </c:pt>
                <c:pt idx="12">
                  <c:v>-10.522</c:v>
                </c:pt>
                <c:pt idx="13">
                  <c:v>-10.002000000000002</c:v>
                </c:pt>
                <c:pt idx="14">
                  <c:v>-11.692</c:v>
                </c:pt>
                <c:pt idx="15">
                  <c:v>-12.373000000000006</c:v>
                </c:pt>
                <c:pt idx="16">
                  <c:v>-12.646999999999998</c:v>
                </c:pt>
                <c:pt idx="17">
                  <c:v>-12.715</c:v>
                </c:pt>
              </c:numCache>
            </c:numRef>
          </c:val>
          <c:extLst xmlns:c16r2="http://schemas.microsoft.com/office/drawing/2015/06/chart">
            <c:ext xmlns:c16="http://schemas.microsoft.com/office/drawing/2014/chart" uri="{C3380CC4-5D6E-409C-BE32-E72D297353CC}">
              <c16:uniqueId val="{00000000-E707-4627-99AD-0A630E162320}"/>
            </c:ext>
          </c:extLst>
        </c:ser>
        <c:ser>
          <c:idx val="2"/>
          <c:order val="1"/>
          <c:tx>
            <c:strRef>
              <c:f>'3-Sektor účty-odlivy zisků ČR'!$B$112</c:f>
              <c:strCache>
                <c:ptCount val="1"/>
                <c:pt idx="0">
                  <c:v>Ostatní vlastnické důchody (D.44+45) (+)</c:v>
                </c:pt>
              </c:strCache>
            </c:strRef>
          </c:tx>
          <c:spPr>
            <a:solidFill>
              <a:srgbClr val="A6A6A6"/>
            </a:solidFill>
            <a:ln w="22225">
              <a:noFill/>
            </a:ln>
          </c:spP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ČR'!$C$112:$T$112</c:f>
              <c:numCache>
                <c:formatCode>0.0</c:formatCode>
                <c:ptCount val="18"/>
                <c:pt idx="0">
                  <c:v>4.8860000000000001</c:v>
                </c:pt>
                <c:pt idx="1">
                  <c:v>4.9390000000000134</c:v>
                </c:pt>
                <c:pt idx="2">
                  <c:v>2.5830000000000002</c:v>
                </c:pt>
                <c:pt idx="3">
                  <c:v>2.5209999999999999</c:v>
                </c:pt>
                <c:pt idx="4">
                  <c:v>4.0279999999999845</c:v>
                </c:pt>
                <c:pt idx="5">
                  <c:v>2.4259999999999997</c:v>
                </c:pt>
                <c:pt idx="6">
                  <c:v>3.2490000000000001</c:v>
                </c:pt>
                <c:pt idx="7">
                  <c:v>3.1869999999999998</c:v>
                </c:pt>
                <c:pt idx="8">
                  <c:v>3.4589999999999987</c:v>
                </c:pt>
                <c:pt idx="9">
                  <c:v>3.7850000000000001</c:v>
                </c:pt>
                <c:pt idx="10">
                  <c:v>3.823</c:v>
                </c:pt>
                <c:pt idx="11">
                  <c:v>3.6269999999999998</c:v>
                </c:pt>
                <c:pt idx="12">
                  <c:v>4.8549999999999756</c:v>
                </c:pt>
                <c:pt idx="13">
                  <c:v>5.0249999999999755</c:v>
                </c:pt>
                <c:pt idx="14">
                  <c:v>4.0179999999999945</c:v>
                </c:pt>
                <c:pt idx="15">
                  <c:v>3.734</c:v>
                </c:pt>
                <c:pt idx="16">
                  <c:v>4.0750000000000002</c:v>
                </c:pt>
                <c:pt idx="17">
                  <c:v>3.9509999999999987</c:v>
                </c:pt>
              </c:numCache>
            </c:numRef>
          </c:val>
          <c:extLst xmlns:c16r2="http://schemas.microsoft.com/office/drawing/2015/06/chart">
            <c:ext xmlns:c16="http://schemas.microsoft.com/office/drawing/2014/chart" uri="{C3380CC4-5D6E-409C-BE32-E72D297353CC}">
              <c16:uniqueId val="{00000001-E707-4627-99AD-0A630E162320}"/>
            </c:ext>
          </c:extLst>
        </c:ser>
        <c:ser>
          <c:idx val="4"/>
          <c:order val="2"/>
          <c:tx>
            <c:strRef>
              <c:f>'3-Sektor účty-odlivy zisků ČR'!$B$115</c:f>
              <c:strCache>
                <c:ptCount val="1"/>
                <c:pt idx="0">
                  <c:v>Reinvestované zisky z PZI (D.43) (-)</c:v>
                </c:pt>
              </c:strCache>
            </c:strRef>
          </c:tx>
          <c:spPr>
            <a:solidFill>
              <a:srgbClr val="A6CDE8"/>
            </a:solidFill>
            <a:ln w="22225">
              <a:noFill/>
            </a:ln>
          </c:spP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ČR'!$C$115:$T$115</c:f>
              <c:numCache>
                <c:formatCode>0.0</c:formatCode>
                <c:ptCount val="18"/>
                <c:pt idx="0">
                  <c:v>-10.259</c:v>
                </c:pt>
                <c:pt idx="1">
                  <c:v>-41.997</c:v>
                </c:pt>
                <c:pt idx="2">
                  <c:v>-51.309000000000005</c:v>
                </c:pt>
                <c:pt idx="3">
                  <c:v>-50.549000000000007</c:v>
                </c:pt>
                <c:pt idx="4">
                  <c:v>-67.116</c:v>
                </c:pt>
                <c:pt idx="5">
                  <c:v>-78.361999999999995</c:v>
                </c:pt>
                <c:pt idx="6">
                  <c:v>-102.399</c:v>
                </c:pt>
                <c:pt idx="7">
                  <c:v>-103.04700000000012</c:v>
                </c:pt>
                <c:pt idx="8">
                  <c:v>-91.60899999999998</c:v>
                </c:pt>
                <c:pt idx="9">
                  <c:v>-66.63</c:v>
                </c:pt>
                <c:pt idx="10">
                  <c:v>-53.595000000000013</c:v>
                </c:pt>
                <c:pt idx="11">
                  <c:v>-53.379000000000005</c:v>
                </c:pt>
                <c:pt idx="12">
                  <c:v>-61.031000000000006</c:v>
                </c:pt>
                <c:pt idx="13">
                  <c:v>-46.958999999999996</c:v>
                </c:pt>
                <c:pt idx="14">
                  <c:v>-108.55200000000001</c:v>
                </c:pt>
                <c:pt idx="15">
                  <c:v>-109.75700000000002</c:v>
                </c:pt>
                <c:pt idx="16">
                  <c:v>-98.715999999999994</c:v>
                </c:pt>
                <c:pt idx="17">
                  <c:v>-150.494</c:v>
                </c:pt>
              </c:numCache>
            </c:numRef>
          </c:val>
          <c:extLst xmlns:c16r2="http://schemas.microsoft.com/office/drawing/2015/06/chart">
            <c:ext xmlns:c16="http://schemas.microsoft.com/office/drawing/2014/chart" uri="{C3380CC4-5D6E-409C-BE32-E72D297353CC}">
              <c16:uniqueId val="{00000002-E707-4627-99AD-0A630E162320}"/>
            </c:ext>
          </c:extLst>
        </c:ser>
        <c:ser>
          <c:idx val="6"/>
          <c:order val="3"/>
          <c:tx>
            <c:strRef>
              <c:f>'3-Sektor účty-odlivy zisků ČR'!$B$111</c:f>
              <c:strCache>
                <c:ptCount val="1"/>
                <c:pt idx="0">
                  <c:v>Reinvestované zisky z PZI (D.43) (+)</c:v>
                </c:pt>
              </c:strCache>
            </c:strRef>
          </c:tx>
          <c:spPr>
            <a:solidFill>
              <a:srgbClr val="0071BC"/>
            </a:solidFill>
            <a:ln>
              <a:noFill/>
            </a:ln>
          </c:spP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ČR'!$C$111:$T$111</c:f>
              <c:numCache>
                <c:formatCode>0.0</c:formatCode>
                <c:ptCount val="18"/>
                <c:pt idx="0">
                  <c:v>-0.55600000000000005</c:v>
                </c:pt>
                <c:pt idx="1">
                  <c:v>2.5319999999999987</c:v>
                </c:pt>
                <c:pt idx="2">
                  <c:v>-3.3169999999999855</c:v>
                </c:pt>
                <c:pt idx="3">
                  <c:v>3.484</c:v>
                </c:pt>
                <c:pt idx="4">
                  <c:v>6.0750000000000002</c:v>
                </c:pt>
                <c:pt idx="5">
                  <c:v>-8.0570000000000004</c:v>
                </c:pt>
                <c:pt idx="6">
                  <c:v>5.5869999999999997</c:v>
                </c:pt>
                <c:pt idx="7">
                  <c:v>14.412000000000004</c:v>
                </c:pt>
                <c:pt idx="8">
                  <c:v>56.383999999999993</c:v>
                </c:pt>
                <c:pt idx="9">
                  <c:v>0.72000000000000064</c:v>
                </c:pt>
                <c:pt idx="10">
                  <c:v>0.74900000000000344</c:v>
                </c:pt>
                <c:pt idx="11">
                  <c:v>5.5490000000000004</c:v>
                </c:pt>
                <c:pt idx="12">
                  <c:v>24.600999999999999</c:v>
                </c:pt>
                <c:pt idx="13">
                  <c:v>7.7639999999999985</c:v>
                </c:pt>
                <c:pt idx="14">
                  <c:v>2.8859999999999997</c:v>
                </c:pt>
                <c:pt idx="15">
                  <c:v>10.351000000000004</c:v>
                </c:pt>
                <c:pt idx="16">
                  <c:v>9.5630000000000006</c:v>
                </c:pt>
                <c:pt idx="17">
                  <c:v>18.794</c:v>
                </c:pt>
              </c:numCache>
            </c:numRef>
          </c:val>
          <c:extLst xmlns:c16r2="http://schemas.microsoft.com/office/drawing/2015/06/chart">
            <c:ext xmlns:c16="http://schemas.microsoft.com/office/drawing/2014/chart" uri="{C3380CC4-5D6E-409C-BE32-E72D297353CC}">
              <c16:uniqueId val="{00000003-E707-4627-99AD-0A630E162320}"/>
            </c:ext>
          </c:extLst>
        </c:ser>
        <c:ser>
          <c:idx val="1"/>
          <c:order val="4"/>
          <c:tx>
            <c:strRef>
              <c:f>'3-Sektor účty-odlivy zisků ČR'!$B$114</c:f>
              <c:strCache>
                <c:ptCount val="1"/>
                <c:pt idx="0">
                  <c:v>Rozděl. důchody společností (D.42) (-)</c:v>
                </c:pt>
              </c:strCache>
            </c:strRef>
          </c:tx>
          <c:spPr>
            <a:solidFill>
              <a:srgbClr val="E8AFB2"/>
            </a:solidFill>
            <a:ln w="22225">
              <a:noFill/>
            </a:ln>
          </c:spP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ČR'!$C$114:$T$114</c:f>
              <c:numCache>
                <c:formatCode>0.0</c:formatCode>
                <c:ptCount val="18"/>
                <c:pt idx="0">
                  <c:v>-80.122999999999948</c:v>
                </c:pt>
                <c:pt idx="1">
                  <c:v>-101.334</c:v>
                </c:pt>
                <c:pt idx="2">
                  <c:v>-118.94800000000002</c:v>
                </c:pt>
                <c:pt idx="3">
                  <c:v>-140.11499999999998</c:v>
                </c:pt>
                <c:pt idx="4">
                  <c:v>-185.35200000000097</c:v>
                </c:pt>
                <c:pt idx="5">
                  <c:v>-185.31300000000002</c:v>
                </c:pt>
                <c:pt idx="6">
                  <c:v>-243.35900000000001</c:v>
                </c:pt>
                <c:pt idx="7">
                  <c:v>-292.76799999999969</c:v>
                </c:pt>
                <c:pt idx="8">
                  <c:v>-327.13900000000001</c:v>
                </c:pt>
                <c:pt idx="9">
                  <c:v>-313.55200000000002</c:v>
                </c:pt>
                <c:pt idx="10">
                  <c:v>-303.08699999999823</c:v>
                </c:pt>
                <c:pt idx="11">
                  <c:v>-337.33099999999899</c:v>
                </c:pt>
                <c:pt idx="12">
                  <c:v>-330.95299999999969</c:v>
                </c:pt>
                <c:pt idx="13">
                  <c:v>-346.245</c:v>
                </c:pt>
                <c:pt idx="14">
                  <c:v>-382.93599999999759</c:v>
                </c:pt>
                <c:pt idx="15">
                  <c:v>-417.42299999999869</c:v>
                </c:pt>
                <c:pt idx="16">
                  <c:v>-480.55700000000002</c:v>
                </c:pt>
                <c:pt idx="17">
                  <c:v>-448.76400000000001</c:v>
                </c:pt>
              </c:numCache>
            </c:numRef>
          </c:val>
          <c:extLst xmlns:c16r2="http://schemas.microsoft.com/office/drawing/2015/06/chart">
            <c:ext xmlns:c16="http://schemas.microsoft.com/office/drawing/2014/chart" uri="{C3380CC4-5D6E-409C-BE32-E72D297353CC}">
              <c16:uniqueId val="{00000004-E707-4627-99AD-0A630E162320}"/>
            </c:ext>
          </c:extLst>
        </c:ser>
        <c:ser>
          <c:idx val="3"/>
          <c:order val="5"/>
          <c:tx>
            <c:strRef>
              <c:f>'3-Sektor účty-odlivy zisků ČR'!$B$110</c:f>
              <c:strCache>
                <c:ptCount val="1"/>
                <c:pt idx="0">
                  <c:v>Rozděl. důchody společností (D.42) (+)</c:v>
                </c:pt>
              </c:strCache>
            </c:strRef>
          </c:tx>
          <c:spPr>
            <a:solidFill>
              <a:srgbClr val="BD1B21"/>
            </a:solidFill>
            <a:ln w="22225">
              <a:noFill/>
            </a:ln>
          </c:spP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ČR'!$C$110:$T$110</c:f>
              <c:numCache>
                <c:formatCode>0.0</c:formatCode>
                <c:ptCount val="18"/>
                <c:pt idx="0">
                  <c:v>4.4509999999999996</c:v>
                </c:pt>
                <c:pt idx="1">
                  <c:v>6.0960000000000001</c:v>
                </c:pt>
                <c:pt idx="2">
                  <c:v>7.2889999999999997</c:v>
                </c:pt>
                <c:pt idx="3">
                  <c:v>9.6060000000000034</c:v>
                </c:pt>
                <c:pt idx="4">
                  <c:v>24.282999999999859</c:v>
                </c:pt>
                <c:pt idx="5">
                  <c:v>36.935000000000002</c:v>
                </c:pt>
                <c:pt idx="6">
                  <c:v>31.356999999999999</c:v>
                </c:pt>
                <c:pt idx="7">
                  <c:v>39.437000000000005</c:v>
                </c:pt>
                <c:pt idx="8">
                  <c:v>41.107000000000006</c:v>
                </c:pt>
                <c:pt idx="9">
                  <c:v>30.630000000000031</c:v>
                </c:pt>
                <c:pt idx="10">
                  <c:v>25.077000000000005</c:v>
                </c:pt>
                <c:pt idx="11">
                  <c:v>36.535000000000011</c:v>
                </c:pt>
                <c:pt idx="12">
                  <c:v>55.308</c:v>
                </c:pt>
                <c:pt idx="13">
                  <c:v>48.564</c:v>
                </c:pt>
                <c:pt idx="14">
                  <c:v>64.063000000000002</c:v>
                </c:pt>
                <c:pt idx="15">
                  <c:v>65.233999999999995</c:v>
                </c:pt>
                <c:pt idx="16">
                  <c:v>74.498000000000005</c:v>
                </c:pt>
                <c:pt idx="17">
                  <c:v>81.078999999999979</c:v>
                </c:pt>
              </c:numCache>
            </c:numRef>
          </c:val>
          <c:extLst xmlns:c16r2="http://schemas.microsoft.com/office/drawing/2015/06/chart">
            <c:ext xmlns:c16="http://schemas.microsoft.com/office/drawing/2014/chart" uri="{C3380CC4-5D6E-409C-BE32-E72D297353CC}">
              <c16:uniqueId val="{00000005-E707-4627-99AD-0A630E162320}"/>
            </c:ext>
          </c:extLst>
        </c:ser>
        <c:ser>
          <c:idx val="5"/>
          <c:order val="6"/>
          <c:tx>
            <c:strRef>
              <c:f>'3-Sektor účty-odlivy zisků ČR'!$B$113</c:f>
              <c:strCache>
                <c:ptCount val="1"/>
                <c:pt idx="0">
                  <c:v>Úroky (D.41) (-)</c:v>
                </c:pt>
              </c:strCache>
            </c:strRef>
          </c:tx>
          <c:spPr>
            <a:solidFill>
              <a:srgbClr val="FDDEB3"/>
            </a:solidFill>
            <a:ln w="22225">
              <a:noFill/>
            </a:ln>
          </c:spP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ČR'!$C$113:$T$113</c:f>
              <c:numCache>
                <c:formatCode>0.0</c:formatCode>
                <c:ptCount val="18"/>
                <c:pt idx="0">
                  <c:v>-104.886</c:v>
                </c:pt>
                <c:pt idx="1">
                  <c:v>-99.897999999999996</c:v>
                </c:pt>
                <c:pt idx="2">
                  <c:v>-63.379000000000005</c:v>
                </c:pt>
                <c:pt idx="3">
                  <c:v>-80.588999999999999</c:v>
                </c:pt>
                <c:pt idx="4">
                  <c:v>-82.789000000000001</c:v>
                </c:pt>
                <c:pt idx="5">
                  <c:v>-77.986000000000004</c:v>
                </c:pt>
                <c:pt idx="6">
                  <c:v>-88.402000000000001</c:v>
                </c:pt>
                <c:pt idx="7">
                  <c:v>-80.164999999999992</c:v>
                </c:pt>
                <c:pt idx="8">
                  <c:v>-84.937000000000026</c:v>
                </c:pt>
                <c:pt idx="9">
                  <c:v>-61.022000000000013</c:v>
                </c:pt>
                <c:pt idx="10">
                  <c:v>-81.127999999999986</c:v>
                </c:pt>
                <c:pt idx="11">
                  <c:v>-82.881999999999991</c:v>
                </c:pt>
                <c:pt idx="12">
                  <c:v>-78.632999999999981</c:v>
                </c:pt>
                <c:pt idx="13">
                  <c:v>-71.799000000000007</c:v>
                </c:pt>
                <c:pt idx="14">
                  <c:v>-82.391000000000005</c:v>
                </c:pt>
                <c:pt idx="15">
                  <c:v>-76.095000000000013</c:v>
                </c:pt>
                <c:pt idx="16">
                  <c:v>-62.977000000000004</c:v>
                </c:pt>
                <c:pt idx="17">
                  <c:v>-54.127000000000002</c:v>
                </c:pt>
              </c:numCache>
            </c:numRef>
          </c:val>
          <c:extLst xmlns:c16r2="http://schemas.microsoft.com/office/drawing/2015/06/chart">
            <c:ext xmlns:c16="http://schemas.microsoft.com/office/drawing/2014/chart" uri="{C3380CC4-5D6E-409C-BE32-E72D297353CC}">
              <c16:uniqueId val="{00000006-E707-4627-99AD-0A630E162320}"/>
            </c:ext>
          </c:extLst>
        </c:ser>
        <c:ser>
          <c:idx val="7"/>
          <c:order val="7"/>
          <c:tx>
            <c:strRef>
              <c:f>'3-Sektor účty-odlivy zisků ČR'!$B$109</c:f>
              <c:strCache>
                <c:ptCount val="1"/>
                <c:pt idx="0">
                  <c:v>Úroky (D.41) (+)</c:v>
                </c:pt>
              </c:strCache>
            </c:strRef>
          </c:tx>
          <c:spPr>
            <a:solidFill>
              <a:srgbClr val="F8A124"/>
            </a:solidFill>
            <a:ln>
              <a:noFill/>
            </a:ln>
          </c:spP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ČR'!$C$109:$T$109</c:f>
              <c:numCache>
                <c:formatCode>0.0</c:formatCode>
                <c:ptCount val="18"/>
                <c:pt idx="0">
                  <c:v>11.944000000000001</c:v>
                </c:pt>
                <c:pt idx="1">
                  <c:v>22.477</c:v>
                </c:pt>
                <c:pt idx="2">
                  <c:v>12.106</c:v>
                </c:pt>
                <c:pt idx="3">
                  <c:v>30.521000000000001</c:v>
                </c:pt>
                <c:pt idx="4">
                  <c:v>40.677</c:v>
                </c:pt>
                <c:pt idx="5">
                  <c:v>43.350999999999999</c:v>
                </c:pt>
                <c:pt idx="6">
                  <c:v>45.239000000000011</c:v>
                </c:pt>
                <c:pt idx="7">
                  <c:v>60.167000000000002</c:v>
                </c:pt>
                <c:pt idx="8">
                  <c:v>51.206000000000003</c:v>
                </c:pt>
                <c:pt idx="9">
                  <c:v>38.328000000000003</c:v>
                </c:pt>
                <c:pt idx="10">
                  <c:v>30.872</c:v>
                </c:pt>
                <c:pt idx="11">
                  <c:v>36.07</c:v>
                </c:pt>
                <c:pt idx="12">
                  <c:v>38.867000000000004</c:v>
                </c:pt>
                <c:pt idx="13">
                  <c:v>37.486000000000004</c:v>
                </c:pt>
                <c:pt idx="14">
                  <c:v>42.303000000000004</c:v>
                </c:pt>
                <c:pt idx="15">
                  <c:v>49.033000000000001</c:v>
                </c:pt>
                <c:pt idx="16">
                  <c:v>56.641000000000005</c:v>
                </c:pt>
                <c:pt idx="17">
                  <c:v>53.656000000000006</c:v>
                </c:pt>
              </c:numCache>
            </c:numRef>
          </c:val>
          <c:extLst xmlns:c16r2="http://schemas.microsoft.com/office/drawing/2015/06/chart">
            <c:ext xmlns:c16="http://schemas.microsoft.com/office/drawing/2014/chart" uri="{C3380CC4-5D6E-409C-BE32-E72D297353CC}">
              <c16:uniqueId val="{00000007-E707-4627-99AD-0A630E162320}"/>
            </c:ext>
          </c:extLst>
        </c:ser>
        <c:overlap val="100"/>
        <c:axId val="128914176"/>
        <c:axId val="128915712"/>
      </c:barChart>
      <c:lineChart>
        <c:grouping val="standard"/>
        <c:ser>
          <c:idx val="8"/>
          <c:order val="8"/>
          <c:tx>
            <c:strRef>
              <c:f>'3-Sektor účty-odlivy zisků ČR'!$B$117</c:f>
              <c:strCache>
                <c:ptCount val="1"/>
                <c:pt idx="0">
                  <c:v>Důchod z vlastnictví celkem (D.4) (saldo)</c:v>
                </c:pt>
              </c:strCache>
            </c:strRef>
          </c:tx>
          <c:spPr>
            <a:ln>
              <a:noFill/>
            </a:ln>
          </c:spPr>
          <c:marker>
            <c:symbol val="none"/>
          </c:marke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ČR'!$C$117:$T$117</c:f>
              <c:numCache>
                <c:formatCode>General</c:formatCode>
                <c:ptCount val="18"/>
              </c:numCache>
            </c:numRef>
          </c:val>
          <c:extLst xmlns:c16r2="http://schemas.microsoft.com/office/drawing/2015/06/chart">
            <c:ext xmlns:c16="http://schemas.microsoft.com/office/drawing/2014/chart" uri="{C3380CC4-5D6E-409C-BE32-E72D297353CC}">
              <c16:uniqueId val="{00000008-E707-4627-99AD-0A630E162320}"/>
            </c:ext>
          </c:extLst>
        </c:ser>
        <c:ser>
          <c:idx val="9"/>
          <c:order val="9"/>
          <c:tx>
            <c:strRef>
              <c:f>'3-Sektor účty-odlivy zisků ČR'!$B$118</c:f>
              <c:strCache>
                <c:ptCount val="1"/>
              </c:strCache>
            </c:strRef>
          </c:tx>
          <c:spPr>
            <a:ln>
              <a:noFill/>
            </a:ln>
          </c:spPr>
          <c:marker>
            <c:symbol val="none"/>
          </c:marke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ČR'!$C$118:$T$118</c:f>
              <c:numCache>
                <c:formatCode>General</c:formatCode>
                <c:ptCount val="18"/>
              </c:numCache>
            </c:numRef>
          </c:val>
          <c:extLst xmlns:c16r2="http://schemas.microsoft.com/office/drawing/2015/06/chart">
            <c:ext xmlns:c16="http://schemas.microsoft.com/office/drawing/2014/chart" uri="{C3380CC4-5D6E-409C-BE32-E72D297353CC}">
              <c16:uniqueId val="{00000009-E707-4627-99AD-0A630E162320}"/>
            </c:ext>
          </c:extLst>
        </c:ser>
        <c:ser>
          <c:idx val="10"/>
          <c:order val="10"/>
          <c:tx>
            <c:strRef>
              <c:f>'3-Sektor účty-odlivy zisků ČR'!$B$119</c:f>
              <c:strCache>
                <c:ptCount val="1"/>
                <c:pt idx="0">
                  <c:v>   veřejné nefinanční podniky</c:v>
                </c:pt>
              </c:strCache>
            </c:strRef>
          </c:tx>
          <c:spPr>
            <a:ln w="19050">
              <a:solidFill>
                <a:srgbClr val="80BB2D"/>
              </a:solidFill>
              <a:prstDash val="sysDash"/>
            </a:ln>
          </c:spPr>
          <c:marker>
            <c:symbol val="none"/>
          </c:marke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ČR'!$C$119:$T$119</c:f>
              <c:numCache>
                <c:formatCode>0.0</c:formatCode>
                <c:ptCount val="18"/>
                <c:pt idx="0">
                  <c:v>-14.027999999999999</c:v>
                </c:pt>
                <c:pt idx="1">
                  <c:v>-13.287000000000001</c:v>
                </c:pt>
                <c:pt idx="2">
                  <c:v>-6.9009999999999998</c:v>
                </c:pt>
                <c:pt idx="3">
                  <c:v>-4.5759999999999996</c:v>
                </c:pt>
                <c:pt idx="4">
                  <c:v>-5.5359999999999996</c:v>
                </c:pt>
                <c:pt idx="5">
                  <c:v>1.093</c:v>
                </c:pt>
                <c:pt idx="6">
                  <c:v>-14.747999999999999</c:v>
                </c:pt>
                <c:pt idx="7">
                  <c:v>-3.1000000000000052E-2</c:v>
                </c:pt>
                <c:pt idx="8">
                  <c:v>-13.196</c:v>
                </c:pt>
                <c:pt idx="9">
                  <c:v>-20.460999999999871</c:v>
                </c:pt>
                <c:pt idx="10">
                  <c:v>-18.09</c:v>
                </c:pt>
                <c:pt idx="11">
                  <c:v>-9.9600000000000026</c:v>
                </c:pt>
                <c:pt idx="12">
                  <c:v>-16.449000000000002</c:v>
                </c:pt>
                <c:pt idx="13">
                  <c:v>-14.557</c:v>
                </c:pt>
                <c:pt idx="14">
                  <c:v>-18.341999999999999</c:v>
                </c:pt>
                <c:pt idx="15">
                  <c:v>-13.989000000000004</c:v>
                </c:pt>
                <c:pt idx="16">
                  <c:v>-14.392000000000024</c:v>
                </c:pt>
              </c:numCache>
            </c:numRef>
          </c:val>
          <c:extLst xmlns:c16r2="http://schemas.microsoft.com/office/drawing/2015/06/chart">
            <c:ext xmlns:c16="http://schemas.microsoft.com/office/drawing/2014/chart" uri="{C3380CC4-5D6E-409C-BE32-E72D297353CC}">
              <c16:uniqueId val="{0000000A-E707-4627-99AD-0A630E162320}"/>
            </c:ext>
          </c:extLst>
        </c:ser>
        <c:ser>
          <c:idx val="11"/>
          <c:order val="11"/>
          <c:tx>
            <c:strRef>
              <c:f>'3-Sektor účty-odlivy zisků ČR'!$B$120</c:f>
              <c:strCache>
                <c:ptCount val="1"/>
                <c:pt idx="0">
                  <c:v>   národní soukromé nefinanční podniky</c:v>
                </c:pt>
              </c:strCache>
            </c:strRef>
          </c:tx>
          <c:spPr>
            <a:ln w="19050">
              <a:solidFill>
                <a:srgbClr val="0071BC"/>
              </a:solidFill>
              <a:prstDash val="sysDash"/>
            </a:ln>
          </c:spPr>
          <c:marker>
            <c:symbol val="none"/>
          </c:marke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ČR'!$C$120:$T$120</c:f>
              <c:numCache>
                <c:formatCode>0.0</c:formatCode>
                <c:ptCount val="18"/>
                <c:pt idx="0">
                  <c:v>-118.44400000000046</c:v>
                </c:pt>
                <c:pt idx="1">
                  <c:v>-129.72999999999999</c:v>
                </c:pt>
                <c:pt idx="2">
                  <c:v>-111.88500000000001</c:v>
                </c:pt>
                <c:pt idx="3">
                  <c:v>-115.926</c:v>
                </c:pt>
                <c:pt idx="4">
                  <c:v>-114.932</c:v>
                </c:pt>
                <c:pt idx="5">
                  <c:v>-131.31900000000002</c:v>
                </c:pt>
                <c:pt idx="6">
                  <c:v>-125.151</c:v>
                </c:pt>
                <c:pt idx="7">
                  <c:v>-116.979</c:v>
                </c:pt>
                <c:pt idx="8">
                  <c:v>-92.537999999999997</c:v>
                </c:pt>
                <c:pt idx="9">
                  <c:v>-112.21899999999999</c:v>
                </c:pt>
                <c:pt idx="10">
                  <c:v>-146.12900000000002</c:v>
                </c:pt>
                <c:pt idx="11">
                  <c:v>-165.137</c:v>
                </c:pt>
                <c:pt idx="12">
                  <c:v>-124.45699999999999</c:v>
                </c:pt>
                <c:pt idx="13">
                  <c:v>-153.98700000000088</c:v>
                </c:pt>
                <c:pt idx="14">
                  <c:v>-160.07399999999998</c:v>
                </c:pt>
                <c:pt idx="15">
                  <c:v>-173.24599999999998</c:v>
                </c:pt>
                <c:pt idx="16">
                  <c:v>-162.405</c:v>
                </c:pt>
              </c:numCache>
            </c:numRef>
          </c:val>
          <c:extLst xmlns:c16r2="http://schemas.microsoft.com/office/drawing/2015/06/chart">
            <c:ext xmlns:c16="http://schemas.microsoft.com/office/drawing/2014/chart" uri="{C3380CC4-5D6E-409C-BE32-E72D297353CC}">
              <c16:uniqueId val="{0000000B-E707-4627-99AD-0A630E162320}"/>
            </c:ext>
          </c:extLst>
        </c:ser>
        <c:ser>
          <c:idx val="12"/>
          <c:order val="12"/>
          <c:tx>
            <c:strRef>
              <c:f>'3-Sektor účty-odlivy zisků ČR'!$B$121</c:f>
              <c:strCache>
                <c:ptCount val="1"/>
                <c:pt idx="0">
                  <c:v>   nef. podniky pod zahraniční kontrolou</c:v>
                </c:pt>
              </c:strCache>
            </c:strRef>
          </c:tx>
          <c:spPr>
            <a:ln w="19050">
              <a:solidFill>
                <a:srgbClr val="BD1B21"/>
              </a:solidFill>
              <a:prstDash val="sysDash"/>
            </a:ln>
          </c:spPr>
          <c:marker>
            <c:symbol val="none"/>
          </c:marke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ČR'!$C$121:$T$121</c:f>
              <c:numCache>
                <c:formatCode>0.0</c:formatCode>
                <c:ptCount val="18"/>
                <c:pt idx="0">
                  <c:v>-48.074000000000005</c:v>
                </c:pt>
                <c:pt idx="1">
                  <c:v>-71.137</c:v>
                </c:pt>
                <c:pt idx="2">
                  <c:v>-103.32599999999998</c:v>
                </c:pt>
                <c:pt idx="3">
                  <c:v>-112.44000000000032</c:v>
                </c:pt>
                <c:pt idx="4">
                  <c:v>-148.17299999999997</c:v>
                </c:pt>
                <c:pt idx="5">
                  <c:v>-144.16899999999998</c:v>
                </c:pt>
                <c:pt idx="6">
                  <c:v>-217.67699999999999</c:v>
                </c:pt>
                <c:pt idx="7">
                  <c:v>-250.93200000000004</c:v>
                </c:pt>
                <c:pt idx="8">
                  <c:v>-255.35600000000088</c:v>
                </c:pt>
                <c:pt idx="9">
                  <c:v>-244.42000000000004</c:v>
                </c:pt>
                <c:pt idx="10">
                  <c:v>-222.39700000000047</c:v>
                </c:pt>
                <c:pt idx="11">
                  <c:v>-226.255</c:v>
                </c:pt>
                <c:pt idx="12">
                  <c:v>-216.602</c:v>
                </c:pt>
                <c:pt idx="13">
                  <c:v>-207.62200000000001</c:v>
                </c:pt>
                <c:pt idx="14">
                  <c:v>-293.88499999999999</c:v>
                </c:pt>
                <c:pt idx="15">
                  <c:v>-300.06099999999969</c:v>
                </c:pt>
                <c:pt idx="16">
                  <c:v>-333.32299999999969</c:v>
                </c:pt>
              </c:numCache>
            </c:numRef>
          </c:val>
          <c:extLst xmlns:c16r2="http://schemas.microsoft.com/office/drawing/2015/06/chart">
            <c:ext xmlns:c16="http://schemas.microsoft.com/office/drawing/2014/chart" uri="{C3380CC4-5D6E-409C-BE32-E72D297353CC}">
              <c16:uniqueId val="{0000000C-E707-4627-99AD-0A630E162320}"/>
            </c:ext>
          </c:extLst>
        </c:ser>
        <c:ser>
          <c:idx val="13"/>
          <c:order val="13"/>
          <c:tx>
            <c:strRef>
              <c:f>'3-Sektor účty-odlivy zisků ČR'!$B$122</c:f>
              <c:strCache>
                <c:ptCount val="1"/>
                <c:pt idx="0">
                  <c:v>   nefinanční podniky celkem</c:v>
                </c:pt>
              </c:strCache>
            </c:strRef>
          </c:tx>
          <c:spPr>
            <a:ln w="22225">
              <a:solidFill>
                <a:srgbClr val="808080"/>
              </a:solidFill>
            </a:ln>
          </c:spPr>
          <c:marker>
            <c:symbol val="none"/>
          </c:marker>
          <c:cat>
            <c:numRef>
              <c:f>'3-Sektor účty-odlivy zisků ČR'!$C$108:$T$108</c:f>
              <c:numCache>
                <c:formatCode>0</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'3-Sektor účty-odlivy zisků ČR'!$C$122:$T$122</c:f>
              <c:numCache>
                <c:formatCode>0.0</c:formatCode>
                <c:ptCount val="18"/>
                <c:pt idx="0">
                  <c:v>-180.54599999999999</c:v>
                </c:pt>
                <c:pt idx="1">
                  <c:v>-214.154</c:v>
                </c:pt>
                <c:pt idx="2">
                  <c:v>-222.11199999999999</c:v>
                </c:pt>
                <c:pt idx="3">
                  <c:v>-232.94200000000001</c:v>
                </c:pt>
                <c:pt idx="4">
                  <c:v>-268.64100000000002</c:v>
                </c:pt>
                <c:pt idx="5">
                  <c:v>-274.39499999999964</c:v>
                </c:pt>
                <c:pt idx="6">
                  <c:v>-357.57599999999923</c:v>
                </c:pt>
                <c:pt idx="7">
                  <c:v>-367.94200000000001</c:v>
                </c:pt>
                <c:pt idx="8">
                  <c:v>-361.09</c:v>
                </c:pt>
                <c:pt idx="9">
                  <c:v>-377.1</c:v>
                </c:pt>
                <c:pt idx="10">
                  <c:v>-386.61599999999999</c:v>
                </c:pt>
                <c:pt idx="11">
                  <c:v>-401.35199999999969</c:v>
                </c:pt>
                <c:pt idx="12">
                  <c:v>-357.50799999999964</c:v>
                </c:pt>
                <c:pt idx="13">
                  <c:v>-376.166</c:v>
                </c:pt>
                <c:pt idx="14">
                  <c:v>-472.30099999999999</c:v>
                </c:pt>
                <c:pt idx="15">
                  <c:v>-487.29599999999863</c:v>
                </c:pt>
                <c:pt idx="16">
                  <c:v>-510.12</c:v>
                </c:pt>
                <c:pt idx="17">
                  <c:v>-508.62</c:v>
                </c:pt>
              </c:numCache>
            </c:numRef>
          </c:val>
          <c:extLst xmlns:c16r2="http://schemas.microsoft.com/office/drawing/2015/06/chart">
            <c:ext xmlns:c16="http://schemas.microsoft.com/office/drawing/2014/chart" uri="{C3380CC4-5D6E-409C-BE32-E72D297353CC}">
              <c16:uniqueId val="{0000000D-E707-4627-99AD-0A630E162320}"/>
            </c:ext>
          </c:extLst>
        </c:ser>
        <c:marker val="1"/>
        <c:axId val="128914176"/>
        <c:axId val="128915712"/>
      </c:lineChart>
      <c:catAx>
        <c:axId val="128914176"/>
        <c:scaling>
          <c:orientation val="minMax"/>
        </c:scaling>
        <c:axPos val="b"/>
        <c:numFmt formatCode="0" sourceLinked="1"/>
        <c:majorTickMark val="none"/>
        <c:tickLblPos val="low"/>
        <c:txPr>
          <a:bodyPr rot="-5400000" vert="horz"/>
          <a:lstStyle/>
          <a:p>
            <a:pPr>
              <a:defRPr sz="800">
                <a:latin typeface="Arial" pitchFamily="34" charset="0"/>
                <a:cs typeface="Arial" pitchFamily="34" charset="0"/>
              </a:defRPr>
            </a:pPr>
            <a:endParaRPr lang="cs-CZ"/>
          </a:p>
        </c:txPr>
        <c:crossAx val="128915712"/>
        <c:crosses val="autoZero"/>
        <c:auto val="1"/>
        <c:lblAlgn val="ctr"/>
        <c:lblOffset val="20"/>
      </c:catAx>
      <c:valAx>
        <c:axId val="128915712"/>
        <c:scaling>
          <c:orientation val="minMax"/>
          <c:max val="200"/>
          <c:min val="-700"/>
        </c:scaling>
        <c:axPos val="l"/>
        <c:majorGridlines>
          <c:spPr>
            <a:ln w="9525">
              <a:solidFill>
                <a:srgbClr val="BFBFBF"/>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28914176"/>
        <c:crosses val="autoZero"/>
        <c:crossBetween val="between"/>
      </c:valAx>
      <c:spPr>
        <a:ln>
          <a:solidFill>
            <a:sysClr val="windowText" lastClr="000000">
              <a:lumMod val="95000"/>
              <a:lumOff val="5000"/>
            </a:sysClr>
          </a:solidFill>
        </a:ln>
      </c:spPr>
    </c:plotArea>
    <c:legend>
      <c:legendPos val="r"/>
      <c:layout>
        <c:manualLayout>
          <c:xMode val="edge"/>
          <c:yMode val="edge"/>
          <c:x val="4.1478849707789287E-3"/>
          <c:y val="0.76711749266635865"/>
          <c:w val="0.98653429122823388"/>
          <c:h val="0.21862225777927491"/>
        </c:manualLayout>
      </c:layout>
      <c:spPr>
        <a:ln w="6350">
          <a:solidFill>
            <a:schemeClr val="tx1">
              <a:lumMod val="95000"/>
              <a:lumOff val="5000"/>
            </a:schemeClr>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25.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4.6721833227243804E-2"/>
          <c:y val="2.1390374331550797E-2"/>
          <c:w val="0.94675610830925916"/>
          <c:h val="0.73929905820595965"/>
        </c:manualLayout>
      </c:layout>
      <c:barChart>
        <c:barDir val="col"/>
        <c:grouping val="clustered"/>
        <c:ser>
          <c:idx val="8"/>
          <c:order val="7"/>
          <c:tx>
            <c:strRef>
              <c:f>'4-Sektor účty-investice'!$A$52</c:f>
              <c:strCache>
                <c:ptCount val="1"/>
                <c:pt idx="0">
                  <c:v>Veřejné nef. podniky (ČR)</c:v>
                </c:pt>
              </c:strCache>
            </c:strRef>
          </c:tx>
          <c:spPr>
            <a:solidFill>
              <a:srgbClr val="CBCBCB"/>
            </a:solidFill>
          </c:spPr>
          <c:cat>
            <c:strRef>
              <c:f>'4-Sektor účty-investice'!$G$44:$S$44</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'4-Sektor účty-investice'!$G$52:$S$52</c:f>
              <c:numCache>
                <c:formatCode>0.0</c:formatCode>
                <c:ptCount val="13"/>
                <c:pt idx="0">
                  <c:v>34.578829288190903</c:v>
                </c:pt>
                <c:pt idx="1">
                  <c:v>39.260321407959637</c:v>
                </c:pt>
                <c:pt idx="2">
                  <c:v>43.544707023499846</c:v>
                </c:pt>
                <c:pt idx="3">
                  <c:v>40.311078075875997</c:v>
                </c:pt>
                <c:pt idx="4">
                  <c:v>40.473871803361398</c:v>
                </c:pt>
                <c:pt idx="5">
                  <c:v>43.145853193517624</c:v>
                </c:pt>
                <c:pt idx="6">
                  <c:v>45.959876726450375</c:v>
                </c:pt>
                <c:pt idx="7">
                  <c:v>41.516685205783986</c:v>
                </c:pt>
                <c:pt idx="8">
                  <c:v>46.257778774457584</c:v>
                </c:pt>
                <c:pt idx="9">
                  <c:v>42.531851042830446</c:v>
                </c:pt>
                <c:pt idx="10">
                  <c:v>40.382683350077393</c:v>
                </c:pt>
                <c:pt idx="11">
                  <c:v>35.572257041063104</c:v>
                </c:pt>
              </c:numCache>
            </c:numRef>
          </c:val>
          <c:extLst xmlns:c16r2="http://schemas.microsoft.com/office/drawing/2015/06/chart">
            <c:ext xmlns:c16="http://schemas.microsoft.com/office/drawing/2014/chart" uri="{C3380CC4-5D6E-409C-BE32-E72D297353CC}">
              <c16:uniqueId val="{00000000-EA9A-4BDF-99F3-9C8030C10036}"/>
            </c:ext>
          </c:extLst>
        </c:ser>
        <c:ser>
          <c:idx val="9"/>
          <c:order val="8"/>
          <c:tx>
            <c:strRef>
              <c:f>'4-Sektor účty-investice'!$A$53</c:f>
              <c:strCache>
                <c:ptCount val="1"/>
                <c:pt idx="0">
                  <c:v>Soukromé národní podniky (ČR)</c:v>
                </c:pt>
              </c:strCache>
            </c:strRef>
          </c:tx>
          <c:spPr>
            <a:solidFill>
              <a:srgbClr val="BFE3F8"/>
            </a:solidFill>
          </c:spPr>
          <c:cat>
            <c:strRef>
              <c:f>'4-Sektor účty-investice'!$G$44:$S$44</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'4-Sektor účty-investice'!$G$53:$S$53</c:f>
              <c:numCache>
                <c:formatCode>0.0</c:formatCode>
                <c:ptCount val="13"/>
                <c:pt idx="0">
                  <c:v>30.209379312492146</c:v>
                </c:pt>
                <c:pt idx="1">
                  <c:v>29.559065048325788</c:v>
                </c:pt>
                <c:pt idx="2">
                  <c:v>31.41982560708783</c:v>
                </c:pt>
                <c:pt idx="3">
                  <c:v>30.743776148828189</c:v>
                </c:pt>
                <c:pt idx="4">
                  <c:v>26.645533744679089</c:v>
                </c:pt>
                <c:pt idx="5">
                  <c:v>30.608494102607768</c:v>
                </c:pt>
                <c:pt idx="6">
                  <c:v>30.493199118915889</c:v>
                </c:pt>
                <c:pt idx="7">
                  <c:v>30.908346218039725</c:v>
                </c:pt>
                <c:pt idx="8">
                  <c:v>30.381537001646372</c:v>
                </c:pt>
                <c:pt idx="9">
                  <c:v>28.511007070713788</c:v>
                </c:pt>
                <c:pt idx="10">
                  <c:v>29.215115898961038</c:v>
                </c:pt>
                <c:pt idx="11">
                  <c:v>29.89640104909909</c:v>
                </c:pt>
              </c:numCache>
            </c:numRef>
          </c:val>
          <c:extLst xmlns:c16r2="http://schemas.microsoft.com/office/drawing/2015/06/chart">
            <c:ext xmlns:c16="http://schemas.microsoft.com/office/drawing/2014/chart" uri="{C3380CC4-5D6E-409C-BE32-E72D297353CC}">
              <c16:uniqueId val="{00000001-EA9A-4BDF-99F3-9C8030C10036}"/>
            </c:ext>
          </c:extLst>
        </c:ser>
        <c:ser>
          <c:idx val="10"/>
          <c:order val="9"/>
          <c:tx>
            <c:strRef>
              <c:f>'4-Sektor účty-investice'!$A$54</c:f>
              <c:strCache>
                <c:ptCount val="1"/>
                <c:pt idx="0">
                  <c:v>Podniky pod zahr. kontrolou (ČR)</c:v>
                </c:pt>
              </c:strCache>
            </c:strRef>
          </c:tx>
          <c:spPr>
            <a:ln w="19050"/>
          </c:spPr>
          <c:cat>
            <c:strRef>
              <c:f>'4-Sektor účty-investice'!$G$44:$S$44</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'4-Sektor účty-investice'!$G$54:$S$54</c:f>
              <c:numCache>
                <c:formatCode>0.0</c:formatCode>
                <c:ptCount val="13"/>
                <c:pt idx="0">
                  <c:v>35.058540891789811</c:v>
                </c:pt>
                <c:pt idx="1">
                  <c:v>30.515759470535556</c:v>
                </c:pt>
                <c:pt idx="2">
                  <c:v>33.422577747138213</c:v>
                </c:pt>
                <c:pt idx="3">
                  <c:v>31.25633141482254</c:v>
                </c:pt>
                <c:pt idx="4">
                  <c:v>28.148922641629689</c:v>
                </c:pt>
                <c:pt idx="5">
                  <c:v>25.09391374849233</c:v>
                </c:pt>
                <c:pt idx="6">
                  <c:v>27.781846709523009</c:v>
                </c:pt>
                <c:pt idx="7">
                  <c:v>28.917193713589739</c:v>
                </c:pt>
                <c:pt idx="8">
                  <c:v>27.875429548269082</c:v>
                </c:pt>
                <c:pt idx="9">
                  <c:v>26.267307242603167</c:v>
                </c:pt>
                <c:pt idx="10">
                  <c:v>26.900975140103277</c:v>
                </c:pt>
                <c:pt idx="11">
                  <c:v>26.990374934873014</c:v>
                </c:pt>
              </c:numCache>
            </c:numRef>
          </c:val>
          <c:extLst xmlns:c16r2="http://schemas.microsoft.com/office/drawing/2015/06/chart">
            <c:ext xmlns:c16="http://schemas.microsoft.com/office/drawing/2014/chart" uri="{C3380CC4-5D6E-409C-BE32-E72D297353CC}">
              <c16:uniqueId val="{00000002-EA9A-4BDF-99F3-9C8030C10036}"/>
            </c:ext>
          </c:extLst>
        </c:ser>
        <c:axId val="129012864"/>
        <c:axId val="129014400"/>
      </c:barChart>
      <c:lineChart>
        <c:grouping val="standard"/>
        <c:ser>
          <c:idx val="0"/>
          <c:order val="0"/>
          <c:tx>
            <c:strRef>
              <c:f>'4-Sektor účty-investice'!$A$45</c:f>
              <c:strCache>
                <c:ptCount val="1"/>
                <c:pt idx="0">
                  <c:v>ČR (nefinanční podniky celkem)</c:v>
                </c:pt>
              </c:strCache>
            </c:strRef>
          </c:tx>
          <c:spPr>
            <a:ln w="22225">
              <a:solidFill>
                <a:schemeClr val="tx1">
                  <a:lumMod val="95000"/>
                  <a:lumOff val="5000"/>
                </a:schemeClr>
              </a:solidFill>
            </a:ln>
          </c:spPr>
          <c:marker>
            <c:symbol val="none"/>
          </c:marker>
          <c:cat>
            <c:strRef>
              <c:f>'4-Sektor účty-investice'!$G$44:$S$44</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'4-Sektor účty-investice'!$G$45:$S$45</c:f>
              <c:numCache>
                <c:formatCode>#,##0.00</c:formatCode>
                <c:ptCount val="13"/>
                <c:pt idx="0">
                  <c:v>32.51</c:v>
                </c:pt>
                <c:pt idx="1">
                  <c:v>30.86</c:v>
                </c:pt>
                <c:pt idx="2">
                  <c:v>33.410000000000004</c:v>
                </c:pt>
                <c:pt idx="3">
                  <c:v>31.85</c:v>
                </c:pt>
                <c:pt idx="4">
                  <c:v>28.77</c:v>
                </c:pt>
                <c:pt idx="5">
                  <c:v>29.07</c:v>
                </c:pt>
                <c:pt idx="6">
                  <c:v>30.54</c:v>
                </c:pt>
                <c:pt idx="7">
                  <c:v>30.85</c:v>
                </c:pt>
                <c:pt idx="8">
                  <c:v>30.49</c:v>
                </c:pt>
                <c:pt idx="9">
                  <c:v>28.610000000000031</c:v>
                </c:pt>
                <c:pt idx="10">
                  <c:v>28.97</c:v>
                </c:pt>
                <c:pt idx="11">
                  <c:v>28.91</c:v>
                </c:pt>
                <c:pt idx="12">
                  <c:v>28.09</c:v>
                </c:pt>
              </c:numCache>
            </c:numRef>
          </c:val>
          <c:extLst xmlns:c16r2="http://schemas.microsoft.com/office/drawing/2015/06/chart">
            <c:ext xmlns:c16="http://schemas.microsoft.com/office/drawing/2014/chart" uri="{C3380CC4-5D6E-409C-BE32-E72D297353CC}">
              <c16:uniqueId val="{00000003-EA9A-4BDF-99F3-9C8030C10036}"/>
            </c:ext>
          </c:extLst>
        </c:ser>
        <c:ser>
          <c:idx val="1"/>
          <c:order val="1"/>
          <c:tx>
            <c:strRef>
              <c:f>'4-Sektor účty-investice'!$A$46</c:f>
              <c:strCache>
                <c:ptCount val="1"/>
                <c:pt idx="0">
                  <c:v>EU28</c:v>
                </c:pt>
              </c:strCache>
            </c:strRef>
          </c:tx>
          <c:spPr>
            <a:ln w="22225">
              <a:noFill/>
            </a:ln>
          </c:spPr>
          <c:marker>
            <c:symbol val="diamond"/>
            <c:size val="7"/>
            <c:spPr>
              <a:solidFill>
                <a:srgbClr val="FFFF00"/>
              </a:solidFill>
              <a:ln>
                <a:solidFill>
                  <a:schemeClr val="tx1">
                    <a:lumMod val="95000"/>
                    <a:lumOff val="5000"/>
                  </a:schemeClr>
                </a:solidFill>
              </a:ln>
            </c:spPr>
          </c:marker>
          <c:cat>
            <c:strRef>
              <c:f>'4-Sektor účty-investice'!$G$44:$S$44</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'4-Sektor účty-investice'!$G$46:$S$46</c:f>
              <c:numCache>
                <c:formatCode>#,##0.00</c:formatCode>
                <c:ptCount val="13"/>
                <c:pt idx="0">
                  <c:v>23.19</c:v>
                </c:pt>
                <c:pt idx="1">
                  <c:v>23.87</c:v>
                </c:pt>
                <c:pt idx="2">
                  <c:v>24.459999999999987</c:v>
                </c:pt>
                <c:pt idx="3">
                  <c:v>24.17</c:v>
                </c:pt>
                <c:pt idx="4">
                  <c:v>21.43</c:v>
                </c:pt>
                <c:pt idx="5">
                  <c:v>21.150000000000031</c:v>
                </c:pt>
                <c:pt idx="6">
                  <c:v>21.85</c:v>
                </c:pt>
                <c:pt idx="7">
                  <c:v>21.9</c:v>
                </c:pt>
                <c:pt idx="8">
                  <c:v>21.68</c:v>
                </c:pt>
                <c:pt idx="9">
                  <c:v>22.01</c:v>
                </c:pt>
                <c:pt idx="10">
                  <c:v>22.37</c:v>
                </c:pt>
                <c:pt idx="11">
                  <c:v>22.86</c:v>
                </c:pt>
                <c:pt idx="12">
                  <c:v>22.95</c:v>
                </c:pt>
              </c:numCache>
            </c:numRef>
          </c:val>
          <c:extLst xmlns:c16r2="http://schemas.microsoft.com/office/drawing/2015/06/chart">
            <c:ext xmlns:c16="http://schemas.microsoft.com/office/drawing/2014/chart" uri="{C3380CC4-5D6E-409C-BE32-E72D297353CC}">
              <c16:uniqueId val="{00000004-EA9A-4BDF-99F3-9C8030C10036}"/>
            </c:ext>
          </c:extLst>
        </c:ser>
        <c:ser>
          <c:idx val="2"/>
          <c:order val="2"/>
          <c:tx>
            <c:strRef>
              <c:f>'4-Sektor účty-investice'!$A$47</c:f>
              <c:strCache>
                <c:ptCount val="1"/>
                <c:pt idx="0">
                  <c:v>Německo</c:v>
                </c:pt>
              </c:strCache>
            </c:strRef>
          </c:tx>
          <c:spPr>
            <a:ln w="19050">
              <a:solidFill>
                <a:srgbClr val="BD1B21"/>
              </a:solidFill>
              <a:prstDash val="solid"/>
            </a:ln>
          </c:spPr>
          <c:marker>
            <c:symbol val="none"/>
          </c:marker>
          <c:cat>
            <c:strRef>
              <c:f>'4-Sektor účty-investice'!$G$44:$S$44</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'4-Sektor účty-investice'!$G$47:$S$47</c:f>
              <c:numCache>
                <c:formatCode>#,##0.00</c:formatCode>
                <c:ptCount val="13"/>
                <c:pt idx="0">
                  <c:v>19.920000000000002</c:v>
                </c:pt>
                <c:pt idx="1">
                  <c:v>20.09</c:v>
                </c:pt>
                <c:pt idx="2">
                  <c:v>20.77</c:v>
                </c:pt>
                <c:pt idx="3">
                  <c:v>21.21</c:v>
                </c:pt>
                <c:pt idx="4">
                  <c:v>21.51</c:v>
                </c:pt>
                <c:pt idx="5">
                  <c:v>19.600000000000001</c:v>
                </c:pt>
                <c:pt idx="6">
                  <c:v>19.600000000000001</c:v>
                </c:pt>
                <c:pt idx="7">
                  <c:v>20.29</c:v>
                </c:pt>
                <c:pt idx="8">
                  <c:v>19.899999999999999</c:v>
                </c:pt>
                <c:pt idx="9">
                  <c:v>19.52</c:v>
                </c:pt>
                <c:pt idx="10">
                  <c:v>19.89</c:v>
                </c:pt>
                <c:pt idx="11">
                  <c:v>19.88</c:v>
                </c:pt>
                <c:pt idx="12">
                  <c:v>19.989999999999867</c:v>
                </c:pt>
              </c:numCache>
            </c:numRef>
          </c:val>
          <c:extLst xmlns:c16r2="http://schemas.microsoft.com/office/drawing/2015/06/chart">
            <c:ext xmlns:c16="http://schemas.microsoft.com/office/drawing/2014/chart" uri="{C3380CC4-5D6E-409C-BE32-E72D297353CC}">
              <c16:uniqueId val="{00000005-EA9A-4BDF-99F3-9C8030C10036}"/>
            </c:ext>
          </c:extLst>
        </c:ser>
        <c:ser>
          <c:idx val="3"/>
          <c:order val="3"/>
          <c:tx>
            <c:strRef>
              <c:f>'4-Sektor účty-investice'!$A$48</c:f>
              <c:strCache>
                <c:ptCount val="1"/>
                <c:pt idx="0">
                  <c:v>Rakousko</c:v>
                </c:pt>
              </c:strCache>
            </c:strRef>
          </c:tx>
          <c:spPr>
            <a:ln w="19050">
              <a:solidFill>
                <a:srgbClr val="F8A124"/>
              </a:solidFill>
              <a:prstDash val="solid"/>
            </a:ln>
          </c:spPr>
          <c:marker>
            <c:symbol val="none"/>
          </c:marker>
          <c:cat>
            <c:strRef>
              <c:f>'4-Sektor účty-investice'!$G$44:$S$44</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'4-Sektor účty-investice'!$G$48:$S$48</c:f>
              <c:numCache>
                <c:formatCode>#,##0.00</c:formatCode>
                <c:ptCount val="13"/>
                <c:pt idx="0">
                  <c:v>27.74</c:v>
                </c:pt>
                <c:pt idx="1">
                  <c:v>26.150000000000031</c:v>
                </c:pt>
                <c:pt idx="2">
                  <c:v>25.35</c:v>
                </c:pt>
                <c:pt idx="3">
                  <c:v>25.759999999999987</c:v>
                </c:pt>
                <c:pt idx="4">
                  <c:v>25.97</c:v>
                </c:pt>
                <c:pt idx="5">
                  <c:v>24.7</c:v>
                </c:pt>
                <c:pt idx="6">
                  <c:v>23.19</c:v>
                </c:pt>
                <c:pt idx="7">
                  <c:v>24.779999999999987</c:v>
                </c:pt>
                <c:pt idx="8">
                  <c:v>25.3</c:v>
                </c:pt>
                <c:pt idx="9">
                  <c:v>25.830000000000005</c:v>
                </c:pt>
                <c:pt idx="10">
                  <c:v>25.310000000000031</c:v>
                </c:pt>
                <c:pt idx="11">
                  <c:v>25.130000000000031</c:v>
                </c:pt>
                <c:pt idx="12">
                  <c:v>26.02</c:v>
                </c:pt>
              </c:numCache>
            </c:numRef>
          </c:val>
          <c:extLst xmlns:c16r2="http://schemas.microsoft.com/office/drawing/2015/06/chart">
            <c:ext xmlns:c16="http://schemas.microsoft.com/office/drawing/2014/chart" uri="{C3380CC4-5D6E-409C-BE32-E72D297353CC}">
              <c16:uniqueId val="{00000006-EA9A-4BDF-99F3-9C8030C10036}"/>
            </c:ext>
          </c:extLst>
        </c:ser>
        <c:ser>
          <c:idx val="4"/>
          <c:order val="4"/>
          <c:tx>
            <c:strRef>
              <c:f>'4-Sektor účty-investice'!$A$49</c:f>
              <c:strCache>
                <c:ptCount val="1"/>
                <c:pt idx="0">
                  <c:v>Polsko</c:v>
                </c:pt>
              </c:strCache>
            </c:strRef>
          </c:tx>
          <c:spPr>
            <a:ln w="19050">
              <a:solidFill>
                <a:srgbClr val="7030A0"/>
              </a:solidFill>
              <a:prstDash val="solid"/>
            </a:ln>
          </c:spPr>
          <c:marker>
            <c:symbol val="none"/>
          </c:marker>
          <c:cat>
            <c:strRef>
              <c:f>'4-Sektor účty-investice'!$G$44:$S$44</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'4-Sektor účty-investice'!$G$49:$S$49</c:f>
              <c:numCache>
                <c:formatCode>#,##0.00</c:formatCode>
                <c:ptCount val="13"/>
                <c:pt idx="0">
                  <c:v>23.29</c:v>
                </c:pt>
                <c:pt idx="1">
                  <c:v>23.24</c:v>
                </c:pt>
                <c:pt idx="2">
                  <c:v>24.89</c:v>
                </c:pt>
                <c:pt idx="3">
                  <c:v>27.610000000000031</c:v>
                </c:pt>
                <c:pt idx="4">
                  <c:v>27.68</c:v>
                </c:pt>
                <c:pt idx="5">
                  <c:v>23.87</c:v>
                </c:pt>
                <c:pt idx="6">
                  <c:v>21.16</c:v>
                </c:pt>
                <c:pt idx="7">
                  <c:v>21.830000000000005</c:v>
                </c:pt>
                <c:pt idx="8">
                  <c:v>21.630000000000031</c:v>
                </c:pt>
                <c:pt idx="9">
                  <c:v>21.54</c:v>
                </c:pt>
                <c:pt idx="10">
                  <c:v>22.1</c:v>
                </c:pt>
                <c:pt idx="11">
                  <c:v>23.06</c:v>
                </c:pt>
                <c:pt idx="12">
                  <c:v>21.59</c:v>
                </c:pt>
              </c:numCache>
            </c:numRef>
          </c:val>
          <c:extLst xmlns:c16r2="http://schemas.microsoft.com/office/drawing/2015/06/chart">
            <c:ext xmlns:c16="http://schemas.microsoft.com/office/drawing/2014/chart" uri="{C3380CC4-5D6E-409C-BE32-E72D297353CC}">
              <c16:uniqueId val="{00000007-EA9A-4BDF-99F3-9C8030C10036}"/>
            </c:ext>
          </c:extLst>
        </c:ser>
        <c:ser>
          <c:idx val="5"/>
          <c:order val="5"/>
          <c:tx>
            <c:strRef>
              <c:f>'4-Sektor účty-investice'!$A$50</c:f>
              <c:strCache>
                <c:ptCount val="1"/>
                <c:pt idx="0">
                  <c:v>Slovensko</c:v>
                </c:pt>
              </c:strCache>
            </c:strRef>
          </c:tx>
          <c:spPr>
            <a:ln w="19050">
              <a:solidFill>
                <a:srgbClr val="0071BC"/>
              </a:solidFill>
              <a:prstDash val="solid"/>
            </a:ln>
          </c:spPr>
          <c:marker>
            <c:symbol val="none"/>
          </c:marker>
          <c:cat>
            <c:strRef>
              <c:f>'4-Sektor účty-investice'!$G$44:$S$44</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'4-Sektor účty-investice'!$G$50:$S$50</c:f>
              <c:numCache>
                <c:formatCode>#,##0.00</c:formatCode>
                <c:ptCount val="13"/>
                <c:pt idx="0">
                  <c:v>36.47</c:v>
                </c:pt>
                <c:pt idx="1">
                  <c:v>40.75</c:v>
                </c:pt>
                <c:pt idx="2">
                  <c:v>37.800000000000004</c:v>
                </c:pt>
                <c:pt idx="3">
                  <c:v>37.97</c:v>
                </c:pt>
                <c:pt idx="4">
                  <c:v>35.550000000000004</c:v>
                </c:pt>
                <c:pt idx="5">
                  <c:v>27.759999999999987</c:v>
                </c:pt>
                <c:pt idx="6">
                  <c:v>29.45</c:v>
                </c:pt>
                <c:pt idx="7">
                  <c:v>32.760000000000012</c:v>
                </c:pt>
                <c:pt idx="8">
                  <c:v>27.7</c:v>
                </c:pt>
                <c:pt idx="9">
                  <c:v>27.279999999999987</c:v>
                </c:pt>
                <c:pt idx="10">
                  <c:v>26.37</c:v>
                </c:pt>
                <c:pt idx="11">
                  <c:v>27.91</c:v>
                </c:pt>
                <c:pt idx="12">
                  <c:v>27.939999999999987</c:v>
                </c:pt>
              </c:numCache>
            </c:numRef>
          </c:val>
          <c:extLst xmlns:c16r2="http://schemas.microsoft.com/office/drawing/2015/06/chart">
            <c:ext xmlns:c16="http://schemas.microsoft.com/office/drawing/2014/chart" uri="{C3380CC4-5D6E-409C-BE32-E72D297353CC}">
              <c16:uniqueId val="{00000008-EA9A-4BDF-99F3-9C8030C10036}"/>
            </c:ext>
          </c:extLst>
        </c:ser>
        <c:ser>
          <c:idx val="7"/>
          <c:order val="6"/>
          <c:tx>
            <c:strRef>
              <c:f>'4-Sektor účty-investice'!$A$51</c:f>
              <c:strCache>
                <c:ptCount val="1"/>
                <c:pt idx="0">
                  <c:v>Rumunsko</c:v>
                </c:pt>
              </c:strCache>
            </c:strRef>
          </c:tx>
          <c:spPr>
            <a:ln w="19050">
              <a:solidFill>
                <a:srgbClr val="80BB2D"/>
              </a:solidFill>
              <a:prstDash val="solid"/>
            </a:ln>
          </c:spPr>
          <c:marker>
            <c:symbol val="none"/>
          </c:marker>
          <c:cat>
            <c:strRef>
              <c:f>'4-Sektor účty-investice'!$G$44:$S$44</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'4-Sektor účty-investice'!$G$51:$S$51</c:f>
              <c:numCache>
                <c:formatCode>#,##0.00</c:formatCode>
                <c:ptCount val="13"/>
                <c:pt idx="0">
                  <c:v>34.520000000000003</c:v>
                </c:pt>
                <c:pt idx="1">
                  <c:v>36.65</c:v>
                </c:pt>
                <c:pt idx="2">
                  <c:v>37.61</c:v>
                </c:pt>
                <c:pt idx="3">
                  <c:v>41.08</c:v>
                </c:pt>
                <c:pt idx="4">
                  <c:v>44.78</c:v>
                </c:pt>
                <c:pt idx="5">
                  <c:v>31.97</c:v>
                </c:pt>
                <c:pt idx="6">
                  <c:v>25.66</c:v>
                </c:pt>
                <c:pt idx="7">
                  <c:v>31.610000000000031</c:v>
                </c:pt>
                <c:pt idx="8">
                  <c:v>32.14</c:v>
                </c:pt>
                <c:pt idx="9">
                  <c:v>29.04</c:v>
                </c:pt>
                <c:pt idx="10">
                  <c:v>27.23</c:v>
                </c:pt>
                <c:pt idx="11">
                  <c:v>26.72</c:v>
                </c:pt>
                <c:pt idx="12">
                  <c:v>25.36</c:v>
                </c:pt>
              </c:numCache>
            </c:numRef>
          </c:val>
          <c:extLst xmlns:c16r2="http://schemas.microsoft.com/office/drawing/2015/06/chart">
            <c:ext xmlns:c16="http://schemas.microsoft.com/office/drawing/2014/chart" uri="{C3380CC4-5D6E-409C-BE32-E72D297353CC}">
              <c16:uniqueId val="{00000009-EA9A-4BDF-99F3-9C8030C10036}"/>
            </c:ext>
          </c:extLst>
        </c:ser>
        <c:marker val="1"/>
        <c:axId val="129012864"/>
        <c:axId val="129014400"/>
      </c:lineChart>
      <c:catAx>
        <c:axId val="129012864"/>
        <c:scaling>
          <c:orientation val="minMax"/>
        </c:scaling>
        <c:axPos val="b"/>
        <c:numFmt formatCode="General" sourceLinked="1"/>
        <c:majorTickMark val="none"/>
        <c:tickLblPos val="nextTo"/>
        <c:txPr>
          <a:bodyPr/>
          <a:lstStyle/>
          <a:p>
            <a:pPr>
              <a:defRPr sz="800">
                <a:latin typeface="Arial" pitchFamily="34" charset="0"/>
                <a:cs typeface="Arial" pitchFamily="34" charset="0"/>
              </a:defRPr>
            </a:pPr>
            <a:endParaRPr lang="cs-CZ"/>
          </a:p>
        </c:txPr>
        <c:crossAx val="129014400"/>
        <c:crosses val="autoZero"/>
        <c:auto val="1"/>
        <c:lblAlgn val="ctr"/>
        <c:lblOffset val="20"/>
      </c:catAx>
      <c:valAx>
        <c:axId val="129014400"/>
        <c:scaling>
          <c:orientation val="minMax"/>
        </c:scaling>
        <c:axPos val="l"/>
        <c:majorGridlines>
          <c:spPr>
            <a:ln w="9525">
              <a:solidFill>
                <a:srgbClr val="BFBFBF"/>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29012864"/>
        <c:crosses val="autoZero"/>
        <c:crossBetween val="between"/>
      </c:valAx>
      <c:spPr>
        <a:ln>
          <a:solidFill>
            <a:sysClr val="windowText" lastClr="000000">
              <a:lumMod val="95000"/>
              <a:lumOff val="5000"/>
            </a:sysClr>
          </a:solidFill>
        </a:ln>
      </c:spPr>
    </c:plotArea>
    <c:legend>
      <c:legendPos val="r"/>
      <c:layout>
        <c:manualLayout>
          <c:xMode val="edge"/>
          <c:yMode val="edge"/>
          <c:x val="4.9965831362338904E-2"/>
          <c:y val="0.80989824132945964"/>
          <c:w val="0.93865122230052633"/>
          <c:h val="0.17940657150476524"/>
        </c:manualLayout>
      </c:layout>
      <c:spPr>
        <a:ln>
          <a:solidFill>
            <a:schemeClr val="tx1">
              <a:lumMod val="95000"/>
              <a:lumOff val="5000"/>
            </a:schemeClr>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26.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0.10608838874897725"/>
          <c:y val="2.1390374331550797E-2"/>
          <c:w val="0.87783863049508692"/>
          <c:h val="0.72503880865159931"/>
        </c:manualLayout>
      </c:layout>
      <c:lineChart>
        <c:grouping val="standard"/>
        <c:ser>
          <c:idx val="0"/>
          <c:order val="0"/>
          <c:tx>
            <c:strRef>
              <c:f>'5-Sektor-nef. podn-úvěry'!$AB$5</c:f>
              <c:strCache>
                <c:ptCount val="1"/>
                <c:pt idx="0">
                  <c:v>Klientské úvěry nefinančním podnikům celkem (y/y, v %)</c:v>
                </c:pt>
              </c:strCache>
            </c:strRef>
          </c:tx>
          <c:spPr>
            <a:ln w="22225">
              <a:solidFill>
                <a:schemeClr val="tx1">
                  <a:lumMod val="95000"/>
                  <a:lumOff val="5000"/>
                </a:schemeClr>
              </a:solidFill>
            </a:ln>
          </c:spPr>
          <c:marker>
            <c:symbol val="none"/>
          </c:marker>
          <c:cat>
            <c:multiLvlStrRef>
              <c:f>'5-Sektor-nef. podn-úvěry'!$Z$6:$AA$137</c:f>
              <c:multiLvlStrCache>
                <c:ptCount val="129"/>
                <c:lvl>
                  <c:pt idx="0">
                    <c:v>1</c:v>
                  </c:pt>
                  <c:pt idx="4">
                    <c:v>5</c:v>
                  </c:pt>
                  <c:pt idx="8">
                    <c:v>9</c:v>
                  </c:pt>
                  <c:pt idx="12">
                    <c:v>1</c:v>
                  </c:pt>
                  <c:pt idx="16">
                    <c:v>5</c:v>
                  </c:pt>
                  <c:pt idx="20">
                    <c:v>9</c:v>
                  </c:pt>
                  <c:pt idx="24">
                    <c:v>1</c:v>
                  </c:pt>
                  <c:pt idx="28">
                    <c:v>5</c:v>
                  </c:pt>
                  <c:pt idx="32">
                    <c:v>9</c:v>
                  </c:pt>
                  <c:pt idx="36">
                    <c:v>1</c:v>
                  </c:pt>
                  <c:pt idx="40">
                    <c:v>5</c:v>
                  </c:pt>
                  <c:pt idx="44">
                    <c:v>9</c:v>
                  </c:pt>
                  <c:pt idx="48">
                    <c:v>1</c:v>
                  </c:pt>
                  <c:pt idx="52">
                    <c:v>5</c:v>
                  </c:pt>
                  <c:pt idx="56">
                    <c:v>9</c:v>
                  </c:pt>
                  <c:pt idx="60">
                    <c:v>1</c:v>
                  </c:pt>
                  <c:pt idx="64">
                    <c:v>5</c:v>
                  </c:pt>
                  <c:pt idx="68">
                    <c:v>9</c:v>
                  </c:pt>
                  <c:pt idx="72">
                    <c:v>1</c:v>
                  </c:pt>
                  <c:pt idx="76">
                    <c:v>5</c:v>
                  </c:pt>
                  <c:pt idx="80">
                    <c:v>9</c:v>
                  </c:pt>
                  <c:pt idx="84">
                    <c:v>1</c:v>
                  </c:pt>
                  <c:pt idx="88">
                    <c:v>5</c:v>
                  </c:pt>
                  <c:pt idx="92">
                    <c:v>9</c:v>
                  </c:pt>
                  <c:pt idx="96">
                    <c:v>1</c:v>
                  </c:pt>
                  <c:pt idx="100">
                    <c:v>5</c:v>
                  </c:pt>
                  <c:pt idx="104">
                    <c:v>9</c:v>
                  </c:pt>
                  <c:pt idx="108">
                    <c:v>1</c:v>
                  </c:pt>
                  <c:pt idx="112">
                    <c:v>5</c:v>
                  </c:pt>
                  <c:pt idx="116">
                    <c:v>9</c:v>
                  </c:pt>
                  <c:pt idx="120">
                    <c:v>1</c:v>
                  </c:pt>
                  <c:pt idx="124">
                    <c:v>5</c:v>
                  </c:pt>
                  <c:pt idx="128">
                    <c:v>9</c:v>
                  </c:pt>
                </c:lvl>
                <c:lvl>
                  <c:pt idx="0">
                    <c:v>2008</c:v>
                  </c:pt>
                  <c:pt idx="12">
                    <c:v>2009</c:v>
                  </c:pt>
                  <c:pt idx="24">
                    <c:v>2010</c:v>
                  </c:pt>
                  <c:pt idx="36">
                    <c:v>2011</c:v>
                  </c:pt>
                  <c:pt idx="48">
                    <c:v>2012</c:v>
                  </c:pt>
                  <c:pt idx="60">
                    <c:v>2013</c:v>
                  </c:pt>
                  <c:pt idx="72">
                    <c:v>2014</c:v>
                  </c:pt>
                  <c:pt idx="84">
                    <c:v>2015</c:v>
                  </c:pt>
                  <c:pt idx="96">
                    <c:v>2016</c:v>
                  </c:pt>
                  <c:pt idx="108">
                    <c:v>2017</c:v>
                  </c:pt>
                  <c:pt idx="120">
                    <c:v>2018</c:v>
                  </c:pt>
                </c:lvl>
              </c:multiLvlStrCache>
            </c:multiLvlStrRef>
          </c:cat>
          <c:val>
            <c:numRef>
              <c:f>'5-Sektor-nef. podn-úvěry'!$AB$6:$AB$137</c:f>
              <c:numCache>
                <c:formatCode>0.0</c:formatCode>
                <c:ptCount val="132"/>
                <c:pt idx="0">
                  <c:v>16.442496165672289</c:v>
                </c:pt>
                <c:pt idx="1">
                  <c:v>16.67307612994999</c:v>
                </c:pt>
                <c:pt idx="2">
                  <c:v>16.540607122939829</c:v>
                </c:pt>
                <c:pt idx="3">
                  <c:v>16.079863277964179</c:v>
                </c:pt>
                <c:pt idx="4">
                  <c:v>16.306179607415046</c:v>
                </c:pt>
                <c:pt idx="5">
                  <c:v>15.523992309238508</c:v>
                </c:pt>
                <c:pt idx="6">
                  <c:v>13.963941251569729</c:v>
                </c:pt>
                <c:pt idx="7">
                  <c:v>13.84590013961116</c:v>
                </c:pt>
                <c:pt idx="8">
                  <c:v>14.342194396868249</c:v>
                </c:pt>
                <c:pt idx="9">
                  <c:v>15.233431182923397</c:v>
                </c:pt>
                <c:pt idx="10">
                  <c:v>15.562951921750448</c:v>
                </c:pt>
                <c:pt idx="11">
                  <c:v>14.082757136323353</c:v>
                </c:pt>
                <c:pt idx="12">
                  <c:v>13.652450828420712</c:v>
                </c:pt>
                <c:pt idx="13">
                  <c:v>12.4425981224287</c:v>
                </c:pt>
                <c:pt idx="14">
                  <c:v>9.5117362438631048</c:v>
                </c:pt>
                <c:pt idx="15">
                  <c:v>6.3508949958355458</c:v>
                </c:pt>
                <c:pt idx="16">
                  <c:v>3.7725426672167544</c:v>
                </c:pt>
                <c:pt idx="17">
                  <c:v>1.2746259251352261</c:v>
                </c:pt>
                <c:pt idx="18">
                  <c:v>0.29449198330830673</c:v>
                </c:pt>
                <c:pt idx="19">
                  <c:v>-1.8342001571820106</c:v>
                </c:pt>
                <c:pt idx="20">
                  <c:v>-4.7211958704195665</c:v>
                </c:pt>
                <c:pt idx="21">
                  <c:v>-5.8812635595394482</c:v>
                </c:pt>
                <c:pt idx="22">
                  <c:v>-7.0959308507602357</c:v>
                </c:pt>
                <c:pt idx="23">
                  <c:v>-7.7687012038179946</c:v>
                </c:pt>
                <c:pt idx="24">
                  <c:v>-7.6654904744944865</c:v>
                </c:pt>
                <c:pt idx="25">
                  <c:v>-7.6864427520000804</c:v>
                </c:pt>
                <c:pt idx="26">
                  <c:v>-7.0984230980361804</c:v>
                </c:pt>
                <c:pt idx="27">
                  <c:v>-7.3611445117315055</c:v>
                </c:pt>
                <c:pt idx="28">
                  <c:v>-6.4475039005946924</c:v>
                </c:pt>
                <c:pt idx="29">
                  <c:v>-5.6762330489077186</c:v>
                </c:pt>
                <c:pt idx="30">
                  <c:v>-4.6642201857598904</c:v>
                </c:pt>
                <c:pt idx="31">
                  <c:v>-3.6842239817954412</c:v>
                </c:pt>
                <c:pt idx="32">
                  <c:v>-3.3338030181673401</c:v>
                </c:pt>
                <c:pt idx="33">
                  <c:v>-2.2297299150858132</c:v>
                </c:pt>
                <c:pt idx="34">
                  <c:v>-1.0995435951385133</c:v>
                </c:pt>
                <c:pt idx="35">
                  <c:v>-0.22501085102044271</c:v>
                </c:pt>
                <c:pt idx="36">
                  <c:v>0.50967148387792349</c:v>
                </c:pt>
                <c:pt idx="37">
                  <c:v>1.4999685795771278</c:v>
                </c:pt>
                <c:pt idx="38">
                  <c:v>2.2490280255224802</c:v>
                </c:pt>
                <c:pt idx="39">
                  <c:v>5.3931865091606745</c:v>
                </c:pt>
                <c:pt idx="40">
                  <c:v>5.6532238599180289</c:v>
                </c:pt>
                <c:pt idx="41">
                  <c:v>5.4232937854628478</c:v>
                </c:pt>
                <c:pt idx="42">
                  <c:v>6.2976429509488838</c:v>
                </c:pt>
                <c:pt idx="43">
                  <c:v>5.5203290960219107</c:v>
                </c:pt>
                <c:pt idx="44">
                  <c:v>6.4114675658127034</c:v>
                </c:pt>
                <c:pt idx="45">
                  <c:v>6.4382123785680294</c:v>
                </c:pt>
                <c:pt idx="46">
                  <c:v>6.5650233173152355</c:v>
                </c:pt>
                <c:pt idx="47">
                  <c:v>6.1030887677154757</c:v>
                </c:pt>
                <c:pt idx="48">
                  <c:v>5.8446021805605834</c:v>
                </c:pt>
                <c:pt idx="49">
                  <c:v>5.5634996158659362</c:v>
                </c:pt>
                <c:pt idx="50">
                  <c:v>5.1376493359477564</c:v>
                </c:pt>
                <c:pt idx="51">
                  <c:v>3.6508056562632727</c:v>
                </c:pt>
                <c:pt idx="52">
                  <c:v>3.9435281777768982</c:v>
                </c:pt>
                <c:pt idx="53">
                  <c:v>3.5770864220429246</c:v>
                </c:pt>
                <c:pt idx="54">
                  <c:v>3.0883901352973742</c:v>
                </c:pt>
                <c:pt idx="55">
                  <c:v>2.5411380159263612</c:v>
                </c:pt>
                <c:pt idx="56">
                  <c:v>2.2676337873413721</c:v>
                </c:pt>
                <c:pt idx="57">
                  <c:v>0.47632182541784507</c:v>
                </c:pt>
                <c:pt idx="58">
                  <c:v>0.12365359010524912</c:v>
                </c:pt>
                <c:pt idx="59">
                  <c:v>0.88385486704076754</c:v>
                </c:pt>
                <c:pt idx="60">
                  <c:v>2.00485329422267</c:v>
                </c:pt>
                <c:pt idx="61">
                  <c:v>2.0837988391289883</c:v>
                </c:pt>
                <c:pt idx="62">
                  <c:v>2.6492224473234813</c:v>
                </c:pt>
                <c:pt idx="63">
                  <c:v>1.4566725955156699</c:v>
                </c:pt>
                <c:pt idx="64">
                  <c:v>-0.69472904591432894</c:v>
                </c:pt>
                <c:pt idx="65">
                  <c:v>0.1488648386323223</c:v>
                </c:pt>
                <c:pt idx="66">
                  <c:v>-0.84555600048584267</c:v>
                </c:pt>
                <c:pt idx="67">
                  <c:v>0.54248772689247449</c:v>
                </c:pt>
                <c:pt idx="68">
                  <c:v>0.70248292112380251</c:v>
                </c:pt>
                <c:pt idx="69">
                  <c:v>1.5543857933519831</c:v>
                </c:pt>
                <c:pt idx="70">
                  <c:v>3.9906488120227777</c:v>
                </c:pt>
                <c:pt idx="71">
                  <c:v>3.8028747148131137</c:v>
                </c:pt>
                <c:pt idx="72">
                  <c:v>2.6617386457154608</c:v>
                </c:pt>
                <c:pt idx="73">
                  <c:v>1.5481505727698845</c:v>
                </c:pt>
                <c:pt idx="74">
                  <c:v>0.55426346561351669</c:v>
                </c:pt>
                <c:pt idx="75">
                  <c:v>1.8083726621550937</c:v>
                </c:pt>
                <c:pt idx="76">
                  <c:v>2.9646806983957958</c:v>
                </c:pt>
                <c:pt idx="77">
                  <c:v>2.8494553282885127</c:v>
                </c:pt>
                <c:pt idx="78">
                  <c:v>2.0001323046111592</c:v>
                </c:pt>
                <c:pt idx="79">
                  <c:v>0.95424838149563129</c:v>
                </c:pt>
                <c:pt idx="80">
                  <c:v>0.18220456587496894</c:v>
                </c:pt>
                <c:pt idx="81">
                  <c:v>1.5031275720841182</c:v>
                </c:pt>
                <c:pt idx="82">
                  <c:v>-0.71079844504200262</c:v>
                </c:pt>
                <c:pt idx="83">
                  <c:v>0.86704419059635995</c:v>
                </c:pt>
                <c:pt idx="84">
                  <c:v>0.76530079948895491</c:v>
                </c:pt>
                <c:pt idx="85">
                  <c:v>2.1733692644034392</c:v>
                </c:pt>
                <c:pt idx="86">
                  <c:v>2.9045020468612002</c:v>
                </c:pt>
                <c:pt idx="87">
                  <c:v>3.4901072843260592</c:v>
                </c:pt>
                <c:pt idx="88">
                  <c:v>4.8157307633670285</c:v>
                </c:pt>
                <c:pt idx="89">
                  <c:v>4.7676959490357245</c:v>
                </c:pt>
                <c:pt idx="90">
                  <c:v>7.4175607016924801</c:v>
                </c:pt>
                <c:pt idx="91">
                  <c:v>10.02076952235965</c:v>
                </c:pt>
                <c:pt idx="92">
                  <c:v>10.791995325977695</c:v>
                </c:pt>
                <c:pt idx="93">
                  <c:v>9.5289720979861219</c:v>
                </c:pt>
                <c:pt idx="94">
                  <c:v>8.7581413286795389</c:v>
                </c:pt>
                <c:pt idx="95">
                  <c:v>5.2864541650469885</c:v>
                </c:pt>
                <c:pt idx="96">
                  <c:v>6.2857247532561473</c:v>
                </c:pt>
                <c:pt idx="97">
                  <c:v>5.8154933748081294</c:v>
                </c:pt>
                <c:pt idx="98">
                  <c:v>8.5297220548762738</c:v>
                </c:pt>
                <c:pt idx="99">
                  <c:v>8.2931999364527229</c:v>
                </c:pt>
                <c:pt idx="100">
                  <c:v>6.889877915514643</c:v>
                </c:pt>
                <c:pt idx="101">
                  <c:v>6.6540498059641804</c:v>
                </c:pt>
                <c:pt idx="102">
                  <c:v>7.338862873070056</c:v>
                </c:pt>
                <c:pt idx="103">
                  <c:v>5.1308896280441587</c:v>
                </c:pt>
                <c:pt idx="104">
                  <c:v>5.9131605271810059</c:v>
                </c:pt>
                <c:pt idx="105">
                  <c:v>6.0978180846423129</c:v>
                </c:pt>
                <c:pt idx="106">
                  <c:v>6.7846256283677056</c:v>
                </c:pt>
                <c:pt idx="107">
                  <c:v>5.9414365426808624</c:v>
                </c:pt>
                <c:pt idx="108">
                  <c:v>5.2220562132695365</c:v>
                </c:pt>
                <c:pt idx="109">
                  <c:v>5.9484185310608684</c:v>
                </c:pt>
                <c:pt idx="110">
                  <c:v>4.7197124127546655</c:v>
                </c:pt>
                <c:pt idx="111">
                  <c:v>6.0288676168249955</c:v>
                </c:pt>
                <c:pt idx="112">
                  <c:v>7.1295425377703845</c:v>
                </c:pt>
                <c:pt idx="113">
                  <c:v>5.770390389613774</c:v>
                </c:pt>
                <c:pt idx="114">
                  <c:v>5.0313029238100944</c:v>
                </c:pt>
                <c:pt idx="115">
                  <c:v>5.4692899664564845</c:v>
                </c:pt>
                <c:pt idx="116">
                  <c:v>4.364436685765992</c:v>
                </c:pt>
                <c:pt idx="117">
                  <c:v>2.4799911355999313</c:v>
                </c:pt>
                <c:pt idx="118">
                  <c:v>1.62852286220894</c:v>
                </c:pt>
                <c:pt idx="119">
                  <c:v>4.7508484664668771</c:v>
                </c:pt>
                <c:pt idx="120">
                  <c:v>3.6618185676755401</c:v>
                </c:pt>
                <c:pt idx="121">
                  <c:v>4.0241127386282143</c:v>
                </c:pt>
                <c:pt idx="122">
                  <c:v>2.5146249534500953</c:v>
                </c:pt>
                <c:pt idx="123">
                  <c:v>1.6128317824752398</c:v>
                </c:pt>
                <c:pt idx="124">
                  <c:v>1.6349324704967587</c:v>
                </c:pt>
                <c:pt idx="125">
                  <c:v>4.1608493072521364</c:v>
                </c:pt>
                <c:pt idx="126">
                  <c:v>4.3427969895394885</c:v>
                </c:pt>
                <c:pt idx="127">
                  <c:v>4.4934150077158677</c:v>
                </c:pt>
              </c:numCache>
            </c:numRef>
          </c:val>
          <c:extLst xmlns:c16r2="http://schemas.microsoft.com/office/drawing/2015/06/chart">
            <c:ext xmlns:c16="http://schemas.microsoft.com/office/drawing/2014/chart" uri="{C3380CC4-5D6E-409C-BE32-E72D297353CC}">
              <c16:uniqueId val="{00000000-B9FA-43ED-9640-2DCB6756FBF8}"/>
            </c:ext>
          </c:extLst>
        </c:ser>
        <c:ser>
          <c:idx val="1"/>
          <c:order val="1"/>
          <c:tx>
            <c:strRef>
              <c:f>'5-Sektor-nef. podn-úvěry'!$AC$5</c:f>
              <c:strCache>
                <c:ptCount val="1"/>
                <c:pt idx="0">
                  <c:v>Krátkodobé úvěry nefinančním podnikům (y/y, %)</c:v>
                </c:pt>
              </c:strCache>
            </c:strRef>
          </c:tx>
          <c:spPr>
            <a:ln w="22225">
              <a:solidFill>
                <a:srgbClr val="48AEE7"/>
              </a:solidFill>
            </a:ln>
          </c:spPr>
          <c:marker>
            <c:symbol val="none"/>
          </c:marker>
          <c:cat>
            <c:multiLvlStrRef>
              <c:f>'5-Sektor-nef. podn-úvěry'!$Z$6:$AA$137</c:f>
              <c:multiLvlStrCache>
                <c:ptCount val="129"/>
                <c:lvl>
                  <c:pt idx="0">
                    <c:v>1</c:v>
                  </c:pt>
                  <c:pt idx="4">
                    <c:v>5</c:v>
                  </c:pt>
                  <c:pt idx="8">
                    <c:v>9</c:v>
                  </c:pt>
                  <c:pt idx="12">
                    <c:v>1</c:v>
                  </c:pt>
                  <c:pt idx="16">
                    <c:v>5</c:v>
                  </c:pt>
                  <c:pt idx="20">
                    <c:v>9</c:v>
                  </c:pt>
                  <c:pt idx="24">
                    <c:v>1</c:v>
                  </c:pt>
                  <c:pt idx="28">
                    <c:v>5</c:v>
                  </c:pt>
                  <c:pt idx="32">
                    <c:v>9</c:v>
                  </c:pt>
                  <c:pt idx="36">
                    <c:v>1</c:v>
                  </c:pt>
                  <c:pt idx="40">
                    <c:v>5</c:v>
                  </c:pt>
                  <c:pt idx="44">
                    <c:v>9</c:v>
                  </c:pt>
                  <c:pt idx="48">
                    <c:v>1</c:v>
                  </c:pt>
                  <c:pt idx="52">
                    <c:v>5</c:v>
                  </c:pt>
                  <c:pt idx="56">
                    <c:v>9</c:v>
                  </c:pt>
                  <c:pt idx="60">
                    <c:v>1</c:v>
                  </c:pt>
                  <c:pt idx="64">
                    <c:v>5</c:v>
                  </c:pt>
                  <c:pt idx="68">
                    <c:v>9</c:v>
                  </c:pt>
                  <c:pt idx="72">
                    <c:v>1</c:v>
                  </c:pt>
                  <c:pt idx="76">
                    <c:v>5</c:v>
                  </c:pt>
                  <c:pt idx="80">
                    <c:v>9</c:v>
                  </c:pt>
                  <c:pt idx="84">
                    <c:v>1</c:v>
                  </c:pt>
                  <c:pt idx="88">
                    <c:v>5</c:v>
                  </c:pt>
                  <c:pt idx="92">
                    <c:v>9</c:v>
                  </c:pt>
                  <c:pt idx="96">
                    <c:v>1</c:v>
                  </c:pt>
                  <c:pt idx="100">
                    <c:v>5</c:v>
                  </c:pt>
                  <c:pt idx="104">
                    <c:v>9</c:v>
                  </c:pt>
                  <c:pt idx="108">
                    <c:v>1</c:v>
                  </c:pt>
                  <c:pt idx="112">
                    <c:v>5</c:v>
                  </c:pt>
                  <c:pt idx="116">
                    <c:v>9</c:v>
                  </c:pt>
                  <c:pt idx="120">
                    <c:v>1</c:v>
                  </c:pt>
                  <c:pt idx="124">
                    <c:v>5</c:v>
                  </c:pt>
                  <c:pt idx="128">
                    <c:v>9</c:v>
                  </c:pt>
                </c:lvl>
                <c:lvl>
                  <c:pt idx="0">
                    <c:v>2008</c:v>
                  </c:pt>
                  <c:pt idx="12">
                    <c:v>2009</c:v>
                  </c:pt>
                  <c:pt idx="24">
                    <c:v>2010</c:v>
                  </c:pt>
                  <c:pt idx="36">
                    <c:v>2011</c:v>
                  </c:pt>
                  <c:pt idx="48">
                    <c:v>2012</c:v>
                  </c:pt>
                  <c:pt idx="60">
                    <c:v>2013</c:v>
                  </c:pt>
                  <c:pt idx="72">
                    <c:v>2014</c:v>
                  </c:pt>
                  <c:pt idx="84">
                    <c:v>2015</c:v>
                  </c:pt>
                  <c:pt idx="96">
                    <c:v>2016</c:v>
                  </c:pt>
                  <c:pt idx="108">
                    <c:v>2017</c:v>
                  </c:pt>
                  <c:pt idx="120">
                    <c:v>2018</c:v>
                  </c:pt>
                </c:lvl>
              </c:multiLvlStrCache>
            </c:multiLvlStrRef>
          </c:cat>
          <c:val>
            <c:numRef>
              <c:f>'5-Sektor-nef. podn-úvěry'!$AC$6:$AC$137</c:f>
              <c:numCache>
                <c:formatCode>0.0</c:formatCode>
                <c:ptCount val="132"/>
                <c:pt idx="0">
                  <c:v>25.000916323063066</c:v>
                </c:pt>
                <c:pt idx="1">
                  <c:v>26.712979807453827</c:v>
                </c:pt>
                <c:pt idx="2">
                  <c:v>28.040917136623687</c:v>
                </c:pt>
                <c:pt idx="3">
                  <c:v>30.292510262008626</c:v>
                </c:pt>
                <c:pt idx="4">
                  <c:v>32.152542768080011</c:v>
                </c:pt>
                <c:pt idx="5">
                  <c:v>33.608335956292009</c:v>
                </c:pt>
                <c:pt idx="6">
                  <c:v>27.567374639876505</c:v>
                </c:pt>
                <c:pt idx="7">
                  <c:v>26.879559773577526</c:v>
                </c:pt>
                <c:pt idx="8">
                  <c:v>26.333182777595187</c:v>
                </c:pt>
                <c:pt idx="9">
                  <c:v>26.341955647032194</c:v>
                </c:pt>
                <c:pt idx="10">
                  <c:v>20.464529426811087</c:v>
                </c:pt>
                <c:pt idx="11">
                  <c:v>10.370444659884148</c:v>
                </c:pt>
                <c:pt idx="12">
                  <c:v>3.8266718749947377</c:v>
                </c:pt>
                <c:pt idx="13">
                  <c:v>0.56039914487877263</c:v>
                </c:pt>
                <c:pt idx="14">
                  <c:v>-2.8799246937307137</c:v>
                </c:pt>
                <c:pt idx="15">
                  <c:v>-8.9171566817928181</c:v>
                </c:pt>
                <c:pt idx="16">
                  <c:v>-12.920302402353798</c:v>
                </c:pt>
                <c:pt idx="17">
                  <c:v>-16.146126142528427</c:v>
                </c:pt>
                <c:pt idx="18">
                  <c:v>-17.269128146997176</c:v>
                </c:pt>
                <c:pt idx="19">
                  <c:v>-18.042940357825589</c:v>
                </c:pt>
                <c:pt idx="20">
                  <c:v>-22.750193506312112</c:v>
                </c:pt>
                <c:pt idx="21">
                  <c:v>-25.018339749811574</c:v>
                </c:pt>
                <c:pt idx="22">
                  <c:v>-24.598909359523784</c:v>
                </c:pt>
                <c:pt idx="23">
                  <c:v>-22.660667169242391</c:v>
                </c:pt>
                <c:pt idx="24">
                  <c:v>-15.375373874157546</c:v>
                </c:pt>
                <c:pt idx="25">
                  <c:v>-15.84912408739892</c:v>
                </c:pt>
                <c:pt idx="26">
                  <c:v>-15.20978060311468</c:v>
                </c:pt>
                <c:pt idx="27">
                  <c:v>-15.541826294907709</c:v>
                </c:pt>
                <c:pt idx="28">
                  <c:v>-14.254318701856656</c:v>
                </c:pt>
                <c:pt idx="29">
                  <c:v>-13.393836350506927</c:v>
                </c:pt>
                <c:pt idx="30">
                  <c:v>-9.306103580082862</c:v>
                </c:pt>
                <c:pt idx="31">
                  <c:v>-9.8344434292599505</c:v>
                </c:pt>
                <c:pt idx="32">
                  <c:v>-9.1295514406389682</c:v>
                </c:pt>
                <c:pt idx="33">
                  <c:v>-4.8989195753097246</c:v>
                </c:pt>
                <c:pt idx="34">
                  <c:v>-4.3126808807849386</c:v>
                </c:pt>
                <c:pt idx="35">
                  <c:v>-3.7610475059072286</c:v>
                </c:pt>
                <c:pt idx="36">
                  <c:v>-5.7647478970482755</c:v>
                </c:pt>
                <c:pt idx="37">
                  <c:v>-3.3788403518089325</c:v>
                </c:pt>
                <c:pt idx="38">
                  <c:v>-3.4199863124027985</c:v>
                </c:pt>
                <c:pt idx="39">
                  <c:v>3.737628821422831</c:v>
                </c:pt>
                <c:pt idx="40">
                  <c:v>4.2771417385037314</c:v>
                </c:pt>
                <c:pt idx="41">
                  <c:v>2.6106970135314498</c:v>
                </c:pt>
                <c:pt idx="42">
                  <c:v>4.6395227645090102</c:v>
                </c:pt>
                <c:pt idx="43">
                  <c:v>2.9584929563170448</c:v>
                </c:pt>
                <c:pt idx="44">
                  <c:v>5.5228083081123165</c:v>
                </c:pt>
                <c:pt idx="45">
                  <c:v>5.6186841348627752</c:v>
                </c:pt>
                <c:pt idx="46">
                  <c:v>4.6840627021368988</c:v>
                </c:pt>
                <c:pt idx="47">
                  <c:v>3.7093671385586759</c:v>
                </c:pt>
                <c:pt idx="48">
                  <c:v>5.9709815976891996</c:v>
                </c:pt>
                <c:pt idx="49">
                  <c:v>6.4816431282690923</c:v>
                </c:pt>
                <c:pt idx="50">
                  <c:v>7.6214244887102875</c:v>
                </c:pt>
                <c:pt idx="51">
                  <c:v>4.3671811940206595</c:v>
                </c:pt>
                <c:pt idx="52">
                  <c:v>3.9957866705007627</c:v>
                </c:pt>
                <c:pt idx="53">
                  <c:v>4.0900637541785594</c:v>
                </c:pt>
                <c:pt idx="54">
                  <c:v>3.2239600360180591</c:v>
                </c:pt>
                <c:pt idx="55">
                  <c:v>3.2690034389568008</c:v>
                </c:pt>
                <c:pt idx="56">
                  <c:v>3.6746207326555012</c:v>
                </c:pt>
                <c:pt idx="57">
                  <c:v>-0.54386088035725433</c:v>
                </c:pt>
                <c:pt idx="58">
                  <c:v>-0.41821063262334235</c:v>
                </c:pt>
                <c:pt idx="59">
                  <c:v>2.5317875544986066</c:v>
                </c:pt>
                <c:pt idx="60">
                  <c:v>0.26838661500983496</c:v>
                </c:pt>
                <c:pt idx="61">
                  <c:v>-0.83531711161882072</c:v>
                </c:pt>
                <c:pt idx="62">
                  <c:v>-0.68367297880396849</c:v>
                </c:pt>
                <c:pt idx="63">
                  <c:v>-1.5934147314195144</c:v>
                </c:pt>
                <c:pt idx="64">
                  <c:v>-2.8636605444200995</c:v>
                </c:pt>
                <c:pt idx="65">
                  <c:v>-2.0825053056265972</c:v>
                </c:pt>
                <c:pt idx="66">
                  <c:v>-5.5375595488786855</c:v>
                </c:pt>
                <c:pt idx="67">
                  <c:v>-4.3082882839383974</c:v>
                </c:pt>
                <c:pt idx="68">
                  <c:v>-4.4455079736917753</c:v>
                </c:pt>
                <c:pt idx="69">
                  <c:v>-2.0547533115005336</c:v>
                </c:pt>
                <c:pt idx="70">
                  <c:v>0.36026433040481731</c:v>
                </c:pt>
                <c:pt idx="71">
                  <c:v>-1.4234924969374332</c:v>
                </c:pt>
                <c:pt idx="72">
                  <c:v>-0.75523278554629758</c:v>
                </c:pt>
                <c:pt idx="73">
                  <c:v>-0.63766296886333851</c:v>
                </c:pt>
                <c:pt idx="74">
                  <c:v>-2.5137830905739542</c:v>
                </c:pt>
                <c:pt idx="75">
                  <c:v>-2.7271517539732746</c:v>
                </c:pt>
                <c:pt idx="76">
                  <c:v>-1.7408715535299211</c:v>
                </c:pt>
                <c:pt idx="77">
                  <c:v>-1.5580675795729559</c:v>
                </c:pt>
                <c:pt idx="78">
                  <c:v>-1.1038057358371698</c:v>
                </c:pt>
                <c:pt idx="79">
                  <c:v>-1.8372406961913719</c:v>
                </c:pt>
                <c:pt idx="80">
                  <c:v>-0.56872102603339492</c:v>
                </c:pt>
                <c:pt idx="81">
                  <c:v>-1.159726382685043</c:v>
                </c:pt>
                <c:pt idx="82">
                  <c:v>-3.5009793494210402</c:v>
                </c:pt>
                <c:pt idx="83">
                  <c:v>-0.79543444783304551</c:v>
                </c:pt>
                <c:pt idx="84">
                  <c:v>-1.6418545923793118</c:v>
                </c:pt>
                <c:pt idx="85">
                  <c:v>-0.72719130273642962</c:v>
                </c:pt>
                <c:pt idx="86">
                  <c:v>-0.10338621871403575</c:v>
                </c:pt>
                <c:pt idx="87">
                  <c:v>1.8761670505031141</c:v>
                </c:pt>
                <c:pt idx="88">
                  <c:v>3.7683824614756212</c:v>
                </c:pt>
                <c:pt idx="89">
                  <c:v>3.4095081905994777</c:v>
                </c:pt>
                <c:pt idx="90">
                  <c:v>4.5400764781358545</c:v>
                </c:pt>
                <c:pt idx="91">
                  <c:v>4.6106039224493864</c:v>
                </c:pt>
                <c:pt idx="92">
                  <c:v>1.2846535191460686</c:v>
                </c:pt>
                <c:pt idx="93">
                  <c:v>0.79557290417868387</c:v>
                </c:pt>
                <c:pt idx="94">
                  <c:v>-1.249890878269373</c:v>
                </c:pt>
                <c:pt idx="95">
                  <c:v>-8.4766237549752503</c:v>
                </c:pt>
                <c:pt idx="96">
                  <c:v>-5.7444194102759045</c:v>
                </c:pt>
                <c:pt idx="97">
                  <c:v>-7.8408138122208726</c:v>
                </c:pt>
                <c:pt idx="98">
                  <c:v>-4.8136190082670254</c:v>
                </c:pt>
                <c:pt idx="99">
                  <c:v>-5.3968379062558256</c:v>
                </c:pt>
                <c:pt idx="100">
                  <c:v>-7.0822791292242524</c:v>
                </c:pt>
                <c:pt idx="101">
                  <c:v>-7.4772739412624833</c:v>
                </c:pt>
                <c:pt idx="102">
                  <c:v>-5.3546138295410755</c:v>
                </c:pt>
                <c:pt idx="103">
                  <c:v>-5.1955464153194075</c:v>
                </c:pt>
                <c:pt idx="104">
                  <c:v>-3.2311354584598182</c:v>
                </c:pt>
                <c:pt idx="105">
                  <c:v>-1.5368729621114041</c:v>
                </c:pt>
                <c:pt idx="106">
                  <c:v>-1.8615113447043958</c:v>
                </c:pt>
                <c:pt idx="107">
                  <c:v>1.7374197198671553</c:v>
                </c:pt>
                <c:pt idx="108">
                  <c:v>-0.62855451198963408</c:v>
                </c:pt>
                <c:pt idx="109">
                  <c:v>0.17997413267447487</c:v>
                </c:pt>
                <c:pt idx="110">
                  <c:v>0.96279417974413661</c:v>
                </c:pt>
                <c:pt idx="111">
                  <c:v>2.6112964361119566</c:v>
                </c:pt>
                <c:pt idx="112">
                  <c:v>2.3844262770242182</c:v>
                </c:pt>
                <c:pt idx="113">
                  <c:v>2.586531448277126</c:v>
                </c:pt>
                <c:pt idx="114">
                  <c:v>4.1070725836895425</c:v>
                </c:pt>
                <c:pt idx="115">
                  <c:v>3.9889467915833876</c:v>
                </c:pt>
                <c:pt idx="116">
                  <c:v>3.2180681164754077</c:v>
                </c:pt>
                <c:pt idx="117">
                  <c:v>2.6668001529165002</c:v>
                </c:pt>
                <c:pt idx="118">
                  <c:v>4.4956638992129534</c:v>
                </c:pt>
                <c:pt idx="119">
                  <c:v>7.3099908004773368</c:v>
                </c:pt>
                <c:pt idx="120">
                  <c:v>5.7898982026770414</c:v>
                </c:pt>
                <c:pt idx="121">
                  <c:v>4.2919483582906821</c:v>
                </c:pt>
                <c:pt idx="122">
                  <c:v>-0.22782614739438145</c:v>
                </c:pt>
                <c:pt idx="123">
                  <c:v>-1.8682859581793423</c:v>
                </c:pt>
                <c:pt idx="124">
                  <c:v>-6.7464921829214028E-2</c:v>
                </c:pt>
                <c:pt idx="125">
                  <c:v>0.84506260787200849</c:v>
                </c:pt>
                <c:pt idx="126">
                  <c:v>2.0786499553480543E-2</c:v>
                </c:pt>
                <c:pt idx="127">
                  <c:v>0.90066913751308331</c:v>
                </c:pt>
              </c:numCache>
            </c:numRef>
          </c:val>
          <c:extLst xmlns:c16r2="http://schemas.microsoft.com/office/drawing/2015/06/chart">
            <c:ext xmlns:c16="http://schemas.microsoft.com/office/drawing/2014/chart" uri="{C3380CC4-5D6E-409C-BE32-E72D297353CC}">
              <c16:uniqueId val="{00000001-B9FA-43ED-9640-2DCB6756FBF8}"/>
            </c:ext>
          </c:extLst>
        </c:ser>
        <c:ser>
          <c:idx val="2"/>
          <c:order val="2"/>
          <c:tx>
            <c:strRef>
              <c:f>'5-Sektor-nef. podn-úvěry'!$AD$5</c:f>
              <c:strCache>
                <c:ptCount val="1"/>
                <c:pt idx="0">
                  <c:v>Dlouhodobé úvěry nefinančním podnikům (y/y, %)</c:v>
                </c:pt>
              </c:strCache>
            </c:strRef>
          </c:tx>
          <c:spPr>
            <a:ln w="22225">
              <a:solidFill>
                <a:schemeClr val="accent5">
                  <a:lumMod val="60000"/>
                  <a:lumOff val="40000"/>
                </a:schemeClr>
              </a:solidFill>
            </a:ln>
          </c:spPr>
          <c:marker>
            <c:symbol val="none"/>
          </c:marker>
          <c:cat>
            <c:multiLvlStrRef>
              <c:f>'5-Sektor-nef. podn-úvěry'!$Z$6:$AA$137</c:f>
              <c:multiLvlStrCache>
                <c:ptCount val="129"/>
                <c:lvl>
                  <c:pt idx="0">
                    <c:v>1</c:v>
                  </c:pt>
                  <c:pt idx="4">
                    <c:v>5</c:v>
                  </c:pt>
                  <c:pt idx="8">
                    <c:v>9</c:v>
                  </c:pt>
                  <c:pt idx="12">
                    <c:v>1</c:v>
                  </c:pt>
                  <c:pt idx="16">
                    <c:v>5</c:v>
                  </c:pt>
                  <c:pt idx="20">
                    <c:v>9</c:v>
                  </c:pt>
                  <c:pt idx="24">
                    <c:v>1</c:v>
                  </c:pt>
                  <c:pt idx="28">
                    <c:v>5</c:v>
                  </c:pt>
                  <c:pt idx="32">
                    <c:v>9</c:v>
                  </c:pt>
                  <c:pt idx="36">
                    <c:v>1</c:v>
                  </c:pt>
                  <c:pt idx="40">
                    <c:v>5</c:v>
                  </c:pt>
                  <c:pt idx="44">
                    <c:v>9</c:v>
                  </c:pt>
                  <c:pt idx="48">
                    <c:v>1</c:v>
                  </c:pt>
                  <c:pt idx="52">
                    <c:v>5</c:v>
                  </c:pt>
                  <c:pt idx="56">
                    <c:v>9</c:v>
                  </c:pt>
                  <c:pt idx="60">
                    <c:v>1</c:v>
                  </c:pt>
                  <c:pt idx="64">
                    <c:v>5</c:v>
                  </c:pt>
                  <c:pt idx="68">
                    <c:v>9</c:v>
                  </c:pt>
                  <c:pt idx="72">
                    <c:v>1</c:v>
                  </c:pt>
                  <c:pt idx="76">
                    <c:v>5</c:v>
                  </c:pt>
                  <c:pt idx="80">
                    <c:v>9</c:v>
                  </c:pt>
                  <c:pt idx="84">
                    <c:v>1</c:v>
                  </c:pt>
                  <c:pt idx="88">
                    <c:v>5</c:v>
                  </c:pt>
                  <c:pt idx="92">
                    <c:v>9</c:v>
                  </c:pt>
                  <c:pt idx="96">
                    <c:v>1</c:v>
                  </c:pt>
                  <c:pt idx="100">
                    <c:v>5</c:v>
                  </c:pt>
                  <c:pt idx="104">
                    <c:v>9</c:v>
                  </c:pt>
                  <c:pt idx="108">
                    <c:v>1</c:v>
                  </c:pt>
                  <c:pt idx="112">
                    <c:v>5</c:v>
                  </c:pt>
                  <c:pt idx="116">
                    <c:v>9</c:v>
                  </c:pt>
                  <c:pt idx="120">
                    <c:v>1</c:v>
                  </c:pt>
                  <c:pt idx="124">
                    <c:v>5</c:v>
                  </c:pt>
                  <c:pt idx="128">
                    <c:v>9</c:v>
                  </c:pt>
                </c:lvl>
                <c:lvl>
                  <c:pt idx="0">
                    <c:v>2008</c:v>
                  </c:pt>
                  <c:pt idx="12">
                    <c:v>2009</c:v>
                  </c:pt>
                  <c:pt idx="24">
                    <c:v>2010</c:v>
                  </c:pt>
                  <c:pt idx="36">
                    <c:v>2011</c:v>
                  </c:pt>
                  <c:pt idx="48">
                    <c:v>2012</c:v>
                  </c:pt>
                  <c:pt idx="60">
                    <c:v>2013</c:v>
                  </c:pt>
                  <c:pt idx="72">
                    <c:v>2014</c:v>
                  </c:pt>
                  <c:pt idx="84">
                    <c:v>2015</c:v>
                  </c:pt>
                  <c:pt idx="96">
                    <c:v>2016</c:v>
                  </c:pt>
                  <c:pt idx="108">
                    <c:v>2017</c:v>
                  </c:pt>
                  <c:pt idx="120">
                    <c:v>2018</c:v>
                  </c:pt>
                </c:lvl>
              </c:multiLvlStrCache>
            </c:multiLvlStrRef>
          </c:cat>
          <c:val>
            <c:numRef>
              <c:f>'5-Sektor-nef. podn-úvěry'!$AD$6:$AD$137</c:f>
              <c:numCache>
                <c:formatCode>0.0</c:formatCode>
                <c:ptCount val="132"/>
                <c:pt idx="0">
                  <c:v>16.701490991548269</c:v>
                </c:pt>
                <c:pt idx="1">
                  <c:v>16.05328378449639</c:v>
                </c:pt>
                <c:pt idx="2">
                  <c:v>15.175713359619509</c:v>
                </c:pt>
                <c:pt idx="3">
                  <c:v>14.779480291862551</c:v>
                </c:pt>
                <c:pt idx="4">
                  <c:v>15.556312790982602</c:v>
                </c:pt>
                <c:pt idx="5">
                  <c:v>12.406617438460406</c:v>
                </c:pt>
                <c:pt idx="6">
                  <c:v>14.566673677333327</c:v>
                </c:pt>
                <c:pt idx="7">
                  <c:v>12.621799781141823</c:v>
                </c:pt>
                <c:pt idx="8">
                  <c:v>13.117325231892448</c:v>
                </c:pt>
                <c:pt idx="9">
                  <c:v>14.453408111671024</c:v>
                </c:pt>
                <c:pt idx="10">
                  <c:v>14.95265100963417</c:v>
                </c:pt>
                <c:pt idx="11">
                  <c:v>20.680895286176806</c:v>
                </c:pt>
                <c:pt idx="12">
                  <c:v>21.460445981302712</c:v>
                </c:pt>
                <c:pt idx="13">
                  <c:v>21.813872051256226</c:v>
                </c:pt>
                <c:pt idx="14">
                  <c:v>19.36491603556123</c:v>
                </c:pt>
                <c:pt idx="15">
                  <c:v>16.621282574966077</c:v>
                </c:pt>
                <c:pt idx="16">
                  <c:v>15.375465600405109</c:v>
                </c:pt>
                <c:pt idx="17">
                  <c:v>15.138106175902163</c:v>
                </c:pt>
                <c:pt idx="18">
                  <c:v>13.866993983566434</c:v>
                </c:pt>
                <c:pt idx="19">
                  <c:v>12.748045972116948</c:v>
                </c:pt>
                <c:pt idx="20">
                  <c:v>11.558184690599974</c:v>
                </c:pt>
                <c:pt idx="21">
                  <c:v>10.869681064069299</c:v>
                </c:pt>
                <c:pt idx="22">
                  <c:v>8.7654153141111237</c:v>
                </c:pt>
                <c:pt idx="23">
                  <c:v>4.3594223558932184</c:v>
                </c:pt>
                <c:pt idx="24">
                  <c:v>1.3723636684117801</c:v>
                </c:pt>
                <c:pt idx="25">
                  <c:v>1.476905221688128</c:v>
                </c:pt>
                <c:pt idx="26">
                  <c:v>2.1804783069950582</c:v>
                </c:pt>
                <c:pt idx="27">
                  <c:v>3.8287766885141821</c:v>
                </c:pt>
                <c:pt idx="28">
                  <c:v>3.9222043535695827</c:v>
                </c:pt>
                <c:pt idx="29">
                  <c:v>5.3012838399558007</c:v>
                </c:pt>
                <c:pt idx="30">
                  <c:v>4.1875709812905475</c:v>
                </c:pt>
                <c:pt idx="31">
                  <c:v>6.0651154646295655</c:v>
                </c:pt>
                <c:pt idx="32">
                  <c:v>5.9898231905262795</c:v>
                </c:pt>
                <c:pt idx="33">
                  <c:v>6.6395703947932434</c:v>
                </c:pt>
                <c:pt idx="34">
                  <c:v>7.9871843704600245</c:v>
                </c:pt>
                <c:pt idx="35">
                  <c:v>8.629416819487485</c:v>
                </c:pt>
                <c:pt idx="36">
                  <c:v>10.255020953768772</c:v>
                </c:pt>
                <c:pt idx="37">
                  <c:v>11.363137034828775</c:v>
                </c:pt>
                <c:pt idx="38">
                  <c:v>12.203461707299041</c:v>
                </c:pt>
                <c:pt idx="39">
                  <c:v>12.289103100702548</c:v>
                </c:pt>
                <c:pt idx="40">
                  <c:v>12.993664437646014</c:v>
                </c:pt>
                <c:pt idx="41">
                  <c:v>12.058177697620437</c:v>
                </c:pt>
                <c:pt idx="42">
                  <c:v>12.313849912230484</c:v>
                </c:pt>
                <c:pt idx="43">
                  <c:v>10.651027560592951</c:v>
                </c:pt>
                <c:pt idx="44">
                  <c:v>10.371839136465848</c:v>
                </c:pt>
                <c:pt idx="45">
                  <c:v>9.0115184902079637</c:v>
                </c:pt>
                <c:pt idx="46">
                  <c:v>8.7478741662491419</c:v>
                </c:pt>
                <c:pt idx="47">
                  <c:v>7.1071038067006356</c:v>
                </c:pt>
                <c:pt idx="48">
                  <c:v>6.1033161205086088</c:v>
                </c:pt>
                <c:pt idx="49">
                  <c:v>5.3867588110691154</c:v>
                </c:pt>
                <c:pt idx="50">
                  <c:v>4.1583279970024565</c:v>
                </c:pt>
                <c:pt idx="51">
                  <c:v>2.9350137521902013</c:v>
                </c:pt>
                <c:pt idx="52">
                  <c:v>3.2624918959225115</c:v>
                </c:pt>
                <c:pt idx="53">
                  <c:v>2.5329493558837273</c:v>
                </c:pt>
                <c:pt idx="54">
                  <c:v>2.2317107787646386</c:v>
                </c:pt>
                <c:pt idx="55">
                  <c:v>1.9983085759198997</c:v>
                </c:pt>
                <c:pt idx="56">
                  <c:v>1.8330613605998418</c:v>
                </c:pt>
                <c:pt idx="57">
                  <c:v>1.1905590905530101</c:v>
                </c:pt>
                <c:pt idx="58">
                  <c:v>1.1205606750106079</c:v>
                </c:pt>
                <c:pt idx="59">
                  <c:v>1.2520197041513661</c:v>
                </c:pt>
                <c:pt idx="60">
                  <c:v>2.8143403219368377</c:v>
                </c:pt>
                <c:pt idx="61">
                  <c:v>2.7036545144388797</c:v>
                </c:pt>
                <c:pt idx="62">
                  <c:v>3.1958968781431447</c:v>
                </c:pt>
                <c:pt idx="63">
                  <c:v>2.9588424687880042</c:v>
                </c:pt>
                <c:pt idx="64">
                  <c:v>0.79627813036869444</c:v>
                </c:pt>
                <c:pt idx="65">
                  <c:v>1.7501220910354498</c:v>
                </c:pt>
                <c:pt idx="66">
                  <c:v>1.952547501841756</c:v>
                </c:pt>
                <c:pt idx="67">
                  <c:v>2.6345194614417271</c:v>
                </c:pt>
                <c:pt idx="68">
                  <c:v>2.0365530508407375</c:v>
                </c:pt>
                <c:pt idx="69">
                  <c:v>2.2588623681519806</c:v>
                </c:pt>
                <c:pt idx="70">
                  <c:v>4.9981998910946395</c:v>
                </c:pt>
                <c:pt idx="71">
                  <c:v>5.5869401676527559</c:v>
                </c:pt>
                <c:pt idx="72">
                  <c:v>4.9464757467863336</c:v>
                </c:pt>
                <c:pt idx="73">
                  <c:v>4.0302915530554895</c:v>
                </c:pt>
                <c:pt idx="74">
                  <c:v>3.3788042326339678</c:v>
                </c:pt>
                <c:pt idx="75">
                  <c:v>4.609100740021205</c:v>
                </c:pt>
                <c:pt idx="76">
                  <c:v>5.54647820872853</c:v>
                </c:pt>
                <c:pt idx="77">
                  <c:v>4.7013122603976294</c:v>
                </c:pt>
                <c:pt idx="78">
                  <c:v>3.8376892817232147</c:v>
                </c:pt>
                <c:pt idx="79">
                  <c:v>3.4023503625123377</c:v>
                </c:pt>
                <c:pt idx="80">
                  <c:v>2.8658133787271822</c:v>
                </c:pt>
                <c:pt idx="81">
                  <c:v>6.0662997910299934</c:v>
                </c:pt>
                <c:pt idx="82">
                  <c:v>3.2321413203773552</c:v>
                </c:pt>
                <c:pt idx="83">
                  <c:v>3.8489207749894012</c:v>
                </c:pt>
                <c:pt idx="84">
                  <c:v>3.7128098025928287</c:v>
                </c:pt>
                <c:pt idx="85">
                  <c:v>4.2299706255458602</c:v>
                </c:pt>
                <c:pt idx="86">
                  <c:v>5.1334552663161697</c:v>
                </c:pt>
                <c:pt idx="87">
                  <c:v>4.7459627928416079</c:v>
                </c:pt>
                <c:pt idx="88">
                  <c:v>6.0726056443848524</c:v>
                </c:pt>
                <c:pt idx="89">
                  <c:v>7.4356827248019561</c:v>
                </c:pt>
                <c:pt idx="90">
                  <c:v>10.846003191136131</c:v>
                </c:pt>
                <c:pt idx="91">
                  <c:v>13.363887787827474</c:v>
                </c:pt>
                <c:pt idx="92">
                  <c:v>15.487173138732848</c:v>
                </c:pt>
                <c:pt idx="93">
                  <c:v>13.61884942892668</c:v>
                </c:pt>
                <c:pt idx="94">
                  <c:v>12.816776586209826</c:v>
                </c:pt>
                <c:pt idx="95">
                  <c:v>10.544026511058775</c:v>
                </c:pt>
                <c:pt idx="96">
                  <c:v>10.580193737818561</c:v>
                </c:pt>
                <c:pt idx="97">
                  <c:v>11.356690168059361</c:v>
                </c:pt>
                <c:pt idx="98">
                  <c:v>11.747735926897461</c:v>
                </c:pt>
                <c:pt idx="99">
                  <c:v>12.31590718419568</c:v>
                </c:pt>
                <c:pt idx="100">
                  <c:v>12.06370972836355</c:v>
                </c:pt>
                <c:pt idx="101">
                  <c:v>11.320156207706725</c:v>
                </c:pt>
                <c:pt idx="102">
                  <c:v>11.10089803983697</c:v>
                </c:pt>
                <c:pt idx="103">
                  <c:v>8.875248383939871</c:v>
                </c:pt>
                <c:pt idx="104">
                  <c:v>9.4554886997590692</c:v>
                </c:pt>
                <c:pt idx="105">
                  <c:v>7.9947957819463804</c:v>
                </c:pt>
                <c:pt idx="106">
                  <c:v>8.8987469613178209</c:v>
                </c:pt>
                <c:pt idx="107">
                  <c:v>6.8343795540251477</c:v>
                </c:pt>
                <c:pt idx="108">
                  <c:v>7.1627213335097455</c:v>
                </c:pt>
                <c:pt idx="109">
                  <c:v>7.7859036515534283</c:v>
                </c:pt>
                <c:pt idx="110">
                  <c:v>7.3677776024321844</c:v>
                </c:pt>
                <c:pt idx="111">
                  <c:v>7.6614466215618791</c:v>
                </c:pt>
                <c:pt idx="112">
                  <c:v>8.4399252389656567</c:v>
                </c:pt>
                <c:pt idx="113">
                  <c:v>5.0437580778617264</c:v>
                </c:pt>
                <c:pt idx="114">
                  <c:v>3.1884281628145041</c:v>
                </c:pt>
                <c:pt idx="115">
                  <c:v>3.6978422806000566</c:v>
                </c:pt>
                <c:pt idx="116">
                  <c:v>2.0985469133339967</c:v>
                </c:pt>
                <c:pt idx="117">
                  <c:v>0.98025468272385297</c:v>
                </c:pt>
                <c:pt idx="118">
                  <c:v>4.4905324016440533E-2</c:v>
                </c:pt>
                <c:pt idx="119">
                  <c:v>3.8430536079415991</c:v>
                </c:pt>
                <c:pt idx="120">
                  <c:v>2.7062142449740652</c:v>
                </c:pt>
                <c:pt idx="121">
                  <c:v>2.1797608709456284</c:v>
                </c:pt>
                <c:pt idx="122">
                  <c:v>2.5077907466600413</c:v>
                </c:pt>
                <c:pt idx="123">
                  <c:v>2.0266649834359778</c:v>
                </c:pt>
                <c:pt idx="124">
                  <c:v>0.6980067681632105</c:v>
                </c:pt>
                <c:pt idx="125">
                  <c:v>5.1843236515613853</c:v>
                </c:pt>
                <c:pt idx="126">
                  <c:v>5.8641888143896646</c:v>
                </c:pt>
                <c:pt idx="127">
                  <c:v>5.7004231444736053</c:v>
                </c:pt>
              </c:numCache>
            </c:numRef>
          </c:val>
          <c:extLst xmlns:c16r2="http://schemas.microsoft.com/office/drawing/2015/06/chart">
            <c:ext xmlns:c16="http://schemas.microsoft.com/office/drawing/2014/chart" uri="{C3380CC4-5D6E-409C-BE32-E72D297353CC}">
              <c16:uniqueId val="{00000002-B9FA-43ED-9640-2DCB6756FBF8}"/>
            </c:ext>
          </c:extLst>
        </c:ser>
        <c:marker val="1"/>
        <c:axId val="129043456"/>
        <c:axId val="129053440"/>
      </c:lineChart>
      <c:lineChart>
        <c:grouping val="standard"/>
        <c:ser>
          <c:idx val="3"/>
          <c:order val="3"/>
          <c:tx>
            <c:strRef>
              <c:f>'5-Sektor-nef. podn-úvěry'!$AE$5</c:f>
              <c:strCache>
                <c:ptCount val="1"/>
                <c:pt idx="0">
                  <c:v>% nevýkonných úvěrů nefinančním podnikům (pravá osa)</c:v>
                </c:pt>
              </c:strCache>
            </c:strRef>
          </c:tx>
          <c:spPr>
            <a:ln w="22225">
              <a:solidFill>
                <a:srgbClr val="BD1B21"/>
              </a:solidFill>
            </a:ln>
          </c:spPr>
          <c:marker>
            <c:symbol val="none"/>
          </c:marker>
          <c:cat>
            <c:multiLvlStrRef>
              <c:f>'5-Sektor-nef. podn-úvěry'!$Z$6:$AA$137</c:f>
              <c:multiLvlStrCache>
                <c:ptCount val="129"/>
                <c:lvl>
                  <c:pt idx="0">
                    <c:v>1</c:v>
                  </c:pt>
                  <c:pt idx="4">
                    <c:v>5</c:v>
                  </c:pt>
                  <c:pt idx="8">
                    <c:v>9</c:v>
                  </c:pt>
                  <c:pt idx="12">
                    <c:v>1</c:v>
                  </c:pt>
                  <c:pt idx="16">
                    <c:v>5</c:v>
                  </c:pt>
                  <c:pt idx="20">
                    <c:v>9</c:v>
                  </c:pt>
                  <c:pt idx="24">
                    <c:v>1</c:v>
                  </c:pt>
                  <c:pt idx="28">
                    <c:v>5</c:v>
                  </c:pt>
                  <c:pt idx="32">
                    <c:v>9</c:v>
                  </c:pt>
                  <c:pt idx="36">
                    <c:v>1</c:v>
                  </c:pt>
                  <c:pt idx="40">
                    <c:v>5</c:v>
                  </c:pt>
                  <c:pt idx="44">
                    <c:v>9</c:v>
                  </c:pt>
                  <c:pt idx="48">
                    <c:v>1</c:v>
                  </c:pt>
                  <c:pt idx="52">
                    <c:v>5</c:v>
                  </c:pt>
                  <c:pt idx="56">
                    <c:v>9</c:v>
                  </c:pt>
                  <c:pt idx="60">
                    <c:v>1</c:v>
                  </c:pt>
                  <c:pt idx="64">
                    <c:v>5</c:v>
                  </c:pt>
                  <c:pt idx="68">
                    <c:v>9</c:v>
                  </c:pt>
                  <c:pt idx="72">
                    <c:v>1</c:v>
                  </c:pt>
                  <c:pt idx="76">
                    <c:v>5</c:v>
                  </c:pt>
                  <c:pt idx="80">
                    <c:v>9</c:v>
                  </c:pt>
                  <c:pt idx="84">
                    <c:v>1</c:v>
                  </c:pt>
                  <c:pt idx="88">
                    <c:v>5</c:v>
                  </c:pt>
                  <c:pt idx="92">
                    <c:v>9</c:v>
                  </c:pt>
                  <c:pt idx="96">
                    <c:v>1</c:v>
                  </c:pt>
                  <c:pt idx="100">
                    <c:v>5</c:v>
                  </c:pt>
                  <c:pt idx="104">
                    <c:v>9</c:v>
                  </c:pt>
                  <c:pt idx="108">
                    <c:v>1</c:v>
                  </c:pt>
                  <c:pt idx="112">
                    <c:v>5</c:v>
                  </c:pt>
                  <c:pt idx="116">
                    <c:v>9</c:v>
                  </c:pt>
                  <c:pt idx="120">
                    <c:v>1</c:v>
                  </c:pt>
                  <c:pt idx="124">
                    <c:v>5</c:v>
                  </c:pt>
                  <c:pt idx="128">
                    <c:v>9</c:v>
                  </c:pt>
                </c:lvl>
                <c:lvl>
                  <c:pt idx="0">
                    <c:v>2008</c:v>
                  </c:pt>
                  <c:pt idx="12">
                    <c:v>2009</c:v>
                  </c:pt>
                  <c:pt idx="24">
                    <c:v>2010</c:v>
                  </c:pt>
                  <c:pt idx="36">
                    <c:v>2011</c:v>
                  </c:pt>
                  <c:pt idx="48">
                    <c:v>2012</c:v>
                  </c:pt>
                  <c:pt idx="60">
                    <c:v>2013</c:v>
                  </c:pt>
                  <c:pt idx="72">
                    <c:v>2014</c:v>
                  </c:pt>
                  <c:pt idx="84">
                    <c:v>2015</c:v>
                  </c:pt>
                  <c:pt idx="96">
                    <c:v>2016</c:v>
                  </c:pt>
                  <c:pt idx="108">
                    <c:v>2017</c:v>
                  </c:pt>
                  <c:pt idx="120">
                    <c:v>2018</c:v>
                  </c:pt>
                </c:lvl>
              </c:multiLvlStrCache>
            </c:multiLvlStrRef>
          </c:cat>
          <c:val>
            <c:numRef>
              <c:f>'5-Sektor-nef. podn-úvěry'!$AE$6:$AE$137</c:f>
              <c:numCache>
                <c:formatCode>0.0</c:formatCode>
                <c:ptCount val="132"/>
                <c:pt idx="0">
                  <c:v>3.3109008178175112</c:v>
                </c:pt>
                <c:pt idx="1">
                  <c:v>3.307727023740211</c:v>
                </c:pt>
                <c:pt idx="2">
                  <c:v>3.5258714162305518</c:v>
                </c:pt>
                <c:pt idx="3">
                  <c:v>3.4390418478732143</c:v>
                </c:pt>
                <c:pt idx="4">
                  <c:v>3.4134248089705692</c:v>
                </c:pt>
                <c:pt idx="5">
                  <c:v>3.393113178934025</c:v>
                </c:pt>
                <c:pt idx="6">
                  <c:v>3.7397851148120598</c:v>
                </c:pt>
                <c:pt idx="7">
                  <c:v>3.7969391711285736</c:v>
                </c:pt>
                <c:pt idx="8">
                  <c:v>3.9885869675908641</c:v>
                </c:pt>
                <c:pt idx="9">
                  <c:v>4.1539954129847754</c:v>
                </c:pt>
                <c:pt idx="10">
                  <c:v>4.1634746459844347</c:v>
                </c:pt>
                <c:pt idx="11">
                  <c:v>4.3483289556915894</c:v>
                </c:pt>
                <c:pt idx="12">
                  <c:v>4.6453830819406434</c:v>
                </c:pt>
                <c:pt idx="13">
                  <c:v>4.9440202580309345</c:v>
                </c:pt>
                <c:pt idx="14">
                  <c:v>5.4290218349484949</c:v>
                </c:pt>
                <c:pt idx="15">
                  <c:v>5.5442057008161774</c:v>
                </c:pt>
                <c:pt idx="16">
                  <c:v>6.0791020152703537</c:v>
                </c:pt>
                <c:pt idx="17">
                  <c:v>6.5485880412236437</c:v>
                </c:pt>
                <c:pt idx="18">
                  <c:v>6.7567081324117124</c:v>
                </c:pt>
                <c:pt idx="19">
                  <c:v>7.1075922092277599</c:v>
                </c:pt>
                <c:pt idx="20">
                  <c:v>7.5165671891896793</c:v>
                </c:pt>
                <c:pt idx="21">
                  <c:v>7.9139764284401339</c:v>
                </c:pt>
                <c:pt idx="22">
                  <c:v>8.1355624328145559</c:v>
                </c:pt>
                <c:pt idx="23">
                  <c:v>8.5944596846533194</c:v>
                </c:pt>
                <c:pt idx="24">
                  <c:v>8.6930331622885539</c:v>
                </c:pt>
                <c:pt idx="25">
                  <c:v>8.7652937924691692</c:v>
                </c:pt>
                <c:pt idx="26">
                  <c:v>8.9973215837097289</c:v>
                </c:pt>
                <c:pt idx="27">
                  <c:v>9.3949172937938457</c:v>
                </c:pt>
                <c:pt idx="28">
                  <c:v>9.2554991853825506</c:v>
                </c:pt>
                <c:pt idx="29">
                  <c:v>9.5367301056861287</c:v>
                </c:pt>
                <c:pt idx="30">
                  <c:v>9.6061270237677174</c:v>
                </c:pt>
                <c:pt idx="31">
                  <c:v>9.5526350225030718</c:v>
                </c:pt>
                <c:pt idx="32">
                  <c:v>9.945328198721219</c:v>
                </c:pt>
                <c:pt idx="33">
                  <c:v>9.8093156308356448</c:v>
                </c:pt>
                <c:pt idx="34">
                  <c:v>9.7059080371286708</c:v>
                </c:pt>
                <c:pt idx="35">
                  <c:v>9.878935661048569</c:v>
                </c:pt>
                <c:pt idx="36">
                  <c:v>9.7362498495691092</c:v>
                </c:pt>
                <c:pt idx="37">
                  <c:v>9.6546349844895207</c:v>
                </c:pt>
                <c:pt idx="38">
                  <c:v>9.6037763883778684</c:v>
                </c:pt>
                <c:pt idx="39">
                  <c:v>9.3467269969160203</c:v>
                </c:pt>
                <c:pt idx="40">
                  <c:v>9.2249788365549659</c:v>
                </c:pt>
                <c:pt idx="41">
                  <c:v>9.2957041415285175</c:v>
                </c:pt>
                <c:pt idx="42">
                  <c:v>9.0847188325859225</c:v>
                </c:pt>
                <c:pt idx="43">
                  <c:v>9.2761516878558439</c:v>
                </c:pt>
                <c:pt idx="44">
                  <c:v>9.2920819621418111</c:v>
                </c:pt>
                <c:pt idx="45">
                  <c:v>8.9446792734602028</c:v>
                </c:pt>
                <c:pt idx="46">
                  <c:v>8.8514594951797143</c:v>
                </c:pt>
                <c:pt idx="47">
                  <c:v>8.9289555018985389</c:v>
                </c:pt>
                <c:pt idx="48">
                  <c:v>8.7805994852465137</c:v>
                </c:pt>
                <c:pt idx="49">
                  <c:v>8.8125622516460584</c:v>
                </c:pt>
                <c:pt idx="50">
                  <c:v>8.761283818126854</c:v>
                </c:pt>
                <c:pt idx="51">
                  <c:v>8.5996806972785222</c:v>
                </c:pt>
                <c:pt idx="52">
                  <c:v>8.5305232749609257</c:v>
                </c:pt>
                <c:pt idx="53">
                  <c:v>8.5019209950418411</c:v>
                </c:pt>
                <c:pt idx="54">
                  <c:v>8.4317595513323269</c:v>
                </c:pt>
                <c:pt idx="55">
                  <c:v>8.1611905294903053</c:v>
                </c:pt>
                <c:pt idx="56">
                  <c:v>8.0229771447746483</c:v>
                </c:pt>
                <c:pt idx="57">
                  <c:v>8.1180372662670841</c:v>
                </c:pt>
                <c:pt idx="58">
                  <c:v>8.119042313183261</c:v>
                </c:pt>
                <c:pt idx="59">
                  <c:v>7.9442625861375431</c:v>
                </c:pt>
                <c:pt idx="60">
                  <c:v>7.9709943254132094</c:v>
                </c:pt>
                <c:pt idx="61">
                  <c:v>8.018866966716045</c:v>
                </c:pt>
                <c:pt idx="62">
                  <c:v>7.9851771358559454</c:v>
                </c:pt>
                <c:pt idx="63">
                  <c:v>8.0975686105617193</c:v>
                </c:pt>
                <c:pt idx="64">
                  <c:v>8.244609062593506</c:v>
                </c:pt>
                <c:pt idx="65">
                  <c:v>8.2194109004263733</c:v>
                </c:pt>
                <c:pt idx="66">
                  <c:v>8.2335058570674846</c:v>
                </c:pt>
                <c:pt idx="67">
                  <c:v>8.0265866528584766</c:v>
                </c:pt>
                <c:pt idx="68">
                  <c:v>7.8784384100927474</c:v>
                </c:pt>
                <c:pt idx="69">
                  <c:v>7.9738267399770884</c:v>
                </c:pt>
                <c:pt idx="70">
                  <c:v>7.7036556003236933</c:v>
                </c:pt>
                <c:pt idx="71">
                  <c:v>7.7047914233767489</c:v>
                </c:pt>
                <c:pt idx="72">
                  <c:v>7.6502283749733424</c:v>
                </c:pt>
                <c:pt idx="73">
                  <c:v>7.6639960398372606</c:v>
                </c:pt>
                <c:pt idx="74">
                  <c:v>7.8010264419302784</c:v>
                </c:pt>
                <c:pt idx="75">
                  <c:v>7.9168117029483094</c:v>
                </c:pt>
                <c:pt idx="76">
                  <c:v>7.7888397037114334</c:v>
                </c:pt>
                <c:pt idx="77">
                  <c:v>7.5143970608595057</c:v>
                </c:pt>
                <c:pt idx="78">
                  <c:v>7.6590796316708527</c:v>
                </c:pt>
                <c:pt idx="79">
                  <c:v>7.4306267417914524</c:v>
                </c:pt>
                <c:pt idx="80">
                  <c:v>7.3917852691761947</c:v>
                </c:pt>
                <c:pt idx="81">
                  <c:v>7.3498452727557355</c:v>
                </c:pt>
                <c:pt idx="82">
                  <c:v>7.3679117077027581</c:v>
                </c:pt>
                <c:pt idx="83">
                  <c:v>7.1931393253447693</c:v>
                </c:pt>
                <c:pt idx="84">
                  <c:v>7.1174156026415245</c:v>
                </c:pt>
                <c:pt idx="85">
                  <c:v>7.0876957009899737</c:v>
                </c:pt>
                <c:pt idx="86">
                  <c:v>6.8349931945227924</c:v>
                </c:pt>
                <c:pt idx="87">
                  <c:v>6.5678451032415737</c:v>
                </c:pt>
                <c:pt idx="88">
                  <c:v>6.4686194061301121</c:v>
                </c:pt>
                <c:pt idx="89">
                  <c:v>6.3665123466750417</c:v>
                </c:pt>
                <c:pt idx="90">
                  <c:v>6.2342656697835794</c:v>
                </c:pt>
                <c:pt idx="91">
                  <c:v>6.059874691609215</c:v>
                </c:pt>
                <c:pt idx="92">
                  <c:v>5.9387887509232424</c:v>
                </c:pt>
                <c:pt idx="93">
                  <c:v>5.9170252474749789</c:v>
                </c:pt>
                <c:pt idx="94">
                  <c:v>5.9276065104363056</c:v>
                </c:pt>
                <c:pt idx="95">
                  <c:v>6.0672190218740294</c:v>
                </c:pt>
                <c:pt idx="96">
                  <c:v>5.8207386889486674</c:v>
                </c:pt>
                <c:pt idx="97">
                  <c:v>5.7065079065221598</c:v>
                </c:pt>
                <c:pt idx="98">
                  <c:v>5.4327181516567409</c:v>
                </c:pt>
                <c:pt idx="99">
                  <c:v>5.3817580076625511</c:v>
                </c:pt>
                <c:pt idx="100">
                  <c:v>5.2182344034203494</c:v>
                </c:pt>
                <c:pt idx="101">
                  <c:v>5.454915374792896</c:v>
                </c:pt>
                <c:pt idx="102">
                  <c:v>5.2607184712459247</c:v>
                </c:pt>
                <c:pt idx="103">
                  <c:v>5.3552582365324755</c:v>
                </c:pt>
                <c:pt idx="104">
                  <c:v>5.4222791919250524</c:v>
                </c:pt>
                <c:pt idx="105">
                  <c:v>5.2781881961543924</c:v>
                </c:pt>
                <c:pt idx="106">
                  <c:v>5.1783098335308084</c:v>
                </c:pt>
                <c:pt idx="107">
                  <c:v>5.4367504644948337</c:v>
                </c:pt>
                <c:pt idx="108">
                  <c:v>5.4765579796613197</c:v>
                </c:pt>
                <c:pt idx="109">
                  <c:v>5.4482841329749574</c:v>
                </c:pt>
                <c:pt idx="110">
                  <c:v>5.2166700671707789</c:v>
                </c:pt>
                <c:pt idx="111">
                  <c:v>4.9110715869160364</c:v>
                </c:pt>
                <c:pt idx="112">
                  <c:v>4.8411707503129495</c:v>
                </c:pt>
                <c:pt idx="113">
                  <c:v>4.8684132791672035</c:v>
                </c:pt>
                <c:pt idx="114">
                  <c:v>4.7135839727091486</c:v>
                </c:pt>
                <c:pt idx="115">
                  <c:v>4.7077744382450355</c:v>
                </c:pt>
                <c:pt idx="116">
                  <c:v>4.6043491814790114</c:v>
                </c:pt>
                <c:pt idx="117">
                  <c:v>4.5661883377460173</c:v>
                </c:pt>
                <c:pt idx="118">
                  <c:v>4.5442468988194875</c:v>
                </c:pt>
                <c:pt idx="119">
                  <c:v>4.4164121977906534</c:v>
                </c:pt>
                <c:pt idx="120">
                  <c:v>4.4105226980265941</c:v>
                </c:pt>
                <c:pt idx="121">
                  <c:v>4.1003019534435969</c:v>
                </c:pt>
                <c:pt idx="122">
                  <c:v>4.0410313296539098</c:v>
                </c:pt>
                <c:pt idx="123">
                  <c:v>3.9972627300764838</c:v>
                </c:pt>
                <c:pt idx="124">
                  <c:v>3.9052530624484225</c:v>
                </c:pt>
                <c:pt idx="125">
                  <c:v>3.7217238694295682</c:v>
                </c:pt>
                <c:pt idx="126">
                  <c:v>3.6037644717569113</c:v>
                </c:pt>
                <c:pt idx="127">
                  <c:v>3.5794622350804377</c:v>
                </c:pt>
              </c:numCache>
            </c:numRef>
          </c:val>
          <c:extLst xmlns:c16r2="http://schemas.microsoft.com/office/drawing/2015/06/chart">
            <c:ext xmlns:c16="http://schemas.microsoft.com/office/drawing/2014/chart" uri="{C3380CC4-5D6E-409C-BE32-E72D297353CC}">
              <c16:uniqueId val="{00000003-B9FA-43ED-9640-2DCB6756FBF8}"/>
            </c:ext>
          </c:extLst>
        </c:ser>
        <c:marker val="1"/>
        <c:axId val="129060864"/>
        <c:axId val="129054976"/>
      </c:lineChart>
      <c:catAx>
        <c:axId val="129043456"/>
        <c:scaling>
          <c:orientation val="minMax"/>
        </c:scaling>
        <c:axPos val="b"/>
        <c:numFmt formatCode="General" sourceLinked="1"/>
        <c:majorTickMark val="none"/>
        <c:tickLblPos val="low"/>
        <c:txPr>
          <a:bodyPr rot="0" vert="horz"/>
          <a:lstStyle/>
          <a:p>
            <a:pPr>
              <a:defRPr sz="800">
                <a:latin typeface="Arial" pitchFamily="34" charset="0"/>
                <a:cs typeface="Arial" pitchFamily="34" charset="0"/>
              </a:defRPr>
            </a:pPr>
            <a:endParaRPr lang="cs-CZ"/>
          </a:p>
        </c:txPr>
        <c:crossAx val="129053440"/>
        <c:crosses val="autoZero"/>
        <c:auto val="1"/>
        <c:lblAlgn val="ctr"/>
        <c:lblOffset val="0"/>
        <c:tickLblSkip val="12"/>
        <c:tickMarkSkip val="12"/>
      </c:catAx>
      <c:valAx>
        <c:axId val="129053440"/>
        <c:scaling>
          <c:orientation val="minMax"/>
          <c:min val="-30"/>
        </c:scaling>
        <c:axPos val="l"/>
        <c:majorGridlines>
          <c:spPr>
            <a:ln w="9525">
              <a:solidFill>
                <a:srgbClr val="BFBFBF"/>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29043456"/>
        <c:crosses val="autoZero"/>
        <c:crossBetween val="between"/>
      </c:valAx>
      <c:valAx>
        <c:axId val="129054976"/>
        <c:scaling>
          <c:orientation val="minMax"/>
          <c:max val="14"/>
          <c:min val="0"/>
        </c:scaling>
        <c:axPos val="r"/>
        <c:numFmt formatCode="0" sourceLinked="0"/>
        <c:tickLblPos val="nextTo"/>
        <c:txPr>
          <a:bodyPr/>
          <a:lstStyle/>
          <a:p>
            <a:pPr>
              <a:defRPr sz="800">
                <a:latin typeface="Arial" pitchFamily="34" charset="0"/>
                <a:cs typeface="Arial" pitchFamily="34" charset="0"/>
              </a:defRPr>
            </a:pPr>
            <a:endParaRPr lang="cs-CZ"/>
          </a:p>
        </c:txPr>
        <c:crossAx val="129060864"/>
        <c:crosses val="max"/>
        <c:crossBetween val="between"/>
      </c:valAx>
      <c:catAx>
        <c:axId val="129060864"/>
        <c:scaling>
          <c:orientation val="minMax"/>
        </c:scaling>
        <c:delete val="1"/>
        <c:axPos val="b"/>
        <c:numFmt formatCode="General" sourceLinked="1"/>
        <c:tickLblPos val="none"/>
        <c:crossAx val="129054976"/>
        <c:crosses val="autoZero"/>
        <c:auto val="1"/>
        <c:lblAlgn val="ctr"/>
        <c:lblOffset val="100"/>
      </c:catAx>
      <c:spPr>
        <a:ln>
          <a:solidFill>
            <a:sysClr val="windowText" lastClr="000000">
              <a:lumMod val="95000"/>
              <a:lumOff val="5000"/>
            </a:sysClr>
          </a:solidFill>
        </a:ln>
      </c:spPr>
    </c:plotArea>
    <c:legend>
      <c:legendPos val="r"/>
      <c:layout>
        <c:manualLayout>
          <c:xMode val="edge"/>
          <c:yMode val="edge"/>
          <c:x val="5.5451985505860349E-2"/>
          <c:y val="0.84911392760396931"/>
          <c:w val="0.86504723346829482"/>
          <c:h val="0.14019088523025533"/>
        </c:manualLayout>
      </c:layout>
      <c:spPr>
        <a:ln>
          <a:solidFill>
            <a:schemeClr val="tx1">
              <a:lumMod val="95000"/>
              <a:lumOff val="5000"/>
            </a:schemeClr>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27.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0.10608838874897725"/>
          <c:y val="2.1390374331550797E-2"/>
          <c:w val="0.87783863049508692"/>
          <c:h val="0.70364843432004764"/>
        </c:manualLayout>
      </c:layout>
      <c:barChart>
        <c:barDir val="col"/>
        <c:grouping val="stacked"/>
        <c:ser>
          <c:idx val="0"/>
          <c:order val="0"/>
          <c:tx>
            <c:strRef>
              <c:f>'6-Sektor-nef. zadluženoist'!$P$168</c:f>
              <c:strCache>
                <c:ptCount val="1"/>
                <c:pt idx="0">
                  <c:v>Dluhové cenné papíry (AF.3)</c:v>
                </c:pt>
              </c:strCache>
            </c:strRef>
          </c:tx>
          <c:spPr>
            <a:solidFill>
              <a:schemeClr val="accent1"/>
            </a:solidFill>
            <a:ln w="22225">
              <a:noFill/>
            </a:ln>
          </c:spPr>
          <c:cat>
            <c:strRef>
              <c:f>'6-Sektor-nef. zadluženoist'!$L$169:$L$198</c:f>
              <c:strCache>
                <c:ptCount val="30"/>
                <c:pt idx="0">
                  <c:v>Lucemburs.</c:v>
                </c:pt>
                <c:pt idx="1">
                  <c:v>Irsko</c:v>
                </c:pt>
                <c:pt idx="2">
                  <c:v>Kypr</c:v>
                </c:pt>
                <c:pt idx="3">
                  <c:v>Nizozemsko</c:v>
                </c:pt>
                <c:pt idx="4">
                  <c:v>Belgie</c:v>
                </c:pt>
                <c:pt idx="5">
                  <c:v>Švédsko</c:v>
                </c:pt>
                <c:pt idx="6">
                  <c:v>Dánsko</c:v>
                </c:pt>
                <c:pt idx="7">
                  <c:v>Portugalsko</c:v>
                </c:pt>
                <c:pt idx="8">
                  <c:v>Malta</c:v>
                </c:pt>
                <c:pt idx="9">
                  <c:v>Francie</c:v>
                </c:pt>
                <c:pt idx="10">
                  <c:v>Bulharsko</c:v>
                </c:pt>
                <c:pt idx="11">
                  <c:v>Eurozóna (19)</c:v>
                </c:pt>
                <c:pt idx="12">
                  <c:v>Lotyšsko</c:v>
                </c:pt>
                <c:pt idx="13">
                  <c:v>EU28</c:v>
                </c:pt>
                <c:pt idx="14">
                  <c:v>V. Británie</c:v>
                </c:pt>
                <c:pt idx="15">
                  <c:v>Slovensko</c:v>
                </c:pt>
                <c:pt idx="16">
                  <c:v>Španělsko</c:v>
                </c:pt>
                <c:pt idx="17">
                  <c:v>Finsko</c:v>
                </c:pt>
                <c:pt idx="18">
                  <c:v>Estonsko</c:v>
                </c:pt>
                <c:pt idx="19">
                  <c:v>Chorvatsko</c:v>
                </c:pt>
                <c:pt idx="20">
                  <c:v>Rakousko</c:v>
                </c:pt>
                <c:pt idx="21">
                  <c:v>Itálie</c:v>
                </c:pt>
                <c:pt idx="22">
                  <c:v>Maďarsko</c:v>
                </c:pt>
                <c:pt idx="23">
                  <c:v>Slovinsko</c:v>
                </c:pt>
                <c:pt idx="24">
                  <c:v>Řecko</c:v>
                </c:pt>
                <c:pt idx="25">
                  <c:v>Německo</c:v>
                </c:pt>
                <c:pt idx="26">
                  <c:v>Rumunsko</c:v>
                </c:pt>
                <c:pt idx="27">
                  <c:v>Polsko</c:v>
                </c:pt>
                <c:pt idx="28">
                  <c:v>Česko</c:v>
                </c:pt>
                <c:pt idx="29">
                  <c:v>Litva</c:v>
                </c:pt>
              </c:strCache>
            </c:strRef>
          </c:cat>
          <c:val>
            <c:numRef>
              <c:f>'6-Sektor-nef. zadluženoist'!$P$169:$P$198</c:f>
              <c:numCache>
                <c:formatCode>#,##0.0</c:formatCode>
                <c:ptCount val="30"/>
                <c:pt idx="0">
                  <c:v>41.3</c:v>
                </c:pt>
                <c:pt idx="1">
                  <c:v>5.9</c:v>
                </c:pt>
                <c:pt idx="2">
                  <c:v>0.5</c:v>
                </c:pt>
                <c:pt idx="3">
                  <c:v>19.600000000000001</c:v>
                </c:pt>
                <c:pt idx="4">
                  <c:v>14.7</c:v>
                </c:pt>
                <c:pt idx="5">
                  <c:v>21.1</c:v>
                </c:pt>
                <c:pt idx="6">
                  <c:v>8.9</c:v>
                </c:pt>
                <c:pt idx="7">
                  <c:v>17.600000000000001</c:v>
                </c:pt>
                <c:pt idx="8">
                  <c:v>6.1</c:v>
                </c:pt>
                <c:pt idx="9">
                  <c:v>28.3</c:v>
                </c:pt>
                <c:pt idx="10">
                  <c:v>4.0999999999999996</c:v>
                </c:pt>
                <c:pt idx="11">
                  <c:v>12.6</c:v>
                </c:pt>
                <c:pt idx="12">
                  <c:v>0.70000000000000062</c:v>
                </c:pt>
                <c:pt idx="13">
                  <c:v>13.2</c:v>
                </c:pt>
                <c:pt idx="14">
                  <c:v>19.3</c:v>
                </c:pt>
                <c:pt idx="15">
                  <c:v>8.5</c:v>
                </c:pt>
                <c:pt idx="16">
                  <c:v>2.5</c:v>
                </c:pt>
                <c:pt idx="17">
                  <c:v>13.7</c:v>
                </c:pt>
                <c:pt idx="18">
                  <c:v>5.8</c:v>
                </c:pt>
                <c:pt idx="19">
                  <c:v>3.5</c:v>
                </c:pt>
                <c:pt idx="20">
                  <c:v>10.9</c:v>
                </c:pt>
                <c:pt idx="21">
                  <c:v>9.4</c:v>
                </c:pt>
                <c:pt idx="22">
                  <c:v>1.5</c:v>
                </c:pt>
                <c:pt idx="23">
                  <c:v>2.2000000000000002</c:v>
                </c:pt>
                <c:pt idx="24">
                  <c:v>0.4</c:v>
                </c:pt>
                <c:pt idx="25">
                  <c:v>6.4</c:v>
                </c:pt>
                <c:pt idx="26">
                  <c:v>0</c:v>
                </c:pt>
                <c:pt idx="27">
                  <c:v>4.5</c:v>
                </c:pt>
                <c:pt idx="28">
                  <c:v>6.5</c:v>
                </c:pt>
                <c:pt idx="29">
                  <c:v>1.3</c:v>
                </c:pt>
              </c:numCache>
            </c:numRef>
          </c:val>
          <c:extLst xmlns:c16r2="http://schemas.microsoft.com/office/drawing/2015/06/chart">
            <c:ext xmlns:c16="http://schemas.microsoft.com/office/drawing/2014/chart" uri="{C3380CC4-5D6E-409C-BE32-E72D297353CC}">
              <c16:uniqueId val="{00000000-AD02-4F37-BAF3-FA42EF95A8D6}"/>
            </c:ext>
          </c:extLst>
        </c:ser>
        <c:ser>
          <c:idx val="1"/>
          <c:order val="1"/>
          <c:tx>
            <c:strRef>
              <c:f>'6-Sektor-nef. zadluženoist'!$Q$168</c:f>
              <c:strCache>
                <c:ptCount val="1"/>
                <c:pt idx="0">
                  <c:v>Půjčky (AF.4)</c:v>
                </c:pt>
              </c:strCache>
            </c:strRef>
          </c:tx>
          <c:spPr>
            <a:ln>
              <a:noFill/>
            </a:ln>
          </c:spPr>
          <c:cat>
            <c:strRef>
              <c:f>'6-Sektor-nef. zadluženoist'!$L$169:$L$198</c:f>
              <c:strCache>
                <c:ptCount val="30"/>
                <c:pt idx="0">
                  <c:v>Lucemburs.</c:v>
                </c:pt>
                <c:pt idx="1">
                  <c:v>Irsko</c:v>
                </c:pt>
                <c:pt idx="2">
                  <c:v>Kypr</c:v>
                </c:pt>
                <c:pt idx="3">
                  <c:v>Nizozemsko</c:v>
                </c:pt>
                <c:pt idx="4">
                  <c:v>Belgie</c:v>
                </c:pt>
                <c:pt idx="5">
                  <c:v>Švédsko</c:v>
                </c:pt>
                <c:pt idx="6">
                  <c:v>Dánsko</c:v>
                </c:pt>
                <c:pt idx="7">
                  <c:v>Portugalsko</c:v>
                </c:pt>
                <c:pt idx="8">
                  <c:v>Malta</c:v>
                </c:pt>
                <c:pt idx="9">
                  <c:v>Francie</c:v>
                </c:pt>
                <c:pt idx="10">
                  <c:v>Bulharsko</c:v>
                </c:pt>
                <c:pt idx="11">
                  <c:v>Eurozóna (19)</c:v>
                </c:pt>
                <c:pt idx="12">
                  <c:v>Lotyšsko</c:v>
                </c:pt>
                <c:pt idx="13">
                  <c:v>EU28</c:v>
                </c:pt>
                <c:pt idx="14">
                  <c:v>V. Británie</c:v>
                </c:pt>
                <c:pt idx="15">
                  <c:v>Slovensko</c:v>
                </c:pt>
                <c:pt idx="16">
                  <c:v>Španělsko</c:v>
                </c:pt>
                <c:pt idx="17">
                  <c:v>Finsko</c:v>
                </c:pt>
                <c:pt idx="18">
                  <c:v>Estonsko</c:v>
                </c:pt>
                <c:pt idx="19">
                  <c:v>Chorvatsko</c:v>
                </c:pt>
                <c:pt idx="20">
                  <c:v>Rakousko</c:v>
                </c:pt>
                <c:pt idx="21">
                  <c:v>Itálie</c:v>
                </c:pt>
                <c:pt idx="22">
                  <c:v>Maďarsko</c:v>
                </c:pt>
                <c:pt idx="23">
                  <c:v>Slovinsko</c:v>
                </c:pt>
                <c:pt idx="24">
                  <c:v>Řecko</c:v>
                </c:pt>
                <c:pt idx="25">
                  <c:v>Německo</c:v>
                </c:pt>
                <c:pt idx="26">
                  <c:v>Rumunsko</c:v>
                </c:pt>
                <c:pt idx="27">
                  <c:v>Polsko</c:v>
                </c:pt>
                <c:pt idx="28">
                  <c:v>Česko</c:v>
                </c:pt>
                <c:pt idx="29">
                  <c:v>Litva</c:v>
                </c:pt>
              </c:strCache>
            </c:strRef>
          </c:cat>
          <c:val>
            <c:numRef>
              <c:f>'6-Sektor-nef. zadluženoist'!$Q$169:$Q$198</c:f>
              <c:numCache>
                <c:formatCode>#,##0.0</c:formatCode>
                <c:ptCount val="30"/>
                <c:pt idx="0">
                  <c:v>249.2</c:v>
                </c:pt>
                <c:pt idx="1">
                  <c:v>190.1</c:v>
                </c:pt>
                <c:pt idx="2">
                  <c:v>208.3</c:v>
                </c:pt>
                <c:pt idx="3">
                  <c:v>128</c:v>
                </c:pt>
                <c:pt idx="4">
                  <c:v>113</c:v>
                </c:pt>
                <c:pt idx="5">
                  <c:v>85.1</c:v>
                </c:pt>
                <c:pt idx="6">
                  <c:v>67.099999999999994</c:v>
                </c:pt>
                <c:pt idx="7">
                  <c:v>75.7</c:v>
                </c:pt>
                <c:pt idx="8">
                  <c:v>63.7</c:v>
                </c:pt>
                <c:pt idx="9">
                  <c:v>61.4</c:v>
                </c:pt>
                <c:pt idx="10">
                  <c:v>75.599999999999994</c:v>
                </c:pt>
                <c:pt idx="11">
                  <c:v>69.3</c:v>
                </c:pt>
                <c:pt idx="12">
                  <c:v>60.7</c:v>
                </c:pt>
                <c:pt idx="13">
                  <c:v>66.7</c:v>
                </c:pt>
                <c:pt idx="14">
                  <c:v>63.5</c:v>
                </c:pt>
                <c:pt idx="15">
                  <c:v>47.1</c:v>
                </c:pt>
                <c:pt idx="16">
                  <c:v>75.2</c:v>
                </c:pt>
                <c:pt idx="17">
                  <c:v>65.5</c:v>
                </c:pt>
                <c:pt idx="18">
                  <c:v>61.2</c:v>
                </c:pt>
                <c:pt idx="19">
                  <c:v>60.8</c:v>
                </c:pt>
                <c:pt idx="20">
                  <c:v>61.2</c:v>
                </c:pt>
                <c:pt idx="21">
                  <c:v>60.3</c:v>
                </c:pt>
                <c:pt idx="22">
                  <c:v>51.2</c:v>
                </c:pt>
                <c:pt idx="23">
                  <c:v>46.2</c:v>
                </c:pt>
                <c:pt idx="24">
                  <c:v>60.6</c:v>
                </c:pt>
                <c:pt idx="25">
                  <c:v>40.9</c:v>
                </c:pt>
                <c:pt idx="26">
                  <c:v>34.700000000000003</c:v>
                </c:pt>
                <c:pt idx="27">
                  <c:v>37</c:v>
                </c:pt>
                <c:pt idx="28">
                  <c:v>31.3</c:v>
                </c:pt>
                <c:pt idx="29">
                  <c:v>32.300000000000004</c:v>
                </c:pt>
              </c:numCache>
            </c:numRef>
          </c:val>
          <c:extLst xmlns:c16r2="http://schemas.microsoft.com/office/drawing/2015/06/chart">
            <c:ext xmlns:c16="http://schemas.microsoft.com/office/drawing/2014/chart" uri="{C3380CC4-5D6E-409C-BE32-E72D297353CC}">
              <c16:uniqueId val="{00000001-AD02-4F37-BAF3-FA42EF95A8D6}"/>
            </c:ext>
          </c:extLst>
        </c:ser>
        <c:ser>
          <c:idx val="2"/>
          <c:order val="2"/>
          <c:tx>
            <c:strRef>
              <c:f>'6-Sektor-nef. zadluženoist'!$R$168</c:f>
              <c:strCache>
                <c:ptCount val="1"/>
                <c:pt idx="0">
                  <c:v>Ostatní pohledávky/závazky (AF.8)</c:v>
                </c:pt>
              </c:strCache>
            </c:strRef>
          </c:tx>
          <c:spPr>
            <a:ln>
              <a:noFill/>
            </a:ln>
          </c:spPr>
          <c:cat>
            <c:strRef>
              <c:f>'6-Sektor-nef. zadluženoist'!$L$169:$L$198</c:f>
              <c:strCache>
                <c:ptCount val="30"/>
                <c:pt idx="0">
                  <c:v>Lucemburs.</c:v>
                </c:pt>
                <c:pt idx="1">
                  <c:v>Irsko</c:v>
                </c:pt>
                <c:pt idx="2">
                  <c:v>Kypr</c:v>
                </c:pt>
                <c:pt idx="3">
                  <c:v>Nizozemsko</c:v>
                </c:pt>
                <c:pt idx="4">
                  <c:v>Belgie</c:v>
                </c:pt>
                <c:pt idx="5">
                  <c:v>Švédsko</c:v>
                </c:pt>
                <c:pt idx="6">
                  <c:v>Dánsko</c:v>
                </c:pt>
                <c:pt idx="7">
                  <c:v>Portugalsko</c:v>
                </c:pt>
                <c:pt idx="8">
                  <c:v>Malta</c:v>
                </c:pt>
                <c:pt idx="9">
                  <c:v>Francie</c:v>
                </c:pt>
                <c:pt idx="10">
                  <c:v>Bulharsko</c:v>
                </c:pt>
                <c:pt idx="11">
                  <c:v>Eurozóna (19)</c:v>
                </c:pt>
                <c:pt idx="12">
                  <c:v>Lotyšsko</c:v>
                </c:pt>
                <c:pt idx="13">
                  <c:v>EU28</c:v>
                </c:pt>
                <c:pt idx="14">
                  <c:v>V. Británie</c:v>
                </c:pt>
                <c:pt idx="15">
                  <c:v>Slovensko</c:v>
                </c:pt>
                <c:pt idx="16">
                  <c:v>Španělsko</c:v>
                </c:pt>
                <c:pt idx="17">
                  <c:v>Finsko</c:v>
                </c:pt>
                <c:pt idx="18">
                  <c:v>Estonsko</c:v>
                </c:pt>
                <c:pt idx="19">
                  <c:v>Chorvatsko</c:v>
                </c:pt>
                <c:pt idx="20">
                  <c:v>Rakousko</c:v>
                </c:pt>
                <c:pt idx="21">
                  <c:v>Itálie</c:v>
                </c:pt>
                <c:pt idx="22">
                  <c:v>Maďarsko</c:v>
                </c:pt>
                <c:pt idx="23">
                  <c:v>Slovinsko</c:v>
                </c:pt>
                <c:pt idx="24">
                  <c:v>Řecko</c:v>
                </c:pt>
                <c:pt idx="25">
                  <c:v>Německo</c:v>
                </c:pt>
                <c:pt idx="26">
                  <c:v>Rumunsko</c:v>
                </c:pt>
                <c:pt idx="27">
                  <c:v>Polsko</c:v>
                </c:pt>
                <c:pt idx="28">
                  <c:v>Česko</c:v>
                </c:pt>
                <c:pt idx="29">
                  <c:v>Litva</c:v>
                </c:pt>
              </c:strCache>
            </c:strRef>
          </c:cat>
          <c:val>
            <c:numRef>
              <c:f>'6-Sektor-nef. zadluženoist'!$R$169:$R$198</c:f>
              <c:numCache>
                <c:formatCode>#,##0.0</c:formatCode>
                <c:ptCount val="30"/>
                <c:pt idx="0">
                  <c:v>27.3</c:v>
                </c:pt>
                <c:pt idx="1">
                  <c:v>69.099999999999994</c:v>
                </c:pt>
                <c:pt idx="2">
                  <c:v>15.3</c:v>
                </c:pt>
                <c:pt idx="3">
                  <c:v>15.9</c:v>
                </c:pt>
                <c:pt idx="4">
                  <c:v>12.9</c:v>
                </c:pt>
                <c:pt idx="5">
                  <c:v>19.2</c:v>
                </c:pt>
                <c:pt idx="6">
                  <c:v>48</c:v>
                </c:pt>
                <c:pt idx="7">
                  <c:v>29.5</c:v>
                </c:pt>
                <c:pt idx="8">
                  <c:v>47.1</c:v>
                </c:pt>
                <c:pt idx="9">
                  <c:v>22</c:v>
                </c:pt>
                <c:pt idx="10">
                  <c:v>23.1</c:v>
                </c:pt>
                <c:pt idx="11">
                  <c:v>15.7</c:v>
                </c:pt>
                <c:pt idx="12">
                  <c:v>34.5</c:v>
                </c:pt>
                <c:pt idx="13">
                  <c:v>15.4</c:v>
                </c:pt>
                <c:pt idx="14">
                  <c:v>7.4</c:v>
                </c:pt>
                <c:pt idx="15">
                  <c:v>32.9</c:v>
                </c:pt>
                <c:pt idx="16">
                  <c:v>10.3</c:v>
                </c:pt>
                <c:pt idx="17">
                  <c:v>8.6</c:v>
                </c:pt>
                <c:pt idx="18">
                  <c:v>18.7</c:v>
                </c:pt>
                <c:pt idx="19">
                  <c:v>19.2</c:v>
                </c:pt>
                <c:pt idx="20">
                  <c:v>10.5</c:v>
                </c:pt>
                <c:pt idx="21">
                  <c:v>7.8</c:v>
                </c:pt>
                <c:pt idx="22">
                  <c:v>16.8</c:v>
                </c:pt>
                <c:pt idx="23">
                  <c:v>20.2</c:v>
                </c:pt>
                <c:pt idx="24">
                  <c:v>7.3</c:v>
                </c:pt>
                <c:pt idx="25">
                  <c:v>14.7</c:v>
                </c:pt>
                <c:pt idx="26">
                  <c:v>26.9</c:v>
                </c:pt>
                <c:pt idx="27">
                  <c:v>19</c:v>
                </c:pt>
                <c:pt idx="28">
                  <c:v>19.399999999999999</c:v>
                </c:pt>
                <c:pt idx="29">
                  <c:v>22.2</c:v>
                </c:pt>
              </c:numCache>
            </c:numRef>
          </c:val>
          <c:extLst xmlns:c16r2="http://schemas.microsoft.com/office/drawing/2015/06/chart">
            <c:ext xmlns:c16="http://schemas.microsoft.com/office/drawing/2014/chart" uri="{C3380CC4-5D6E-409C-BE32-E72D297353CC}">
              <c16:uniqueId val="{00000002-AD02-4F37-BAF3-FA42EF95A8D6}"/>
            </c:ext>
          </c:extLst>
        </c:ser>
        <c:gapWidth val="72"/>
        <c:overlap val="100"/>
        <c:axId val="129076224"/>
        <c:axId val="129086208"/>
      </c:barChart>
      <c:catAx>
        <c:axId val="129076224"/>
        <c:scaling>
          <c:orientation val="minMax"/>
        </c:scaling>
        <c:axPos val="b"/>
        <c:numFmt formatCode="General" sourceLinked="1"/>
        <c:majorTickMark val="none"/>
        <c:tickLblPos val="low"/>
        <c:txPr>
          <a:bodyPr rot="-5400000" vert="horz"/>
          <a:lstStyle/>
          <a:p>
            <a:pPr>
              <a:defRPr sz="800">
                <a:latin typeface="Arial" pitchFamily="34" charset="0"/>
                <a:cs typeface="Arial" pitchFamily="34" charset="0"/>
              </a:defRPr>
            </a:pPr>
            <a:endParaRPr lang="cs-CZ"/>
          </a:p>
        </c:txPr>
        <c:crossAx val="129086208"/>
        <c:crosses val="autoZero"/>
        <c:auto val="1"/>
        <c:lblAlgn val="ctr"/>
        <c:lblOffset val="0"/>
        <c:tickLblSkip val="1"/>
        <c:tickMarkSkip val="1"/>
      </c:catAx>
      <c:valAx>
        <c:axId val="129086208"/>
        <c:scaling>
          <c:orientation val="minMax"/>
          <c:max val="350"/>
          <c:min val="0"/>
        </c:scaling>
        <c:axPos val="l"/>
        <c:majorGridlines>
          <c:spPr>
            <a:ln w="9525">
              <a:solidFill>
                <a:srgbClr val="BFBFBF"/>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29076224"/>
        <c:crosses val="autoZero"/>
        <c:crossBetween val="between"/>
        <c:majorUnit val="50"/>
      </c:valAx>
      <c:spPr>
        <a:ln>
          <a:solidFill>
            <a:sysClr val="windowText" lastClr="000000">
              <a:lumMod val="95000"/>
              <a:lumOff val="5000"/>
            </a:sysClr>
          </a:solidFill>
        </a:ln>
      </c:spPr>
    </c:plotArea>
    <c:legend>
      <c:legendPos val="r"/>
      <c:layout>
        <c:manualLayout>
          <c:xMode val="edge"/>
          <c:yMode val="edge"/>
          <c:x val="0.11213214744918103"/>
          <c:y val="0.91685011298721342"/>
          <c:w val="0.85914132921761699"/>
          <c:h val="6.8889637458419514E-2"/>
        </c:manualLayout>
      </c:layout>
      <c:spPr>
        <a:ln>
          <a:solidFill>
            <a:schemeClr val="tx1">
              <a:lumMod val="95000"/>
              <a:lumOff val="5000"/>
            </a:schemeClr>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28.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6.6871833839919001E-2"/>
          <c:y val="3.9316672295395698E-2"/>
          <c:w val="0.91329111786559058"/>
          <c:h val="0.73908026567601071"/>
        </c:manualLayout>
      </c:layout>
      <c:barChart>
        <c:barDir val="col"/>
        <c:grouping val="stacked"/>
        <c:ser>
          <c:idx val="7"/>
          <c:order val="1"/>
          <c:tx>
            <c:strRef>
              <c:f>ST001201_CZ!$W$24</c:f>
              <c:strCache>
                <c:ptCount val="1"/>
                <c:pt idx="0">
                  <c:v>Pojišťovací společnosti</c:v>
                </c:pt>
              </c:strCache>
            </c:strRef>
          </c:tx>
          <c:spPr>
            <a:solidFill>
              <a:srgbClr val="A6CDE8"/>
            </a:solidFill>
          </c:spPr>
          <c:cat>
            <c:numRef>
              <c:f>ST001201_CZ!$AE$16:$AN$16</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ST001201_CZ!$AE$24:$AN$24</c:f>
              <c:numCache>
                <c:formatCode>General</c:formatCode>
                <c:ptCount val="10"/>
                <c:pt idx="0">
                  <c:v>4.3049999999999855</c:v>
                </c:pt>
                <c:pt idx="1">
                  <c:v>-7.851</c:v>
                </c:pt>
                <c:pt idx="2">
                  <c:v>3.4149999999999987</c:v>
                </c:pt>
                <c:pt idx="3">
                  <c:v>-0.15800000000000086</c:v>
                </c:pt>
                <c:pt idx="4">
                  <c:v>-0.54300000000000004</c:v>
                </c:pt>
                <c:pt idx="5">
                  <c:v>3.6919999999999997</c:v>
                </c:pt>
                <c:pt idx="6">
                  <c:v>-4.3129999999999855</c:v>
                </c:pt>
                <c:pt idx="7">
                  <c:v>1.6930000000000001</c:v>
                </c:pt>
                <c:pt idx="8">
                  <c:v>1.306</c:v>
                </c:pt>
              </c:numCache>
            </c:numRef>
          </c:val>
          <c:extLst xmlns:c16r2="http://schemas.microsoft.com/office/drawing/2015/06/chart">
            <c:ext xmlns:c16="http://schemas.microsoft.com/office/drawing/2014/chart" uri="{C3380CC4-5D6E-409C-BE32-E72D297353CC}">
              <c16:uniqueId val="{00000000-4F23-461C-91C0-05C8C2754E13}"/>
            </c:ext>
          </c:extLst>
        </c:ser>
        <c:ser>
          <c:idx val="4"/>
          <c:order val="2"/>
          <c:tx>
            <c:strRef>
              <c:f>ST001201_CZ!$W$21</c:f>
              <c:strCache>
                <c:ptCount val="1"/>
                <c:pt idx="0">
                  <c:v>Ostatní finanční zprostředkovatelé kromě pojišťovacích společností a penzijních fondů</c:v>
                </c:pt>
              </c:strCache>
            </c:strRef>
          </c:tx>
          <c:spPr>
            <a:solidFill>
              <a:srgbClr val="BD1B21"/>
            </a:solidFill>
          </c:spPr>
          <c:cat>
            <c:numRef>
              <c:f>ST001201_CZ!$AE$16:$AN$16</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ST001201_CZ!$AE$21:$AN$21</c:f>
              <c:numCache>
                <c:formatCode>General</c:formatCode>
                <c:ptCount val="10"/>
                <c:pt idx="0">
                  <c:v>8.0250000000000004</c:v>
                </c:pt>
                <c:pt idx="1">
                  <c:v>8.3890000000000047</c:v>
                </c:pt>
                <c:pt idx="2">
                  <c:v>-0.33500000000000207</c:v>
                </c:pt>
                <c:pt idx="3">
                  <c:v>0.78400000000000003</c:v>
                </c:pt>
                <c:pt idx="4">
                  <c:v>-2.1959999999999997</c:v>
                </c:pt>
                <c:pt idx="5">
                  <c:v>5.5750000000000002</c:v>
                </c:pt>
                <c:pt idx="6">
                  <c:v>-0.86500000000000321</c:v>
                </c:pt>
                <c:pt idx="7">
                  <c:v>1.8340000000000001</c:v>
                </c:pt>
                <c:pt idx="8">
                  <c:v>7.0000000000000034E-2</c:v>
                </c:pt>
              </c:numCache>
            </c:numRef>
          </c:val>
          <c:extLst xmlns:c16r2="http://schemas.microsoft.com/office/drawing/2015/06/chart">
            <c:ext xmlns:c16="http://schemas.microsoft.com/office/drawing/2014/chart" uri="{C3380CC4-5D6E-409C-BE32-E72D297353CC}">
              <c16:uniqueId val="{00000001-4F23-461C-91C0-05C8C2754E13}"/>
            </c:ext>
          </c:extLst>
        </c:ser>
        <c:ser>
          <c:idx val="2"/>
          <c:order val="3"/>
          <c:tx>
            <c:strRef>
              <c:f>ST001201_CZ!$W$19</c:f>
              <c:strCache>
                <c:ptCount val="1"/>
                <c:pt idx="0">
                  <c:v>Instituce přijímající vklady (kromě centrální banky) a fondy peněžního trhu</c:v>
                </c:pt>
              </c:strCache>
            </c:strRef>
          </c:tx>
          <c:spPr>
            <a:solidFill>
              <a:srgbClr val="0071BC"/>
            </a:solidFill>
          </c:spPr>
          <c:cat>
            <c:numRef>
              <c:f>ST001201_CZ!$AE$16:$AN$16</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ST001201_CZ!$AE$19:$AN$19</c:f>
              <c:numCache>
                <c:formatCode>General</c:formatCode>
                <c:ptCount val="10"/>
                <c:pt idx="0">
                  <c:v>9.109</c:v>
                </c:pt>
                <c:pt idx="1">
                  <c:v>5.7359999999999998</c:v>
                </c:pt>
                <c:pt idx="2">
                  <c:v>8.7239999999999984</c:v>
                </c:pt>
                <c:pt idx="3">
                  <c:v>0.17100000000000001</c:v>
                </c:pt>
                <c:pt idx="4">
                  <c:v>0.26100000000000001</c:v>
                </c:pt>
                <c:pt idx="5">
                  <c:v>-8.8120000000000047</c:v>
                </c:pt>
                <c:pt idx="6">
                  <c:v>1.649</c:v>
                </c:pt>
                <c:pt idx="7">
                  <c:v>4.2530000000000001</c:v>
                </c:pt>
                <c:pt idx="8">
                  <c:v>-2.5319999999999987</c:v>
                </c:pt>
              </c:numCache>
            </c:numRef>
          </c:val>
          <c:extLst xmlns:c16r2="http://schemas.microsoft.com/office/drawing/2015/06/chart">
            <c:ext xmlns:c16="http://schemas.microsoft.com/office/drawing/2014/chart" uri="{C3380CC4-5D6E-409C-BE32-E72D297353CC}">
              <c16:uniqueId val="{00000002-4F23-461C-91C0-05C8C2754E13}"/>
            </c:ext>
          </c:extLst>
        </c:ser>
        <c:ser>
          <c:idx val="9"/>
          <c:order val="4"/>
          <c:tx>
            <c:strRef>
              <c:f>ST001201_CZ!$W$26</c:f>
              <c:strCache>
                <c:ptCount val="1"/>
                <c:pt idx="0">
                  <c:v>Ostatní</c:v>
                </c:pt>
              </c:strCache>
            </c:strRef>
          </c:tx>
          <c:spPr>
            <a:solidFill>
              <a:srgbClr val="808080"/>
            </a:solidFill>
          </c:spPr>
          <c:cat>
            <c:numRef>
              <c:f>ST001201_CZ!$AE$16:$AN$16</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ST001201_CZ!$AE$26:$AN$26</c:f>
              <c:numCache>
                <c:formatCode>General</c:formatCode>
                <c:ptCount val="10"/>
                <c:pt idx="0">
                  <c:v>1.03</c:v>
                </c:pt>
                <c:pt idx="1">
                  <c:v>4.68</c:v>
                </c:pt>
                <c:pt idx="2">
                  <c:v>-0.83500000000000063</c:v>
                </c:pt>
                <c:pt idx="3">
                  <c:v>-1.022</c:v>
                </c:pt>
                <c:pt idx="4">
                  <c:v>-2.8529999999999927</c:v>
                </c:pt>
                <c:pt idx="5">
                  <c:v>5.9119999999999999</c:v>
                </c:pt>
                <c:pt idx="6">
                  <c:v>1.0569999999999935</c:v>
                </c:pt>
                <c:pt idx="7">
                  <c:v>1.1020000000000001</c:v>
                </c:pt>
                <c:pt idx="8">
                  <c:v>3.1219999999999999</c:v>
                </c:pt>
              </c:numCache>
            </c:numRef>
          </c:val>
          <c:extLst xmlns:c16r2="http://schemas.microsoft.com/office/drawing/2015/06/chart">
            <c:ext xmlns:c16="http://schemas.microsoft.com/office/drawing/2014/chart" uri="{C3380CC4-5D6E-409C-BE32-E72D297353CC}">
              <c16:uniqueId val="{00000003-4F23-461C-91C0-05C8C2754E13}"/>
            </c:ext>
          </c:extLst>
        </c:ser>
        <c:gapWidth val="93"/>
        <c:overlap val="100"/>
        <c:axId val="129147264"/>
        <c:axId val="129148800"/>
      </c:barChart>
      <c:lineChart>
        <c:grouping val="standard"/>
        <c:ser>
          <c:idx val="0"/>
          <c:order val="0"/>
          <c:tx>
            <c:strRef>
              <c:f>ST001201_CZ!$W$17</c:f>
              <c:strCache>
                <c:ptCount val="1"/>
                <c:pt idx="0">
                  <c:v>Celkem</c:v>
                </c:pt>
              </c:strCache>
            </c:strRef>
          </c:tx>
          <c:spPr>
            <a:ln>
              <a:solidFill>
                <a:sysClr val="windowText" lastClr="000000"/>
              </a:solidFill>
            </a:ln>
          </c:spPr>
          <c:marker>
            <c:symbol val="none"/>
          </c:marker>
          <c:cat>
            <c:numRef>
              <c:f>ST001201_CZ!$AE$16:$AN$16</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ST001201_CZ!$AE$17:$AN$17</c:f>
              <c:numCache>
                <c:formatCode>General</c:formatCode>
                <c:ptCount val="10"/>
                <c:pt idx="0">
                  <c:v>22.468999999999866</c:v>
                </c:pt>
                <c:pt idx="1">
                  <c:v>10.954000000000002</c:v>
                </c:pt>
                <c:pt idx="2">
                  <c:v>10.969000000000024</c:v>
                </c:pt>
                <c:pt idx="3">
                  <c:v>-0.22500000000000003</c:v>
                </c:pt>
                <c:pt idx="4">
                  <c:v>-5.3310000000000004</c:v>
                </c:pt>
                <c:pt idx="5">
                  <c:v>6.3669999999999956</c:v>
                </c:pt>
                <c:pt idx="6">
                  <c:v>-2.4719999999999978</c:v>
                </c:pt>
                <c:pt idx="7">
                  <c:v>8.8820000000000068</c:v>
                </c:pt>
                <c:pt idx="8">
                  <c:v>1.9660000000000062</c:v>
                </c:pt>
                <c:pt idx="9">
                  <c:v>2.59</c:v>
                </c:pt>
              </c:numCache>
            </c:numRef>
          </c:val>
          <c:extLst xmlns:c16r2="http://schemas.microsoft.com/office/drawing/2015/06/chart">
            <c:ext xmlns:c16="http://schemas.microsoft.com/office/drawing/2014/chart" uri="{C3380CC4-5D6E-409C-BE32-E72D297353CC}">
              <c16:uniqueId val="{00000004-4F23-461C-91C0-05C8C2754E13}"/>
            </c:ext>
          </c:extLst>
        </c:ser>
        <c:marker val="1"/>
        <c:axId val="129147264"/>
        <c:axId val="129148800"/>
      </c:lineChart>
      <c:catAx>
        <c:axId val="129147264"/>
        <c:scaling>
          <c:orientation val="minMax"/>
        </c:scaling>
        <c:axPos val="b"/>
        <c:numFmt formatCode="General" sourceLinked="1"/>
        <c:tickLblPos val="low"/>
        <c:crossAx val="129148800"/>
        <c:crosses val="autoZero"/>
        <c:auto val="1"/>
        <c:lblAlgn val="ctr"/>
        <c:lblOffset val="100"/>
      </c:catAx>
      <c:valAx>
        <c:axId val="129148800"/>
        <c:scaling>
          <c:orientation val="minMax"/>
          <c:min val="-10"/>
        </c:scaling>
        <c:axPos val="l"/>
        <c:majorGridlines/>
        <c:numFmt formatCode="General" sourceLinked="1"/>
        <c:tickLblPos val="nextTo"/>
        <c:crossAx val="129147264"/>
        <c:crosses val="autoZero"/>
        <c:crossBetween val="between"/>
      </c:valAx>
      <c:spPr>
        <a:ln>
          <a:solidFill>
            <a:sysClr val="windowText" lastClr="000000"/>
          </a:solidFill>
        </a:ln>
      </c:spPr>
    </c:plotArea>
    <c:legend>
      <c:legendPos val="r"/>
      <c:layout>
        <c:manualLayout>
          <c:xMode val="edge"/>
          <c:yMode val="edge"/>
          <c:x val="6.6862335359675909E-2"/>
          <c:y val="0.84709557581898065"/>
          <c:w val="0.91518490374873351"/>
          <c:h val="0.14265450861195517"/>
        </c:manualLayout>
      </c:layout>
      <c:spPr>
        <a:ln>
          <a:solidFill>
            <a:schemeClr val="tx1"/>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29.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3.7321251928936032E-2"/>
          <c:y val="3.5031847133758232E-2"/>
          <c:w val="0.93679684511797823"/>
          <c:h val="0.76585460654998627"/>
        </c:manualLayout>
      </c:layout>
      <c:barChart>
        <c:barDir val="col"/>
        <c:grouping val="clustered"/>
        <c:ser>
          <c:idx val="0"/>
          <c:order val="0"/>
          <c:tx>
            <c:strRef>
              <c:f>'S14'!$J$138</c:f>
              <c:strCache>
                <c:ptCount val="1"/>
                <c:pt idx="0">
                  <c:v>Hrubý disponibilní důchod (reálný)</c:v>
                </c:pt>
              </c:strCache>
            </c:strRef>
          </c:tx>
          <c:spPr>
            <a:solidFill>
              <a:srgbClr val="0071BC"/>
            </a:solidFill>
          </c:spPr>
          <c:cat>
            <c:numRef>
              <c:f>'S14'!$A$147:$A$156</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'S14'!$J$147:$J$156</c:f>
              <c:numCache>
                <c:formatCode>0.0_ ;[Red]\-0.0\ </c:formatCode>
                <c:ptCount val="10"/>
                <c:pt idx="0">
                  <c:v>2.4880525209405278</c:v>
                </c:pt>
                <c:pt idx="1">
                  <c:v>2.1224798911363791</c:v>
                </c:pt>
                <c:pt idx="2">
                  <c:v>0.38045661249113039</c:v>
                </c:pt>
                <c:pt idx="3">
                  <c:v>-1.5072017978109236</c:v>
                </c:pt>
                <c:pt idx="4">
                  <c:v>-1.2083775182866681</c:v>
                </c:pt>
                <c:pt idx="5">
                  <c:v>-0.77268860218298641</c:v>
                </c:pt>
                <c:pt idx="6">
                  <c:v>2.8574548678216192</c:v>
                </c:pt>
                <c:pt idx="7">
                  <c:v>4.1609466264007295</c:v>
                </c:pt>
                <c:pt idx="8">
                  <c:v>3.2596098637410336</c:v>
                </c:pt>
                <c:pt idx="9">
                  <c:v>1.6769656319444977</c:v>
                </c:pt>
              </c:numCache>
            </c:numRef>
          </c:val>
          <c:extLst xmlns:c16r2="http://schemas.microsoft.com/office/drawing/2015/06/chart">
            <c:ext xmlns:c16="http://schemas.microsoft.com/office/drawing/2014/chart" uri="{C3380CC4-5D6E-409C-BE32-E72D297353CC}">
              <c16:uniqueId val="{00000000-2729-499A-B374-2A885779BFC3}"/>
            </c:ext>
          </c:extLst>
        </c:ser>
        <c:ser>
          <c:idx val="1"/>
          <c:order val="1"/>
          <c:tx>
            <c:strRef>
              <c:f>'S14'!$K$138</c:f>
              <c:strCache>
                <c:ptCount val="1"/>
                <c:pt idx="0">
                  <c:v>Mzdy a platy (reálně)</c:v>
                </c:pt>
              </c:strCache>
            </c:strRef>
          </c:tx>
          <c:spPr>
            <a:solidFill>
              <a:srgbClr val="BD1B21"/>
            </a:solidFill>
          </c:spPr>
          <c:cat>
            <c:numRef>
              <c:f>'S14'!$A$147:$A$156</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'S14'!$K$147:$K$156</c:f>
              <c:numCache>
                <c:formatCode>0.0_ ;[Red]\-0.0\ </c:formatCode>
                <c:ptCount val="10"/>
                <c:pt idx="0">
                  <c:v>1.6116857512015641</c:v>
                </c:pt>
                <c:pt idx="1">
                  <c:v>-2.3505250334645909</c:v>
                </c:pt>
                <c:pt idx="2">
                  <c:v>1.0013085286431931</c:v>
                </c:pt>
                <c:pt idx="3">
                  <c:v>0.63369283008314237</c:v>
                </c:pt>
                <c:pt idx="4">
                  <c:v>0.61870883091997708</c:v>
                </c:pt>
                <c:pt idx="5">
                  <c:v>0.25996660899677698</c:v>
                </c:pt>
                <c:pt idx="6">
                  <c:v>3.5646890971557208</c:v>
                </c:pt>
                <c:pt idx="7">
                  <c:v>4.9990711632544089</c:v>
                </c:pt>
                <c:pt idx="8">
                  <c:v>5.3043299690453445</c:v>
                </c:pt>
                <c:pt idx="9">
                  <c:v>5.6832476581176792</c:v>
                </c:pt>
              </c:numCache>
            </c:numRef>
          </c:val>
          <c:extLst xmlns:c16r2="http://schemas.microsoft.com/office/drawing/2015/06/chart">
            <c:ext xmlns:c16="http://schemas.microsoft.com/office/drawing/2014/chart" uri="{C3380CC4-5D6E-409C-BE32-E72D297353CC}">
              <c16:uniqueId val="{00000001-2729-499A-B374-2A885779BFC3}"/>
            </c:ext>
          </c:extLst>
        </c:ser>
        <c:gapWidth val="96"/>
        <c:axId val="129188992"/>
        <c:axId val="129190912"/>
      </c:barChart>
      <c:lineChart>
        <c:grouping val="standard"/>
        <c:ser>
          <c:idx val="2"/>
          <c:order val="2"/>
          <c:tx>
            <c:strRef>
              <c:f>'S14'!$C$138</c:f>
              <c:strCache>
                <c:ptCount val="1"/>
                <c:pt idx="0">
                  <c:v>Hrubý disponibilní důchod (nominální)</c:v>
                </c:pt>
              </c:strCache>
            </c:strRef>
          </c:tx>
          <c:spPr>
            <a:ln>
              <a:noFill/>
            </a:ln>
          </c:spPr>
          <c:marker>
            <c:symbol val="square"/>
            <c:size val="8"/>
            <c:spPr>
              <a:solidFill>
                <a:srgbClr val="A6CDE8"/>
              </a:solidFill>
              <a:ln>
                <a:noFill/>
              </a:ln>
            </c:spPr>
          </c:marker>
          <c:val>
            <c:numRef>
              <c:f>'S14'!$C$147:$C$156</c:f>
              <c:numCache>
                <c:formatCode>0.0_ ;[Red]\-0.0\ </c:formatCode>
                <c:ptCount val="10"/>
                <c:pt idx="0">
                  <c:v>7.3841421438789636</c:v>
                </c:pt>
                <c:pt idx="1">
                  <c:v>2.9950916701381178</c:v>
                </c:pt>
                <c:pt idx="2">
                  <c:v>0.83969447985913737</c:v>
                </c:pt>
                <c:pt idx="3">
                  <c:v>0.23524012757853191</c:v>
                </c:pt>
                <c:pt idx="4">
                  <c:v>0.99131205543875556</c:v>
                </c:pt>
                <c:pt idx="5">
                  <c:v>8.3914067642627266E-2</c:v>
                </c:pt>
                <c:pt idx="6">
                  <c:v>3.4846551514056161</c:v>
                </c:pt>
                <c:pt idx="7">
                  <c:v>4.3207393475207345</c:v>
                </c:pt>
                <c:pt idx="8">
                  <c:v>3.8202575314026097</c:v>
                </c:pt>
                <c:pt idx="9">
                  <c:v>4.0791393364775681</c:v>
                </c:pt>
              </c:numCache>
            </c:numRef>
          </c:val>
          <c:extLst xmlns:c16r2="http://schemas.microsoft.com/office/drawing/2015/06/chart">
            <c:ext xmlns:c16="http://schemas.microsoft.com/office/drawing/2014/chart" uri="{C3380CC4-5D6E-409C-BE32-E72D297353CC}">
              <c16:uniqueId val="{00000002-2729-499A-B374-2A885779BFC3}"/>
            </c:ext>
          </c:extLst>
        </c:ser>
        <c:ser>
          <c:idx val="3"/>
          <c:order val="3"/>
          <c:tx>
            <c:strRef>
              <c:f>'S14'!$G$138</c:f>
              <c:strCache>
                <c:ptCount val="1"/>
                <c:pt idx="0">
                  <c:v>Mzdy a platy (nominálně)</c:v>
                </c:pt>
              </c:strCache>
            </c:strRef>
          </c:tx>
          <c:spPr>
            <a:ln>
              <a:noFill/>
            </a:ln>
          </c:spPr>
          <c:marker>
            <c:symbol val="square"/>
            <c:size val="8"/>
            <c:spPr>
              <a:solidFill>
                <a:srgbClr val="E8AFB2"/>
              </a:solidFill>
              <a:ln>
                <a:noFill/>
              </a:ln>
            </c:spPr>
          </c:marker>
          <c:val>
            <c:numRef>
              <c:f>'S14'!$G$147:$G$156</c:f>
              <c:numCache>
                <c:formatCode>0.0_ ;[Red]\-0.0\ </c:formatCode>
                <c:ptCount val="10"/>
                <c:pt idx="0">
                  <c:v>6.4659093210570671</c:v>
                </c:pt>
                <c:pt idx="1">
                  <c:v>-1.5161339947827341</c:v>
                </c:pt>
                <c:pt idx="2">
                  <c:v>1.4633867766943158</c:v>
                </c:pt>
                <c:pt idx="3">
                  <c:v>2.4140094491108566</c:v>
                </c:pt>
                <c:pt idx="4">
                  <c:v>2.8590802225129952</c:v>
                </c:pt>
                <c:pt idx="5">
                  <c:v>1.125483913295938</c:v>
                </c:pt>
                <c:pt idx="6">
                  <c:v>4.1962019267750845</c:v>
                </c:pt>
                <c:pt idx="7">
                  <c:v>5.1601496465022665</c:v>
                </c:pt>
                <c:pt idx="8">
                  <c:v>5.8760794369129492</c:v>
                </c:pt>
                <c:pt idx="9">
                  <c:v>8.1800719580574999</c:v>
                </c:pt>
              </c:numCache>
            </c:numRef>
          </c:val>
          <c:extLst xmlns:c16r2="http://schemas.microsoft.com/office/drawing/2015/06/chart">
            <c:ext xmlns:c16="http://schemas.microsoft.com/office/drawing/2014/chart" uri="{C3380CC4-5D6E-409C-BE32-E72D297353CC}">
              <c16:uniqueId val="{00000003-2729-499A-B374-2A885779BFC3}"/>
            </c:ext>
          </c:extLst>
        </c:ser>
        <c:marker val="1"/>
        <c:axId val="129188992"/>
        <c:axId val="129190912"/>
      </c:lineChart>
      <c:catAx>
        <c:axId val="129188992"/>
        <c:scaling>
          <c:orientation val="minMax"/>
        </c:scaling>
        <c:axPos val="b"/>
        <c:numFmt formatCode="General" sourceLinked="1"/>
        <c:tickLblPos val="low"/>
        <c:crossAx val="129190912"/>
        <c:crosses val="autoZero"/>
        <c:auto val="1"/>
        <c:lblAlgn val="ctr"/>
        <c:lblOffset val="100"/>
      </c:catAx>
      <c:valAx>
        <c:axId val="129190912"/>
        <c:scaling>
          <c:orientation val="minMax"/>
        </c:scaling>
        <c:axPos val="l"/>
        <c:majorGridlines/>
        <c:numFmt formatCode="0" sourceLinked="0"/>
        <c:tickLblPos val="nextTo"/>
        <c:crossAx val="129188992"/>
        <c:crosses val="autoZero"/>
        <c:crossBetween val="between"/>
      </c:valAx>
      <c:spPr>
        <a:ln>
          <a:solidFill>
            <a:sysClr val="windowText" lastClr="000000"/>
          </a:solidFill>
        </a:ln>
      </c:spPr>
    </c:plotArea>
    <c:legend>
      <c:legendPos val="r"/>
      <c:layout>
        <c:manualLayout>
          <c:xMode val="edge"/>
          <c:yMode val="edge"/>
          <c:x val="3.7769766730965881E-2"/>
          <c:y val="0.87996443067568053"/>
          <c:w val="0.93375454574201944"/>
          <c:h val="0.10312866629376248"/>
        </c:manualLayout>
      </c:layout>
      <c:spPr>
        <a:ln>
          <a:solidFill>
            <a:schemeClr val="tx1"/>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30.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5.8253335021952041E-2"/>
          <c:y val="3.9316672295395698E-2"/>
          <c:w val="0.91401110266802066"/>
          <c:h val="0.76409996622762888"/>
        </c:manualLayout>
      </c:layout>
      <c:barChart>
        <c:barDir val="col"/>
        <c:grouping val="stacked"/>
        <c:ser>
          <c:idx val="5"/>
          <c:order val="1"/>
          <c:tx>
            <c:strRef>
              <c:f>'S14'!$Q$117</c:f>
              <c:strCache>
                <c:ptCount val="1"/>
                <c:pt idx="0">
                  <c:v>Saldo druhotného rozdělení</c:v>
                </c:pt>
              </c:strCache>
            </c:strRef>
          </c:tx>
          <c:spPr>
            <a:solidFill>
              <a:srgbClr val="A6CDE8"/>
            </a:solidFill>
          </c:spPr>
          <c:cat>
            <c:numRef>
              <c:f>'S14'!$K$126:$K$135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'S14'!$Q$126:$Q$135</c:f>
              <c:numCache>
                <c:formatCode>0.0</c:formatCode>
                <c:ptCount val="10"/>
                <c:pt idx="0">
                  <c:v>33.453999999999994</c:v>
                </c:pt>
                <c:pt idx="1">
                  <c:v>54.823</c:v>
                </c:pt>
                <c:pt idx="2">
                  <c:v>13.253</c:v>
                </c:pt>
                <c:pt idx="3">
                  <c:v>-14.133000000000001</c:v>
                </c:pt>
                <c:pt idx="4">
                  <c:v>4.9960000000000004</c:v>
                </c:pt>
                <c:pt idx="5">
                  <c:v>-9.3050000000000068</c:v>
                </c:pt>
                <c:pt idx="6">
                  <c:v>-5.8159999999999945</c:v>
                </c:pt>
                <c:pt idx="7">
                  <c:v>-1.02</c:v>
                </c:pt>
                <c:pt idx="8">
                  <c:v>-21.481000000000002</c:v>
                </c:pt>
                <c:pt idx="9">
                  <c:v>-27.835000000000001</c:v>
                </c:pt>
              </c:numCache>
            </c:numRef>
          </c:val>
          <c:extLst xmlns:c16r2="http://schemas.microsoft.com/office/drawing/2015/06/chart">
            <c:ext xmlns:c16="http://schemas.microsoft.com/office/drawing/2014/chart" uri="{C3380CC4-5D6E-409C-BE32-E72D297353CC}">
              <c16:uniqueId val="{00000000-0D15-4EEB-9583-BB942B300C2C}"/>
            </c:ext>
          </c:extLst>
        </c:ser>
        <c:ser>
          <c:idx val="4"/>
          <c:order val="2"/>
          <c:tx>
            <c:strRef>
              <c:f>'S14'!$P$117</c:f>
              <c:strCache>
                <c:ptCount val="1"/>
                <c:pt idx="0">
                  <c:v>Saldo důchodů z vlastnictví</c:v>
                </c:pt>
              </c:strCache>
            </c:strRef>
          </c:tx>
          <c:spPr>
            <a:solidFill>
              <a:srgbClr val="7DBB2D"/>
            </a:solidFill>
          </c:spPr>
          <c:cat>
            <c:numRef>
              <c:f>'S14'!$K$126:$K$135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'S14'!$P$126:$P$135</c:f>
              <c:numCache>
                <c:formatCode>0.0</c:formatCode>
                <c:ptCount val="10"/>
                <c:pt idx="0">
                  <c:v>12.567</c:v>
                </c:pt>
                <c:pt idx="1">
                  <c:v>-7.8229999999999773</c:v>
                </c:pt>
                <c:pt idx="2">
                  <c:v>-7.3679999999999755</c:v>
                </c:pt>
                <c:pt idx="3">
                  <c:v>0.92800000000000005</c:v>
                </c:pt>
                <c:pt idx="4">
                  <c:v>-0.51300000000000001</c:v>
                </c:pt>
                <c:pt idx="5">
                  <c:v>5.2729999999999997</c:v>
                </c:pt>
                <c:pt idx="6">
                  <c:v>13.262</c:v>
                </c:pt>
                <c:pt idx="7">
                  <c:v>1.113</c:v>
                </c:pt>
                <c:pt idx="8">
                  <c:v>9.3520000000000536</c:v>
                </c:pt>
                <c:pt idx="9">
                  <c:v>-11.308</c:v>
                </c:pt>
              </c:numCache>
            </c:numRef>
          </c:val>
          <c:extLst xmlns:c16r2="http://schemas.microsoft.com/office/drawing/2015/06/chart">
            <c:ext xmlns:c16="http://schemas.microsoft.com/office/drawing/2014/chart" uri="{C3380CC4-5D6E-409C-BE32-E72D297353CC}">
              <c16:uniqueId val="{00000001-0D15-4EEB-9583-BB942B300C2C}"/>
            </c:ext>
          </c:extLst>
        </c:ser>
        <c:ser>
          <c:idx val="1"/>
          <c:order val="3"/>
          <c:tx>
            <c:strRef>
              <c:f>'S14'!$M$117</c:f>
              <c:strCache>
                <c:ptCount val="1"/>
                <c:pt idx="0">
                  <c:v>Hrubý provozní přebytek</c:v>
                </c:pt>
              </c:strCache>
            </c:strRef>
          </c:tx>
          <c:spPr>
            <a:solidFill>
              <a:srgbClr val="BD1B21"/>
            </a:solidFill>
          </c:spPr>
          <c:cat>
            <c:numRef>
              <c:f>'S14'!$K$126:$K$135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'S14'!$M$126:$M$135</c:f>
              <c:numCache>
                <c:formatCode>0.0</c:formatCode>
                <c:ptCount val="10"/>
                <c:pt idx="0">
                  <c:v>17.367999999999999</c:v>
                </c:pt>
                <c:pt idx="1">
                  <c:v>3.8119999999999967</c:v>
                </c:pt>
                <c:pt idx="2">
                  <c:v>5.5750000000000002</c:v>
                </c:pt>
                <c:pt idx="3">
                  <c:v>-2.5999999999999999E-2</c:v>
                </c:pt>
                <c:pt idx="4">
                  <c:v>-4.4219999999999997</c:v>
                </c:pt>
                <c:pt idx="5">
                  <c:v>1.9720000000000057</c:v>
                </c:pt>
                <c:pt idx="6">
                  <c:v>5.3079999999999945</c:v>
                </c:pt>
                <c:pt idx="7">
                  <c:v>1.4669999999999932</c:v>
                </c:pt>
                <c:pt idx="8">
                  <c:v>8.5070000000000014</c:v>
                </c:pt>
                <c:pt idx="9">
                  <c:v>15.297000000000001</c:v>
                </c:pt>
              </c:numCache>
            </c:numRef>
          </c:val>
          <c:extLst xmlns:c16r2="http://schemas.microsoft.com/office/drawing/2015/06/chart">
            <c:ext xmlns:c16="http://schemas.microsoft.com/office/drawing/2014/chart" uri="{C3380CC4-5D6E-409C-BE32-E72D297353CC}">
              <c16:uniqueId val="{00000002-0D15-4EEB-9583-BB942B300C2C}"/>
            </c:ext>
          </c:extLst>
        </c:ser>
        <c:ser>
          <c:idx val="2"/>
          <c:order val="4"/>
          <c:tx>
            <c:strRef>
              <c:f>'S14'!$N$117</c:f>
              <c:strCache>
                <c:ptCount val="1"/>
                <c:pt idx="0">
                  <c:v>Hrubý smíšený důchod</c:v>
                </c:pt>
              </c:strCache>
            </c:strRef>
          </c:tx>
          <c:spPr>
            <a:solidFill>
              <a:srgbClr val="E8AFB2"/>
            </a:solidFill>
          </c:spPr>
          <c:cat>
            <c:numRef>
              <c:f>'S14'!$K$126:$K$135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'S14'!$N$126:$N$135</c:f>
              <c:numCache>
                <c:formatCode>0.0</c:formatCode>
                <c:ptCount val="10"/>
                <c:pt idx="0">
                  <c:v>7.923</c:v>
                </c:pt>
                <c:pt idx="1">
                  <c:v>25.728999999999989</c:v>
                </c:pt>
                <c:pt idx="2">
                  <c:v>-6.9859999999999998</c:v>
                </c:pt>
                <c:pt idx="3">
                  <c:v>-11.425000000000002</c:v>
                </c:pt>
                <c:pt idx="4">
                  <c:v>-15.043999999999999</c:v>
                </c:pt>
                <c:pt idx="5">
                  <c:v>-10.672000000000002</c:v>
                </c:pt>
                <c:pt idx="6">
                  <c:v>11.273</c:v>
                </c:pt>
                <c:pt idx="7">
                  <c:v>27.259</c:v>
                </c:pt>
                <c:pt idx="8">
                  <c:v>11.479000000000006</c:v>
                </c:pt>
                <c:pt idx="9">
                  <c:v>2.3079999999999998</c:v>
                </c:pt>
              </c:numCache>
            </c:numRef>
          </c:val>
          <c:extLst xmlns:c16r2="http://schemas.microsoft.com/office/drawing/2015/06/chart">
            <c:ext xmlns:c16="http://schemas.microsoft.com/office/drawing/2014/chart" uri="{C3380CC4-5D6E-409C-BE32-E72D297353CC}">
              <c16:uniqueId val="{00000003-0D15-4EEB-9583-BB942B300C2C}"/>
            </c:ext>
          </c:extLst>
        </c:ser>
        <c:ser>
          <c:idx val="3"/>
          <c:order val="5"/>
          <c:tx>
            <c:strRef>
              <c:f>'S14'!$O$117</c:f>
              <c:strCache>
                <c:ptCount val="1"/>
                <c:pt idx="0">
                  <c:v>Mzdy a platy</c:v>
                </c:pt>
              </c:strCache>
            </c:strRef>
          </c:tx>
          <c:spPr>
            <a:solidFill>
              <a:srgbClr val="0071BC"/>
            </a:solidFill>
          </c:spPr>
          <c:cat>
            <c:numRef>
              <c:f>'S14'!$K$126:$K$135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'S14'!$O$126:$O$135</c:f>
              <c:numCache>
                <c:formatCode>0.0</c:formatCode>
                <c:ptCount val="10"/>
                <c:pt idx="0">
                  <c:v>73.429000000000002</c:v>
                </c:pt>
                <c:pt idx="1">
                  <c:v>-18.331000000000031</c:v>
                </c:pt>
                <c:pt idx="2">
                  <c:v>17.424999999999986</c:v>
                </c:pt>
                <c:pt idx="3">
                  <c:v>29.164999999999999</c:v>
                </c:pt>
                <c:pt idx="4">
                  <c:v>35.376000000000005</c:v>
                </c:pt>
                <c:pt idx="5">
                  <c:v>14.324</c:v>
                </c:pt>
                <c:pt idx="6">
                  <c:v>54.006</c:v>
                </c:pt>
                <c:pt idx="7">
                  <c:v>69.198999999999998</c:v>
                </c:pt>
                <c:pt idx="8">
                  <c:v>82.866</c:v>
                </c:pt>
                <c:pt idx="9">
                  <c:v>122.136</c:v>
                </c:pt>
              </c:numCache>
            </c:numRef>
          </c:val>
          <c:extLst xmlns:c16r2="http://schemas.microsoft.com/office/drawing/2015/06/chart">
            <c:ext xmlns:c16="http://schemas.microsoft.com/office/drawing/2014/chart" uri="{C3380CC4-5D6E-409C-BE32-E72D297353CC}">
              <c16:uniqueId val="{00000004-0D15-4EEB-9583-BB942B300C2C}"/>
            </c:ext>
          </c:extLst>
        </c:ser>
        <c:overlap val="100"/>
        <c:axId val="129250432"/>
        <c:axId val="129251968"/>
      </c:barChart>
      <c:lineChart>
        <c:grouping val="standard"/>
        <c:ser>
          <c:idx val="0"/>
          <c:order val="0"/>
          <c:tx>
            <c:strRef>
              <c:f>'S14'!$L$117</c:f>
              <c:strCache>
                <c:ptCount val="1"/>
                <c:pt idx="0">
                  <c:v>Hrubý disponibilní důchod</c:v>
                </c:pt>
              </c:strCache>
            </c:strRef>
          </c:tx>
          <c:spPr>
            <a:ln>
              <a:solidFill>
                <a:sysClr val="windowText" lastClr="000000"/>
              </a:solidFill>
            </a:ln>
          </c:spPr>
          <c:marker>
            <c:symbol val="none"/>
          </c:marker>
          <c:cat>
            <c:numRef>
              <c:f>'S14'!$K$126:$K$135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'S14'!$L$126:$L$135</c:f>
              <c:numCache>
                <c:formatCode>0.0</c:formatCode>
                <c:ptCount val="10"/>
                <c:pt idx="0">
                  <c:v>144.27099999999999</c:v>
                </c:pt>
                <c:pt idx="1">
                  <c:v>62.839000000000006</c:v>
                </c:pt>
                <c:pt idx="2">
                  <c:v>18.145</c:v>
                </c:pt>
                <c:pt idx="3">
                  <c:v>5.1259999999999764</c:v>
                </c:pt>
                <c:pt idx="4">
                  <c:v>21.652000000000001</c:v>
                </c:pt>
                <c:pt idx="5">
                  <c:v>1.851</c:v>
                </c:pt>
                <c:pt idx="6">
                  <c:v>76.930000000000007</c:v>
                </c:pt>
                <c:pt idx="7">
                  <c:v>98.712000000000003</c:v>
                </c:pt>
                <c:pt idx="8">
                  <c:v>91.049000000000007</c:v>
                </c:pt>
                <c:pt idx="9">
                  <c:v>100.93300000000002</c:v>
                </c:pt>
              </c:numCache>
            </c:numRef>
          </c:val>
          <c:extLst xmlns:c16r2="http://schemas.microsoft.com/office/drawing/2015/06/chart">
            <c:ext xmlns:c16="http://schemas.microsoft.com/office/drawing/2014/chart" uri="{C3380CC4-5D6E-409C-BE32-E72D297353CC}">
              <c16:uniqueId val="{00000005-0D15-4EEB-9583-BB942B300C2C}"/>
            </c:ext>
          </c:extLst>
        </c:ser>
        <c:marker val="1"/>
        <c:axId val="129250432"/>
        <c:axId val="129251968"/>
      </c:lineChart>
      <c:catAx>
        <c:axId val="129250432"/>
        <c:scaling>
          <c:orientation val="minMax"/>
        </c:scaling>
        <c:axPos val="b"/>
        <c:numFmt formatCode="General" sourceLinked="1"/>
        <c:tickLblPos val="low"/>
        <c:txPr>
          <a:bodyPr rot="0" vert="horz"/>
          <a:lstStyle/>
          <a:p>
            <a:pPr>
              <a:defRPr sz="800" b="0" i="0" u="none" strike="noStrike" baseline="0">
                <a:solidFill>
                  <a:srgbClr val="000000"/>
                </a:solidFill>
                <a:latin typeface="Arial"/>
                <a:ea typeface="Arial"/>
                <a:cs typeface="Arial"/>
              </a:defRPr>
            </a:pPr>
            <a:endParaRPr lang="cs-CZ"/>
          </a:p>
        </c:txPr>
        <c:crossAx val="129251968"/>
        <c:crosses val="autoZero"/>
        <c:auto val="1"/>
        <c:lblAlgn val="ctr"/>
        <c:lblOffset val="100"/>
      </c:catAx>
      <c:valAx>
        <c:axId val="129251968"/>
        <c:scaling>
          <c:orientation val="minMax"/>
        </c:scaling>
        <c:axPos val="l"/>
        <c:majorGridlines/>
        <c:numFmt formatCode="0.0" sourceLinked="1"/>
        <c:tickLblPos val="nextTo"/>
        <c:txPr>
          <a:bodyPr rot="0" vert="horz"/>
          <a:lstStyle/>
          <a:p>
            <a:pPr>
              <a:defRPr sz="800" b="0" i="0" u="none" strike="noStrike" baseline="0">
                <a:solidFill>
                  <a:srgbClr val="000000"/>
                </a:solidFill>
                <a:latin typeface="Arial"/>
                <a:ea typeface="Arial"/>
                <a:cs typeface="Arial"/>
              </a:defRPr>
            </a:pPr>
            <a:endParaRPr lang="cs-CZ"/>
          </a:p>
        </c:txPr>
        <c:crossAx val="129250432"/>
        <c:crosses val="autoZero"/>
        <c:crossBetween val="between"/>
      </c:valAx>
      <c:spPr>
        <a:ln>
          <a:solidFill>
            <a:sysClr val="windowText" lastClr="000000"/>
          </a:solidFill>
        </a:ln>
      </c:spPr>
    </c:plotArea>
    <c:legend>
      <c:legendPos val="r"/>
      <c:layout>
        <c:manualLayout>
          <c:xMode val="edge"/>
          <c:yMode val="edge"/>
          <c:x val="5.8151767173681597E-2"/>
          <c:y val="0.86980279104456204"/>
          <c:w val="0.9069993359263826"/>
          <c:h val="0.11463849805659543"/>
        </c:manualLayout>
      </c:layout>
      <c:spPr>
        <a:ln>
          <a:solidFill>
            <a:sysClr val="windowText" lastClr="000000"/>
          </a:solidFill>
        </a:ln>
      </c:spPr>
      <c:txPr>
        <a:bodyPr/>
        <a:lstStyle/>
        <a:p>
          <a:pPr>
            <a:defRPr sz="735" b="0" i="0" u="none" strike="noStrike" baseline="0">
              <a:solidFill>
                <a:srgbClr val="000000"/>
              </a:solidFill>
              <a:latin typeface="Arial"/>
              <a:ea typeface="Arial"/>
              <a:cs typeface="Arial"/>
            </a:defRPr>
          </a:pPr>
          <a:endParaRPr lang="cs-CZ"/>
        </a:p>
      </c:txPr>
    </c:legend>
    <c:plotVisOnly val="1"/>
    <c:dispBlanksAs val="gap"/>
  </c:chart>
  <c:spPr>
    <a:ln>
      <a:noFill/>
    </a:ln>
  </c:spPr>
  <c:txPr>
    <a:bodyPr/>
    <a:lstStyle/>
    <a:p>
      <a:pPr>
        <a:defRPr sz="800" b="0" i="0" u="none" strike="noStrike" baseline="0">
          <a:solidFill>
            <a:srgbClr val="000000"/>
          </a:solidFill>
          <a:latin typeface="Arial"/>
          <a:ea typeface="Arial"/>
          <a:cs typeface="Arial"/>
        </a:defRPr>
      </a:pPr>
      <a:endParaRPr lang="cs-CZ"/>
    </a:p>
  </c:txPr>
  <c:externalData r:id="rId1"/>
</c:chartSpace>
</file>

<file path=word/charts/chart31.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5.4942586963863733E-2"/>
          <c:y val="3.9316672295395698E-2"/>
          <c:w val="0.91774126139818479"/>
          <c:h val="0.74980299448384991"/>
        </c:manualLayout>
      </c:layout>
      <c:barChart>
        <c:barDir val="col"/>
        <c:grouping val="stacked"/>
        <c:ser>
          <c:idx val="3"/>
          <c:order val="1"/>
          <c:tx>
            <c:strRef>
              <c:f>H000505_iscpr_CZ!$A$29</c:f>
              <c:strCache>
                <c:ptCount val="1"/>
                <c:pt idx="0">
                  <c:v>Služby</c:v>
                </c:pt>
              </c:strCache>
            </c:strRef>
          </c:tx>
          <c:spPr>
            <a:solidFill>
              <a:srgbClr val="BD1B21"/>
            </a:solidFill>
          </c:spPr>
          <c:cat>
            <c:numRef>
              <c:f>H000505_iscpr_CZ!$B$25:$K$25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H000505_iscpr_CZ!$B$29:$K$29</c:f>
              <c:numCache>
                <c:formatCode>General</c:formatCode>
                <c:ptCount val="10"/>
                <c:pt idx="0">
                  <c:v>1.5969993637851139</c:v>
                </c:pt>
                <c:pt idx="1">
                  <c:v>-1.0233436713961257</c:v>
                </c:pt>
                <c:pt idx="2">
                  <c:v>0</c:v>
                </c:pt>
                <c:pt idx="3">
                  <c:v>0</c:v>
                </c:pt>
                <c:pt idx="4">
                  <c:v>-0.30342348642831568</c:v>
                </c:pt>
                <c:pt idx="5">
                  <c:v>0.55913370809476559</c:v>
                </c:pt>
                <c:pt idx="6">
                  <c:v>0.69117631952131642</c:v>
                </c:pt>
                <c:pt idx="7">
                  <c:v>1.1627889138401961</c:v>
                </c:pt>
                <c:pt idx="8">
                  <c:v>1.2529797440304762</c:v>
                </c:pt>
                <c:pt idx="9">
                  <c:v>1.5096983410982998</c:v>
                </c:pt>
              </c:numCache>
            </c:numRef>
          </c:val>
          <c:extLst xmlns:c16r2="http://schemas.microsoft.com/office/drawing/2015/06/chart">
            <c:ext xmlns:c16="http://schemas.microsoft.com/office/drawing/2014/chart" uri="{C3380CC4-5D6E-409C-BE32-E72D297353CC}">
              <c16:uniqueId val="{00000000-05BD-451D-BBBD-2A072F993802}"/>
            </c:ext>
          </c:extLst>
        </c:ser>
        <c:ser>
          <c:idx val="2"/>
          <c:order val="2"/>
          <c:tx>
            <c:strRef>
              <c:f>H000505_iscpr_CZ!$A$28</c:f>
              <c:strCache>
                <c:ptCount val="1"/>
                <c:pt idx="0">
                  <c:v>Krátkodobá spotřeba</c:v>
                </c:pt>
              </c:strCache>
            </c:strRef>
          </c:tx>
          <c:spPr>
            <a:solidFill>
              <a:srgbClr val="A6CDE8"/>
            </a:solidFill>
          </c:spPr>
          <c:cat>
            <c:numRef>
              <c:f>H000505_iscpr_CZ!$B$25:$K$25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H000505_iscpr_CZ!$B$28:$K$28</c:f>
              <c:numCache>
                <c:formatCode>General</c:formatCode>
                <c:ptCount val="10"/>
                <c:pt idx="0">
                  <c:v>0</c:v>
                </c:pt>
                <c:pt idx="1">
                  <c:v>0.64590885587267965</c:v>
                </c:pt>
                <c:pt idx="2">
                  <c:v>0.48886816265032224</c:v>
                </c:pt>
                <c:pt idx="3">
                  <c:v>-0.456123758493369</c:v>
                </c:pt>
                <c:pt idx="4">
                  <c:v>-0.76529477174304061</c:v>
                </c:pt>
                <c:pt idx="5">
                  <c:v>-0.59960433686859904</c:v>
                </c:pt>
                <c:pt idx="6">
                  <c:v>0.42423040254211375</c:v>
                </c:pt>
                <c:pt idx="7">
                  <c:v>1.5108026811881978</c:v>
                </c:pt>
                <c:pt idx="8">
                  <c:v>1.2799968912048094</c:v>
                </c:pt>
                <c:pt idx="9">
                  <c:v>1.2691232184851959</c:v>
                </c:pt>
              </c:numCache>
            </c:numRef>
          </c:val>
          <c:extLst xmlns:c16r2="http://schemas.microsoft.com/office/drawing/2015/06/chart">
            <c:ext xmlns:c16="http://schemas.microsoft.com/office/drawing/2014/chart" uri="{C3380CC4-5D6E-409C-BE32-E72D297353CC}">
              <c16:uniqueId val="{00000001-05BD-451D-BBBD-2A072F993802}"/>
            </c:ext>
          </c:extLst>
        </c:ser>
        <c:ser>
          <c:idx val="1"/>
          <c:order val="3"/>
          <c:tx>
            <c:strRef>
              <c:f>H000505_iscpr_CZ!$A$27</c:f>
              <c:strCache>
                <c:ptCount val="1"/>
                <c:pt idx="0">
                  <c:v>Střednědobá spotřeba</c:v>
                </c:pt>
              </c:strCache>
            </c:strRef>
          </c:tx>
          <c:spPr>
            <a:solidFill>
              <a:srgbClr val="48AEE7"/>
            </a:solidFill>
          </c:spPr>
          <c:cat>
            <c:numRef>
              <c:f>H000505_iscpr_CZ!$B$25:$K$25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H000505_iscpr_CZ!$B$27:$K$27</c:f>
              <c:numCache>
                <c:formatCode>General</c:formatCode>
                <c:ptCount val="10"/>
                <c:pt idx="0">
                  <c:v>0.39916712237242408</c:v>
                </c:pt>
                <c:pt idx="1">
                  <c:v>-0.28984218970150588</c:v>
                </c:pt>
                <c:pt idx="2">
                  <c:v>1.3136787249459901E-2</c:v>
                </c:pt>
                <c:pt idx="3">
                  <c:v>0.20248529301016568</c:v>
                </c:pt>
                <c:pt idx="4">
                  <c:v>-9.9448383035024693E-2</c:v>
                </c:pt>
                <c:pt idx="5">
                  <c:v>0.22022860313886078</c:v>
                </c:pt>
                <c:pt idx="6">
                  <c:v>6.9321615451480814E-2</c:v>
                </c:pt>
                <c:pt idx="7">
                  <c:v>0.28999947294812117</c:v>
                </c:pt>
                <c:pt idx="8">
                  <c:v>0.35600955412286117</c:v>
                </c:pt>
                <c:pt idx="9">
                  <c:v>0.67869548559442527</c:v>
                </c:pt>
              </c:numCache>
            </c:numRef>
          </c:val>
          <c:extLst xmlns:c16r2="http://schemas.microsoft.com/office/drawing/2015/06/chart">
            <c:ext xmlns:c16="http://schemas.microsoft.com/office/drawing/2014/chart" uri="{C3380CC4-5D6E-409C-BE32-E72D297353CC}">
              <c16:uniqueId val="{00000002-05BD-451D-BBBD-2A072F993802}"/>
            </c:ext>
          </c:extLst>
        </c:ser>
        <c:ser>
          <c:idx val="0"/>
          <c:order val="4"/>
          <c:tx>
            <c:strRef>
              <c:f>H000505_iscpr_CZ!$A$26</c:f>
              <c:strCache>
                <c:ptCount val="1"/>
                <c:pt idx="0">
                  <c:v>Dlouhodobá spotřeba</c:v>
                </c:pt>
              </c:strCache>
            </c:strRef>
          </c:tx>
          <c:spPr>
            <a:solidFill>
              <a:srgbClr val="0071BC"/>
            </a:solidFill>
          </c:spPr>
          <c:cat>
            <c:numRef>
              <c:f>H000505_iscpr_CZ!$B$25:$K$25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H000505_iscpr_CZ!$B$26:$K$26</c:f>
              <c:numCache>
                <c:formatCode>General</c:formatCode>
                <c:ptCount val="10"/>
                <c:pt idx="0">
                  <c:v>0.9294493017594857</c:v>
                </c:pt>
                <c:pt idx="1">
                  <c:v>5.0381864185247982E-2</c:v>
                </c:pt>
                <c:pt idx="2">
                  <c:v>0.54904363628379727</c:v>
                </c:pt>
                <c:pt idx="3">
                  <c:v>0.5330101031628165</c:v>
                </c:pt>
                <c:pt idx="4">
                  <c:v>-6.3375100043696772E-2</c:v>
                </c:pt>
                <c:pt idx="5">
                  <c:v>0.29113774686374383</c:v>
                </c:pt>
                <c:pt idx="6">
                  <c:v>0.57342970616103561</c:v>
                </c:pt>
                <c:pt idx="7">
                  <c:v>0.88634728577693445</c:v>
                </c:pt>
                <c:pt idx="8">
                  <c:v>0.73068642920532367</c:v>
                </c:pt>
                <c:pt idx="9">
                  <c:v>0.82254133495335724</c:v>
                </c:pt>
              </c:numCache>
            </c:numRef>
          </c:val>
          <c:extLst xmlns:c16r2="http://schemas.microsoft.com/office/drawing/2015/06/chart">
            <c:ext xmlns:c16="http://schemas.microsoft.com/office/drawing/2014/chart" uri="{C3380CC4-5D6E-409C-BE32-E72D297353CC}">
              <c16:uniqueId val="{00000003-05BD-451D-BBBD-2A072F993802}"/>
            </c:ext>
          </c:extLst>
        </c:ser>
        <c:overlap val="100"/>
        <c:axId val="129301888"/>
        <c:axId val="129332352"/>
      </c:barChart>
      <c:lineChart>
        <c:grouping val="standard"/>
        <c:ser>
          <c:idx val="4"/>
          <c:order val="0"/>
          <c:tx>
            <c:strRef>
              <c:f>H000505_iscpr_CZ!$A$30</c:f>
              <c:strCache>
                <c:ptCount val="1"/>
                <c:pt idx="0">
                  <c:v>Celkem</c:v>
                </c:pt>
              </c:strCache>
            </c:strRef>
          </c:tx>
          <c:spPr>
            <a:ln>
              <a:solidFill>
                <a:schemeClr val="tx1"/>
              </a:solidFill>
            </a:ln>
          </c:spPr>
          <c:marker>
            <c:symbol val="none"/>
          </c:marker>
          <c:cat>
            <c:numRef>
              <c:f>H000505_iscpr_CZ!$B$25:$K$25</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H000505_iscpr_CZ!$B$30:$K$30</c:f>
              <c:numCache>
                <c:formatCode>General</c:formatCode>
                <c:ptCount val="10"/>
                <c:pt idx="0">
                  <c:v>2.9000000000000057</c:v>
                </c:pt>
                <c:pt idx="1">
                  <c:v>-0.59999999999999454</c:v>
                </c:pt>
                <c:pt idx="2">
                  <c:v>1.0999999999999854</c:v>
                </c:pt>
                <c:pt idx="3">
                  <c:v>0.30000000000000016</c:v>
                </c:pt>
                <c:pt idx="4">
                  <c:v>-1.2999999999999869</c:v>
                </c:pt>
                <c:pt idx="5">
                  <c:v>0.5</c:v>
                </c:pt>
                <c:pt idx="6">
                  <c:v>1.7999999999999872</c:v>
                </c:pt>
                <c:pt idx="7">
                  <c:v>3.7999999999999972</c:v>
                </c:pt>
                <c:pt idx="8">
                  <c:v>3.5999999999999943</c:v>
                </c:pt>
                <c:pt idx="9">
                  <c:v>4.2999999999999972</c:v>
                </c:pt>
              </c:numCache>
            </c:numRef>
          </c:val>
          <c:extLst xmlns:c16r2="http://schemas.microsoft.com/office/drawing/2015/06/chart">
            <c:ext xmlns:c16="http://schemas.microsoft.com/office/drawing/2014/chart" uri="{C3380CC4-5D6E-409C-BE32-E72D297353CC}">
              <c16:uniqueId val="{00000004-05BD-451D-BBBD-2A072F993802}"/>
            </c:ext>
          </c:extLst>
        </c:ser>
        <c:marker val="1"/>
        <c:axId val="129301888"/>
        <c:axId val="129332352"/>
      </c:lineChart>
      <c:catAx>
        <c:axId val="129301888"/>
        <c:scaling>
          <c:orientation val="minMax"/>
        </c:scaling>
        <c:axPos val="b"/>
        <c:numFmt formatCode="General" sourceLinked="1"/>
        <c:tickLblPos val="low"/>
        <c:crossAx val="129332352"/>
        <c:crosses val="autoZero"/>
        <c:auto val="1"/>
        <c:lblAlgn val="ctr"/>
        <c:lblOffset val="100"/>
      </c:catAx>
      <c:valAx>
        <c:axId val="129332352"/>
        <c:scaling>
          <c:orientation val="minMax"/>
        </c:scaling>
        <c:axPos val="l"/>
        <c:majorGridlines/>
        <c:numFmt formatCode="General" sourceLinked="1"/>
        <c:tickLblPos val="nextTo"/>
        <c:crossAx val="129301888"/>
        <c:crosses val="autoZero"/>
        <c:crossBetween val="between"/>
      </c:valAx>
      <c:spPr>
        <a:ln>
          <a:solidFill>
            <a:prstClr val="black"/>
          </a:solidFill>
        </a:ln>
      </c:spPr>
    </c:plotArea>
    <c:legend>
      <c:legendPos val="r"/>
      <c:layout>
        <c:manualLayout>
          <c:xMode val="edge"/>
          <c:yMode val="edge"/>
          <c:x val="5.5890535292131518E-2"/>
          <c:y val="0.87131374535629857"/>
          <c:w val="0.9146219604863226"/>
          <c:h val="0.11519053247776656"/>
        </c:manualLayout>
      </c:layout>
      <c:spPr>
        <a:ln>
          <a:solidFill>
            <a:prstClr val="black"/>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32.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5.0680513340087815E-2"/>
          <c:y val="3.9683102555443411E-2"/>
          <c:w val="0.92531556062141151"/>
          <c:h val="0.74878757176629518"/>
        </c:manualLayout>
      </c:layout>
      <c:barChart>
        <c:barDir val="col"/>
        <c:grouping val="clustered"/>
        <c:ser>
          <c:idx val="0"/>
          <c:order val="0"/>
          <c:spPr>
            <a:solidFill>
              <a:srgbClr val="0071BC"/>
            </a:solidFill>
          </c:spPr>
          <c:dPt>
            <c:idx val="2"/>
            <c:spPr>
              <a:solidFill>
                <a:srgbClr val="BD1B21"/>
              </a:solidFill>
            </c:spPr>
            <c:extLst xmlns:c16r2="http://schemas.microsoft.com/office/drawing/2015/06/chart">
              <c:ext xmlns:c16="http://schemas.microsoft.com/office/drawing/2014/chart" uri="{C3380CC4-5D6E-409C-BE32-E72D297353CC}">
                <c16:uniqueId val="{00000000-7986-4C7F-8FCF-FC1F94594CBD}"/>
              </c:ext>
            </c:extLst>
          </c:dPt>
          <c:dPt>
            <c:idx val="19"/>
            <c:spPr>
              <a:solidFill>
                <a:srgbClr val="A6CDE8"/>
              </a:solidFill>
            </c:spPr>
            <c:extLst xmlns:c16r2="http://schemas.microsoft.com/office/drawing/2015/06/chart">
              <c:ext xmlns:c16="http://schemas.microsoft.com/office/drawing/2014/chart" uri="{C3380CC4-5D6E-409C-BE32-E72D297353CC}">
                <c16:uniqueId val="{00000001-7986-4C7F-8FCF-FC1F94594CBD}"/>
              </c:ext>
            </c:extLst>
          </c:dPt>
          <c:cat>
            <c:strRef>
              <c:f>Data!$A$12:$A$41</c:f>
              <c:strCache>
                <c:ptCount val="30"/>
                <c:pt idx="0">
                  <c:v>Malta</c:v>
                </c:pt>
                <c:pt idx="1">
                  <c:v>Kypr</c:v>
                </c:pt>
                <c:pt idx="2">
                  <c:v>ČR</c:v>
                </c:pt>
                <c:pt idx="3">
                  <c:v>Lucembursko</c:v>
                </c:pt>
                <c:pt idx="4">
                  <c:v>Německo</c:v>
                </c:pt>
                <c:pt idx="5">
                  <c:v>Švédsko</c:v>
                </c:pt>
                <c:pt idx="6">
                  <c:v>Nizozemí</c:v>
                </c:pt>
                <c:pt idx="7">
                  <c:v>Dánsko</c:v>
                </c:pt>
                <c:pt idx="8">
                  <c:v>Bulharsko</c:v>
                </c:pt>
                <c:pt idx="9">
                  <c:v>Řecko</c:v>
                </c:pt>
                <c:pt idx="10">
                  <c:v>Chorvatsko</c:v>
                </c:pt>
                <c:pt idx="11">
                  <c:v>Litva</c:v>
                </c:pt>
                <c:pt idx="12">
                  <c:v>Slovinsko</c:v>
                </c:pt>
                <c:pt idx="13">
                  <c:v>Estonsko</c:v>
                </c:pt>
                <c:pt idx="14">
                  <c:v>Irsko</c:v>
                </c:pt>
                <c:pt idx="15">
                  <c:v>Lotyšsko</c:v>
                </c:pt>
                <c:pt idx="16">
                  <c:v>Finsko</c:v>
                </c:pt>
                <c:pt idx="17">
                  <c:v>Rakousko</c:v>
                </c:pt>
                <c:pt idx="18">
                  <c:v>Eurozóna</c:v>
                </c:pt>
                <c:pt idx="19">
                  <c:v>EU 28</c:v>
                </c:pt>
                <c:pt idx="20">
                  <c:v>Belgie</c:v>
                </c:pt>
                <c:pt idx="21">
                  <c:v>Slovensko</c:v>
                </c:pt>
                <c:pt idx="22">
                  <c:v>Polsko</c:v>
                </c:pt>
                <c:pt idx="23">
                  <c:v>Velká Británie</c:v>
                </c:pt>
                <c:pt idx="24">
                  <c:v>Maďarsko</c:v>
                </c:pt>
                <c:pt idx="25">
                  <c:v>Itálie</c:v>
                </c:pt>
                <c:pt idx="26">
                  <c:v>Francie</c:v>
                </c:pt>
                <c:pt idx="27">
                  <c:v>Rumunsko</c:v>
                </c:pt>
                <c:pt idx="28">
                  <c:v>Portugalsko</c:v>
                </c:pt>
                <c:pt idx="29">
                  <c:v>Španělsko</c:v>
                </c:pt>
              </c:strCache>
            </c:strRef>
          </c:cat>
          <c:val>
            <c:numRef>
              <c:f>Data!$K$12:$K$41</c:f>
              <c:numCache>
                <c:formatCode>#,##0.0</c:formatCode>
                <c:ptCount val="30"/>
                <c:pt idx="0">
                  <c:v>3.9</c:v>
                </c:pt>
                <c:pt idx="1">
                  <c:v>1.8</c:v>
                </c:pt>
                <c:pt idx="2">
                  <c:v>1.6</c:v>
                </c:pt>
                <c:pt idx="3">
                  <c:v>1.5</c:v>
                </c:pt>
                <c:pt idx="4">
                  <c:v>1.3</c:v>
                </c:pt>
                <c:pt idx="5">
                  <c:v>1.3</c:v>
                </c:pt>
                <c:pt idx="6">
                  <c:v>1.1000000000000001</c:v>
                </c:pt>
                <c:pt idx="7">
                  <c:v>1</c:v>
                </c:pt>
                <c:pt idx="8">
                  <c:v>0.9</c:v>
                </c:pt>
                <c:pt idx="9">
                  <c:v>0.8</c:v>
                </c:pt>
                <c:pt idx="10">
                  <c:v>0.8</c:v>
                </c:pt>
                <c:pt idx="11">
                  <c:v>0.5</c:v>
                </c:pt>
                <c:pt idx="12">
                  <c:v>0</c:v>
                </c:pt>
                <c:pt idx="13">
                  <c:v>-0.30000000000000032</c:v>
                </c:pt>
                <c:pt idx="14">
                  <c:v>-0.30000000000000032</c:v>
                </c:pt>
                <c:pt idx="15">
                  <c:v>-0.5</c:v>
                </c:pt>
                <c:pt idx="16">
                  <c:v>-0.60000000000000064</c:v>
                </c:pt>
                <c:pt idx="17">
                  <c:v>-0.70000000000000062</c:v>
                </c:pt>
                <c:pt idx="18">
                  <c:v>-0.9</c:v>
                </c:pt>
                <c:pt idx="19">
                  <c:v>-1</c:v>
                </c:pt>
                <c:pt idx="20">
                  <c:v>-1</c:v>
                </c:pt>
                <c:pt idx="21">
                  <c:v>-1</c:v>
                </c:pt>
                <c:pt idx="22">
                  <c:v>-1.7000000000000008</c:v>
                </c:pt>
                <c:pt idx="23">
                  <c:v>-1.9000000000000001</c:v>
                </c:pt>
                <c:pt idx="24">
                  <c:v>-2</c:v>
                </c:pt>
                <c:pt idx="25">
                  <c:v>-2.2999999999999998</c:v>
                </c:pt>
                <c:pt idx="26">
                  <c:v>-2.6</c:v>
                </c:pt>
                <c:pt idx="27">
                  <c:v>-2.9</c:v>
                </c:pt>
                <c:pt idx="28">
                  <c:v>-3</c:v>
                </c:pt>
                <c:pt idx="29">
                  <c:v>-3.1</c:v>
                </c:pt>
              </c:numCache>
            </c:numRef>
          </c:val>
          <c:extLst xmlns:c16r2="http://schemas.microsoft.com/office/drawing/2015/06/chart">
            <c:ext xmlns:c16="http://schemas.microsoft.com/office/drawing/2014/chart" uri="{C3380CC4-5D6E-409C-BE32-E72D297353CC}">
              <c16:uniqueId val="{00000002-7986-4C7F-8FCF-FC1F94594CBD}"/>
            </c:ext>
          </c:extLst>
        </c:ser>
        <c:gapWidth val="96"/>
        <c:axId val="129342080"/>
        <c:axId val="129352064"/>
      </c:barChart>
      <c:catAx>
        <c:axId val="129342080"/>
        <c:scaling>
          <c:orientation val="minMax"/>
        </c:scaling>
        <c:axPos val="b"/>
        <c:numFmt formatCode="General" sourceLinked="0"/>
        <c:tickLblPos val="low"/>
        <c:crossAx val="129352064"/>
        <c:crosses val="autoZero"/>
        <c:auto val="1"/>
        <c:lblAlgn val="ctr"/>
        <c:lblOffset val="100"/>
      </c:catAx>
      <c:valAx>
        <c:axId val="129352064"/>
        <c:scaling>
          <c:orientation val="minMax"/>
          <c:max val="4"/>
        </c:scaling>
        <c:axPos val="l"/>
        <c:majorGridlines/>
        <c:numFmt formatCode="#,##0" sourceLinked="0"/>
        <c:tickLblPos val="nextTo"/>
        <c:crossAx val="129342080"/>
        <c:crosses val="autoZero"/>
        <c:crossBetween val="between"/>
      </c:valAx>
      <c:spPr>
        <a:ln>
          <a:solidFill>
            <a:prstClr val="black"/>
          </a:solidFill>
        </a:ln>
      </c:spPr>
    </c:plotArea>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33.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8.6613298337707784E-2"/>
          <c:y val="5.0925925925925923E-2"/>
          <c:w val="0.84562051618548706"/>
          <c:h val="0.76147382618840043"/>
        </c:manualLayout>
      </c:layout>
      <c:barChart>
        <c:barDir val="col"/>
        <c:grouping val="clustered"/>
        <c:ser>
          <c:idx val="0"/>
          <c:order val="2"/>
          <c:tx>
            <c:v>Saldo</c:v>
          </c:tx>
          <c:spPr>
            <a:solidFill>
              <a:srgbClr val="A6CDE8"/>
            </a:solidFill>
          </c:spPr>
          <c:val>
            <c:numRef>
              <c:f>List1!$L$9:$L$18</c:f>
              <c:numCache>
                <c:formatCode>General</c:formatCode>
                <c:ptCount val="10"/>
                <c:pt idx="0">
                  <c:v>-79.664999999999964</c:v>
                </c:pt>
                <c:pt idx="1">
                  <c:v>-214.21099999999998</c:v>
                </c:pt>
                <c:pt idx="2">
                  <c:v>-166.01700000000005</c:v>
                </c:pt>
                <c:pt idx="3">
                  <c:v>-109.89599999999996</c:v>
                </c:pt>
                <c:pt idx="4">
                  <c:v>-159.55200000000067</c:v>
                </c:pt>
                <c:pt idx="5">
                  <c:v>-51.129000000000012</c:v>
                </c:pt>
                <c:pt idx="6">
                  <c:v>-90.560999999999922</c:v>
                </c:pt>
                <c:pt idx="7">
                  <c:v>-27.929000000000087</c:v>
                </c:pt>
                <c:pt idx="8">
                  <c:v>34.641999999999832</c:v>
                </c:pt>
                <c:pt idx="9">
                  <c:v>80.620999999999853</c:v>
                </c:pt>
              </c:numCache>
            </c:numRef>
          </c:val>
          <c:extLst xmlns:c16r2="http://schemas.microsoft.com/office/drawing/2015/06/chart">
            <c:ext xmlns:c16="http://schemas.microsoft.com/office/drawing/2014/chart" uri="{C3380CC4-5D6E-409C-BE32-E72D297353CC}">
              <c16:uniqueId val="{00000000-324F-47C9-94D7-EFC6B55E8923}"/>
            </c:ext>
          </c:extLst>
        </c:ser>
        <c:gapWidth val="97"/>
        <c:axId val="133528960"/>
        <c:axId val="133527424"/>
      </c:barChart>
      <c:lineChart>
        <c:grouping val="standard"/>
        <c:ser>
          <c:idx val="1"/>
          <c:order val="0"/>
          <c:tx>
            <c:strRef>
              <c:f>List1!$B$3</c:f>
              <c:strCache>
                <c:ptCount val="1"/>
                <c:pt idx="0">
                  <c:v>Výdaje</c:v>
                </c:pt>
              </c:strCache>
            </c:strRef>
          </c:tx>
          <c:spPr>
            <a:ln>
              <a:solidFill>
                <a:srgbClr val="BD1B21"/>
              </a:solidFill>
            </a:ln>
          </c:spPr>
          <c:marker>
            <c:symbol val="none"/>
          </c:marker>
          <c:cat>
            <c:numRef>
              <c:f>List1!$A$9:$A$18</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List1!$B$9:$B$18</c:f>
              <c:numCache>
                <c:formatCode>General</c:formatCode>
                <c:ptCount val="10"/>
                <c:pt idx="0">
                  <c:v>1635.279</c:v>
                </c:pt>
                <c:pt idx="1">
                  <c:v>1737.2329999999999</c:v>
                </c:pt>
                <c:pt idx="2">
                  <c:v>1724.241</c:v>
                </c:pt>
                <c:pt idx="3">
                  <c:v>1735.9160000000011</c:v>
                </c:pt>
                <c:pt idx="4">
                  <c:v>1805.836</c:v>
                </c:pt>
                <c:pt idx="5">
                  <c:v>1745.9080000000001</c:v>
                </c:pt>
                <c:pt idx="6">
                  <c:v>1830.5139999999999</c:v>
                </c:pt>
                <c:pt idx="7">
                  <c:v>1916.3899999999999</c:v>
                </c:pt>
                <c:pt idx="8">
                  <c:v>1882.5250000000001</c:v>
                </c:pt>
                <c:pt idx="9">
                  <c:v>1961.845</c:v>
                </c:pt>
              </c:numCache>
            </c:numRef>
          </c:val>
          <c:extLst xmlns:c16r2="http://schemas.microsoft.com/office/drawing/2015/06/chart">
            <c:ext xmlns:c16="http://schemas.microsoft.com/office/drawing/2014/chart" uri="{C3380CC4-5D6E-409C-BE32-E72D297353CC}">
              <c16:uniqueId val="{00000001-324F-47C9-94D7-EFC6B55E8923}"/>
            </c:ext>
          </c:extLst>
        </c:ser>
        <c:ser>
          <c:idx val="2"/>
          <c:order val="1"/>
          <c:tx>
            <c:strRef>
              <c:f>List1!$C$3</c:f>
              <c:strCache>
                <c:ptCount val="1"/>
                <c:pt idx="0">
                  <c:v>Příjmy</c:v>
                </c:pt>
              </c:strCache>
            </c:strRef>
          </c:tx>
          <c:spPr>
            <a:ln>
              <a:solidFill>
                <a:srgbClr val="0071BC"/>
              </a:solidFill>
            </a:ln>
          </c:spPr>
          <c:marker>
            <c:symbol val="none"/>
          </c:marker>
          <c:cat>
            <c:numRef>
              <c:f>List1!$A$9:$A$18</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List1!$C$9:$C$18</c:f>
              <c:numCache>
                <c:formatCode>General</c:formatCode>
                <c:ptCount val="10"/>
                <c:pt idx="0">
                  <c:v>1555.6139999999998</c:v>
                </c:pt>
                <c:pt idx="1">
                  <c:v>1523.0219999999999</c:v>
                </c:pt>
                <c:pt idx="2">
                  <c:v>1558.2239999999999</c:v>
                </c:pt>
                <c:pt idx="3">
                  <c:v>1626.02</c:v>
                </c:pt>
                <c:pt idx="4">
                  <c:v>1646.2839999999999</c:v>
                </c:pt>
                <c:pt idx="5">
                  <c:v>1694.779</c:v>
                </c:pt>
                <c:pt idx="6">
                  <c:v>1739.953</c:v>
                </c:pt>
                <c:pt idx="7">
                  <c:v>1888.461</c:v>
                </c:pt>
                <c:pt idx="8">
                  <c:v>1917.1669999999999</c:v>
                </c:pt>
                <c:pt idx="9">
                  <c:v>2042.4660000000001</c:v>
                </c:pt>
              </c:numCache>
            </c:numRef>
          </c:val>
          <c:extLst xmlns:c16r2="http://schemas.microsoft.com/office/drawing/2015/06/chart">
            <c:ext xmlns:c16="http://schemas.microsoft.com/office/drawing/2014/chart" uri="{C3380CC4-5D6E-409C-BE32-E72D297353CC}">
              <c16:uniqueId val="{00000002-324F-47C9-94D7-EFC6B55E8923}"/>
            </c:ext>
          </c:extLst>
        </c:ser>
        <c:marker val="1"/>
        <c:axId val="133515904"/>
        <c:axId val="133525888"/>
      </c:lineChart>
      <c:catAx>
        <c:axId val="133515904"/>
        <c:scaling>
          <c:orientation val="minMax"/>
        </c:scaling>
        <c:axPos val="b"/>
        <c:numFmt formatCode="General" sourceLinked="1"/>
        <c:tickLblPos val="nextTo"/>
        <c:crossAx val="133525888"/>
        <c:crosses val="autoZero"/>
        <c:auto val="1"/>
        <c:lblAlgn val="ctr"/>
        <c:lblOffset val="100"/>
      </c:catAx>
      <c:valAx>
        <c:axId val="133525888"/>
        <c:scaling>
          <c:orientation val="minMax"/>
          <c:max val="2100"/>
          <c:min val="1500"/>
        </c:scaling>
        <c:axPos val="l"/>
        <c:majorGridlines>
          <c:spPr>
            <a:ln>
              <a:solidFill>
                <a:schemeClr val="bg1"/>
              </a:solidFill>
            </a:ln>
          </c:spPr>
        </c:majorGridlines>
        <c:numFmt formatCode="General" sourceLinked="1"/>
        <c:tickLblPos val="nextTo"/>
        <c:crossAx val="133515904"/>
        <c:crosses val="autoZero"/>
        <c:crossBetween val="between"/>
        <c:majorUnit val="100"/>
      </c:valAx>
      <c:valAx>
        <c:axId val="133527424"/>
        <c:scaling>
          <c:orientation val="minMax"/>
        </c:scaling>
        <c:axPos val="r"/>
        <c:majorGridlines/>
        <c:numFmt formatCode="General" sourceLinked="1"/>
        <c:tickLblPos val="nextTo"/>
        <c:crossAx val="133528960"/>
        <c:crosses val="max"/>
        <c:crossBetween val="between"/>
      </c:valAx>
      <c:catAx>
        <c:axId val="133528960"/>
        <c:scaling>
          <c:orientation val="minMax"/>
        </c:scaling>
        <c:delete val="1"/>
        <c:axPos val="b"/>
        <c:tickLblPos val="none"/>
        <c:crossAx val="133527424"/>
        <c:crosses val="autoZero"/>
        <c:auto val="1"/>
        <c:lblAlgn val="ctr"/>
        <c:lblOffset val="100"/>
      </c:catAx>
      <c:spPr>
        <a:ln>
          <a:solidFill>
            <a:schemeClr val="tx1"/>
          </a:solidFill>
        </a:ln>
      </c:spPr>
    </c:plotArea>
    <c:legend>
      <c:legendPos val="r"/>
      <c:layout>
        <c:manualLayout>
          <c:xMode val="edge"/>
          <c:yMode val="edge"/>
          <c:x val="8.2055555555555562E-2"/>
          <c:y val="0.90153506853310061"/>
          <c:w val="0.84849999999999992"/>
          <c:h val="7.6559128025663448E-2"/>
        </c:manualLayout>
      </c:layout>
      <c:spPr>
        <a:ln>
          <a:solidFill>
            <a:sysClr val="windowText" lastClr="000000"/>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34.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7.8800658561296866E-2"/>
          <c:y val="3.9316672295395698E-2"/>
          <c:w val="0.90406978216819112"/>
          <c:h val="0.76580969267140686"/>
        </c:manualLayout>
      </c:layout>
      <c:barChart>
        <c:barDir val="col"/>
        <c:grouping val="stacked"/>
        <c:ser>
          <c:idx val="1"/>
          <c:order val="1"/>
          <c:tx>
            <c:strRef>
              <c:f>List1!$M$3</c:f>
              <c:strCache>
                <c:ptCount val="1"/>
                <c:pt idx="0">
                  <c:v>Ústřední vládní instituce</c:v>
                </c:pt>
              </c:strCache>
            </c:strRef>
          </c:tx>
          <c:spPr>
            <a:solidFill>
              <a:srgbClr val="0071BC"/>
            </a:solidFill>
          </c:spPr>
          <c:cat>
            <c:numRef>
              <c:f>List1!$K$9:$K$18</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List1!$M$9:$M$18</c:f>
              <c:numCache>
                <c:formatCode>General</c:formatCode>
                <c:ptCount val="10"/>
                <c:pt idx="0">
                  <c:v>-82.017000000000067</c:v>
                </c:pt>
                <c:pt idx="1">
                  <c:v>-178.85500000000027</c:v>
                </c:pt>
                <c:pt idx="2">
                  <c:v>-142.11299999999997</c:v>
                </c:pt>
                <c:pt idx="3">
                  <c:v>-91.716000000000122</c:v>
                </c:pt>
                <c:pt idx="4">
                  <c:v>-150.63900000000012</c:v>
                </c:pt>
                <c:pt idx="5">
                  <c:v>-64.174000000000149</c:v>
                </c:pt>
                <c:pt idx="6">
                  <c:v>-95.561999999999927</c:v>
                </c:pt>
                <c:pt idx="7">
                  <c:v>-55.834000000000046</c:v>
                </c:pt>
                <c:pt idx="8">
                  <c:v>-19.90300000000002</c:v>
                </c:pt>
                <c:pt idx="9">
                  <c:v>30.148999999999887</c:v>
                </c:pt>
              </c:numCache>
            </c:numRef>
          </c:val>
          <c:extLst xmlns:c16r2="http://schemas.microsoft.com/office/drawing/2015/06/chart">
            <c:ext xmlns:c16="http://schemas.microsoft.com/office/drawing/2014/chart" uri="{C3380CC4-5D6E-409C-BE32-E72D297353CC}">
              <c16:uniqueId val="{00000000-CB5A-4A6A-B989-33DE09A7163D}"/>
            </c:ext>
          </c:extLst>
        </c:ser>
        <c:ser>
          <c:idx val="2"/>
          <c:order val="2"/>
          <c:tx>
            <c:strRef>
              <c:f>List1!$N$3</c:f>
              <c:strCache>
                <c:ptCount val="1"/>
                <c:pt idx="0">
                  <c:v>Místní vládní instituce</c:v>
                </c:pt>
              </c:strCache>
            </c:strRef>
          </c:tx>
          <c:spPr>
            <a:solidFill>
              <a:srgbClr val="A6CDE8"/>
            </a:solidFill>
          </c:spPr>
          <c:cat>
            <c:numRef>
              <c:f>List1!$K$9:$K$18</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List1!$N$9:$N$18</c:f>
              <c:numCache>
                <c:formatCode>General</c:formatCode>
                <c:ptCount val="10"/>
                <c:pt idx="0">
                  <c:v>-7.6899999999999977</c:v>
                </c:pt>
                <c:pt idx="1">
                  <c:v>-24.706999999999987</c:v>
                </c:pt>
                <c:pt idx="2">
                  <c:v>-15.185000000000002</c:v>
                </c:pt>
                <c:pt idx="3">
                  <c:v>-11.254000000000019</c:v>
                </c:pt>
                <c:pt idx="4">
                  <c:v>-2.0849999999999795</c:v>
                </c:pt>
                <c:pt idx="5">
                  <c:v>12.13</c:v>
                </c:pt>
                <c:pt idx="6">
                  <c:v>7.6929999999999765</c:v>
                </c:pt>
                <c:pt idx="7">
                  <c:v>25.991999999999962</c:v>
                </c:pt>
                <c:pt idx="8">
                  <c:v>49.659000000000049</c:v>
                </c:pt>
                <c:pt idx="9">
                  <c:v>42.433999999999969</c:v>
                </c:pt>
              </c:numCache>
            </c:numRef>
          </c:val>
          <c:extLst xmlns:c16r2="http://schemas.microsoft.com/office/drawing/2015/06/chart">
            <c:ext xmlns:c16="http://schemas.microsoft.com/office/drawing/2014/chart" uri="{C3380CC4-5D6E-409C-BE32-E72D297353CC}">
              <c16:uniqueId val="{00000001-CB5A-4A6A-B989-33DE09A7163D}"/>
            </c:ext>
          </c:extLst>
        </c:ser>
        <c:ser>
          <c:idx val="3"/>
          <c:order val="3"/>
          <c:tx>
            <c:strRef>
              <c:f>List1!$O$3</c:f>
              <c:strCache>
                <c:ptCount val="1"/>
                <c:pt idx="0">
                  <c:v>Fondy sociálního zabezpečení</c:v>
                </c:pt>
              </c:strCache>
            </c:strRef>
          </c:tx>
          <c:spPr>
            <a:solidFill>
              <a:srgbClr val="BD1B21"/>
            </a:solidFill>
          </c:spPr>
          <c:cat>
            <c:numRef>
              <c:f>List1!$K$9:$K$18</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List1!$O$9:$O$18</c:f>
              <c:numCache>
                <c:formatCode>General</c:formatCode>
                <c:ptCount val="10"/>
                <c:pt idx="0">
                  <c:v>10.042000000000002</c:v>
                </c:pt>
                <c:pt idx="1">
                  <c:v>-10.649000000000001</c:v>
                </c:pt>
                <c:pt idx="2">
                  <c:v>-8.7189999999999941</c:v>
                </c:pt>
                <c:pt idx="3">
                  <c:v>-6.9260000000000161</c:v>
                </c:pt>
                <c:pt idx="4">
                  <c:v>-6.8279999999999745</c:v>
                </c:pt>
                <c:pt idx="5">
                  <c:v>0.91499999999999204</c:v>
                </c:pt>
                <c:pt idx="6">
                  <c:v>-2.6920000000000073</c:v>
                </c:pt>
                <c:pt idx="7">
                  <c:v>1.9129999999999818</c:v>
                </c:pt>
                <c:pt idx="8">
                  <c:v>4.8860000000000294</c:v>
                </c:pt>
                <c:pt idx="9">
                  <c:v>8.0380000000000109</c:v>
                </c:pt>
              </c:numCache>
            </c:numRef>
          </c:val>
          <c:extLst xmlns:c16r2="http://schemas.microsoft.com/office/drawing/2015/06/chart">
            <c:ext xmlns:c16="http://schemas.microsoft.com/office/drawing/2014/chart" uri="{C3380CC4-5D6E-409C-BE32-E72D297353CC}">
              <c16:uniqueId val="{00000002-CB5A-4A6A-B989-33DE09A7163D}"/>
            </c:ext>
          </c:extLst>
        </c:ser>
        <c:gapWidth val="96"/>
        <c:overlap val="100"/>
        <c:axId val="133549056"/>
        <c:axId val="133554944"/>
      </c:barChart>
      <c:lineChart>
        <c:grouping val="standard"/>
        <c:ser>
          <c:idx val="0"/>
          <c:order val="0"/>
          <c:tx>
            <c:strRef>
              <c:f>List1!$L$3</c:f>
              <c:strCache>
                <c:ptCount val="1"/>
                <c:pt idx="0">
                  <c:v>Celkem</c:v>
                </c:pt>
              </c:strCache>
            </c:strRef>
          </c:tx>
          <c:spPr>
            <a:ln>
              <a:solidFill>
                <a:prstClr val="black"/>
              </a:solidFill>
            </a:ln>
          </c:spPr>
          <c:marker>
            <c:symbol val="none"/>
          </c:marker>
          <c:cat>
            <c:numRef>
              <c:f>List1!$K$9:$K$18</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List1!$L$9:$L$18</c:f>
              <c:numCache>
                <c:formatCode>General</c:formatCode>
                <c:ptCount val="10"/>
                <c:pt idx="0">
                  <c:v>-79.664999999999964</c:v>
                </c:pt>
                <c:pt idx="1">
                  <c:v>-214.21099999999998</c:v>
                </c:pt>
                <c:pt idx="2">
                  <c:v>-166.01700000000005</c:v>
                </c:pt>
                <c:pt idx="3">
                  <c:v>-109.89599999999996</c:v>
                </c:pt>
                <c:pt idx="4">
                  <c:v>-159.55200000000067</c:v>
                </c:pt>
                <c:pt idx="5">
                  <c:v>-51.129000000000012</c:v>
                </c:pt>
                <c:pt idx="6">
                  <c:v>-90.560999999999922</c:v>
                </c:pt>
                <c:pt idx="7">
                  <c:v>-27.929000000000087</c:v>
                </c:pt>
                <c:pt idx="8">
                  <c:v>34.641999999999832</c:v>
                </c:pt>
                <c:pt idx="9">
                  <c:v>80.620999999999853</c:v>
                </c:pt>
              </c:numCache>
            </c:numRef>
          </c:val>
          <c:extLst xmlns:c16r2="http://schemas.microsoft.com/office/drawing/2015/06/chart">
            <c:ext xmlns:c16="http://schemas.microsoft.com/office/drawing/2014/chart" uri="{C3380CC4-5D6E-409C-BE32-E72D297353CC}">
              <c16:uniqueId val="{00000003-CB5A-4A6A-B989-33DE09A7163D}"/>
            </c:ext>
          </c:extLst>
        </c:ser>
        <c:marker val="1"/>
        <c:axId val="133549056"/>
        <c:axId val="133554944"/>
      </c:lineChart>
      <c:catAx>
        <c:axId val="133549056"/>
        <c:scaling>
          <c:orientation val="minMax"/>
        </c:scaling>
        <c:axPos val="b"/>
        <c:numFmt formatCode="General" sourceLinked="1"/>
        <c:tickLblPos val="low"/>
        <c:crossAx val="133554944"/>
        <c:crosses val="autoZero"/>
        <c:auto val="1"/>
        <c:lblAlgn val="ctr"/>
        <c:lblOffset val="100"/>
      </c:catAx>
      <c:valAx>
        <c:axId val="133554944"/>
        <c:scaling>
          <c:orientation val="minMax"/>
        </c:scaling>
        <c:axPos val="l"/>
        <c:majorGridlines/>
        <c:numFmt formatCode="General" sourceLinked="1"/>
        <c:tickLblPos val="nextTo"/>
        <c:crossAx val="133549056"/>
        <c:crosses val="autoZero"/>
        <c:crossBetween val="between"/>
      </c:valAx>
      <c:spPr>
        <a:ln>
          <a:solidFill>
            <a:prstClr val="black"/>
          </a:solidFill>
        </a:ln>
      </c:spPr>
    </c:plotArea>
    <c:legend>
      <c:legendPos val="r"/>
      <c:layout>
        <c:manualLayout>
          <c:xMode val="edge"/>
          <c:yMode val="edge"/>
          <c:x val="7.9480538669368481E-2"/>
          <c:y val="0.87392885286503053"/>
          <c:w val="0.89907400371496116"/>
          <c:h val="0.11710908476866012"/>
        </c:manualLayout>
      </c:layout>
      <c:spPr>
        <a:ln>
          <a:solidFill>
            <a:prstClr val="black"/>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35.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8.3585781830462724E-2"/>
          <c:y val="3.5742429359450628E-2"/>
          <c:w val="0.89672070246538893"/>
          <c:h val="0.77794438815715461"/>
        </c:manualLayout>
      </c:layout>
      <c:barChart>
        <c:barDir val="col"/>
        <c:grouping val="stacked"/>
        <c:ser>
          <c:idx val="1"/>
          <c:order val="1"/>
          <c:tx>
            <c:strRef>
              <c:f>GOV_DEBT_CZ!$X$5</c:f>
              <c:strCache>
                <c:ptCount val="1"/>
                <c:pt idx="0">
                  <c:v>Oběživo a vklady</c:v>
                </c:pt>
              </c:strCache>
            </c:strRef>
          </c:tx>
          <c:spPr>
            <a:solidFill>
              <a:srgbClr val="7DBB2D"/>
            </a:solidFill>
          </c:spPr>
          <c:cat>
            <c:numRef>
              <c:f>GOV_DEBT_CZ!$L$7:$L$24</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GOV_DEBT_CZ!$X$15:$X$24</c:f>
              <c:numCache>
                <c:formatCode>General</c:formatCode>
                <c:ptCount val="10"/>
                <c:pt idx="0">
                  <c:v>9.65</c:v>
                </c:pt>
                <c:pt idx="1">
                  <c:v>9.6389999999999993</c:v>
                </c:pt>
                <c:pt idx="2">
                  <c:v>8.5150000000000006</c:v>
                </c:pt>
                <c:pt idx="3">
                  <c:v>3.3119999999999967</c:v>
                </c:pt>
                <c:pt idx="4">
                  <c:v>8.4060000000000006</c:v>
                </c:pt>
                <c:pt idx="5">
                  <c:v>6.835</c:v>
                </c:pt>
                <c:pt idx="6">
                  <c:v>9.9610000000000003</c:v>
                </c:pt>
                <c:pt idx="7">
                  <c:v>5.3639999999999946</c:v>
                </c:pt>
                <c:pt idx="8">
                  <c:v>8.5020000000000007</c:v>
                </c:pt>
                <c:pt idx="9">
                  <c:v>5.9109999999999996</c:v>
                </c:pt>
              </c:numCache>
            </c:numRef>
          </c:val>
          <c:extLst xmlns:c16r2="http://schemas.microsoft.com/office/drawing/2015/06/chart">
            <c:ext xmlns:c16="http://schemas.microsoft.com/office/drawing/2014/chart" uri="{C3380CC4-5D6E-409C-BE32-E72D297353CC}">
              <c16:uniqueId val="{00000000-7145-4FC2-9D76-6BD2F181A17F}"/>
            </c:ext>
          </c:extLst>
        </c:ser>
        <c:ser>
          <c:idx val="6"/>
          <c:order val="2"/>
          <c:tx>
            <c:strRef>
              <c:f>GOV_DEBT_CZ!$AC$5</c:f>
              <c:strCache>
                <c:ptCount val="1"/>
                <c:pt idx="0">
                  <c:v>Půjčky</c:v>
                </c:pt>
              </c:strCache>
            </c:strRef>
          </c:tx>
          <c:spPr>
            <a:solidFill>
              <a:srgbClr val="BD1B21">
                <a:alpha val="99000"/>
              </a:srgbClr>
            </a:solidFill>
          </c:spPr>
          <c:cat>
            <c:numRef>
              <c:f>GOV_DEBT_CZ!$L$15:$L$24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GOV_DEBT_CZ!$AC$15:$AC$24</c:f>
              <c:numCache>
                <c:formatCode>General</c:formatCode>
                <c:ptCount val="10"/>
                <c:pt idx="0">
                  <c:v>160.08700000000007</c:v>
                </c:pt>
                <c:pt idx="1">
                  <c:v>184.37100000000001</c:v>
                </c:pt>
                <c:pt idx="2">
                  <c:v>191.39100000000047</c:v>
                </c:pt>
                <c:pt idx="3">
                  <c:v>195.02700000000004</c:v>
                </c:pt>
                <c:pt idx="4">
                  <c:v>193.547</c:v>
                </c:pt>
                <c:pt idx="5">
                  <c:v>194.46600000000001</c:v>
                </c:pt>
                <c:pt idx="6">
                  <c:v>186.17299999999997</c:v>
                </c:pt>
                <c:pt idx="7">
                  <c:v>182.56100000000001</c:v>
                </c:pt>
                <c:pt idx="8">
                  <c:v>153.30700000000004</c:v>
                </c:pt>
                <c:pt idx="9">
                  <c:v>140.88200000000114</c:v>
                </c:pt>
              </c:numCache>
            </c:numRef>
          </c:val>
          <c:extLst xmlns:c16r2="http://schemas.microsoft.com/office/drawing/2015/06/chart">
            <c:ext xmlns:c16="http://schemas.microsoft.com/office/drawing/2014/chart" uri="{C3380CC4-5D6E-409C-BE32-E72D297353CC}">
              <c16:uniqueId val="{00000001-7145-4FC2-9D76-6BD2F181A17F}"/>
            </c:ext>
          </c:extLst>
        </c:ser>
        <c:ser>
          <c:idx val="4"/>
          <c:order val="3"/>
          <c:tx>
            <c:strRef>
              <c:f>GOV_DEBT_CZ!$AA$5</c:f>
              <c:strCache>
                <c:ptCount val="1"/>
                <c:pt idx="0">
                  <c:v>Krátkodobé dluhové cenné papíry</c:v>
                </c:pt>
              </c:strCache>
            </c:strRef>
          </c:tx>
          <c:spPr>
            <a:solidFill>
              <a:srgbClr val="A6CDE8"/>
            </a:solidFill>
          </c:spPr>
          <c:cat>
            <c:numRef>
              <c:f>GOV_DEBT_CZ!$L$7:$L$24</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GOV_DEBT_CZ!$AA$15:$AA$24</c:f>
              <c:numCache>
                <c:formatCode>General</c:formatCode>
                <c:ptCount val="10"/>
                <c:pt idx="0">
                  <c:v>58.431000000000004</c:v>
                </c:pt>
                <c:pt idx="1">
                  <c:v>73.624999999999986</c:v>
                </c:pt>
                <c:pt idx="2">
                  <c:v>96.224999999999994</c:v>
                </c:pt>
                <c:pt idx="3">
                  <c:v>137.33200000000087</c:v>
                </c:pt>
                <c:pt idx="4">
                  <c:v>178.98400000000001</c:v>
                </c:pt>
                <c:pt idx="5">
                  <c:v>120.96599999999999</c:v>
                </c:pt>
                <c:pt idx="6">
                  <c:v>106.93400000000022</c:v>
                </c:pt>
                <c:pt idx="7">
                  <c:v>84.275999999999982</c:v>
                </c:pt>
                <c:pt idx="8">
                  <c:v>4.7629999999999955</c:v>
                </c:pt>
                <c:pt idx="9">
                  <c:v>44.153000000000006</c:v>
                </c:pt>
              </c:numCache>
            </c:numRef>
          </c:val>
          <c:extLst xmlns:c16r2="http://schemas.microsoft.com/office/drawing/2015/06/chart">
            <c:ext xmlns:c16="http://schemas.microsoft.com/office/drawing/2014/chart" uri="{C3380CC4-5D6E-409C-BE32-E72D297353CC}">
              <c16:uniqueId val="{00000002-7145-4FC2-9D76-6BD2F181A17F}"/>
            </c:ext>
          </c:extLst>
        </c:ser>
        <c:ser>
          <c:idx val="5"/>
          <c:order val="4"/>
          <c:tx>
            <c:strRef>
              <c:f>GOV_DEBT_CZ!$AB$5</c:f>
              <c:strCache>
                <c:ptCount val="1"/>
                <c:pt idx="0">
                  <c:v>Dlouhodobé dluhové cenné papíry</c:v>
                </c:pt>
              </c:strCache>
            </c:strRef>
          </c:tx>
          <c:spPr>
            <a:solidFill>
              <a:srgbClr val="0071BC"/>
            </a:solidFill>
          </c:spPr>
          <c:cat>
            <c:numRef>
              <c:f>GOV_DEBT_CZ!$L$7:$L$24</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GOV_DEBT_CZ!$AB$15:$AB$24</c:f>
              <c:numCache>
                <c:formatCode>General</c:formatCode>
                <c:ptCount val="10"/>
                <c:pt idx="0">
                  <c:v>908.65099999999939</c:v>
                </c:pt>
                <c:pt idx="1">
                  <c:v>1051.4290000000001</c:v>
                </c:pt>
                <c:pt idx="2">
                  <c:v>1184.0339999999999</c:v>
                </c:pt>
                <c:pt idx="3">
                  <c:v>1270.8209999999999</c:v>
                </c:pt>
                <c:pt idx="4">
                  <c:v>1424.492</c:v>
                </c:pt>
                <c:pt idx="5">
                  <c:v>1518.145</c:v>
                </c:pt>
                <c:pt idx="6">
                  <c:v>1516.03</c:v>
                </c:pt>
                <c:pt idx="7">
                  <c:v>1564.0539999999999</c:v>
                </c:pt>
                <c:pt idx="8">
                  <c:v>1588.3109999999999</c:v>
                </c:pt>
                <c:pt idx="9">
                  <c:v>1558.1949999999906</c:v>
                </c:pt>
              </c:numCache>
            </c:numRef>
          </c:val>
          <c:extLst xmlns:c16r2="http://schemas.microsoft.com/office/drawing/2015/06/chart">
            <c:ext xmlns:c16="http://schemas.microsoft.com/office/drawing/2014/chart" uri="{C3380CC4-5D6E-409C-BE32-E72D297353CC}">
              <c16:uniqueId val="{00000003-7145-4FC2-9D76-6BD2F181A17F}"/>
            </c:ext>
          </c:extLst>
        </c:ser>
        <c:overlap val="100"/>
        <c:axId val="133617152"/>
        <c:axId val="133618688"/>
      </c:barChart>
      <c:lineChart>
        <c:grouping val="standard"/>
        <c:ser>
          <c:idx val="0"/>
          <c:order val="0"/>
          <c:tx>
            <c:strRef>
              <c:f>GOV_DEBT_CZ!$W$5:$W$6</c:f>
              <c:strCache>
                <c:ptCount val="1"/>
                <c:pt idx="0">
                  <c:v>Celkem</c:v>
                </c:pt>
              </c:strCache>
            </c:strRef>
          </c:tx>
          <c:spPr>
            <a:ln>
              <a:solidFill>
                <a:schemeClr val="tx1"/>
              </a:solidFill>
            </a:ln>
          </c:spPr>
          <c:marker>
            <c:symbol val="none"/>
          </c:marker>
          <c:cat>
            <c:numRef>
              <c:f>GOV_DEBT_CZ!$L$15:$L$24</c:f>
              <c:numCache>
                <c:formatCode>General</c:formatCode>
                <c:ptCount val="10"/>
                <c:pt idx="0">
                  <c:v>2008</c:v>
                </c:pt>
                <c:pt idx="1">
                  <c:v>2009</c:v>
                </c:pt>
                <c:pt idx="2">
                  <c:v>2010</c:v>
                </c:pt>
                <c:pt idx="3">
                  <c:v>2011</c:v>
                </c:pt>
                <c:pt idx="4">
                  <c:v>2012</c:v>
                </c:pt>
                <c:pt idx="5">
                  <c:v>2013</c:v>
                </c:pt>
                <c:pt idx="6">
                  <c:v>2014</c:v>
                </c:pt>
                <c:pt idx="7">
                  <c:v>2015</c:v>
                </c:pt>
                <c:pt idx="8">
                  <c:v>2016</c:v>
                </c:pt>
                <c:pt idx="9">
                  <c:v>2017</c:v>
                </c:pt>
              </c:numCache>
            </c:numRef>
          </c:cat>
          <c:val>
            <c:numRef>
              <c:f>GOV_DEBT_CZ!$W$15:$W$24</c:f>
              <c:numCache>
                <c:formatCode>General</c:formatCode>
                <c:ptCount val="10"/>
                <c:pt idx="0">
                  <c:v>1136.819</c:v>
                </c:pt>
                <c:pt idx="1">
                  <c:v>1319.0639999999999</c:v>
                </c:pt>
                <c:pt idx="2">
                  <c:v>1480.165</c:v>
                </c:pt>
                <c:pt idx="3">
                  <c:v>1606.492</c:v>
                </c:pt>
                <c:pt idx="4">
                  <c:v>1805.4290000000001</c:v>
                </c:pt>
                <c:pt idx="5">
                  <c:v>1840.412</c:v>
                </c:pt>
                <c:pt idx="6">
                  <c:v>1819.098</c:v>
                </c:pt>
                <c:pt idx="7">
                  <c:v>1836.2550000000001</c:v>
                </c:pt>
                <c:pt idx="8">
                  <c:v>1754.8829999999998</c:v>
                </c:pt>
                <c:pt idx="9">
                  <c:v>1749.1409999999998</c:v>
                </c:pt>
              </c:numCache>
            </c:numRef>
          </c:val>
          <c:extLst xmlns:c16r2="http://schemas.microsoft.com/office/drawing/2015/06/chart">
            <c:ext xmlns:c16="http://schemas.microsoft.com/office/drawing/2014/chart" uri="{C3380CC4-5D6E-409C-BE32-E72D297353CC}">
              <c16:uniqueId val="{00000004-7145-4FC2-9D76-6BD2F181A17F}"/>
            </c:ext>
          </c:extLst>
        </c:ser>
        <c:marker val="1"/>
        <c:axId val="133617152"/>
        <c:axId val="133618688"/>
      </c:lineChart>
      <c:catAx>
        <c:axId val="133617152"/>
        <c:scaling>
          <c:orientation val="minMax"/>
        </c:scaling>
        <c:axPos val="b"/>
        <c:numFmt formatCode="General" sourceLinked="1"/>
        <c:tickLblPos val="nextTo"/>
        <c:crossAx val="133618688"/>
        <c:crosses val="autoZero"/>
        <c:auto val="1"/>
        <c:lblAlgn val="ctr"/>
        <c:lblOffset val="100"/>
      </c:catAx>
      <c:valAx>
        <c:axId val="133618688"/>
        <c:scaling>
          <c:orientation val="minMax"/>
        </c:scaling>
        <c:axPos val="l"/>
        <c:majorGridlines/>
        <c:numFmt formatCode="General" sourceLinked="1"/>
        <c:tickLblPos val="nextTo"/>
        <c:crossAx val="133617152"/>
        <c:crosses val="autoZero"/>
        <c:crossBetween val="between"/>
      </c:valAx>
      <c:spPr>
        <a:ln>
          <a:solidFill>
            <a:prstClr val="black"/>
          </a:solidFill>
        </a:ln>
      </c:spPr>
    </c:plotArea>
    <c:legend>
      <c:legendPos val="r"/>
      <c:layout>
        <c:manualLayout>
          <c:xMode val="edge"/>
          <c:yMode val="edge"/>
          <c:x val="8.179120229652144E-2"/>
          <c:y val="0.87431892378700848"/>
          <c:w val="0.89895727794663949"/>
          <c:h val="0.11243104806934595"/>
        </c:manualLayout>
      </c:layout>
      <c:spPr>
        <a:ln>
          <a:solidFill>
            <a:prstClr val="black"/>
          </a:solidFill>
        </a:ln>
      </c:spPr>
    </c:legend>
    <c:plotVisOnly val="1"/>
    <c:dispBlanksAs val="gap"/>
  </c:chart>
  <c:spPr>
    <a:ln>
      <a:noFill/>
    </a:ln>
  </c:spPr>
  <c:txPr>
    <a:bodyPr/>
    <a:lstStyle/>
    <a:p>
      <a:pPr>
        <a:defRPr sz="800" baseline="0">
          <a:latin typeface="Arial" pitchFamily="34" charset="0"/>
        </a:defRPr>
      </a:pPr>
      <a:endParaRPr lang="cs-CZ"/>
    </a:p>
  </c:txPr>
  <c:externalData r:id="rId1"/>
</c:chartSpace>
</file>

<file path=word/charts/chart36.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534E-2"/>
          <c:y val="1.6432511538894523E-2"/>
          <c:w val="0.92433548575002356"/>
          <c:h val="0.75083417764269422"/>
        </c:manualLayout>
      </c:layout>
      <c:barChart>
        <c:barDir val="col"/>
        <c:grouping val="clustered"/>
        <c:ser>
          <c:idx val="0"/>
          <c:order val="0"/>
          <c:tx>
            <c:strRef>
              <c:f>'Graf-Národní účty-souhrnné'!$A$29</c:f>
              <c:strCache>
                <c:ptCount val="1"/>
                <c:pt idx="0">
                  <c:v>Hrubá přidaná hodnota (2010=100)</c:v>
                </c:pt>
              </c:strCache>
            </c:strRef>
          </c:tx>
          <c:spPr>
            <a:solidFill>
              <a:srgbClr val="A6A6A6"/>
            </a:solidFill>
            <a:ln w="12700">
              <a:noFill/>
              <a:prstDash val="solid"/>
            </a:ln>
          </c:spP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účty-souhrnné'!$G$29:$S$29</c:f>
              <c:numCache>
                <c:formatCode>#,##0.0</c:formatCode>
                <c:ptCount val="13"/>
                <c:pt idx="0">
                  <c:v>133.6</c:v>
                </c:pt>
                <c:pt idx="1">
                  <c:v>121.8</c:v>
                </c:pt>
                <c:pt idx="2">
                  <c:v>90.7</c:v>
                </c:pt>
                <c:pt idx="3">
                  <c:v>98.9</c:v>
                </c:pt>
                <c:pt idx="4">
                  <c:v>119.2</c:v>
                </c:pt>
                <c:pt idx="5">
                  <c:v>100</c:v>
                </c:pt>
                <c:pt idx="6">
                  <c:v>101.9</c:v>
                </c:pt>
                <c:pt idx="7">
                  <c:v>106.1</c:v>
                </c:pt>
                <c:pt idx="8">
                  <c:v>103.5</c:v>
                </c:pt>
                <c:pt idx="9">
                  <c:v>111.9</c:v>
                </c:pt>
                <c:pt idx="10">
                  <c:v>118.1</c:v>
                </c:pt>
                <c:pt idx="11">
                  <c:v>122</c:v>
                </c:pt>
                <c:pt idx="12">
                  <c:v>118.4</c:v>
                </c:pt>
              </c:numCache>
            </c:numRef>
          </c:val>
          <c:extLst xmlns:c16r2="http://schemas.microsoft.com/office/drawing/2015/06/chart">
            <c:ext xmlns:c16="http://schemas.microsoft.com/office/drawing/2014/chart" uri="{C3380CC4-5D6E-409C-BE32-E72D297353CC}">
              <c16:uniqueId val="{00000000-D6C0-4244-BEC9-1BDF83465C1E}"/>
            </c:ext>
          </c:extLst>
        </c:ser>
        <c:gapWidth val="30"/>
        <c:axId val="133740800"/>
        <c:axId val="133750784"/>
      </c:barChart>
      <c:lineChart>
        <c:grouping val="standard"/>
        <c:ser>
          <c:idx val="3"/>
          <c:order val="1"/>
          <c:tx>
            <c:strRef>
              <c:f>'Graf-Národní účty-souhrnné'!$A$30</c:f>
              <c:strCache>
                <c:ptCount val="1"/>
                <c:pt idx="0">
                  <c:v>Objem reálných vyplacených mezd a platů (2010=100)*</c:v>
                </c:pt>
              </c:strCache>
            </c:strRef>
          </c:tx>
          <c:spPr>
            <a:ln w="19050">
              <a:solidFill>
                <a:srgbClr val="F8A124"/>
              </a:solidFill>
              <a:prstDash val="solid"/>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účty-souhrnné'!$G$30:$S$30</c:f>
              <c:numCache>
                <c:formatCode>0</c:formatCode>
                <c:ptCount val="13"/>
                <c:pt idx="0">
                  <c:v>110.61384422525877</c:v>
                </c:pt>
                <c:pt idx="1">
                  <c:v>113.13846678018811</c:v>
                </c:pt>
                <c:pt idx="2">
                  <c:v>113.21999987017882</c:v>
                </c:pt>
                <c:pt idx="3">
                  <c:v>113.92574971487295</c:v>
                </c:pt>
                <c:pt idx="4">
                  <c:v>108.65105400825404</c:v>
                </c:pt>
                <c:pt idx="5">
                  <c:v>100</c:v>
                </c:pt>
                <c:pt idx="6">
                  <c:v>101.69475567545068</c:v>
                </c:pt>
                <c:pt idx="7">
                  <c:v>105.40866571493146</c:v>
                </c:pt>
                <c:pt idx="8">
                  <c:v>107.98927258692895</c:v>
                </c:pt>
                <c:pt idx="9">
                  <c:v>110.59960588150817</c:v>
                </c:pt>
                <c:pt idx="10">
                  <c:v>110.52665116335145</c:v>
                </c:pt>
                <c:pt idx="11">
                  <c:v>110.34287581698328</c:v>
                </c:pt>
                <c:pt idx="12">
                  <c:v>113.27692247298104</c:v>
                </c:pt>
              </c:numCache>
            </c:numRef>
          </c:val>
          <c:extLst xmlns:c16r2="http://schemas.microsoft.com/office/drawing/2015/06/chart">
            <c:ext xmlns:c16="http://schemas.microsoft.com/office/drawing/2014/chart" uri="{C3380CC4-5D6E-409C-BE32-E72D297353CC}">
              <c16:uniqueId val="{00000001-D6C0-4244-BEC9-1BDF83465C1E}"/>
            </c:ext>
          </c:extLst>
        </c:ser>
        <c:ser>
          <c:idx val="1"/>
          <c:order val="2"/>
          <c:tx>
            <c:strRef>
              <c:f>'Graf-Národní účty-souhrnné'!$A$31</c:f>
              <c:strCache>
                <c:ptCount val="1"/>
                <c:pt idx="0">
                  <c:v>Reálná hodinová produktivita práce (2010=100)</c:v>
                </c:pt>
              </c:strCache>
            </c:strRef>
          </c:tx>
          <c:spPr>
            <a:ln w="19050">
              <a:solidFill>
                <a:srgbClr val="7DBB2D"/>
              </a:solidFill>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účty-souhrnné'!$G$31:$S$31</c:f>
              <c:numCache>
                <c:formatCode>0</c:formatCode>
                <c:ptCount val="13"/>
                <c:pt idx="0">
                  <c:v>118.03296541003574</c:v>
                </c:pt>
                <c:pt idx="1">
                  <c:v>112.41807488602628</c:v>
                </c:pt>
                <c:pt idx="2">
                  <c:v>85.661575088189352</c:v>
                </c:pt>
                <c:pt idx="3">
                  <c:v>94.637315576025799</c:v>
                </c:pt>
                <c:pt idx="4">
                  <c:v>116.23068293209055</c:v>
                </c:pt>
                <c:pt idx="5">
                  <c:v>100</c:v>
                </c:pt>
                <c:pt idx="6">
                  <c:v>98.511671714724258</c:v>
                </c:pt>
                <c:pt idx="7">
                  <c:v>103.64000167170033</c:v>
                </c:pt>
                <c:pt idx="8">
                  <c:v>100.09628306018969</c:v>
                </c:pt>
                <c:pt idx="9">
                  <c:v>108.75320501014819</c:v>
                </c:pt>
                <c:pt idx="10">
                  <c:v>115.68959039980635</c:v>
                </c:pt>
                <c:pt idx="11">
                  <c:v>120.38304920045555</c:v>
                </c:pt>
                <c:pt idx="12">
                  <c:v>116.13649479934062</c:v>
                </c:pt>
              </c:numCache>
            </c:numRef>
          </c:val>
          <c:extLst xmlns:c16r2="http://schemas.microsoft.com/office/drawing/2015/06/chart">
            <c:ext xmlns:c16="http://schemas.microsoft.com/office/drawing/2014/chart" uri="{C3380CC4-5D6E-409C-BE32-E72D297353CC}">
              <c16:uniqueId val="{00000002-D6C0-4244-BEC9-1BDF83465C1E}"/>
            </c:ext>
          </c:extLst>
        </c:ser>
        <c:ser>
          <c:idx val="7"/>
          <c:order val="3"/>
          <c:tx>
            <c:strRef>
              <c:f>'Graf-Národní účty-souhrnné'!$A$32</c:f>
              <c:strCache>
                <c:ptCount val="1"/>
                <c:pt idx="0">
                  <c:v>Zaměstnanost (úvazky na plnou pracovní dobu, 2010=100)</c:v>
                </c:pt>
              </c:strCache>
            </c:strRef>
          </c:tx>
          <c:spPr>
            <a:ln w="19050">
              <a:noFill/>
            </a:ln>
          </c:spPr>
          <c:marker>
            <c:symbol val="circle"/>
            <c:size val="5"/>
            <c:spPr>
              <a:solidFill>
                <a:srgbClr val="FFFF00"/>
              </a:solidFill>
              <a:ln w="6350">
                <a:solidFill>
                  <a:sysClr val="windowText" lastClr="000000">
                    <a:lumMod val="65000"/>
                    <a:lumOff val="35000"/>
                  </a:sysClr>
                </a:solidFill>
              </a:ln>
            </c:spPr>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účty-souhrnné'!$G$32:$S$32</c:f>
              <c:numCache>
                <c:formatCode>0</c:formatCode>
                <c:ptCount val="13"/>
                <c:pt idx="0">
                  <c:v>114.68195709019878</c:v>
                </c:pt>
                <c:pt idx="1">
                  <c:v>109.91588166724426</c:v>
                </c:pt>
                <c:pt idx="2">
                  <c:v>106.88636148829589</c:v>
                </c:pt>
                <c:pt idx="3">
                  <c:v>106.02249456538861</c:v>
                </c:pt>
                <c:pt idx="4">
                  <c:v>105.49573107337513</c:v>
                </c:pt>
                <c:pt idx="5">
                  <c:v>100</c:v>
                </c:pt>
                <c:pt idx="6">
                  <c:v>102.90160990517133</c:v>
                </c:pt>
                <c:pt idx="7">
                  <c:v>104.10258025897105</c:v>
                </c:pt>
                <c:pt idx="8">
                  <c:v>105.20210453356835</c:v>
                </c:pt>
                <c:pt idx="9">
                  <c:v>104.33445701143575</c:v>
                </c:pt>
                <c:pt idx="10">
                  <c:v>102.94949749535364</c:v>
                </c:pt>
                <c:pt idx="11">
                  <c:v>100.91931571154026</c:v>
                </c:pt>
                <c:pt idx="12">
                  <c:v>101.54059418417889</c:v>
                </c:pt>
              </c:numCache>
            </c:numRef>
          </c:val>
          <c:extLst xmlns:c16r2="http://schemas.microsoft.com/office/drawing/2015/06/chart">
            <c:ext xmlns:c16="http://schemas.microsoft.com/office/drawing/2014/chart" uri="{C3380CC4-5D6E-409C-BE32-E72D297353CC}">
              <c16:uniqueId val="{00000003-D6C0-4244-BEC9-1BDF83465C1E}"/>
            </c:ext>
          </c:extLst>
        </c:ser>
        <c:marker val="1"/>
        <c:axId val="133740800"/>
        <c:axId val="133750784"/>
      </c:lineChart>
      <c:lineChart>
        <c:grouping val="standard"/>
        <c:ser>
          <c:idx val="2"/>
          <c:order val="4"/>
          <c:tx>
            <c:strRef>
              <c:f>'Graf-Národní účty-souhrnné'!$A$33</c:f>
              <c:strCache>
                <c:ptCount val="1"/>
                <c:pt idx="0">
                  <c:v>Míra investic (v %, pravá osa)</c:v>
                </c:pt>
              </c:strCache>
            </c:strRef>
          </c:tx>
          <c:spPr>
            <a:ln w="19050">
              <a:solidFill>
                <a:srgbClr val="BD1B21"/>
              </a:solidFill>
              <a:prstDash val="sysDash"/>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účty-souhrnné'!$G$33:$S$33</c:f>
              <c:numCache>
                <c:formatCode>0</c:formatCode>
                <c:ptCount val="13"/>
                <c:pt idx="0">
                  <c:v>27.632854254936191</c:v>
                </c:pt>
                <c:pt idx="1">
                  <c:v>29.390922200096128</c:v>
                </c:pt>
                <c:pt idx="2">
                  <c:v>37.252691879276121</c:v>
                </c:pt>
                <c:pt idx="3">
                  <c:v>33.359446235246544</c:v>
                </c:pt>
                <c:pt idx="4">
                  <c:v>32.931571364389853</c:v>
                </c:pt>
                <c:pt idx="5">
                  <c:v>40.956651718983544</c:v>
                </c:pt>
                <c:pt idx="6">
                  <c:v>33.439144888724719</c:v>
                </c:pt>
                <c:pt idx="7">
                  <c:v>41.399010440689338</c:v>
                </c:pt>
                <c:pt idx="8">
                  <c:v>37.638065459270365</c:v>
                </c:pt>
                <c:pt idx="9">
                  <c:v>34.970014992503813</c:v>
                </c:pt>
                <c:pt idx="10">
                  <c:v>30.069342709248929</c:v>
                </c:pt>
                <c:pt idx="11">
                  <c:v>39.967091898919314</c:v>
                </c:pt>
                <c:pt idx="12">
                  <c:v>39.557297182799907</c:v>
                </c:pt>
              </c:numCache>
            </c:numRef>
          </c:val>
          <c:extLst xmlns:c16r2="http://schemas.microsoft.com/office/drawing/2015/06/chart">
            <c:ext xmlns:c16="http://schemas.microsoft.com/office/drawing/2014/chart" uri="{C3380CC4-5D6E-409C-BE32-E72D297353CC}">
              <c16:uniqueId val="{00000004-D6C0-4244-BEC9-1BDF83465C1E}"/>
            </c:ext>
          </c:extLst>
        </c:ser>
        <c:ser>
          <c:idx val="5"/>
          <c:order val="5"/>
          <c:tx>
            <c:strRef>
              <c:f>'Graf-Národní účty-souhrnné'!$A$34</c:f>
              <c:strCache>
                <c:ptCount val="1"/>
                <c:pt idx="0">
                  <c:v>Míra zisku nefinančních podniků (v %, pravá osa)</c:v>
                </c:pt>
              </c:strCache>
            </c:strRef>
          </c:tx>
          <c:spPr>
            <a:ln w="19050">
              <a:solidFill>
                <a:srgbClr val="0071BC"/>
              </a:solidFill>
              <a:prstDash val="sysDash"/>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účty-souhrnné'!$G$34:$S$34</c:f>
              <c:numCache>
                <c:formatCode>0.0</c:formatCode>
                <c:ptCount val="13"/>
                <c:pt idx="0">
                  <c:v>62.276318294308524</c:v>
                </c:pt>
                <c:pt idx="1">
                  <c:v>59.307688533437492</c:v>
                </c:pt>
                <c:pt idx="2">
                  <c:v>62.827237228216894</c:v>
                </c:pt>
                <c:pt idx="3">
                  <c:v>61.632230531964339</c:v>
                </c:pt>
                <c:pt idx="4">
                  <c:v>66.568207848574318</c:v>
                </c:pt>
                <c:pt idx="5">
                  <c:v>56.092443755850354</c:v>
                </c:pt>
                <c:pt idx="6">
                  <c:v>69.904714763024373</c:v>
                </c:pt>
                <c:pt idx="7">
                  <c:v>72.387335072252938</c:v>
                </c:pt>
                <c:pt idx="8">
                  <c:v>72.722240673087569</c:v>
                </c:pt>
                <c:pt idx="9">
                  <c:v>78.074900705912626</c:v>
                </c:pt>
                <c:pt idx="10">
                  <c:v>70.034326170129049</c:v>
                </c:pt>
                <c:pt idx="11">
                  <c:v>79.39161966156432</c:v>
                </c:pt>
                <c:pt idx="12">
                  <c:v>75.145296814548388</c:v>
                </c:pt>
              </c:numCache>
            </c:numRef>
          </c:val>
          <c:extLst xmlns:c16r2="http://schemas.microsoft.com/office/drawing/2015/06/chart">
            <c:ext xmlns:c16="http://schemas.microsoft.com/office/drawing/2014/chart" uri="{C3380CC4-5D6E-409C-BE32-E72D297353CC}">
              <c16:uniqueId val="{00000005-D6C0-4244-BEC9-1BDF83465C1E}"/>
            </c:ext>
          </c:extLst>
        </c:ser>
        <c:marker val="1"/>
        <c:axId val="133753856"/>
        <c:axId val="133752320"/>
      </c:lineChart>
      <c:catAx>
        <c:axId val="133740800"/>
        <c:scaling>
          <c:orientation val="minMax"/>
        </c:scaling>
        <c:axPos val="b"/>
        <c:numFmt formatCode="General" sourceLinked="1"/>
        <c:tickLblPos val="low"/>
        <c:spPr>
          <a:ln w="9525">
            <a:solidFill>
              <a:schemeClr val="tx1"/>
            </a:solidFill>
            <a:prstDash val="solid"/>
          </a:ln>
        </c:spPr>
        <c:txPr>
          <a:bodyPr rot="0" vert="horz"/>
          <a:lstStyle/>
          <a:p>
            <a:pPr>
              <a:defRPr/>
            </a:pPr>
            <a:endParaRPr lang="cs-CZ"/>
          </a:p>
        </c:txPr>
        <c:crossAx val="133750784"/>
        <c:crossesAt val="100"/>
        <c:lblAlgn val="ctr"/>
        <c:lblOffset val="0"/>
        <c:tickLblSkip val="1"/>
        <c:tickMarkSkip val="4"/>
      </c:catAx>
      <c:valAx>
        <c:axId val="133750784"/>
        <c:scaling>
          <c:orientation val="minMax"/>
          <c:max val="140"/>
          <c:min val="6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33740800"/>
        <c:crosses val="autoZero"/>
        <c:crossBetween val="between"/>
        <c:majorUnit val="5"/>
      </c:valAx>
      <c:valAx>
        <c:axId val="133752320"/>
        <c:scaling>
          <c:orientation val="minMax"/>
          <c:max val="80"/>
          <c:min val="0"/>
        </c:scaling>
        <c:axPos val="r"/>
        <c:numFmt formatCode="0" sourceLinked="0"/>
        <c:tickLblPos val="nextTo"/>
        <c:crossAx val="133753856"/>
        <c:crosses val="max"/>
        <c:crossBetween val="between"/>
        <c:majorUnit val="5"/>
      </c:valAx>
      <c:catAx>
        <c:axId val="133753856"/>
        <c:scaling>
          <c:orientation val="minMax"/>
        </c:scaling>
        <c:delete val="1"/>
        <c:axPos val="b"/>
        <c:numFmt formatCode="General" sourceLinked="1"/>
        <c:tickLblPos val="none"/>
        <c:crossAx val="133752320"/>
        <c:crosses val="autoZero"/>
        <c:auto val="1"/>
        <c:lblAlgn val="ctr"/>
        <c:lblOffset val="100"/>
      </c:catAx>
      <c:spPr>
        <a:noFill/>
        <a:ln w="9525">
          <a:solidFill>
            <a:schemeClr val="tx1"/>
          </a:solidFill>
        </a:ln>
      </c:spPr>
    </c:plotArea>
    <c:legend>
      <c:legendPos val="b"/>
      <c:layout>
        <c:manualLayout>
          <c:xMode val="edge"/>
          <c:yMode val="edge"/>
          <c:x val="6.0825149028219005E-2"/>
          <c:y val="0.81137678712146266"/>
          <c:w val="0.88531755998340556"/>
          <c:h val="0.18504896994258696"/>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37.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493E-2"/>
          <c:y val="1.643251153889452E-2"/>
          <c:w val="0.92433548575002356"/>
          <c:h val="0.74011201170775076"/>
        </c:manualLayout>
      </c:layout>
      <c:areaChart>
        <c:grouping val="standard"/>
        <c:ser>
          <c:idx val="9"/>
          <c:order val="9"/>
          <c:tx>
            <c:strRef>
              <c:f>'Graf-SZÚčet'!$B$90</c:f>
              <c:strCache>
                <c:ptCount val="1"/>
                <c:pt idx="0">
                  <c:v>Produkce zemědělského odvětví</c:v>
                </c:pt>
              </c:strCache>
            </c:strRef>
          </c:tx>
          <c:spPr>
            <a:solidFill>
              <a:srgbClr val="A6A6A6"/>
            </a:solidFill>
          </c:spPr>
          <c:cat>
            <c:numRef>
              <c:f>'Graf-SZÚčet'!$C$80:$T$80</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'Graf-SZÚčet'!$C$90:$T$90</c:f>
              <c:numCache>
                <c:formatCode>#,##0</c:formatCode>
                <c:ptCount val="18"/>
                <c:pt idx="0">
                  <c:v>100</c:v>
                </c:pt>
                <c:pt idx="1">
                  <c:v>103.23404034897132</c:v>
                </c:pt>
                <c:pt idx="2">
                  <c:v>101.4114862879686</c:v>
                </c:pt>
                <c:pt idx="3">
                  <c:v>96.078277575950437</c:v>
                </c:pt>
                <c:pt idx="4">
                  <c:v>109.97971300570836</c:v>
                </c:pt>
                <c:pt idx="5">
                  <c:v>106.58690169916522</c:v>
                </c:pt>
                <c:pt idx="6">
                  <c:v>100.26984742048595</c:v>
                </c:pt>
                <c:pt idx="7">
                  <c:v>103.88695893466731</c:v>
                </c:pt>
                <c:pt idx="8">
                  <c:v>109.37095842194033</c:v>
                </c:pt>
                <c:pt idx="9">
                  <c:v>104.85279801837086</c:v>
                </c:pt>
                <c:pt idx="10">
                  <c:v>96.788305917141358</c:v>
                </c:pt>
                <c:pt idx="11">
                  <c:v>105.10849565178025</c:v>
                </c:pt>
                <c:pt idx="12">
                  <c:v>97.603765328771289</c:v>
                </c:pt>
                <c:pt idx="13">
                  <c:v>102.19690275948523</c:v>
                </c:pt>
                <c:pt idx="14">
                  <c:v>111.44440039593952</c:v>
                </c:pt>
                <c:pt idx="15">
                  <c:v>106.14922892925449</c:v>
                </c:pt>
                <c:pt idx="16">
                  <c:v>113.2685411052812</c:v>
                </c:pt>
                <c:pt idx="17">
                  <c:v>106.67348258565262</c:v>
                </c:pt>
              </c:numCache>
            </c:numRef>
          </c:val>
          <c:extLst xmlns:c16r2="http://schemas.microsoft.com/office/drawing/2015/06/chart">
            <c:ext xmlns:c16="http://schemas.microsoft.com/office/drawing/2014/chart" uri="{C3380CC4-5D6E-409C-BE32-E72D297353CC}">
              <c16:uniqueId val="{00000000-D6FE-4A4F-ABA3-167692E370F6}"/>
            </c:ext>
          </c:extLst>
        </c:ser>
        <c:axId val="133846912"/>
        <c:axId val="133848448"/>
      </c:areaChart>
      <c:lineChart>
        <c:grouping val="standard"/>
        <c:ser>
          <c:idx val="0"/>
          <c:order val="0"/>
          <c:tx>
            <c:strRef>
              <c:f>'Graf-SZÚčet'!$B$81</c:f>
              <c:strCache>
                <c:ptCount val="1"/>
                <c:pt idx="0">
                  <c:v>Obiloviny</c:v>
                </c:pt>
              </c:strCache>
            </c:strRef>
          </c:tx>
          <c:spPr>
            <a:ln w="19050">
              <a:solidFill>
                <a:srgbClr val="0071BC"/>
              </a:solidFill>
            </a:ln>
          </c:spPr>
          <c:marker>
            <c:symbol val="none"/>
          </c:marker>
          <c:cat>
            <c:numRef>
              <c:f>'Graf-SZÚčet'!$C$80:$T$80</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'Graf-SZÚčet'!$C$81:$T$81</c:f>
              <c:numCache>
                <c:formatCode>#,##0</c:formatCode>
                <c:ptCount val="18"/>
                <c:pt idx="0">
                  <c:v>100</c:v>
                </c:pt>
                <c:pt idx="1">
                  <c:v>118.71136071504142</c:v>
                </c:pt>
                <c:pt idx="2">
                  <c:v>109.02418931920536</c:v>
                </c:pt>
                <c:pt idx="3">
                  <c:v>92.448842312668958</c:v>
                </c:pt>
                <c:pt idx="4">
                  <c:v>137.19939913973678</c:v>
                </c:pt>
                <c:pt idx="5">
                  <c:v>120.65209525968049</c:v>
                </c:pt>
                <c:pt idx="6">
                  <c:v>101.3298089698737</c:v>
                </c:pt>
                <c:pt idx="7">
                  <c:v>114.69902127365555</c:v>
                </c:pt>
                <c:pt idx="8">
                  <c:v>133.51545623279839</c:v>
                </c:pt>
                <c:pt idx="9">
                  <c:v>124.05109252293414</c:v>
                </c:pt>
                <c:pt idx="10">
                  <c:v>110.06160983720946</c:v>
                </c:pt>
                <c:pt idx="11">
                  <c:v>134.60132809688326</c:v>
                </c:pt>
                <c:pt idx="12">
                  <c:v>106.51150578789633</c:v>
                </c:pt>
                <c:pt idx="13">
                  <c:v>121.00218077157155</c:v>
                </c:pt>
                <c:pt idx="14">
                  <c:v>141.5792967370742</c:v>
                </c:pt>
                <c:pt idx="15">
                  <c:v>130.62935009012398</c:v>
                </c:pt>
                <c:pt idx="16">
                  <c:v>140.3683685647446</c:v>
                </c:pt>
                <c:pt idx="17">
                  <c:v>121.17110970333094</c:v>
                </c:pt>
              </c:numCache>
            </c:numRef>
          </c:val>
          <c:extLst xmlns:c16r2="http://schemas.microsoft.com/office/drawing/2015/06/chart">
            <c:ext xmlns:c16="http://schemas.microsoft.com/office/drawing/2014/chart" uri="{C3380CC4-5D6E-409C-BE32-E72D297353CC}">
              <c16:uniqueId val="{00000001-D6FE-4A4F-ABA3-167692E370F6}"/>
            </c:ext>
          </c:extLst>
        </c:ser>
        <c:ser>
          <c:idx val="3"/>
          <c:order val="1"/>
          <c:tx>
            <c:strRef>
              <c:f>'Graf-SZÚčet'!$B$82</c:f>
              <c:strCache>
                <c:ptCount val="1"/>
                <c:pt idx="0">
                  <c:v>Technické plodiny</c:v>
                </c:pt>
              </c:strCache>
            </c:strRef>
          </c:tx>
          <c:spPr>
            <a:ln w="19050">
              <a:solidFill>
                <a:srgbClr val="BD1B21"/>
              </a:solidFill>
              <a:prstDash val="solid"/>
            </a:ln>
          </c:spPr>
          <c:marker>
            <c:symbol val="none"/>
          </c:marker>
          <c:cat>
            <c:numRef>
              <c:f>'Graf-SZÚčet'!$C$80:$T$80</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'Graf-SZÚčet'!$C$82:$T$82</c:f>
              <c:numCache>
                <c:formatCode>#,##0</c:formatCode>
                <c:ptCount val="18"/>
                <c:pt idx="0">
                  <c:v>100</c:v>
                </c:pt>
                <c:pt idx="1">
                  <c:v>119.41288858261979</c:v>
                </c:pt>
                <c:pt idx="2">
                  <c:v>106.63489392535872</c:v>
                </c:pt>
                <c:pt idx="3">
                  <c:v>95.266463010278926</c:v>
                </c:pt>
                <c:pt idx="4">
                  <c:v>126.92438441645565</c:v>
                </c:pt>
                <c:pt idx="5">
                  <c:v>119.53174700712545</c:v>
                </c:pt>
                <c:pt idx="6">
                  <c:v>118.53388313696225</c:v>
                </c:pt>
                <c:pt idx="7">
                  <c:v>118.11292686355905</c:v>
                </c:pt>
                <c:pt idx="8">
                  <c:v>122.43823203138065</c:v>
                </c:pt>
                <c:pt idx="9">
                  <c:v>129.05547774988611</c:v>
                </c:pt>
                <c:pt idx="10">
                  <c:v>119.20426552092914</c:v>
                </c:pt>
                <c:pt idx="11">
                  <c:v>127.62643956150005</c:v>
                </c:pt>
                <c:pt idx="12">
                  <c:v>123.67893879024317</c:v>
                </c:pt>
                <c:pt idx="13">
                  <c:v>141.87441252519776</c:v>
                </c:pt>
                <c:pt idx="14">
                  <c:v>159.12530335473485</c:v>
                </c:pt>
                <c:pt idx="15">
                  <c:v>132.55054051231863</c:v>
                </c:pt>
                <c:pt idx="16">
                  <c:v>149.69331308978252</c:v>
                </c:pt>
                <c:pt idx="17">
                  <c:v>138.74843292252521</c:v>
                </c:pt>
              </c:numCache>
            </c:numRef>
          </c:val>
          <c:extLst xmlns:c16r2="http://schemas.microsoft.com/office/drawing/2015/06/chart">
            <c:ext xmlns:c16="http://schemas.microsoft.com/office/drawing/2014/chart" uri="{C3380CC4-5D6E-409C-BE32-E72D297353CC}">
              <c16:uniqueId val="{00000002-D6FE-4A4F-ABA3-167692E370F6}"/>
            </c:ext>
          </c:extLst>
        </c:ser>
        <c:ser>
          <c:idx val="1"/>
          <c:order val="2"/>
          <c:tx>
            <c:strRef>
              <c:f>'Graf-SZÚčet'!$B$83</c:f>
              <c:strCache>
                <c:ptCount val="1"/>
                <c:pt idx="0">
                  <c:v>Pícniny</c:v>
                </c:pt>
              </c:strCache>
            </c:strRef>
          </c:tx>
          <c:spPr>
            <a:ln w="19050">
              <a:solidFill>
                <a:srgbClr val="F1AFB2"/>
              </a:solidFill>
            </a:ln>
          </c:spPr>
          <c:marker>
            <c:symbol val="none"/>
          </c:marker>
          <c:cat>
            <c:numRef>
              <c:f>'Graf-SZÚčet'!$C$80:$T$80</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'Graf-SZÚčet'!$C$83:$T$83</c:f>
              <c:numCache>
                <c:formatCode>#,##0</c:formatCode>
                <c:ptCount val="18"/>
                <c:pt idx="0">
                  <c:v>100</c:v>
                </c:pt>
                <c:pt idx="1">
                  <c:v>103.47067995852051</c:v>
                </c:pt>
                <c:pt idx="2">
                  <c:v>94.40786865358551</c:v>
                </c:pt>
                <c:pt idx="3">
                  <c:v>76.892080963465958</c:v>
                </c:pt>
                <c:pt idx="4">
                  <c:v>101.50036323847527</c:v>
                </c:pt>
                <c:pt idx="5">
                  <c:v>101.54307451898295</c:v>
                </c:pt>
                <c:pt idx="6">
                  <c:v>97.152532904829499</c:v>
                </c:pt>
                <c:pt idx="7">
                  <c:v>92.156323157754855</c:v>
                </c:pt>
                <c:pt idx="8">
                  <c:v>96.999948452742331</c:v>
                </c:pt>
                <c:pt idx="9">
                  <c:v>98.502857650408359</c:v>
                </c:pt>
                <c:pt idx="10">
                  <c:v>97.253442658788984</c:v>
                </c:pt>
                <c:pt idx="11">
                  <c:v>109.95777026540277</c:v>
                </c:pt>
                <c:pt idx="12">
                  <c:v>110.53620586824603</c:v>
                </c:pt>
                <c:pt idx="13">
                  <c:v>111.78440521325425</c:v>
                </c:pt>
                <c:pt idx="14">
                  <c:v>128.47017450348025</c:v>
                </c:pt>
                <c:pt idx="15">
                  <c:v>101.36875759979235</c:v>
                </c:pt>
                <c:pt idx="16">
                  <c:v>127.95776987905884</c:v>
                </c:pt>
                <c:pt idx="17">
                  <c:v>109.6461687224209</c:v>
                </c:pt>
              </c:numCache>
            </c:numRef>
          </c:val>
          <c:extLst xmlns:c16r2="http://schemas.microsoft.com/office/drawing/2015/06/chart">
            <c:ext xmlns:c16="http://schemas.microsoft.com/office/drawing/2014/chart" uri="{C3380CC4-5D6E-409C-BE32-E72D297353CC}">
              <c16:uniqueId val="{00000003-D6FE-4A4F-ABA3-167692E370F6}"/>
            </c:ext>
          </c:extLst>
        </c:ser>
        <c:ser>
          <c:idx val="7"/>
          <c:order val="3"/>
          <c:tx>
            <c:strRef>
              <c:f>'Graf-SZÚčet'!$B$84</c:f>
              <c:strCache>
                <c:ptCount val="1"/>
                <c:pt idx="0">
                  <c:v>Zelenina a zahradnické produkty</c:v>
                </c:pt>
              </c:strCache>
            </c:strRef>
          </c:tx>
          <c:spPr>
            <a:ln w="19050">
              <a:solidFill>
                <a:srgbClr val="7DBB2D"/>
              </a:solidFill>
            </a:ln>
          </c:spPr>
          <c:marker>
            <c:symbol val="none"/>
          </c:marker>
          <c:cat>
            <c:numRef>
              <c:f>'Graf-SZÚčet'!$C$80:$T$80</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'Graf-SZÚčet'!$C$84:$T$84</c:f>
              <c:numCache>
                <c:formatCode>#,##0</c:formatCode>
                <c:ptCount val="18"/>
                <c:pt idx="0">
                  <c:v>100</c:v>
                </c:pt>
                <c:pt idx="1">
                  <c:v>91.152472888519782</c:v>
                </c:pt>
                <c:pt idx="2">
                  <c:v>109.23184790883087</c:v>
                </c:pt>
                <c:pt idx="3">
                  <c:v>133.26319078697722</c:v>
                </c:pt>
                <c:pt idx="4">
                  <c:v>150.12183239285065</c:v>
                </c:pt>
                <c:pt idx="5">
                  <c:v>141.96585405136659</c:v>
                </c:pt>
                <c:pt idx="6">
                  <c:v>139.77131043560851</c:v>
                </c:pt>
                <c:pt idx="7">
                  <c:v>135.12307799918958</c:v>
                </c:pt>
                <c:pt idx="8">
                  <c:v>143.74036466027607</c:v>
                </c:pt>
                <c:pt idx="9">
                  <c:v>145.36300593906731</c:v>
                </c:pt>
                <c:pt idx="10">
                  <c:v>140.01605710627732</c:v>
                </c:pt>
                <c:pt idx="11">
                  <c:v>159.31813497701589</c:v>
                </c:pt>
                <c:pt idx="12">
                  <c:v>147.97440292470452</c:v>
                </c:pt>
                <c:pt idx="13">
                  <c:v>138.75663891504487</c:v>
                </c:pt>
                <c:pt idx="14">
                  <c:v>139.53704052920986</c:v>
                </c:pt>
                <c:pt idx="15">
                  <c:v>121.52630058128175</c:v>
                </c:pt>
                <c:pt idx="16">
                  <c:v>139.25995964241631</c:v>
                </c:pt>
                <c:pt idx="17">
                  <c:v>136.81824119764161</c:v>
                </c:pt>
              </c:numCache>
            </c:numRef>
          </c:val>
          <c:extLst xmlns:c16r2="http://schemas.microsoft.com/office/drawing/2015/06/chart">
            <c:ext xmlns:c16="http://schemas.microsoft.com/office/drawing/2014/chart" uri="{C3380CC4-5D6E-409C-BE32-E72D297353CC}">
              <c16:uniqueId val="{00000004-D6FE-4A4F-ABA3-167692E370F6}"/>
            </c:ext>
          </c:extLst>
        </c:ser>
        <c:ser>
          <c:idx val="2"/>
          <c:order val="4"/>
          <c:tx>
            <c:strRef>
              <c:f>'Graf-SZÚčet'!$B$85</c:f>
              <c:strCache>
                <c:ptCount val="1"/>
                <c:pt idx="0">
                  <c:v>Brambory</c:v>
                </c:pt>
              </c:strCache>
            </c:strRef>
          </c:tx>
          <c:spPr>
            <a:ln w="19050">
              <a:solidFill>
                <a:srgbClr val="A6A6A6"/>
              </a:solidFill>
              <a:prstDash val="solid"/>
            </a:ln>
          </c:spPr>
          <c:marker>
            <c:symbol val="none"/>
          </c:marker>
          <c:cat>
            <c:numRef>
              <c:f>'Graf-SZÚčet'!$C$80:$T$80</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'Graf-SZÚčet'!$C$85:$T$85</c:f>
              <c:numCache>
                <c:formatCode>#,##0</c:formatCode>
                <c:ptCount val="18"/>
                <c:pt idx="0">
                  <c:v>100</c:v>
                </c:pt>
                <c:pt idx="1">
                  <c:v>76.176353178459181</c:v>
                </c:pt>
                <c:pt idx="2">
                  <c:v>72.833624881514197</c:v>
                </c:pt>
                <c:pt idx="3">
                  <c:v>57.331907681324004</c:v>
                </c:pt>
                <c:pt idx="4">
                  <c:v>68.757595409448527</c:v>
                </c:pt>
                <c:pt idx="5">
                  <c:v>82.042514534698299</c:v>
                </c:pt>
                <c:pt idx="6">
                  <c:v>55.669730747225636</c:v>
                </c:pt>
                <c:pt idx="7">
                  <c:v>66.529472152213287</c:v>
                </c:pt>
                <c:pt idx="8">
                  <c:v>62.457201312775993</c:v>
                </c:pt>
                <c:pt idx="9">
                  <c:v>61.485186614258758</c:v>
                </c:pt>
                <c:pt idx="10">
                  <c:v>54.047924811686329</c:v>
                </c:pt>
                <c:pt idx="11">
                  <c:v>66.588570380747953</c:v>
                </c:pt>
                <c:pt idx="12">
                  <c:v>54.46522846161659</c:v>
                </c:pt>
                <c:pt idx="13">
                  <c:v>45.91813809973403</c:v>
                </c:pt>
                <c:pt idx="14">
                  <c:v>58.192908222108848</c:v>
                </c:pt>
                <c:pt idx="15">
                  <c:v>42.743150223701463</c:v>
                </c:pt>
                <c:pt idx="16">
                  <c:v>59.62733579154461</c:v>
                </c:pt>
                <c:pt idx="17">
                  <c:v>57.975679731698094</c:v>
                </c:pt>
              </c:numCache>
            </c:numRef>
          </c:val>
          <c:extLst xmlns:c16r2="http://schemas.microsoft.com/office/drawing/2015/06/chart">
            <c:ext xmlns:c16="http://schemas.microsoft.com/office/drawing/2014/chart" uri="{C3380CC4-5D6E-409C-BE32-E72D297353CC}">
              <c16:uniqueId val="{00000005-D6FE-4A4F-ABA3-167692E370F6}"/>
            </c:ext>
          </c:extLst>
        </c:ser>
        <c:ser>
          <c:idx val="5"/>
          <c:order val="5"/>
          <c:tx>
            <c:strRef>
              <c:f>'Graf-SZÚčet'!$B$86</c:f>
              <c:strCache>
                <c:ptCount val="1"/>
                <c:pt idx="0">
                  <c:v>Ovoce</c:v>
                </c:pt>
              </c:strCache>
            </c:strRef>
          </c:tx>
          <c:spPr>
            <a:ln w="19050">
              <a:solidFill>
                <a:srgbClr val="F8A124"/>
              </a:solidFill>
              <a:prstDash val="solid"/>
            </a:ln>
          </c:spPr>
          <c:marker>
            <c:symbol val="none"/>
          </c:marker>
          <c:cat>
            <c:numRef>
              <c:f>'Graf-SZÚčet'!$C$80:$T$80</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'Graf-SZÚčet'!$C$86:$T$86</c:f>
              <c:numCache>
                <c:formatCode>#,##0</c:formatCode>
                <c:ptCount val="18"/>
                <c:pt idx="0">
                  <c:v>100</c:v>
                </c:pt>
                <c:pt idx="1">
                  <c:v>73.113056194297272</c:v>
                </c:pt>
                <c:pt idx="2">
                  <c:v>67.467680457123933</c:v>
                </c:pt>
                <c:pt idx="3">
                  <c:v>62.670824241843846</c:v>
                </c:pt>
                <c:pt idx="4">
                  <c:v>68.532502795523229</c:v>
                </c:pt>
                <c:pt idx="5">
                  <c:v>56.822641550370754</c:v>
                </c:pt>
                <c:pt idx="6">
                  <c:v>60.111149182335993</c:v>
                </c:pt>
                <c:pt idx="7">
                  <c:v>58.221735531110212</c:v>
                </c:pt>
                <c:pt idx="8">
                  <c:v>65.571809234711878</c:v>
                </c:pt>
                <c:pt idx="9">
                  <c:v>65.777297129322463</c:v>
                </c:pt>
                <c:pt idx="10">
                  <c:v>43.760851380747155</c:v>
                </c:pt>
                <c:pt idx="11">
                  <c:v>44.047931394247144</c:v>
                </c:pt>
                <c:pt idx="12">
                  <c:v>48.050758096495073</c:v>
                </c:pt>
                <c:pt idx="13">
                  <c:v>55.826728642848281</c:v>
                </c:pt>
                <c:pt idx="14">
                  <c:v>54.437929625800344</c:v>
                </c:pt>
                <c:pt idx="15">
                  <c:v>67.81923733614255</c:v>
                </c:pt>
                <c:pt idx="16">
                  <c:v>51.751116172141813</c:v>
                </c:pt>
                <c:pt idx="17">
                  <c:v>41.666699867468296</c:v>
                </c:pt>
              </c:numCache>
            </c:numRef>
          </c:val>
          <c:extLst xmlns:c16r2="http://schemas.microsoft.com/office/drawing/2015/06/chart">
            <c:ext xmlns:c16="http://schemas.microsoft.com/office/drawing/2014/chart" uri="{C3380CC4-5D6E-409C-BE32-E72D297353CC}">
              <c16:uniqueId val="{00000006-D6FE-4A4F-ABA3-167692E370F6}"/>
            </c:ext>
          </c:extLst>
        </c:ser>
        <c:ser>
          <c:idx val="4"/>
          <c:order val="6"/>
          <c:tx>
            <c:strRef>
              <c:f>'Graf-SZÚčet'!$B$87</c:f>
              <c:strCache>
                <c:ptCount val="1"/>
                <c:pt idx="0">
                  <c:v>Prasata</c:v>
                </c:pt>
              </c:strCache>
            </c:strRef>
          </c:tx>
          <c:spPr>
            <a:ln w="19050">
              <a:solidFill>
                <a:srgbClr val="BCA6E8"/>
              </a:solidFill>
              <a:prstDash val="sysDash"/>
            </a:ln>
          </c:spPr>
          <c:marker>
            <c:symbol val="none"/>
          </c:marker>
          <c:cat>
            <c:numRef>
              <c:f>'Graf-SZÚčet'!$C$80:$T$80</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'Graf-SZÚčet'!$C$87:$T$87</c:f>
              <c:numCache>
                <c:formatCode>#,##0</c:formatCode>
                <c:ptCount val="18"/>
                <c:pt idx="0">
                  <c:v>100</c:v>
                </c:pt>
                <c:pt idx="1">
                  <c:v>98.649308512817768</c:v>
                </c:pt>
                <c:pt idx="2">
                  <c:v>97.427518966948696</c:v>
                </c:pt>
                <c:pt idx="3">
                  <c:v>97.889977471296518</c:v>
                </c:pt>
                <c:pt idx="4">
                  <c:v>90.829852492206157</c:v>
                </c:pt>
                <c:pt idx="5">
                  <c:v>84.668698121900448</c:v>
                </c:pt>
                <c:pt idx="6">
                  <c:v>84.369816439573555</c:v>
                </c:pt>
                <c:pt idx="7">
                  <c:v>90.532927884939809</c:v>
                </c:pt>
                <c:pt idx="8">
                  <c:v>83.600717301045449</c:v>
                </c:pt>
                <c:pt idx="9">
                  <c:v>70.904885781366886</c:v>
                </c:pt>
                <c:pt idx="10">
                  <c:v>69.88755399861499</c:v>
                </c:pt>
                <c:pt idx="11">
                  <c:v>66.632881403978558</c:v>
                </c:pt>
                <c:pt idx="12">
                  <c:v>58.629816521281576</c:v>
                </c:pt>
                <c:pt idx="13">
                  <c:v>60.373245728390444</c:v>
                </c:pt>
                <c:pt idx="14">
                  <c:v>61.177282946155586</c:v>
                </c:pt>
                <c:pt idx="15">
                  <c:v>63.376065123690843</c:v>
                </c:pt>
                <c:pt idx="16">
                  <c:v>63.075607968102545</c:v>
                </c:pt>
                <c:pt idx="17">
                  <c:v>59.690280859576873</c:v>
                </c:pt>
              </c:numCache>
            </c:numRef>
          </c:val>
          <c:extLst xmlns:c16r2="http://schemas.microsoft.com/office/drawing/2015/06/chart">
            <c:ext xmlns:c16="http://schemas.microsoft.com/office/drawing/2014/chart" uri="{C3380CC4-5D6E-409C-BE32-E72D297353CC}">
              <c16:uniqueId val="{00000007-D6FE-4A4F-ABA3-167692E370F6}"/>
            </c:ext>
          </c:extLst>
        </c:ser>
        <c:ser>
          <c:idx val="6"/>
          <c:order val="7"/>
          <c:tx>
            <c:strRef>
              <c:f>'Graf-SZÚčet'!$B$88</c:f>
              <c:strCache>
                <c:ptCount val="1"/>
                <c:pt idx="0">
                  <c:v>Ostatní hospodářská zvířata</c:v>
                </c:pt>
              </c:strCache>
            </c:strRef>
          </c:tx>
          <c:spPr>
            <a:ln w="19050">
              <a:solidFill>
                <a:srgbClr val="7030A0"/>
              </a:solidFill>
              <a:prstDash val="sysDash"/>
            </a:ln>
          </c:spPr>
          <c:marker>
            <c:symbol val="none"/>
          </c:marker>
          <c:cat>
            <c:numRef>
              <c:f>'Graf-SZÚčet'!$C$80:$T$80</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'Graf-SZÚčet'!$C$88:$T$88</c:f>
              <c:numCache>
                <c:formatCode>#,##0</c:formatCode>
                <c:ptCount val="18"/>
                <c:pt idx="0">
                  <c:v>100</c:v>
                </c:pt>
                <c:pt idx="1">
                  <c:v>99.817651762176823</c:v>
                </c:pt>
                <c:pt idx="2">
                  <c:v>101.4568275215443</c:v>
                </c:pt>
                <c:pt idx="3">
                  <c:v>100.73973089630728</c:v>
                </c:pt>
                <c:pt idx="4">
                  <c:v>96.699221951661272</c:v>
                </c:pt>
                <c:pt idx="5">
                  <c:v>95.962805659711933</c:v>
                </c:pt>
                <c:pt idx="6">
                  <c:v>100.08595299992828</c:v>
                </c:pt>
                <c:pt idx="7">
                  <c:v>100.24843201368513</c:v>
                </c:pt>
                <c:pt idx="8">
                  <c:v>109.35548985259766</c:v>
                </c:pt>
                <c:pt idx="9">
                  <c:v>105.27227448531492</c:v>
                </c:pt>
                <c:pt idx="10">
                  <c:v>91.850742308486147</c:v>
                </c:pt>
                <c:pt idx="11">
                  <c:v>87.358703453616258</c:v>
                </c:pt>
                <c:pt idx="12">
                  <c:v>91.80552218508285</c:v>
                </c:pt>
                <c:pt idx="13">
                  <c:v>88.125649270924143</c:v>
                </c:pt>
                <c:pt idx="14">
                  <c:v>92.571975756284218</c:v>
                </c:pt>
                <c:pt idx="15">
                  <c:v>95.115723150107982</c:v>
                </c:pt>
                <c:pt idx="16">
                  <c:v>93.184230909432443</c:v>
                </c:pt>
                <c:pt idx="17">
                  <c:v>93.759612019290387</c:v>
                </c:pt>
              </c:numCache>
            </c:numRef>
          </c:val>
          <c:extLst xmlns:c16r2="http://schemas.microsoft.com/office/drawing/2015/06/chart">
            <c:ext xmlns:c16="http://schemas.microsoft.com/office/drawing/2014/chart" uri="{C3380CC4-5D6E-409C-BE32-E72D297353CC}">
              <c16:uniqueId val="{00000008-D6FE-4A4F-ABA3-167692E370F6}"/>
            </c:ext>
          </c:extLst>
        </c:ser>
        <c:ser>
          <c:idx val="8"/>
          <c:order val="8"/>
          <c:tx>
            <c:strRef>
              <c:f>'Graf-SZÚčet'!$B$89</c:f>
              <c:strCache>
                <c:ptCount val="1"/>
                <c:pt idx="0">
                  <c:v>Mléko a vejce</c:v>
                </c:pt>
              </c:strCache>
            </c:strRef>
          </c:tx>
          <c:spPr>
            <a:ln w="19050">
              <a:solidFill>
                <a:schemeClr val="tx1">
                  <a:lumMod val="95000"/>
                  <a:lumOff val="5000"/>
                </a:schemeClr>
              </a:solidFill>
              <a:prstDash val="dash"/>
            </a:ln>
          </c:spPr>
          <c:marker>
            <c:symbol val="none"/>
          </c:marker>
          <c:cat>
            <c:numRef>
              <c:f>'Graf-SZÚčet'!$C$80:$T$80</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'Graf-SZÚčet'!$C$89:$T$89</c:f>
              <c:numCache>
                <c:formatCode>#,##0</c:formatCode>
                <c:ptCount val="18"/>
                <c:pt idx="0">
                  <c:v>100</c:v>
                </c:pt>
                <c:pt idx="1">
                  <c:v>98.140970736370079</c:v>
                </c:pt>
                <c:pt idx="2">
                  <c:v>97.240887112762849</c:v>
                </c:pt>
                <c:pt idx="3">
                  <c:v>97.893663893331095</c:v>
                </c:pt>
                <c:pt idx="4">
                  <c:v>96.713359744163597</c:v>
                </c:pt>
                <c:pt idx="5">
                  <c:v>100.65780921235825</c:v>
                </c:pt>
                <c:pt idx="6">
                  <c:v>99.700952526523494</c:v>
                </c:pt>
                <c:pt idx="7">
                  <c:v>100.05274580083253</c:v>
                </c:pt>
                <c:pt idx="8">
                  <c:v>102.55726127792101</c:v>
                </c:pt>
                <c:pt idx="9">
                  <c:v>101.61531096040675</c:v>
                </c:pt>
                <c:pt idx="10">
                  <c:v>96.228919573126788</c:v>
                </c:pt>
                <c:pt idx="11">
                  <c:v>99.609259743684149</c:v>
                </c:pt>
                <c:pt idx="12">
                  <c:v>101.25465374601472</c:v>
                </c:pt>
                <c:pt idx="13">
                  <c:v>103.01583922055515</c:v>
                </c:pt>
                <c:pt idx="14">
                  <c:v>106.34280281843226</c:v>
                </c:pt>
                <c:pt idx="15">
                  <c:v>109.08596119371605</c:v>
                </c:pt>
                <c:pt idx="16">
                  <c:v>110.66842083563343</c:v>
                </c:pt>
                <c:pt idx="17">
                  <c:v>112.47565425735586</c:v>
                </c:pt>
              </c:numCache>
            </c:numRef>
          </c:val>
          <c:extLst xmlns:c16r2="http://schemas.microsoft.com/office/drawing/2015/06/chart">
            <c:ext xmlns:c16="http://schemas.microsoft.com/office/drawing/2014/chart" uri="{C3380CC4-5D6E-409C-BE32-E72D297353CC}">
              <c16:uniqueId val="{00000009-D6FE-4A4F-ABA3-167692E370F6}"/>
            </c:ext>
          </c:extLst>
        </c:ser>
        <c:marker val="1"/>
        <c:axId val="133846912"/>
        <c:axId val="133848448"/>
      </c:lineChart>
      <c:catAx>
        <c:axId val="133846912"/>
        <c:scaling>
          <c:orientation val="minMax"/>
        </c:scaling>
        <c:axPos val="b"/>
        <c:numFmt formatCode="General" sourceLinked="1"/>
        <c:majorTickMark val="none"/>
        <c:tickLblPos val="low"/>
        <c:spPr>
          <a:ln w="9525">
            <a:solidFill>
              <a:schemeClr val="tx1"/>
            </a:solidFill>
            <a:prstDash val="solid"/>
          </a:ln>
        </c:spPr>
        <c:txPr>
          <a:bodyPr rot="-5400000" vert="horz"/>
          <a:lstStyle/>
          <a:p>
            <a:pPr>
              <a:defRPr/>
            </a:pPr>
            <a:endParaRPr lang="cs-CZ"/>
          </a:p>
        </c:txPr>
        <c:crossAx val="133848448"/>
        <c:crossesAt val="100"/>
        <c:lblAlgn val="ctr"/>
        <c:lblOffset val="0"/>
        <c:tickLblSkip val="1"/>
        <c:tickMarkSkip val="4"/>
      </c:catAx>
      <c:valAx>
        <c:axId val="133848448"/>
        <c:scaling>
          <c:orientation val="minMax"/>
          <c:max val="180"/>
          <c:min val="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33846912"/>
        <c:crosses val="autoZero"/>
        <c:crossBetween val="midCat"/>
        <c:majorUnit val="20"/>
      </c:valAx>
      <c:spPr>
        <a:noFill/>
        <a:ln w="9525">
          <a:solidFill>
            <a:schemeClr val="tx1"/>
          </a:solidFill>
        </a:ln>
      </c:spPr>
    </c:plotArea>
    <c:legend>
      <c:legendPos val="b"/>
      <c:layout>
        <c:manualLayout>
          <c:xMode val="edge"/>
          <c:yMode val="edge"/>
          <c:x val="6.3561476330895331E-2"/>
          <c:y val="0.83639648767308994"/>
          <c:w val="0.9146976145124539"/>
          <c:h val="0.15288078351908141"/>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38.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493E-2"/>
          <c:y val="1.643251153889452E-2"/>
          <c:w val="0.92433548575002356"/>
          <c:h val="0.68653037925405858"/>
        </c:manualLayout>
      </c:layout>
      <c:barChart>
        <c:barDir val="col"/>
        <c:grouping val="clustered"/>
        <c:ser>
          <c:idx val="3"/>
          <c:order val="1"/>
          <c:tx>
            <c:strRef>
              <c:f>'Graf-sklizně vs. výnosy'!$AF$5</c:f>
              <c:strCache>
                <c:ptCount val="1"/>
                <c:pt idx="0">
                  <c:v>Produkční plocha (y/y, %)</c:v>
                </c:pt>
              </c:strCache>
            </c:strRef>
          </c:tx>
          <c:spPr>
            <a:solidFill>
              <a:srgbClr val="D2E7B6"/>
            </a:solidFill>
            <a:ln w="3175">
              <a:solidFill>
                <a:schemeClr val="bg1">
                  <a:lumMod val="65000"/>
                </a:schemeClr>
              </a:solidFill>
              <a:prstDash val="solid"/>
            </a:ln>
          </c:spPr>
          <c:cat>
            <c:strRef>
              <c:f>'Graf-sklizně vs. výnosy'!$AG$3:$AX$3</c:f>
              <c:strCache>
                <c:ptCount val="18"/>
                <c:pt idx="0">
                  <c:v>Obiloviny 
celkem</c:v>
                </c:pt>
                <c:pt idx="1">
                  <c:v>Pšenice</c:v>
                </c:pt>
                <c:pt idx="2">
                  <c:v>Žito</c:v>
                </c:pt>
                <c:pt idx="3">
                  <c:v>Ječmen</c:v>
                </c:pt>
                <c:pt idx="4">
                  <c:v>Oves</c:v>
                </c:pt>
                <c:pt idx="5">
                  <c:v>Kukuřice 
na zrno</c:v>
                </c:pt>
                <c:pt idx="6">
                  <c:v>Řepka</c:v>
                </c:pt>
                <c:pt idx="7">
                  <c:v>Mák</c:v>
                </c:pt>
                <c:pt idx="8">
                  <c:v>Luskoviny</c:v>
                </c:pt>
                <c:pt idx="9">
                  <c:v>Cukrovka 
technická</c:v>
                </c:pt>
                <c:pt idx="10">
                  <c:v>Chmel</c:v>
                </c:pt>
                <c:pt idx="11">
                  <c:v>Brambory</c:v>
                </c:pt>
                <c:pt idx="12">
                  <c:v>Kukuřice na 
zeleno a siláž </c:v>
                </c:pt>
                <c:pt idx="13">
                  <c:v>Trv.trav.porosty
 (píce v seně)</c:v>
                </c:pt>
                <c:pt idx="14">
                  <c:v>Cibule</c:v>
                </c:pt>
                <c:pt idx="15">
                  <c:v>Jablka</c:v>
                </c:pt>
                <c:pt idx="16">
                  <c:v>Hrušky</c:v>
                </c:pt>
                <c:pt idx="17">
                  <c:v>Vinné hrozny</c:v>
                </c:pt>
              </c:strCache>
            </c:strRef>
          </c:cat>
          <c:val>
            <c:numRef>
              <c:f>'Graf-sklizně vs. výnosy'!$AG$5:$AX$5</c:f>
              <c:numCache>
                <c:formatCode>#,##0.0</c:formatCode>
                <c:ptCount val="18"/>
                <c:pt idx="0">
                  <c:v>-0.31875680116174493</c:v>
                </c:pt>
                <c:pt idx="1">
                  <c:v>-0.91086155181888273</c:v>
                </c:pt>
                <c:pt idx="2">
                  <c:v>6.0621406768698645</c:v>
                </c:pt>
                <c:pt idx="3">
                  <c:v>0.6084359855241388</c:v>
                </c:pt>
                <c:pt idx="4">
                  <c:v>17.299647023121551</c:v>
                </c:pt>
                <c:pt idx="5">
                  <c:v>-0.47678103995367882</c:v>
                </c:pt>
                <c:pt idx="6">
                  <c:v>0.3232514718839104</c:v>
                </c:pt>
                <c:pt idx="7">
                  <c:v>-8.3190523605034201</c:v>
                </c:pt>
                <c:pt idx="8">
                  <c:v>20.275259250028988</c:v>
                </c:pt>
                <c:pt idx="9">
                  <c:v>8.8325960762568894</c:v>
                </c:pt>
                <c:pt idx="10">
                  <c:v>3.5602094240837339</c:v>
                </c:pt>
                <c:pt idx="11">
                  <c:v>1.7040890021348787E-2</c:v>
                </c:pt>
                <c:pt idx="12">
                  <c:v>-4.7712867236272434</c:v>
                </c:pt>
                <c:pt idx="13">
                  <c:v>3.4454531478775152</c:v>
                </c:pt>
                <c:pt idx="14">
                  <c:v>10.233464042137419</c:v>
                </c:pt>
                <c:pt idx="15">
                  <c:v>2.1500264590427487</c:v>
                </c:pt>
                <c:pt idx="16">
                  <c:v>-1.7852130169178366</c:v>
                </c:pt>
                <c:pt idx="17">
                  <c:v>6.0392620079441767E-2</c:v>
                </c:pt>
              </c:numCache>
            </c:numRef>
          </c:val>
          <c:extLst xmlns:c16r2="http://schemas.microsoft.com/office/drawing/2015/06/chart">
            <c:ext xmlns:c16="http://schemas.microsoft.com/office/drawing/2014/chart" uri="{C3380CC4-5D6E-409C-BE32-E72D297353CC}">
              <c16:uniqueId val="{00000000-4B2A-43EA-B5E2-29512D0862A4}"/>
            </c:ext>
          </c:extLst>
        </c:ser>
        <c:ser>
          <c:idx val="1"/>
          <c:order val="2"/>
          <c:tx>
            <c:strRef>
              <c:f>'Graf-sklizně vs. výnosy'!$AF$6</c:f>
              <c:strCache>
                <c:ptCount val="1"/>
                <c:pt idx="0">
                  <c:v>Hektarové výnosy (y/y, %)</c:v>
                </c:pt>
              </c:strCache>
            </c:strRef>
          </c:tx>
          <c:spPr>
            <a:solidFill>
              <a:srgbClr val="FDDEB3"/>
            </a:solidFill>
            <a:ln w="3175">
              <a:solidFill>
                <a:schemeClr val="bg1">
                  <a:lumMod val="65000"/>
                </a:schemeClr>
              </a:solidFill>
            </a:ln>
          </c:spPr>
          <c:cat>
            <c:strRef>
              <c:f>'Graf-sklizně vs. výnosy'!$AG$3:$AX$3</c:f>
              <c:strCache>
                <c:ptCount val="18"/>
                <c:pt idx="0">
                  <c:v>Obiloviny 
celkem</c:v>
                </c:pt>
                <c:pt idx="1">
                  <c:v>Pšenice</c:v>
                </c:pt>
                <c:pt idx="2">
                  <c:v>Žito</c:v>
                </c:pt>
                <c:pt idx="3">
                  <c:v>Ječmen</c:v>
                </c:pt>
                <c:pt idx="4">
                  <c:v>Oves</c:v>
                </c:pt>
                <c:pt idx="5">
                  <c:v>Kukuřice 
na zrno</c:v>
                </c:pt>
                <c:pt idx="6">
                  <c:v>Řepka</c:v>
                </c:pt>
                <c:pt idx="7">
                  <c:v>Mák</c:v>
                </c:pt>
                <c:pt idx="8">
                  <c:v>Luskoviny</c:v>
                </c:pt>
                <c:pt idx="9">
                  <c:v>Cukrovka 
technická</c:v>
                </c:pt>
                <c:pt idx="10">
                  <c:v>Chmel</c:v>
                </c:pt>
                <c:pt idx="11">
                  <c:v>Brambory</c:v>
                </c:pt>
                <c:pt idx="12">
                  <c:v>Kukuřice na 
zeleno a siláž </c:v>
                </c:pt>
                <c:pt idx="13">
                  <c:v>Trv.trav.porosty
 (píce v seně)</c:v>
                </c:pt>
                <c:pt idx="14">
                  <c:v>Cibule</c:v>
                </c:pt>
                <c:pt idx="15">
                  <c:v>Jablka</c:v>
                </c:pt>
                <c:pt idx="16">
                  <c:v>Hrušky</c:v>
                </c:pt>
                <c:pt idx="17">
                  <c:v>Vinné hrozny</c:v>
                </c:pt>
              </c:strCache>
            </c:strRef>
          </c:cat>
          <c:val>
            <c:numRef>
              <c:f>'Graf-sklizně vs. výnosy'!$AG$6:$AX$6</c:f>
              <c:numCache>
                <c:formatCode>#,##0.0</c:formatCode>
                <c:ptCount val="18"/>
                <c:pt idx="0" formatCode="0.0">
                  <c:v>-12.979653148207372</c:v>
                </c:pt>
                <c:pt idx="1">
                  <c:v>-12.706319306399108</c:v>
                </c:pt>
                <c:pt idx="2">
                  <c:v>-1.2999887319759722</c:v>
                </c:pt>
                <c:pt idx="3">
                  <c:v>-7.7675237834615833</c:v>
                </c:pt>
                <c:pt idx="4">
                  <c:v>-8.1575839677021662</c:v>
                </c:pt>
                <c:pt idx="5">
                  <c:v>-30.131563115179247</c:v>
                </c:pt>
                <c:pt idx="6">
                  <c:v>-15.936306133306729</c:v>
                </c:pt>
                <c:pt idx="7">
                  <c:v>-23.47440104208674</c:v>
                </c:pt>
                <c:pt idx="8">
                  <c:v>-1.3393201406211972</c:v>
                </c:pt>
                <c:pt idx="9">
                  <c:v>-1.8427181672638093</c:v>
                </c:pt>
                <c:pt idx="10">
                  <c:v>-14.892884008099982</c:v>
                </c:pt>
                <c:pt idx="11">
                  <c:v>-1.5369675748380442</c:v>
                </c:pt>
                <c:pt idx="12">
                  <c:v>-14.442754120175778</c:v>
                </c:pt>
                <c:pt idx="13">
                  <c:v>-12.922645860726329</c:v>
                </c:pt>
                <c:pt idx="14">
                  <c:v>-10.972417063503126</c:v>
                </c:pt>
                <c:pt idx="15">
                  <c:v>-17.547178609027611</c:v>
                </c:pt>
                <c:pt idx="16">
                  <c:v>-38.555376674711106</c:v>
                </c:pt>
                <c:pt idx="17">
                  <c:v>5.032595487256657</c:v>
                </c:pt>
              </c:numCache>
            </c:numRef>
          </c:val>
          <c:extLst xmlns:c16r2="http://schemas.microsoft.com/office/drawing/2015/06/chart">
            <c:ext xmlns:c16="http://schemas.microsoft.com/office/drawing/2014/chart" uri="{C3380CC4-5D6E-409C-BE32-E72D297353CC}">
              <c16:uniqueId val="{00000001-4B2A-43EA-B5E2-29512D0862A4}"/>
            </c:ext>
          </c:extLst>
        </c:ser>
        <c:gapWidth val="79"/>
        <c:overlap val="56"/>
        <c:axId val="133890048"/>
        <c:axId val="133891968"/>
      </c:barChart>
      <c:lineChart>
        <c:grouping val="standard"/>
        <c:ser>
          <c:idx val="0"/>
          <c:order val="0"/>
          <c:tx>
            <c:strRef>
              <c:f>'Graf-sklizně vs. výnosy'!$AF$4</c:f>
              <c:strCache>
                <c:ptCount val="1"/>
                <c:pt idx="0">
                  <c:v>Sklizeň (y/y %)</c:v>
                </c:pt>
              </c:strCache>
            </c:strRef>
          </c:tx>
          <c:spPr>
            <a:ln>
              <a:noFill/>
            </a:ln>
          </c:spPr>
          <c:marker>
            <c:symbol val="dash"/>
            <c:size val="9"/>
            <c:spPr>
              <a:solidFill>
                <a:schemeClr val="tx1">
                  <a:lumMod val="95000"/>
                  <a:lumOff val="5000"/>
                </a:schemeClr>
              </a:solidFill>
            </c:spPr>
          </c:marker>
          <c:cat>
            <c:strRef>
              <c:f>'Graf-sklizně vs. výnosy'!$AG$3:$AX$3</c:f>
              <c:strCache>
                <c:ptCount val="18"/>
                <c:pt idx="0">
                  <c:v>Obiloviny 
celkem</c:v>
                </c:pt>
                <c:pt idx="1">
                  <c:v>Pšenice</c:v>
                </c:pt>
                <c:pt idx="2">
                  <c:v>Žito</c:v>
                </c:pt>
                <c:pt idx="3">
                  <c:v>Ječmen</c:v>
                </c:pt>
                <c:pt idx="4">
                  <c:v>Oves</c:v>
                </c:pt>
                <c:pt idx="5">
                  <c:v>Kukuřice 
na zrno</c:v>
                </c:pt>
                <c:pt idx="6">
                  <c:v>Řepka</c:v>
                </c:pt>
                <c:pt idx="7">
                  <c:v>Mák</c:v>
                </c:pt>
                <c:pt idx="8">
                  <c:v>Luskoviny</c:v>
                </c:pt>
                <c:pt idx="9">
                  <c:v>Cukrovka 
technická</c:v>
                </c:pt>
                <c:pt idx="10">
                  <c:v>Chmel</c:v>
                </c:pt>
                <c:pt idx="11">
                  <c:v>Brambory</c:v>
                </c:pt>
                <c:pt idx="12">
                  <c:v>Kukuřice na 
zeleno a siláž </c:v>
                </c:pt>
                <c:pt idx="13">
                  <c:v>Trv.trav.porosty
 (píce v seně)</c:v>
                </c:pt>
                <c:pt idx="14">
                  <c:v>Cibule</c:v>
                </c:pt>
                <c:pt idx="15">
                  <c:v>Jablka</c:v>
                </c:pt>
                <c:pt idx="16">
                  <c:v>Hrušky</c:v>
                </c:pt>
                <c:pt idx="17">
                  <c:v>Vinné hrozny</c:v>
                </c:pt>
              </c:strCache>
            </c:strRef>
          </c:cat>
          <c:val>
            <c:numRef>
              <c:f>'Graf-sklizně vs. výnosy'!$AG$4:$AX$4</c:f>
              <c:numCache>
                <c:formatCode>#,##0</c:formatCode>
                <c:ptCount val="18"/>
                <c:pt idx="0" formatCode="#,##0.0">
                  <c:v>-13.257036422191973</c:v>
                </c:pt>
                <c:pt idx="1">
                  <c:v>-13.50144388100467</c:v>
                </c:pt>
                <c:pt idx="2">
                  <c:v>4.6833447991780872</c:v>
                </c:pt>
                <c:pt idx="3">
                  <c:v>-7.2063482078201924</c:v>
                </c:pt>
                <c:pt idx="4">
                  <c:v>7.730829823392412</c:v>
                </c:pt>
                <c:pt idx="5">
                  <c:v>-30.464682575157724</c:v>
                </c:pt>
                <c:pt idx="6">
                  <c:v>-15.664569005562672</c:v>
                </c:pt>
                <c:pt idx="7">
                  <c:v>-29.840605688584404</c:v>
                </c:pt>
                <c:pt idx="8">
                  <c:v>18.664388478709213</c:v>
                </c:pt>
                <c:pt idx="9">
                  <c:v>6.8271180564546645</c:v>
                </c:pt>
                <c:pt idx="10">
                  <c:v>-11.862892443990306</c:v>
                </c:pt>
                <c:pt idx="11">
                  <c:v>-1.5201885977707841</c:v>
                </c:pt>
                <c:pt idx="12">
                  <c:v>-18.524935633940927</c:v>
                </c:pt>
                <c:pt idx="13">
                  <c:v>-9.9224364214462444</c:v>
                </c:pt>
                <c:pt idx="14">
                  <c:v>-1.8618113761125699</c:v>
                </c:pt>
                <c:pt idx="15">
                  <c:v>-15.774421132894441</c:v>
                </c:pt>
                <c:pt idx="16">
                  <c:v>-39.652294088510295</c:v>
                </c:pt>
                <c:pt idx="17">
                  <c:v>5.0960274236088594</c:v>
                </c:pt>
              </c:numCache>
            </c:numRef>
          </c:val>
          <c:extLst xmlns:c16r2="http://schemas.microsoft.com/office/drawing/2015/06/chart">
            <c:ext xmlns:c16="http://schemas.microsoft.com/office/drawing/2014/chart" uri="{C3380CC4-5D6E-409C-BE32-E72D297353CC}">
              <c16:uniqueId val="{00000002-4B2A-43EA-B5E2-29512D0862A4}"/>
            </c:ext>
          </c:extLst>
        </c:ser>
        <c:ser>
          <c:idx val="7"/>
          <c:order val="3"/>
          <c:tx>
            <c:strRef>
              <c:f>'Graf-sklizně vs. výnosy'!$AF$7</c:f>
              <c:strCache>
                <c:ptCount val="1"/>
                <c:pt idx="0">
                  <c:v>Sklizeň (odchylka od 5letého průměru, %)</c:v>
                </c:pt>
              </c:strCache>
            </c:strRef>
          </c:tx>
          <c:spPr>
            <a:ln>
              <a:noFill/>
            </a:ln>
          </c:spPr>
          <c:marker>
            <c:symbol val="triangle"/>
            <c:size val="6"/>
            <c:spPr>
              <a:solidFill>
                <a:srgbClr val="A6CDE8"/>
              </a:solidFill>
              <a:ln w="6350">
                <a:solidFill>
                  <a:schemeClr val="bg1">
                    <a:lumMod val="50000"/>
                  </a:schemeClr>
                </a:solidFill>
              </a:ln>
            </c:spPr>
          </c:marker>
          <c:cat>
            <c:strRef>
              <c:f>'Graf-sklizně vs. výnosy'!$AG$3:$AX$3</c:f>
              <c:strCache>
                <c:ptCount val="18"/>
                <c:pt idx="0">
                  <c:v>Obiloviny 
celkem</c:v>
                </c:pt>
                <c:pt idx="1">
                  <c:v>Pšenice</c:v>
                </c:pt>
                <c:pt idx="2">
                  <c:v>Žito</c:v>
                </c:pt>
                <c:pt idx="3">
                  <c:v>Ječmen</c:v>
                </c:pt>
                <c:pt idx="4">
                  <c:v>Oves</c:v>
                </c:pt>
                <c:pt idx="5">
                  <c:v>Kukuřice 
na zrno</c:v>
                </c:pt>
                <c:pt idx="6">
                  <c:v>Řepka</c:v>
                </c:pt>
                <c:pt idx="7">
                  <c:v>Mák</c:v>
                </c:pt>
                <c:pt idx="8">
                  <c:v>Luskoviny</c:v>
                </c:pt>
                <c:pt idx="9">
                  <c:v>Cukrovka 
technická</c:v>
                </c:pt>
                <c:pt idx="10">
                  <c:v>Chmel</c:v>
                </c:pt>
                <c:pt idx="11">
                  <c:v>Brambory</c:v>
                </c:pt>
                <c:pt idx="12">
                  <c:v>Kukuřice na 
zeleno a siláž </c:v>
                </c:pt>
                <c:pt idx="13">
                  <c:v>Trv.trav.porosty
 (píce v seně)</c:v>
                </c:pt>
                <c:pt idx="14">
                  <c:v>Cibule</c:v>
                </c:pt>
                <c:pt idx="15">
                  <c:v>Jablka</c:v>
                </c:pt>
                <c:pt idx="16">
                  <c:v>Hrušky</c:v>
                </c:pt>
                <c:pt idx="17">
                  <c:v>Vinné hrozny</c:v>
                </c:pt>
              </c:strCache>
            </c:strRef>
          </c:cat>
          <c:val>
            <c:numRef>
              <c:f>'Graf-sklizně vs. výnosy'!$AG$7:$AX$7</c:f>
              <c:numCache>
                <c:formatCode>#,##0</c:formatCode>
                <c:ptCount val="18"/>
                <c:pt idx="0">
                  <c:v>-8.0059846043575806</c:v>
                </c:pt>
                <c:pt idx="1">
                  <c:v>-7.812213083973691</c:v>
                </c:pt>
                <c:pt idx="2">
                  <c:v>-12.859191089469068</c:v>
                </c:pt>
                <c:pt idx="3">
                  <c:v>-6.019519808133623</c:v>
                </c:pt>
                <c:pt idx="4">
                  <c:v>-1.1631219838703686</c:v>
                </c:pt>
                <c:pt idx="5">
                  <c:v>-13.11000284173906</c:v>
                </c:pt>
                <c:pt idx="6">
                  <c:v>-14.994931068030921</c:v>
                </c:pt>
                <c:pt idx="7">
                  <c:v>-12.026818610944868</c:v>
                </c:pt>
                <c:pt idx="8">
                  <c:v>34.600169411777806</c:v>
                </c:pt>
                <c:pt idx="9">
                  <c:v>9.4010749305685692</c:v>
                </c:pt>
                <c:pt idx="10">
                  <c:v>10.041887475010299</c:v>
                </c:pt>
                <c:pt idx="11">
                  <c:v>10.146413151503548</c:v>
                </c:pt>
                <c:pt idx="12">
                  <c:v>-6.6831826162092645</c:v>
                </c:pt>
                <c:pt idx="13">
                  <c:v>-5.6040511983724555</c:v>
                </c:pt>
                <c:pt idx="14">
                  <c:v>13.582863178438956</c:v>
                </c:pt>
                <c:pt idx="15">
                  <c:v>-17.19810281616401</c:v>
                </c:pt>
                <c:pt idx="16">
                  <c:v>-34.883076435810274</c:v>
                </c:pt>
                <c:pt idx="17">
                  <c:v>3.7258888332463584</c:v>
                </c:pt>
              </c:numCache>
            </c:numRef>
          </c:val>
          <c:extLst xmlns:c16r2="http://schemas.microsoft.com/office/drawing/2015/06/chart">
            <c:ext xmlns:c16="http://schemas.microsoft.com/office/drawing/2014/chart" uri="{C3380CC4-5D6E-409C-BE32-E72D297353CC}">
              <c16:uniqueId val="{00000003-4B2A-43EA-B5E2-29512D0862A4}"/>
            </c:ext>
          </c:extLst>
        </c:ser>
        <c:ser>
          <c:idx val="2"/>
          <c:order val="4"/>
          <c:tx>
            <c:strRef>
              <c:f>'Graf-sklizně vs. výnosy'!$AF$8</c:f>
              <c:strCache>
                <c:ptCount val="1"/>
                <c:pt idx="0">
                  <c:v>Sklizeň (odchylka od 10letého průměru, %)</c:v>
                </c:pt>
              </c:strCache>
            </c:strRef>
          </c:tx>
          <c:spPr>
            <a:ln w="19050">
              <a:noFill/>
              <a:prstDash val="sysDash"/>
            </a:ln>
          </c:spPr>
          <c:marker>
            <c:symbol val="diamond"/>
            <c:size val="6"/>
            <c:spPr>
              <a:solidFill>
                <a:srgbClr val="BCA6E8"/>
              </a:solidFill>
              <a:ln>
                <a:solidFill>
                  <a:sysClr val="window" lastClr="FFFFFF">
                    <a:lumMod val="50000"/>
                  </a:sysClr>
                </a:solidFill>
              </a:ln>
            </c:spPr>
          </c:marker>
          <c:cat>
            <c:strRef>
              <c:f>'Graf-sklizně vs. výnosy'!$AG$3:$AX$3</c:f>
              <c:strCache>
                <c:ptCount val="18"/>
                <c:pt idx="0">
                  <c:v>Obiloviny 
celkem</c:v>
                </c:pt>
                <c:pt idx="1">
                  <c:v>Pšenice</c:v>
                </c:pt>
                <c:pt idx="2">
                  <c:v>Žito</c:v>
                </c:pt>
                <c:pt idx="3">
                  <c:v>Ječmen</c:v>
                </c:pt>
                <c:pt idx="4">
                  <c:v>Oves</c:v>
                </c:pt>
                <c:pt idx="5">
                  <c:v>Kukuřice 
na zrno</c:v>
                </c:pt>
                <c:pt idx="6">
                  <c:v>Řepka</c:v>
                </c:pt>
                <c:pt idx="7">
                  <c:v>Mák</c:v>
                </c:pt>
                <c:pt idx="8">
                  <c:v>Luskoviny</c:v>
                </c:pt>
                <c:pt idx="9">
                  <c:v>Cukrovka 
technická</c:v>
                </c:pt>
                <c:pt idx="10">
                  <c:v>Chmel</c:v>
                </c:pt>
                <c:pt idx="11">
                  <c:v>Brambory</c:v>
                </c:pt>
                <c:pt idx="12">
                  <c:v>Kukuřice na 
zeleno a siláž </c:v>
                </c:pt>
                <c:pt idx="13">
                  <c:v>Trv.trav.porosty
 (píce v seně)</c:v>
                </c:pt>
                <c:pt idx="14">
                  <c:v>Cibule</c:v>
                </c:pt>
                <c:pt idx="15">
                  <c:v>Jablka</c:v>
                </c:pt>
                <c:pt idx="16">
                  <c:v>Hrušky</c:v>
                </c:pt>
                <c:pt idx="17">
                  <c:v>Vinné hrozny</c:v>
                </c:pt>
              </c:strCache>
            </c:strRef>
          </c:cat>
          <c:val>
            <c:numRef>
              <c:f>'Graf-sklizně vs. výnosy'!$AG$8:$AX$8</c:f>
              <c:numCache>
                <c:formatCode>#,##0</c:formatCode>
                <c:ptCount val="18"/>
                <c:pt idx="0">
                  <c:v>-4.9946962944977997</c:v>
                </c:pt>
                <c:pt idx="1">
                  <c:v>1.8642130024630901E-2</c:v>
                </c:pt>
                <c:pt idx="2">
                  <c:v>-21.876807871029982</c:v>
                </c:pt>
                <c:pt idx="3">
                  <c:v>-6.7957755659435293</c:v>
                </c:pt>
                <c:pt idx="4">
                  <c:v>-6.0980987560894055</c:v>
                </c:pt>
                <c:pt idx="5">
                  <c:v>-24.762459845708406</c:v>
                </c:pt>
                <c:pt idx="6">
                  <c:v>-5.4019329030832814</c:v>
                </c:pt>
                <c:pt idx="7">
                  <c:v>-22.740043054084509</c:v>
                </c:pt>
                <c:pt idx="8">
                  <c:v>55.96510842182451</c:v>
                </c:pt>
                <c:pt idx="9">
                  <c:v>19.348309326692988</c:v>
                </c:pt>
                <c:pt idx="10">
                  <c:v>8.8377302124427768</c:v>
                </c:pt>
                <c:pt idx="11">
                  <c:v>1.5892037967854638</c:v>
                </c:pt>
                <c:pt idx="12">
                  <c:v>2.1168035049539577</c:v>
                </c:pt>
                <c:pt idx="13">
                  <c:v>-2.3357740615893912</c:v>
                </c:pt>
                <c:pt idx="14">
                  <c:v>10.200486383922676</c:v>
                </c:pt>
                <c:pt idx="15">
                  <c:v>-14.74613737480972</c:v>
                </c:pt>
                <c:pt idx="16">
                  <c:v>-27.535763640555729</c:v>
                </c:pt>
                <c:pt idx="17">
                  <c:v>6.5399881867952843</c:v>
                </c:pt>
              </c:numCache>
            </c:numRef>
          </c:val>
          <c:extLst xmlns:c16r2="http://schemas.microsoft.com/office/drawing/2015/06/chart">
            <c:ext xmlns:c16="http://schemas.microsoft.com/office/drawing/2014/chart" uri="{C3380CC4-5D6E-409C-BE32-E72D297353CC}">
              <c16:uniqueId val="{00000004-4B2A-43EA-B5E2-29512D0862A4}"/>
            </c:ext>
          </c:extLst>
        </c:ser>
        <c:marker val="1"/>
        <c:axId val="133890048"/>
        <c:axId val="133891968"/>
      </c:lineChart>
      <c:catAx>
        <c:axId val="133890048"/>
        <c:scaling>
          <c:orientation val="minMax"/>
        </c:scaling>
        <c:axPos val="b"/>
        <c:numFmt formatCode="General" sourceLinked="1"/>
        <c:tickLblPos val="low"/>
        <c:spPr>
          <a:ln w="9525">
            <a:solidFill>
              <a:schemeClr val="tx1"/>
            </a:solidFill>
            <a:prstDash val="solid"/>
          </a:ln>
        </c:spPr>
        <c:txPr>
          <a:bodyPr rot="-5400000" vert="horz"/>
          <a:lstStyle/>
          <a:p>
            <a:pPr>
              <a:defRPr/>
            </a:pPr>
            <a:endParaRPr lang="cs-CZ"/>
          </a:p>
        </c:txPr>
        <c:crossAx val="133891968"/>
        <c:crossesAt val="0"/>
        <c:lblAlgn val="ctr"/>
        <c:lblOffset val="0"/>
        <c:tickLblSkip val="1"/>
        <c:tickMarkSkip val="4"/>
      </c:catAx>
      <c:valAx>
        <c:axId val="133891968"/>
        <c:scaling>
          <c:orientation val="minMax"/>
          <c:max val="60"/>
          <c:min val="-4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33890048"/>
        <c:crosses val="autoZero"/>
        <c:crossBetween val="between"/>
        <c:majorUnit val="10"/>
        <c:minorUnit val="1"/>
      </c:valAx>
      <c:spPr>
        <a:noFill/>
        <a:ln w="9525">
          <a:solidFill>
            <a:schemeClr val="tx1"/>
          </a:solidFill>
        </a:ln>
      </c:spPr>
    </c:plotArea>
    <c:legend>
      <c:legendPos val="b"/>
      <c:layout>
        <c:manualLayout>
          <c:xMode val="edge"/>
          <c:yMode val="edge"/>
          <c:x val="6.0760235074951034E-2"/>
          <c:y val="0.89051771920528666"/>
          <c:w val="0.92373094187373628"/>
          <c:h val="9.8759532145460793E-2"/>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39.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493E-2"/>
          <c:y val="1.643251153889452E-2"/>
          <c:w val="0.92433548575002356"/>
          <c:h val="0.74368625464371174"/>
        </c:manualLayout>
      </c:layout>
      <c:areaChart>
        <c:grouping val="standard"/>
        <c:ser>
          <c:idx val="0"/>
          <c:order val="0"/>
          <c:tx>
            <c:strRef>
              <c:f>'Graf-živočišná produkce'!$B$49</c:f>
              <c:strCache>
                <c:ptCount val="1"/>
                <c:pt idx="0">
                  <c:v>Výroba všech jatečných zvířat***</c:v>
                </c:pt>
              </c:strCache>
            </c:strRef>
          </c:tx>
          <c:spPr>
            <a:solidFill>
              <a:srgbClr val="E6E3D2"/>
            </a:solidFill>
            <a:ln w="19050">
              <a:noFill/>
            </a:ln>
          </c:spPr>
          <c:cat>
            <c:numRef>
              <c:f>'Graf-živočišná produkce'!$A$50:$A$67</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'Graf-živočišná produkce'!$B$50:$B$67</c:f>
              <c:numCache>
                <c:formatCode>0.0</c:formatCode>
                <c:ptCount val="18"/>
                <c:pt idx="0">
                  <c:v>137.596192893401</c:v>
                </c:pt>
                <c:pt idx="1">
                  <c:v>140.22994923857812</c:v>
                </c:pt>
                <c:pt idx="2">
                  <c:v>140.06345177664952</c:v>
                </c:pt>
                <c:pt idx="3">
                  <c:v>137.34314720812185</c:v>
                </c:pt>
                <c:pt idx="4">
                  <c:v>132.20368020304309</c:v>
                </c:pt>
                <c:pt idx="5">
                  <c:v>123.85786802030455</c:v>
                </c:pt>
                <c:pt idx="6">
                  <c:v>117.89340101522841</c:v>
                </c:pt>
                <c:pt idx="7">
                  <c:v>118.65482233502505</c:v>
                </c:pt>
                <c:pt idx="8">
                  <c:v>119.79695431472081</c:v>
                </c:pt>
                <c:pt idx="9">
                  <c:v>108.75634517766358</c:v>
                </c:pt>
                <c:pt idx="10">
                  <c:v>100</c:v>
                </c:pt>
                <c:pt idx="11">
                  <c:v>92.170050761420271</c:v>
                </c:pt>
                <c:pt idx="12">
                  <c:v>89.998604060914559</c:v>
                </c:pt>
                <c:pt idx="13">
                  <c:v>88.513071065989848</c:v>
                </c:pt>
                <c:pt idx="14">
                  <c:v>91.638197969543157</c:v>
                </c:pt>
                <c:pt idx="15">
                  <c:v>92.342385786802012</c:v>
                </c:pt>
                <c:pt idx="16">
                  <c:v>92.475253807106611</c:v>
                </c:pt>
                <c:pt idx="17">
                  <c:v>91.280203045685326</c:v>
                </c:pt>
              </c:numCache>
            </c:numRef>
          </c:val>
          <c:extLst xmlns:c16r2="http://schemas.microsoft.com/office/drawing/2015/06/chart">
            <c:ext xmlns:c16="http://schemas.microsoft.com/office/drawing/2014/chart" uri="{C3380CC4-5D6E-409C-BE32-E72D297353CC}">
              <c16:uniqueId val="{00000000-895E-4652-9479-CF129821BF3E}"/>
            </c:ext>
          </c:extLst>
        </c:ser>
        <c:axId val="133958272"/>
        <c:axId val="133985024"/>
      </c:areaChart>
      <c:lineChart>
        <c:grouping val="standard"/>
        <c:ser>
          <c:idx val="3"/>
          <c:order val="1"/>
          <c:tx>
            <c:strRef>
              <c:f>'Graf-živočišná produkce'!$C$49</c:f>
              <c:strCache>
                <c:ptCount val="1"/>
                <c:pt idx="0">
                  <c:v>Jatečný skot  (v t živé hm.)*</c:v>
                </c:pt>
              </c:strCache>
            </c:strRef>
          </c:tx>
          <c:spPr>
            <a:ln w="19050">
              <a:solidFill>
                <a:srgbClr val="BD1B21"/>
              </a:solidFill>
              <a:prstDash val="solid"/>
            </a:ln>
          </c:spPr>
          <c:marker>
            <c:symbol val="none"/>
          </c:marker>
          <c:cat>
            <c:numRef>
              <c:f>'Graf-živočišná produkce'!$A$50:$A$67</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'Graf-živočišná produkce'!$C$50:$C$67</c:f>
              <c:numCache>
                <c:formatCode>0.0</c:formatCode>
                <c:ptCount val="18"/>
                <c:pt idx="0">
                  <c:v>121.6608187134489</c:v>
                </c:pt>
                <c:pt idx="1">
                  <c:v>121.94385964912416</c:v>
                </c:pt>
                <c:pt idx="2">
                  <c:v>117.97894736841988</c:v>
                </c:pt>
                <c:pt idx="3">
                  <c:v>116.03333333333335</c:v>
                </c:pt>
                <c:pt idx="4">
                  <c:v>107.91286549707642</c:v>
                </c:pt>
                <c:pt idx="5">
                  <c:v>97.660818713448876</c:v>
                </c:pt>
                <c:pt idx="6">
                  <c:v>100</c:v>
                </c:pt>
                <c:pt idx="7">
                  <c:v>99.415204678363835</c:v>
                </c:pt>
                <c:pt idx="8">
                  <c:v>107.01754385964912</c:v>
                </c:pt>
                <c:pt idx="9">
                  <c:v>105.84795321637429</c:v>
                </c:pt>
                <c:pt idx="10">
                  <c:v>100</c:v>
                </c:pt>
                <c:pt idx="11">
                  <c:v>99.563157894736818</c:v>
                </c:pt>
                <c:pt idx="12">
                  <c:v>99.900584795321663</c:v>
                </c:pt>
                <c:pt idx="13">
                  <c:v>95.931578947368422</c:v>
                </c:pt>
                <c:pt idx="14">
                  <c:v>99.174269005848799</c:v>
                </c:pt>
                <c:pt idx="15">
                  <c:v>102.16023391812865</c:v>
                </c:pt>
                <c:pt idx="16">
                  <c:v>101.36959064327486</c:v>
                </c:pt>
                <c:pt idx="17">
                  <c:v>96.871345029239748</c:v>
                </c:pt>
              </c:numCache>
            </c:numRef>
          </c:val>
          <c:extLst xmlns:c16r2="http://schemas.microsoft.com/office/drawing/2015/06/chart">
            <c:ext xmlns:c16="http://schemas.microsoft.com/office/drawing/2014/chart" uri="{C3380CC4-5D6E-409C-BE32-E72D297353CC}">
              <c16:uniqueId val="{00000001-895E-4652-9479-CF129821BF3E}"/>
            </c:ext>
          </c:extLst>
        </c:ser>
        <c:ser>
          <c:idx val="1"/>
          <c:order val="2"/>
          <c:tx>
            <c:strRef>
              <c:f>'Graf-živočišná produkce'!$D$49</c:f>
              <c:strCache>
                <c:ptCount val="1"/>
                <c:pt idx="0">
                  <c:v>Jatečná prasata (v t živé hm.)</c:v>
                </c:pt>
              </c:strCache>
            </c:strRef>
          </c:tx>
          <c:spPr>
            <a:ln w="19050">
              <a:solidFill>
                <a:srgbClr val="F8A124"/>
              </a:solidFill>
            </a:ln>
          </c:spPr>
          <c:marker>
            <c:symbol val="none"/>
          </c:marker>
          <c:cat>
            <c:numRef>
              <c:f>'Graf-živočišná produkce'!$A$50:$A$67</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'Graf-živočišná produkce'!$D$50:$D$67</c:f>
              <c:numCache>
                <c:formatCode>0.0</c:formatCode>
                <c:ptCount val="18"/>
                <c:pt idx="0">
                  <c:v>159.54344262295078</c:v>
                </c:pt>
                <c:pt idx="1">
                  <c:v>159.56393442622951</c:v>
                </c:pt>
                <c:pt idx="2">
                  <c:v>159.93825136612023</c:v>
                </c:pt>
                <c:pt idx="3">
                  <c:v>158.43387978142079</c:v>
                </c:pt>
                <c:pt idx="4">
                  <c:v>149.45601092896177</c:v>
                </c:pt>
                <c:pt idx="5">
                  <c:v>133.06010928961749</c:v>
                </c:pt>
                <c:pt idx="6">
                  <c:v>122.67759562841529</c:v>
                </c:pt>
                <c:pt idx="7">
                  <c:v>126.77595628415301</c:v>
                </c:pt>
                <c:pt idx="8">
                  <c:v>118.0327868852459</c:v>
                </c:pt>
                <c:pt idx="9">
                  <c:v>101.09289617486266</c:v>
                </c:pt>
                <c:pt idx="10">
                  <c:v>100</c:v>
                </c:pt>
                <c:pt idx="11">
                  <c:v>91.873770491802958</c:v>
                </c:pt>
                <c:pt idx="12">
                  <c:v>80.817213114754082</c:v>
                </c:pt>
                <c:pt idx="13">
                  <c:v>82.388524590163954</c:v>
                </c:pt>
                <c:pt idx="14">
                  <c:v>83.416939890710367</c:v>
                </c:pt>
                <c:pt idx="15">
                  <c:v>82.208469945356043</c:v>
                </c:pt>
                <c:pt idx="16">
                  <c:v>85.447814207650296</c:v>
                </c:pt>
                <c:pt idx="17">
                  <c:v>80.976775956282907</c:v>
                </c:pt>
              </c:numCache>
            </c:numRef>
          </c:val>
          <c:extLst xmlns:c16r2="http://schemas.microsoft.com/office/drawing/2015/06/chart">
            <c:ext xmlns:c16="http://schemas.microsoft.com/office/drawing/2014/chart" uri="{C3380CC4-5D6E-409C-BE32-E72D297353CC}">
              <c16:uniqueId val="{00000002-895E-4652-9479-CF129821BF3E}"/>
            </c:ext>
          </c:extLst>
        </c:ser>
        <c:ser>
          <c:idx val="7"/>
          <c:order val="3"/>
          <c:tx>
            <c:strRef>
              <c:f>'Graf-živočišná produkce'!$E$49</c:f>
              <c:strCache>
                <c:ptCount val="1"/>
                <c:pt idx="0">
                  <c:v>Jatečná drůbež (v t živé hm.)</c:v>
                </c:pt>
              </c:strCache>
            </c:strRef>
          </c:tx>
          <c:spPr>
            <a:ln w="19050">
              <a:solidFill>
                <a:srgbClr val="7DBB2D"/>
              </a:solidFill>
            </a:ln>
          </c:spPr>
          <c:marker>
            <c:symbol val="none"/>
          </c:marker>
          <c:cat>
            <c:numRef>
              <c:f>'Graf-živočišná produkce'!$A$50:$A$67</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'Graf-živočišná produkce'!$E$50:$E$67</c:f>
              <c:numCache>
                <c:formatCode>0.0</c:formatCode>
                <c:ptCount val="18"/>
                <c:pt idx="0">
                  <c:v>116.44980079681282</c:v>
                </c:pt>
                <c:pt idx="1">
                  <c:v>124.49561752988049</c:v>
                </c:pt>
                <c:pt idx="2">
                  <c:v>126.12828685258765</c:v>
                </c:pt>
                <c:pt idx="3">
                  <c:v>121.10717131474026</c:v>
                </c:pt>
                <c:pt idx="4">
                  <c:v>123.59561752988049</c:v>
                </c:pt>
                <c:pt idx="5">
                  <c:v>128.28685258964092</c:v>
                </c:pt>
                <c:pt idx="6">
                  <c:v>123.10756972111673</c:v>
                </c:pt>
                <c:pt idx="7">
                  <c:v>119.92031872509961</c:v>
                </c:pt>
                <c:pt idx="8">
                  <c:v>131.07569721115385</c:v>
                </c:pt>
                <c:pt idx="9">
                  <c:v>121.91235059760955</c:v>
                </c:pt>
                <c:pt idx="10">
                  <c:v>100</c:v>
                </c:pt>
                <c:pt idx="11">
                  <c:v>87.565338645418308</c:v>
                </c:pt>
                <c:pt idx="12">
                  <c:v>96.640637450199208</c:v>
                </c:pt>
                <c:pt idx="13">
                  <c:v>92.389641434262941</c:v>
                </c:pt>
                <c:pt idx="14">
                  <c:v>98.492031872508605</c:v>
                </c:pt>
                <c:pt idx="15">
                  <c:v>100.43067729083666</c:v>
                </c:pt>
                <c:pt idx="16">
                  <c:v>96.662948207170658</c:v>
                </c:pt>
                <c:pt idx="17">
                  <c:v>102.49521912350596</c:v>
                </c:pt>
              </c:numCache>
            </c:numRef>
          </c:val>
          <c:extLst xmlns:c16r2="http://schemas.microsoft.com/office/drawing/2015/06/chart">
            <c:ext xmlns:c16="http://schemas.microsoft.com/office/drawing/2014/chart" uri="{C3380CC4-5D6E-409C-BE32-E72D297353CC}">
              <c16:uniqueId val="{00000003-895E-4652-9479-CF129821BF3E}"/>
            </c:ext>
          </c:extLst>
        </c:ser>
        <c:ser>
          <c:idx val="2"/>
          <c:order val="4"/>
          <c:tx>
            <c:strRef>
              <c:f>'Graf-živočišná produkce'!$F$49</c:f>
              <c:strCache>
                <c:ptCount val="1"/>
                <c:pt idx="0">
                  <c:v>Výroba tržních ryb (v t živé hm.)</c:v>
                </c:pt>
              </c:strCache>
            </c:strRef>
          </c:tx>
          <c:spPr>
            <a:ln w="19050">
              <a:solidFill>
                <a:srgbClr val="7030A0"/>
              </a:solidFill>
              <a:prstDash val="sysDash"/>
            </a:ln>
          </c:spPr>
          <c:marker>
            <c:symbol val="none"/>
          </c:marker>
          <c:cat>
            <c:numRef>
              <c:f>'Graf-živočišná produkce'!$A$50:$A$67</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'Graf-živočišná produkce'!$F$50:$F$67</c:f>
              <c:numCache>
                <c:formatCode>0.0</c:formatCode>
                <c:ptCount val="18"/>
                <c:pt idx="0">
                  <c:v>95.372184133201472</c:v>
                </c:pt>
                <c:pt idx="1">
                  <c:v>98.423114593535729</c:v>
                </c:pt>
                <c:pt idx="2">
                  <c:v>94.074436826639086</c:v>
                </c:pt>
                <c:pt idx="3">
                  <c:v>96.327130264446609</c:v>
                </c:pt>
                <c:pt idx="4">
                  <c:v>94.926542605288915</c:v>
                </c:pt>
                <c:pt idx="5">
                  <c:v>100.17140058765825</c:v>
                </c:pt>
                <c:pt idx="6">
                  <c:v>100.05386875612025</c:v>
                </c:pt>
                <c:pt idx="7">
                  <c:v>100.13222331047965</c:v>
                </c:pt>
                <c:pt idx="8">
                  <c:v>99.877571008814158</c:v>
                </c:pt>
                <c:pt idx="9">
                  <c:v>98.290891283055828</c:v>
                </c:pt>
                <c:pt idx="10">
                  <c:v>100</c:v>
                </c:pt>
                <c:pt idx="11">
                  <c:v>102.88932419196865</c:v>
                </c:pt>
                <c:pt idx="12">
                  <c:v>101.67972575905881</c:v>
                </c:pt>
                <c:pt idx="13">
                  <c:v>94.796767874632678</c:v>
                </c:pt>
                <c:pt idx="14">
                  <c:v>98.604309500488526</c:v>
                </c:pt>
                <c:pt idx="15">
                  <c:v>98.922624877570982</c:v>
                </c:pt>
                <c:pt idx="16">
                  <c:v>102.60528893241786</c:v>
                </c:pt>
                <c:pt idx="17">
                  <c:v>106.19490695396668</c:v>
                </c:pt>
              </c:numCache>
            </c:numRef>
          </c:val>
          <c:extLst xmlns:c16r2="http://schemas.microsoft.com/office/drawing/2015/06/chart">
            <c:ext xmlns:c16="http://schemas.microsoft.com/office/drawing/2014/chart" uri="{C3380CC4-5D6E-409C-BE32-E72D297353CC}">
              <c16:uniqueId val="{00000004-895E-4652-9479-CF129821BF3E}"/>
            </c:ext>
          </c:extLst>
        </c:ser>
        <c:ser>
          <c:idx val="5"/>
          <c:order val="5"/>
          <c:tx>
            <c:strRef>
              <c:f>'Graf-živočišná produkce'!$G$49</c:f>
              <c:strCache>
                <c:ptCount val="1"/>
                <c:pt idx="0">
                  <c:v>Výroba mléka (v l)</c:v>
                </c:pt>
              </c:strCache>
            </c:strRef>
          </c:tx>
          <c:spPr>
            <a:ln w="19050">
              <a:solidFill>
                <a:srgbClr val="0071BC"/>
              </a:solidFill>
              <a:prstDash val="solid"/>
            </a:ln>
          </c:spPr>
          <c:marker>
            <c:symbol val="none"/>
          </c:marker>
          <c:cat>
            <c:numRef>
              <c:f>'Graf-živočišná produkce'!$A$50:$A$67</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'Graf-živočišná produkce'!$G$50:$G$67</c:f>
              <c:numCache>
                <c:formatCode>0.0</c:formatCode>
                <c:ptCount val="18"/>
                <c:pt idx="0">
                  <c:v>103.67534456355122</c:v>
                </c:pt>
                <c:pt idx="1">
                  <c:v>103.44563552833102</c:v>
                </c:pt>
                <c:pt idx="2">
                  <c:v>104.44104134762635</c:v>
                </c:pt>
                <c:pt idx="3">
                  <c:v>101.3016845329242</c:v>
                </c:pt>
                <c:pt idx="4">
                  <c:v>99.617151607963265</c:v>
                </c:pt>
                <c:pt idx="5">
                  <c:v>104.86217457886625</c:v>
                </c:pt>
                <c:pt idx="6">
                  <c:v>103.13935681470009</c:v>
                </c:pt>
                <c:pt idx="7">
                  <c:v>102.75650842266386</c:v>
                </c:pt>
                <c:pt idx="8">
                  <c:v>104.44104134762635</c:v>
                </c:pt>
                <c:pt idx="9">
                  <c:v>103.67534456355122</c:v>
                </c:pt>
                <c:pt idx="10">
                  <c:v>100</c:v>
                </c:pt>
                <c:pt idx="11">
                  <c:v>101.97867534456283</c:v>
                </c:pt>
                <c:pt idx="12">
                  <c:v>104.92653139356743</c:v>
                </c:pt>
                <c:pt idx="13">
                  <c:v>106.22205206738059</c:v>
                </c:pt>
                <c:pt idx="14">
                  <c:v>109.3542879019908</c:v>
                </c:pt>
                <c:pt idx="15">
                  <c:v>112.79984686064317</c:v>
                </c:pt>
                <c:pt idx="16">
                  <c:v>114.24712863705973</c:v>
                </c:pt>
                <c:pt idx="17">
                  <c:v>114.78790199081163</c:v>
                </c:pt>
              </c:numCache>
            </c:numRef>
          </c:val>
          <c:extLst xmlns:c16r2="http://schemas.microsoft.com/office/drawing/2015/06/chart">
            <c:ext xmlns:c16="http://schemas.microsoft.com/office/drawing/2014/chart" uri="{C3380CC4-5D6E-409C-BE32-E72D297353CC}">
              <c16:uniqueId val="{00000005-895E-4652-9479-CF129821BF3E}"/>
            </c:ext>
          </c:extLst>
        </c:ser>
        <c:ser>
          <c:idx val="4"/>
          <c:order val="6"/>
          <c:tx>
            <c:strRef>
              <c:f>'Graf-živočišná produkce'!$H$49</c:f>
              <c:strCache>
                <c:ptCount val="1"/>
                <c:pt idx="0">
                  <c:v>Snáška vajec (v ks)**</c:v>
                </c:pt>
              </c:strCache>
            </c:strRef>
          </c:tx>
          <c:spPr>
            <a:ln w="19050">
              <a:solidFill>
                <a:srgbClr val="95C3E3"/>
              </a:solidFill>
              <a:prstDash val="solid"/>
            </a:ln>
          </c:spPr>
          <c:marker>
            <c:symbol val="none"/>
          </c:marker>
          <c:dPt>
            <c:idx val="10"/>
            <c:spPr>
              <a:ln w="19050">
                <a:solidFill>
                  <a:srgbClr val="95C3E3"/>
                </a:solidFill>
                <a:prstDash val="sysDash"/>
              </a:ln>
            </c:spPr>
            <c:extLst xmlns:c16r2="http://schemas.microsoft.com/office/drawing/2015/06/chart">
              <c:ext xmlns:c16="http://schemas.microsoft.com/office/drawing/2014/chart" uri="{C3380CC4-5D6E-409C-BE32-E72D297353CC}">
                <c16:uniqueId val="{00000006-895E-4652-9479-CF129821BF3E}"/>
              </c:ext>
            </c:extLst>
          </c:dPt>
          <c:cat>
            <c:numRef>
              <c:f>'Graf-živočišná produkce'!$A$50:$A$67</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'Graf-živočišná produkce'!$H$50:$H$67</c:f>
              <c:numCache>
                <c:formatCode>0.0</c:formatCode>
                <c:ptCount val="18"/>
                <c:pt idx="0">
                  <c:v>144.1882352941162</c:v>
                </c:pt>
                <c:pt idx="1">
                  <c:v>150.11764705882447</c:v>
                </c:pt>
                <c:pt idx="2">
                  <c:v>137.92941176470578</c:v>
                </c:pt>
                <c:pt idx="3">
                  <c:v>133.69411764705882</c:v>
                </c:pt>
                <c:pt idx="4">
                  <c:v>124.84705882352863</c:v>
                </c:pt>
                <c:pt idx="5">
                  <c:v>114.44705882352935</c:v>
                </c:pt>
                <c:pt idx="6">
                  <c:v>116.51764705882353</c:v>
                </c:pt>
                <c:pt idx="7">
                  <c:v>121.2235294117647</c:v>
                </c:pt>
                <c:pt idx="8">
                  <c:v>124.56470588235294</c:v>
                </c:pt>
                <c:pt idx="9">
                  <c:v>121.6</c:v>
                </c:pt>
                <c:pt idx="10">
                  <c:v>100</c:v>
                </c:pt>
                <c:pt idx="11">
                  <c:v>102.03308235294031</c:v>
                </c:pt>
                <c:pt idx="12">
                  <c:v>94.180423529411769</c:v>
                </c:pt>
                <c:pt idx="13">
                  <c:v>101.62536470588238</c:v>
                </c:pt>
                <c:pt idx="14">
                  <c:v>105.29030588235291</c:v>
                </c:pt>
                <c:pt idx="15">
                  <c:v>102.31642352941176</c:v>
                </c:pt>
                <c:pt idx="16">
                  <c:v>101.71040000000002</c:v>
                </c:pt>
                <c:pt idx="17">
                  <c:v>107.48545882352806</c:v>
                </c:pt>
              </c:numCache>
            </c:numRef>
          </c:val>
          <c:extLst xmlns:c16r2="http://schemas.microsoft.com/office/drawing/2015/06/chart">
            <c:ext xmlns:c16="http://schemas.microsoft.com/office/drawing/2014/chart" uri="{C3380CC4-5D6E-409C-BE32-E72D297353CC}">
              <c16:uniqueId val="{00000007-895E-4652-9479-CF129821BF3E}"/>
            </c:ext>
          </c:extLst>
        </c:ser>
        <c:ser>
          <c:idx val="6"/>
          <c:order val="7"/>
          <c:tx>
            <c:strRef>
              <c:f>'Graf-živočišná produkce'!$I$49</c:f>
              <c:strCache>
                <c:ptCount val="1"/>
                <c:pt idx="0">
                  <c:v>Výroba medu (v t)</c:v>
                </c:pt>
              </c:strCache>
            </c:strRef>
          </c:tx>
          <c:spPr>
            <a:ln>
              <a:noFill/>
            </a:ln>
          </c:spPr>
          <c:marker>
            <c:symbol val="diamond"/>
            <c:size val="5"/>
            <c:spPr>
              <a:solidFill>
                <a:srgbClr val="FFFF00"/>
              </a:solidFill>
              <a:ln w="6350">
                <a:solidFill>
                  <a:schemeClr val="tx1">
                    <a:lumMod val="95000"/>
                    <a:lumOff val="5000"/>
                  </a:schemeClr>
                </a:solidFill>
              </a:ln>
            </c:spPr>
          </c:marker>
          <c:cat>
            <c:numRef>
              <c:f>'Graf-živočišná produkce'!$A$50:$A$67</c:f>
              <c:numCache>
                <c:formatCode>General</c:formatCod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numCache>
            </c:numRef>
          </c:cat>
          <c:val>
            <c:numRef>
              <c:f>'Graf-živočišná produkce'!$I$50:$I$67</c:f>
              <c:numCache>
                <c:formatCode>0.0</c:formatCode>
                <c:ptCount val="18"/>
                <c:pt idx="0">
                  <c:v>101.31455399061132</c:v>
                </c:pt>
                <c:pt idx="1">
                  <c:v>83.581488933600397</c:v>
                </c:pt>
                <c:pt idx="2">
                  <c:v>75.975855130783174</c:v>
                </c:pt>
                <c:pt idx="3">
                  <c:v>84.547283702214145</c:v>
                </c:pt>
                <c:pt idx="4">
                  <c:v>103.79610999329383</c:v>
                </c:pt>
                <c:pt idx="5">
                  <c:v>112.28705566733868</c:v>
                </c:pt>
                <c:pt idx="6">
                  <c:v>121.81086519114687</c:v>
                </c:pt>
                <c:pt idx="7">
                  <c:v>113.57478202548492</c:v>
                </c:pt>
                <c:pt idx="8">
                  <c:v>81.542588866531588</c:v>
                </c:pt>
                <c:pt idx="9">
                  <c:v>92.448021462106027</c:v>
                </c:pt>
                <c:pt idx="10">
                  <c:v>100</c:v>
                </c:pt>
                <c:pt idx="11">
                  <c:v>151.59691482226691</c:v>
                </c:pt>
                <c:pt idx="12">
                  <c:v>98.348571428571418</c:v>
                </c:pt>
                <c:pt idx="13">
                  <c:v>108.15631120053561</c:v>
                </c:pt>
                <c:pt idx="14">
                  <c:v>96.076485580147562</c:v>
                </c:pt>
                <c:pt idx="15">
                  <c:v>123.78399731723603</c:v>
                </c:pt>
                <c:pt idx="16">
                  <c:v>135.65847082494977</c:v>
                </c:pt>
                <c:pt idx="17">
                  <c:v>125.61986586183772</c:v>
                </c:pt>
              </c:numCache>
            </c:numRef>
          </c:val>
          <c:extLst xmlns:c16r2="http://schemas.microsoft.com/office/drawing/2015/06/chart">
            <c:ext xmlns:c16="http://schemas.microsoft.com/office/drawing/2014/chart" uri="{C3380CC4-5D6E-409C-BE32-E72D297353CC}">
              <c16:uniqueId val="{00000008-895E-4652-9479-CF129821BF3E}"/>
            </c:ext>
          </c:extLst>
        </c:ser>
        <c:marker val="1"/>
        <c:axId val="133958272"/>
        <c:axId val="133985024"/>
      </c:lineChart>
      <c:catAx>
        <c:axId val="133958272"/>
        <c:scaling>
          <c:orientation val="minMax"/>
        </c:scaling>
        <c:axPos val="b"/>
        <c:numFmt formatCode="General" sourceLinked="1"/>
        <c:majorTickMark val="none"/>
        <c:tickLblPos val="low"/>
        <c:spPr>
          <a:ln w="9525">
            <a:solidFill>
              <a:schemeClr val="tx1"/>
            </a:solidFill>
            <a:prstDash val="solid"/>
          </a:ln>
        </c:spPr>
        <c:txPr>
          <a:bodyPr rot="-5400000" vert="horz"/>
          <a:lstStyle/>
          <a:p>
            <a:pPr>
              <a:defRPr/>
            </a:pPr>
            <a:endParaRPr lang="cs-CZ"/>
          </a:p>
        </c:txPr>
        <c:crossAx val="133985024"/>
        <c:crossesAt val="100"/>
        <c:lblAlgn val="ctr"/>
        <c:lblOffset val="0"/>
        <c:tickLblSkip val="1"/>
        <c:tickMarkSkip val="4"/>
      </c:catAx>
      <c:valAx>
        <c:axId val="133985024"/>
        <c:scaling>
          <c:orientation val="minMax"/>
          <c:max val="161"/>
          <c:min val="7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33958272"/>
        <c:crosses val="autoZero"/>
        <c:crossBetween val="midCat"/>
        <c:majorUnit val="10"/>
      </c:valAx>
      <c:spPr>
        <a:noFill/>
        <a:ln w="9525">
          <a:solidFill>
            <a:schemeClr val="tx1"/>
          </a:solidFill>
        </a:ln>
      </c:spPr>
    </c:plotArea>
    <c:legend>
      <c:legendPos val="b"/>
      <c:layout>
        <c:manualLayout>
          <c:xMode val="edge"/>
          <c:yMode val="edge"/>
          <c:x val="6.6301113485430718E-2"/>
          <c:y val="0.85426770235280869"/>
          <c:w val="0.91178209009442779"/>
          <c:h val="0.13500956883935605"/>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40.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6.2040029038385493E-2"/>
          <c:y val="1.4865958640208482E-2"/>
          <c:w val="0.92433548575002356"/>
          <c:h val="0.69946438451065529"/>
        </c:manualLayout>
      </c:layout>
      <c:barChart>
        <c:barDir val="col"/>
        <c:grouping val="clustered"/>
        <c:ser>
          <c:idx val="0"/>
          <c:order val="0"/>
          <c:tx>
            <c:strRef>
              <c:f>'Graf-Zahr.obchod'!$C$68</c:f>
              <c:strCache>
                <c:ptCount val="1"/>
                <c:pt idx="0">
                  <c:v>Bilance se všemi státy</c:v>
                </c:pt>
              </c:strCache>
            </c:strRef>
          </c:tx>
          <c:spPr>
            <a:solidFill>
              <a:srgbClr val="A6A6A6"/>
            </a:solidFill>
            <a:ln>
              <a:noFill/>
            </a:ln>
          </c:spPr>
          <c:dPt>
            <c:idx val="1"/>
            <c:spPr>
              <a:solidFill>
                <a:srgbClr val="D2E7B6"/>
              </a:solidFill>
              <a:ln>
                <a:noFill/>
              </a:ln>
            </c:spPr>
            <c:extLst xmlns:c16r2="http://schemas.microsoft.com/office/drawing/2015/06/chart">
              <c:ext xmlns:c16="http://schemas.microsoft.com/office/drawing/2014/chart" uri="{C3380CC4-5D6E-409C-BE32-E72D297353CC}">
                <c16:uniqueId val="{00000000-6B9B-4FD0-98AE-4854CD1EDC9A}"/>
              </c:ext>
            </c:extLst>
          </c:dPt>
          <c:dPt>
            <c:idx val="2"/>
            <c:spPr>
              <a:solidFill>
                <a:srgbClr val="BFE3F7"/>
              </a:solidFill>
              <a:ln>
                <a:noFill/>
              </a:ln>
            </c:spPr>
            <c:extLst xmlns:c16r2="http://schemas.microsoft.com/office/drawing/2015/06/chart">
              <c:ext xmlns:c16="http://schemas.microsoft.com/office/drawing/2014/chart" uri="{C3380CC4-5D6E-409C-BE32-E72D297353CC}">
                <c16:uniqueId val="{00000001-6B9B-4FD0-98AE-4854CD1EDC9A}"/>
              </c:ext>
            </c:extLst>
          </c:dPt>
          <c:dPt>
            <c:idx val="3"/>
            <c:spPr>
              <a:solidFill>
                <a:srgbClr val="95C3E3"/>
              </a:solidFill>
              <a:ln>
                <a:noFill/>
              </a:ln>
            </c:spPr>
            <c:extLst xmlns:c16r2="http://schemas.microsoft.com/office/drawing/2015/06/chart">
              <c:ext xmlns:c16="http://schemas.microsoft.com/office/drawing/2014/chart" uri="{C3380CC4-5D6E-409C-BE32-E72D297353CC}">
                <c16:uniqueId val="{00000002-6B9B-4FD0-98AE-4854CD1EDC9A}"/>
              </c:ext>
            </c:extLst>
          </c:dPt>
          <c:dPt>
            <c:idx val="4"/>
            <c:spPr>
              <a:solidFill>
                <a:srgbClr val="BCA6E8"/>
              </a:solidFill>
              <a:ln>
                <a:noFill/>
              </a:ln>
            </c:spPr>
            <c:extLst xmlns:c16r2="http://schemas.microsoft.com/office/drawing/2015/06/chart">
              <c:ext xmlns:c16="http://schemas.microsoft.com/office/drawing/2014/chart" uri="{C3380CC4-5D6E-409C-BE32-E72D297353CC}">
                <c16:uniqueId val="{00000003-6B9B-4FD0-98AE-4854CD1EDC9A}"/>
              </c:ext>
            </c:extLst>
          </c:dPt>
          <c:dPt>
            <c:idx val="7"/>
            <c:spPr>
              <a:solidFill>
                <a:srgbClr val="D2E7B6"/>
              </a:solidFill>
              <a:ln>
                <a:noFill/>
              </a:ln>
            </c:spPr>
            <c:extLst xmlns:c16r2="http://schemas.microsoft.com/office/drawing/2015/06/chart">
              <c:ext xmlns:c16="http://schemas.microsoft.com/office/drawing/2014/chart" uri="{C3380CC4-5D6E-409C-BE32-E72D297353CC}">
                <c16:uniqueId val="{00000004-6B9B-4FD0-98AE-4854CD1EDC9A}"/>
              </c:ext>
            </c:extLst>
          </c:dPt>
          <c:dPt>
            <c:idx val="8"/>
            <c:spPr>
              <a:solidFill>
                <a:srgbClr val="BFE3F7"/>
              </a:solidFill>
              <a:ln>
                <a:noFill/>
              </a:ln>
            </c:spPr>
            <c:extLst xmlns:c16r2="http://schemas.microsoft.com/office/drawing/2015/06/chart">
              <c:ext xmlns:c16="http://schemas.microsoft.com/office/drawing/2014/chart" uri="{C3380CC4-5D6E-409C-BE32-E72D297353CC}">
                <c16:uniqueId val="{00000005-6B9B-4FD0-98AE-4854CD1EDC9A}"/>
              </c:ext>
            </c:extLst>
          </c:dPt>
          <c:dPt>
            <c:idx val="9"/>
            <c:spPr>
              <a:solidFill>
                <a:srgbClr val="95C3E3"/>
              </a:solidFill>
              <a:ln>
                <a:noFill/>
              </a:ln>
            </c:spPr>
            <c:extLst xmlns:c16r2="http://schemas.microsoft.com/office/drawing/2015/06/chart">
              <c:ext xmlns:c16="http://schemas.microsoft.com/office/drawing/2014/chart" uri="{C3380CC4-5D6E-409C-BE32-E72D297353CC}">
                <c16:uniqueId val="{00000006-6B9B-4FD0-98AE-4854CD1EDC9A}"/>
              </c:ext>
            </c:extLst>
          </c:dPt>
          <c:dPt>
            <c:idx val="10"/>
            <c:spPr>
              <a:solidFill>
                <a:srgbClr val="BCA6E8"/>
              </a:solidFill>
              <a:ln>
                <a:noFill/>
              </a:ln>
            </c:spPr>
            <c:extLst xmlns:c16r2="http://schemas.microsoft.com/office/drawing/2015/06/chart">
              <c:ext xmlns:c16="http://schemas.microsoft.com/office/drawing/2014/chart" uri="{C3380CC4-5D6E-409C-BE32-E72D297353CC}">
                <c16:uniqueId val="{00000007-6B9B-4FD0-98AE-4854CD1EDC9A}"/>
              </c:ext>
            </c:extLst>
          </c:dPt>
          <c:dPt>
            <c:idx val="13"/>
            <c:spPr>
              <a:solidFill>
                <a:srgbClr val="D2E7B6"/>
              </a:solidFill>
              <a:ln>
                <a:noFill/>
              </a:ln>
            </c:spPr>
            <c:extLst xmlns:c16r2="http://schemas.microsoft.com/office/drawing/2015/06/chart">
              <c:ext xmlns:c16="http://schemas.microsoft.com/office/drawing/2014/chart" uri="{C3380CC4-5D6E-409C-BE32-E72D297353CC}">
                <c16:uniqueId val="{00000008-6B9B-4FD0-98AE-4854CD1EDC9A}"/>
              </c:ext>
            </c:extLst>
          </c:dPt>
          <c:dPt>
            <c:idx val="14"/>
            <c:spPr>
              <a:solidFill>
                <a:srgbClr val="BFE3F7"/>
              </a:solidFill>
              <a:ln>
                <a:noFill/>
              </a:ln>
            </c:spPr>
            <c:extLst xmlns:c16r2="http://schemas.microsoft.com/office/drawing/2015/06/chart">
              <c:ext xmlns:c16="http://schemas.microsoft.com/office/drawing/2014/chart" uri="{C3380CC4-5D6E-409C-BE32-E72D297353CC}">
                <c16:uniqueId val="{00000009-6B9B-4FD0-98AE-4854CD1EDC9A}"/>
              </c:ext>
            </c:extLst>
          </c:dPt>
          <c:dPt>
            <c:idx val="15"/>
            <c:spPr>
              <a:solidFill>
                <a:srgbClr val="95C3E3"/>
              </a:solidFill>
              <a:ln>
                <a:noFill/>
              </a:ln>
            </c:spPr>
            <c:extLst xmlns:c16r2="http://schemas.microsoft.com/office/drawing/2015/06/chart">
              <c:ext xmlns:c16="http://schemas.microsoft.com/office/drawing/2014/chart" uri="{C3380CC4-5D6E-409C-BE32-E72D297353CC}">
                <c16:uniqueId val="{0000000A-6B9B-4FD0-98AE-4854CD1EDC9A}"/>
              </c:ext>
            </c:extLst>
          </c:dPt>
          <c:dPt>
            <c:idx val="16"/>
            <c:spPr>
              <a:solidFill>
                <a:srgbClr val="BCA6E8"/>
              </a:solidFill>
              <a:ln>
                <a:noFill/>
              </a:ln>
            </c:spPr>
            <c:extLst xmlns:c16r2="http://schemas.microsoft.com/office/drawing/2015/06/chart">
              <c:ext xmlns:c16="http://schemas.microsoft.com/office/drawing/2014/chart" uri="{C3380CC4-5D6E-409C-BE32-E72D297353CC}">
                <c16:uniqueId val="{0000000B-6B9B-4FD0-98AE-4854CD1EDC9A}"/>
              </c:ext>
            </c:extLst>
          </c:dPt>
          <c:dPt>
            <c:idx val="19"/>
            <c:spPr>
              <a:solidFill>
                <a:srgbClr val="D2E7B6"/>
              </a:solidFill>
              <a:ln>
                <a:noFill/>
              </a:ln>
            </c:spPr>
            <c:extLst xmlns:c16r2="http://schemas.microsoft.com/office/drawing/2015/06/chart">
              <c:ext xmlns:c16="http://schemas.microsoft.com/office/drawing/2014/chart" uri="{C3380CC4-5D6E-409C-BE32-E72D297353CC}">
                <c16:uniqueId val="{0000000C-6B9B-4FD0-98AE-4854CD1EDC9A}"/>
              </c:ext>
            </c:extLst>
          </c:dPt>
          <c:dPt>
            <c:idx val="20"/>
            <c:spPr>
              <a:solidFill>
                <a:srgbClr val="BFE3F7"/>
              </a:solidFill>
              <a:ln>
                <a:noFill/>
              </a:ln>
            </c:spPr>
            <c:extLst xmlns:c16r2="http://schemas.microsoft.com/office/drawing/2015/06/chart">
              <c:ext xmlns:c16="http://schemas.microsoft.com/office/drawing/2014/chart" uri="{C3380CC4-5D6E-409C-BE32-E72D297353CC}">
                <c16:uniqueId val="{0000000D-6B9B-4FD0-98AE-4854CD1EDC9A}"/>
              </c:ext>
            </c:extLst>
          </c:dPt>
          <c:dPt>
            <c:idx val="21"/>
            <c:spPr>
              <a:solidFill>
                <a:srgbClr val="95C3E3"/>
              </a:solidFill>
              <a:ln>
                <a:noFill/>
              </a:ln>
            </c:spPr>
            <c:extLst xmlns:c16r2="http://schemas.microsoft.com/office/drawing/2015/06/chart">
              <c:ext xmlns:c16="http://schemas.microsoft.com/office/drawing/2014/chart" uri="{C3380CC4-5D6E-409C-BE32-E72D297353CC}">
                <c16:uniqueId val="{0000000E-6B9B-4FD0-98AE-4854CD1EDC9A}"/>
              </c:ext>
            </c:extLst>
          </c:dPt>
          <c:dPt>
            <c:idx val="22"/>
            <c:spPr>
              <a:solidFill>
                <a:srgbClr val="BCA6E8"/>
              </a:solidFill>
              <a:ln>
                <a:noFill/>
              </a:ln>
            </c:spPr>
            <c:extLst xmlns:c16r2="http://schemas.microsoft.com/office/drawing/2015/06/chart">
              <c:ext xmlns:c16="http://schemas.microsoft.com/office/drawing/2014/chart" uri="{C3380CC4-5D6E-409C-BE32-E72D297353CC}">
                <c16:uniqueId val="{0000000F-6B9B-4FD0-98AE-4854CD1EDC9A}"/>
              </c:ext>
            </c:extLst>
          </c:dPt>
          <c:dPt>
            <c:idx val="25"/>
            <c:spPr>
              <a:solidFill>
                <a:srgbClr val="D2E7B6"/>
              </a:solidFill>
              <a:ln>
                <a:noFill/>
              </a:ln>
            </c:spPr>
            <c:extLst xmlns:c16r2="http://schemas.microsoft.com/office/drawing/2015/06/chart">
              <c:ext xmlns:c16="http://schemas.microsoft.com/office/drawing/2014/chart" uri="{C3380CC4-5D6E-409C-BE32-E72D297353CC}">
                <c16:uniqueId val="{00000010-6B9B-4FD0-98AE-4854CD1EDC9A}"/>
              </c:ext>
            </c:extLst>
          </c:dPt>
          <c:dPt>
            <c:idx val="26"/>
            <c:spPr>
              <a:solidFill>
                <a:srgbClr val="BFE3F7"/>
              </a:solidFill>
              <a:ln>
                <a:noFill/>
              </a:ln>
            </c:spPr>
            <c:extLst xmlns:c16r2="http://schemas.microsoft.com/office/drawing/2015/06/chart">
              <c:ext xmlns:c16="http://schemas.microsoft.com/office/drawing/2014/chart" uri="{C3380CC4-5D6E-409C-BE32-E72D297353CC}">
                <c16:uniqueId val="{00000011-6B9B-4FD0-98AE-4854CD1EDC9A}"/>
              </c:ext>
            </c:extLst>
          </c:dPt>
          <c:dPt>
            <c:idx val="27"/>
            <c:spPr>
              <a:solidFill>
                <a:srgbClr val="95C3E3"/>
              </a:solidFill>
              <a:ln>
                <a:noFill/>
              </a:ln>
            </c:spPr>
            <c:extLst xmlns:c16r2="http://schemas.microsoft.com/office/drawing/2015/06/chart">
              <c:ext xmlns:c16="http://schemas.microsoft.com/office/drawing/2014/chart" uri="{C3380CC4-5D6E-409C-BE32-E72D297353CC}">
                <c16:uniqueId val="{00000012-6B9B-4FD0-98AE-4854CD1EDC9A}"/>
              </c:ext>
            </c:extLst>
          </c:dPt>
          <c:dPt>
            <c:idx val="28"/>
            <c:spPr>
              <a:solidFill>
                <a:srgbClr val="BCA6E8"/>
              </a:solidFill>
              <a:ln>
                <a:noFill/>
              </a:ln>
            </c:spPr>
            <c:extLst xmlns:c16r2="http://schemas.microsoft.com/office/drawing/2015/06/chart">
              <c:ext xmlns:c16="http://schemas.microsoft.com/office/drawing/2014/chart" uri="{C3380CC4-5D6E-409C-BE32-E72D297353CC}">
                <c16:uniqueId val="{00000013-6B9B-4FD0-98AE-4854CD1EDC9A}"/>
              </c:ext>
            </c:extLst>
          </c:dPt>
          <c:dPt>
            <c:idx val="31"/>
            <c:spPr>
              <a:solidFill>
                <a:srgbClr val="D2E7B6"/>
              </a:solidFill>
              <a:ln>
                <a:noFill/>
              </a:ln>
            </c:spPr>
            <c:extLst xmlns:c16r2="http://schemas.microsoft.com/office/drawing/2015/06/chart">
              <c:ext xmlns:c16="http://schemas.microsoft.com/office/drawing/2014/chart" uri="{C3380CC4-5D6E-409C-BE32-E72D297353CC}">
                <c16:uniqueId val="{00000014-6B9B-4FD0-98AE-4854CD1EDC9A}"/>
              </c:ext>
            </c:extLst>
          </c:dPt>
          <c:dPt>
            <c:idx val="32"/>
            <c:spPr>
              <a:solidFill>
                <a:srgbClr val="BFE3F7"/>
              </a:solidFill>
              <a:ln>
                <a:noFill/>
              </a:ln>
            </c:spPr>
            <c:extLst xmlns:c16r2="http://schemas.microsoft.com/office/drawing/2015/06/chart">
              <c:ext xmlns:c16="http://schemas.microsoft.com/office/drawing/2014/chart" uri="{C3380CC4-5D6E-409C-BE32-E72D297353CC}">
                <c16:uniqueId val="{00000015-6B9B-4FD0-98AE-4854CD1EDC9A}"/>
              </c:ext>
            </c:extLst>
          </c:dPt>
          <c:dPt>
            <c:idx val="33"/>
            <c:spPr>
              <a:solidFill>
                <a:srgbClr val="95C3E3"/>
              </a:solidFill>
              <a:ln>
                <a:noFill/>
              </a:ln>
            </c:spPr>
            <c:extLst xmlns:c16r2="http://schemas.microsoft.com/office/drawing/2015/06/chart">
              <c:ext xmlns:c16="http://schemas.microsoft.com/office/drawing/2014/chart" uri="{C3380CC4-5D6E-409C-BE32-E72D297353CC}">
                <c16:uniqueId val="{00000016-6B9B-4FD0-98AE-4854CD1EDC9A}"/>
              </c:ext>
            </c:extLst>
          </c:dPt>
          <c:dPt>
            <c:idx val="34"/>
            <c:spPr>
              <a:solidFill>
                <a:srgbClr val="BCA6E8"/>
              </a:solidFill>
              <a:ln>
                <a:noFill/>
              </a:ln>
            </c:spPr>
            <c:extLst xmlns:c16r2="http://schemas.microsoft.com/office/drawing/2015/06/chart">
              <c:ext xmlns:c16="http://schemas.microsoft.com/office/drawing/2014/chart" uri="{C3380CC4-5D6E-409C-BE32-E72D297353CC}">
                <c16:uniqueId val="{00000017-6B9B-4FD0-98AE-4854CD1EDC9A}"/>
              </c:ext>
            </c:extLst>
          </c:dPt>
          <c:dPt>
            <c:idx val="37"/>
            <c:spPr>
              <a:solidFill>
                <a:srgbClr val="D2E7B6"/>
              </a:solidFill>
              <a:ln>
                <a:noFill/>
              </a:ln>
            </c:spPr>
            <c:extLst xmlns:c16r2="http://schemas.microsoft.com/office/drawing/2015/06/chart">
              <c:ext xmlns:c16="http://schemas.microsoft.com/office/drawing/2014/chart" uri="{C3380CC4-5D6E-409C-BE32-E72D297353CC}">
                <c16:uniqueId val="{00000018-6B9B-4FD0-98AE-4854CD1EDC9A}"/>
              </c:ext>
            </c:extLst>
          </c:dPt>
          <c:dPt>
            <c:idx val="38"/>
            <c:spPr>
              <a:solidFill>
                <a:srgbClr val="BFE3F7"/>
              </a:solidFill>
              <a:ln>
                <a:noFill/>
              </a:ln>
            </c:spPr>
            <c:extLst xmlns:c16r2="http://schemas.microsoft.com/office/drawing/2015/06/chart">
              <c:ext xmlns:c16="http://schemas.microsoft.com/office/drawing/2014/chart" uri="{C3380CC4-5D6E-409C-BE32-E72D297353CC}">
                <c16:uniqueId val="{00000019-6B9B-4FD0-98AE-4854CD1EDC9A}"/>
              </c:ext>
            </c:extLst>
          </c:dPt>
          <c:dPt>
            <c:idx val="39"/>
            <c:spPr>
              <a:solidFill>
                <a:srgbClr val="95C3E3"/>
              </a:solidFill>
              <a:ln>
                <a:noFill/>
              </a:ln>
            </c:spPr>
            <c:extLst xmlns:c16r2="http://schemas.microsoft.com/office/drawing/2015/06/chart">
              <c:ext xmlns:c16="http://schemas.microsoft.com/office/drawing/2014/chart" uri="{C3380CC4-5D6E-409C-BE32-E72D297353CC}">
                <c16:uniqueId val="{0000001A-6B9B-4FD0-98AE-4854CD1EDC9A}"/>
              </c:ext>
            </c:extLst>
          </c:dPt>
          <c:dPt>
            <c:idx val="40"/>
            <c:spPr>
              <a:solidFill>
                <a:srgbClr val="BCA6E8"/>
              </a:solidFill>
              <a:ln>
                <a:noFill/>
              </a:ln>
            </c:spPr>
            <c:extLst xmlns:c16r2="http://schemas.microsoft.com/office/drawing/2015/06/chart">
              <c:ext xmlns:c16="http://schemas.microsoft.com/office/drawing/2014/chart" uri="{C3380CC4-5D6E-409C-BE32-E72D297353CC}">
                <c16:uniqueId val="{0000001B-6B9B-4FD0-98AE-4854CD1EDC9A}"/>
              </c:ext>
            </c:extLst>
          </c:dPt>
          <c:dPt>
            <c:idx val="43"/>
            <c:spPr>
              <a:solidFill>
                <a:srgbClr val="D2E7B6"/>
              </a:solidFill>
              <a:ln>
                <a:noFill/>
              </a:ln>
            </c:spPr>
            <c:extLst xmlns:c16r2="http://schemas.microsoft.com/office/drawing/2015/06/chart">
              <c:ext xmlns:c16="http://schemas.microsoft.com/office/drawing/2014/chart" uri="{C3380CC4-5D6E-409C-BE32-E72D297353CC}">
                <c16:uniqueId val="{0000001C-6B9B-4FD0-98AE-4854CD1EDC9A}"/>
              </c:ext>
            </c:extLst>
          </c:dPt>
          <c:dPt>
            <c:idx val="44"/>
            <c:spPr>
              <a:solidFill>
                <a:srgbClr val="BFE3F7"/>
              </a:solidFill>
              <a:ln>
                <a:noFill/>
              </a:ln>
            </c:spPr>
            <c:extLst xmlns:c16r2="http://schemas.microsoft.com/office/drawing/2015/06/chart">
              <c:ext xmlns:c16="http://schemas.microsoft.com/office/drawing/2014/chart" uri="{C3380CC4-5D6E-409C-BE32-E72D297353CC}">
                <c16:uniqueId val="{0000001D-6B9B-4FD0-98AE-4854CD1EDC9A}"/>
              </c:ext>
            </c:extLst>
          </c:dPt>
          <c:dPt>
            <c:idx val="45"/>
            <c:spPr>
              <a:solidFill>
                <a:srgbClr val="95C3E3"/>
              </a:solidFill>
              <a:ln>
                <a:noFill/>
              </a:ln>
            </c:spPr>
            <c:extLst xmlns:c16r2="http://schemas.microsoft.com/office/drawing/2015/06/chart">
              <c:ext xmlns:c16="http://schemas.microsoft.com/office/drawing/2014/chart" uri="{C3380CC4-5D6E-409C-BE32-E72D297353CC}">
                <c16:uniqueId val="{0000001E-6B9B-4FD0-98AE-4854CD1EDC9A}"/>
              </c:ext>
            </c:extLst>
          </c:dPt>
          <c:dPt>
            <c:idx val="46"/>
            <c:spPr>
              <a:solidFill>
                <a:srgbClr val="BCA6E8"/>
              </a:solidFill>
              <a:ln>
                <a:noFill/>
              </a:ln>
            </c:spPr>
            <c:extLst xmlns:c16r2="http://schemas.microsoft.com/office/drawing/2015/06/chart">
              <c:ext xmlns:c16="http://schemas.microsoft.com/office/drawing/2014/chart" uri="{C3380CC4-5D6E-409C-BE32-E72D297353CC}">
                <c16:uniqueId val="{0000001F-6B9B-4FD0-98AE-4854CD1EDC9A}"/>
              </c:ext>
            </c:extLst>
          </c:dPt>
          <c:dPt>
            <c:idx val="49"/>
            <c:spPr>
              <a:solidFill>
                <a:srgbClr val="D2E7B6"/>
              </a:solidFill>
              <a:ln>
                <a:noFill/>
              </a:ln>
            </c:spPr>
            <c:extLst xmlns:c16r2="http://schemas.microsoft.com/office/drawing/2015/06/chart">
              <c:ext xmlns:c16="http://schemas.microsoft.com/office/drawing/2014/chart" uri="{C3380CC4-5D6E-409C-BE32-E72D297353CC}">
                <c16:uniqueId val="{00000020-6B9B-4FD0-98AE-4854CD1EDC9A}"/>
              </c:ext>
            </c:extLst>
          </c:dPt>
          <c:dPt>
            <c:idx val="50"/>
            <c:spPr>
              <a:solidFill>
                <a:srgbClr val="BFE3F7"/>
              </a:solidFill>
              <a:ln>
                <a:noFill/>
              </a:ln>
            </c:spPr>
            <c:extLst xmlns:c16r2="http://schemas.microsoft.com/office/drawing/2015/06/chart">
              <c:ext xmlns:c16="http://schemas.microsoft.com/office/drawing/2014/chart" uri="{C3380CC4-5D6E-409C-BE32-E72D297353CC}">
                <c16:uniqueId val="{00000021-6B9B-4FD0-98AE-4854CD1EDC9A}"/>
              </c:ext>
            </c:extLst>
          </c:dPt>
          <c:dPt>
            <c:idx val="51"/>
            <c:spPr>
              <a:solidFill>
                <a:srgbClr val="95C3E3"/>
              </a:solidFill>
              <a:ln>
                <a:noFill/>
              </a:ln>
            </c:spPr>
            <c:extLst xmlns:c16r2="http://schemas.microsoft.com/office/drawing/2015/06/chart">
              <c:ext xmlns:c16="http://schemas.microsoft.com/office/drawing/2014/chart" uri="{C3380CC4-5D6E-409C-BE32-E72D297353CC}">
                <c16:uniqueId val="{00000022-6B9B-4FD0-98AE-4854CD1EDC9A}"/>
              </c:ext>
            </c:extLst>
          </c:dPt>
          <c:dPt>
            <c:idx val="52"/>
            <c:spPr>
              <a:solidFill>
                <a:srgbClr val="BCA6E8"/>
              </a:solidFill>
              <a:ln>
                <a:noFill/>
              </a:ln>
            </c:spPr>
            <c:extLst xmlns:c16r2="http://schemas.microsoft.com/office/drawing/2015/06/chart">
              <c:ext xmlns:c16="http://schemas.microsoft.com/office/drawing/2014/chart" uri="{C3380CC4-5D6E-409C-BE32-E72D297353CC}">
                <c16:uniqueId val="{00000023-6B9B-4FD0-98AE-4854CD1EDC9A}"/>
              </c:ext>
            </c:extLst>
          </c:dPt>
          <c:dPt>
            <c:idx val="55"/>
            <c:spPr>
              <a:solidFill>
                <a:srgbClr val="D2E7B6"/>
              </a:solidFill>
              <a:ln>
                <a:noFill/>
              </a:ln>
            </c:spPr>
            <c:extLst xmlns:c16r2="http://schemas.microsoft.com/office/drawing/2015/06/chart">
              <c:ext xmlns:c16="http://schemas.microsoft.com/office/drawing/2014/chart" uri="{C3380CC4-5D6E-409C-BE32-E72D297353CC}">
                <c16:uniqueId val="{00000024-6B9B-4FD0-98AE-4854CD1EDC9A}"/>
              </c:ext>
            </c:extLst>
          </c:dPt>
          <c:dPt>
            <c:idx val="56"/>
            <c:spPr>
              <a:solidFill>
                <a:srgbClr val="BFE3F7"/>
              </a:solidFill>
              <a:ln>
                <a:noFill/>
              </a:ln>
            </c:spPr>
            <c:extLst xmlns:c16r2="http://schemas.microsoft.com/office/drawing/2015/06/chart">
              <c:ext xmlns:c16="http://schemas.microsoft.com/office/drawing/2014/chart" uri="{C3380CC4-5D6E-409C-BE32-E72D297353CC}">
                <c16:uniqueId val="{00000025-6B9B-4FD0-98AE-4854CD1EDC9A}"/>
              </c:ext>
            </c:extLst>
          </c:dPt>
          <c:dPt>
            <c:idx val="57"/>
            <c:spPr>
              <a:solidFill>
                <a:srgbClr val="95C3E3"/>
              </a:solidFill>
              <a:ln>
                <a:noFill/>
              </a:ln>
            </c:spPr>
            <c:extLst xmlns:c16r2="http://schemas.microsoft.com/office/drawing/2015/06/chart">
              <c:ext xmlns:c16="http://schemas.microsoft.com/office/drawing/2014/chart" uri="{C3380CC4-5D6E-409C-BE32-E72D297353CC}">
                <c16:uniqueId val="{00000026-6B9B-4FD0-98AE-4854CD1EDC9A}"/>
              </c:ext>
            </c:extLst>
          </c:dPt>
          <c:dPt>
            <c:idx val="58"/>
            <c:spPr>
              <a:solidFill>
                <a:srgbClr val="BCA6E8"/>
              </a:solidFill>
              <a:ln>
                <a:noFill/>
              </a:ln>
            </c:spPr>
            <c:extLst xmlns:c16r2="http://schemas.microsoft.com/office/drawing/2015/06/chart">
              <c:ext xmlns:c16="http://schemas.microsoft.com/office/drawing/2014/chart" uri="{C3380CC4-5D6E-409C-BE32-E72D297353CC}">
                <c16:uniqueId val="{00000027-6B9B-4FD0-98AE-4854CD1EDC9A}"/>
              </c:ext>
            </c:extLst>
          </c:dPt>
          <c:dPt>
            <c:idx val="61"/>
            <c:spPr>
              <a:solidFill>
                <a:srgbClr val="D2E7B6"/>
              </a:solidFill>
              <a:ln>
                <a:noFill/>
              </a:ln>
            </c:spPr>
            <c:extLst xmlns:c16r2="http://schemas.microsoft.com/office/drawing/2015/06/chart">
              <c:ext xmlns:c16="http://schemas.microsoft.com/office/drawing/2014/chart" uri="{C3380CC4-5D6E-409C-BE32-E72D297353CC}">
                <c16:uniqueId val="{00000028-6B9B-4FD0-98AE-4854CD1EDC9A}"/>
              </c:ext>
            </c:extLst>
          </c:dPt>
          <c:dPt>
            <c:idx val="62"/>
            <c:spPr>
              <a:solidFill>
                <a:srgbClr val="BFE3F7"/>
              </a:solidFill>
              <a:ln>
                <a:noFill/>
              </a:ln>
            </c:spPr>
            <c:extLst xmlns:c16r2="http://schemas.microsoft.com/office/drawing/2015/06/chart">
              <c:ext xmlns:c16="http://schemas.microsoft.com/office/drawing/2014/chart" uri="{C3380CC4-5D6E-409C-BE32-E72D297353CC}">
                <c16:uniqueId val="{00000029-6B9B-4FD0-98AE-4854CD1EDC9A}"/>
              </c:ext>
            </c:extLst>
          </c:dPt>
          <c:dPt>
            <c:idx val="63"/>
            <c:spPr>
              <a:solidFill>
                <a:srgbClr val="95C3E3"/>
              </a:solidFill>
              <a:ln>
                <a:noFill/>
              </a:ln>
            </c:spPr>
            <c:extLst xmlns:c16r2="http://schemas.microsoft.com/office/drawing/2015/06/chart">
              <c:ext xmlns:c16="http://schemas.microsoft.com/office/drawing/2014/chart" uri="{C3380CC4-5D6E-409C-BE32-E72D297353CC}">
                <c16:uniqueId val="{0000002A-6B9B-4FD0-98AE-4854CD1EDC9A}"/>
              </c:ext>
            </c:extLst>
          </c:dPt>
          <c:dPt>
            <c:idx val="64"/>
            <c:spPr>
              <a:solidFill>
                <a:srgbClr val="BCA6E8"/>
              </a:solidFill>
              <a:ln>
                <a:noFill/>
              </a:ln>
            </c:spPr>
            <c:extLst xmlns:c16r2="http://schemas.microsoft.com/office/drawing/2015/06/chart">
              <c:ext xmlns:c16="http://schemas.microsoft.com/office/drawing/2014/chart" uri="{C3380CC4-5D6E-409C-BE32-E72D297353CC}">
                <c16:uniqueId val="{0000002B-6B9B-4FD0-98AE-4854CD1EDC9A}"/>
              </c:ext>
            </c:extLst>
          </c:dPt>
          <c:dPt>
            <c:idx val="67"/>
            <c:spPr>
              <a:solidFill>
                <a:srgbClr val="D2E7B6"/>
              </a:solidFill>
              <a:ln>
                <a:noFill/>
              </a:ln>
            </c:spPr>
            <c:extLst xmlns:c16r2="http://schemas.microsoft.com/office/drawing/2015/06/chart">
              <c:ext xmlns:c16="http://schemas.microsoft.com/office/drawing/2014/chart" uri="{C3380CC4-5D6E-409C-BE32-E72D297353CC}">
                <c16:uniqueId val="{0000002C-6B9B-4FD0-98AE-4854CD1EDC9A}"/>
              </c:ext>
            </c:extLst>
          </c:dPt>
          <c:dPt>
            <c:idx val="68"/>
            <c:spPr>
              <a:solidFill>
                <a:srgbClr val="BFE3F7"/>
              </a:solidFill>
              <a:ln>
                <a:noFill/>
              </a:ln>
            </c:spPr>
            <c:extLst xmlns:c16r2="http://schemas.microsoft.com/office/drawing/2015/06/chart">
              <c:ext xmlns:c16="http://schemas.microsoft.com/office/drawing/2014/chart" uri="{C3380CC4-5D6E-409C-BE32-E72D297353CC}">
                <c16:uniqueId val="{0000002D-6B9B-4FD0-98AE-4854CD1EDC9A}"/>
              </c:ext>
            </c:extLst>
          </c:dPt>
          <c:dPt>
            <c:idx val="69"/>
            <c:spPr>
              <a:solidFill>
                <a:srgbClr val="95C3E3"/>
              </a:solidFill>
              <a:ln>
                <a:noFill/>
              </a:ln>
            </c:spPr>
            <c:extLst xmlns:c16r2="http://schemas.microsoft.com/office/drawing/2015/06/chart">
              <c:ext xmlns:c16="http://schemas.microsoft.com/office/drawing/2014/chart" uri="{C3380CC4-5D6E-409C-BE32-E72D297353CC}">
                <c16:uniqueId val="{0000002E-6B9B-4FD0-98AE-4854CD1EDC9A}"/>
              </c:ext>
            </c:extLst>
          </c:dPt>
          <c:dPt>
            <c:idx val="70"/>
            <c:spPr>
              <a:solidFill>
                <a:srgbClr val="BCA6E8"/>
              </a:solidFill>
              <a:ln>
                <a:noFill/>
              </a:ln>
            </c:spPr>
            <c:extLst xmlns:c16r2="http://schemas.microsoft.com/office/drawing/2015/06/chart">
              <c:ext xmlns:c16="http://schemas.microsoft.com/office/drawing/2014/chart" uri="{C3380CC4-5D6E-409C-BE32-E72D297353CC}">
                <c16:uniqueId val="{0000002F-6B9B-4FD0-98AE-4854CD1EDC9A}"/>
              </c:ext>
            </c:extLst>
          </c:dPt>
          <c:dPt>
            <c:idx val="73"/>
            <c:spPr>
              <a:solidFill>
                <a:srgbClr val="D2E7B6"/>
              </a:solidFill>
              <a:ln>
                <a:noFill/>
              </a:ln>
            </c:spPr>
            <c:extLst xmlns:c16r2="http://schemas.microsoft.com/office/drawing/2015/06/chart">
              <c:ext xmlns:c16="http://schemas.microsoft.com/office/drawing/2014/chart" uri="{C3380CC4-5D6E-409C-BE32-E72D297353CC}">
                <c16:uniqueId val="{00000030-6B9B-4FD0-98AE-4854CD1EDC9A}"/>
              </c:ext>
            </c:extLst>
          </c:dPt>
          <c:dPt>
            <c:idx val="74"/>
            <c:spPr>
              <a:solidFill>
                <a:srgbClr val="BFE3F7"/>
              </a:solidFill>
              <a:ln>
                <a:noFill/>
              </a:ln>
            </c:spPr>
            <c:extLst xmlns:c16r2="http://schemas.microsoft.com/office/drawing/2015/06/chart">
              <c:ext xmlns:c16="http://schemas.microsoft.com/office/drawing/2014/chart" uri="{C3380CC4-5D6E-409C-BE32-E72D297353CC}">
                <c16:uniqueId val="{00000031-6B9B-4FD0-98AE-4854CD1EDC9A}"/>
              </c:ext>
            </c:extLst>
          </c:dPt>
          <c:dPt>
            <c:idx val="75"/>
            <c:spPr>
              <a:solidFill>
                <a:srgbClr val="95C3E3"/>
              </a:solidFill>
              <a:ln>
                <a:noFill/>
              </a:ln>
            </c:spPr>
            <c:extLst xmlns:c16r2="http://schemas.microsoft.com/office/drawing/2015/06/chart">
              <c:ext xmlns:c16="http://schemas.microsoft.com/office/drawing/2014/chart" uri="{C3380CC4-5D6E-409C-BE32-E72D297353CC}">
                <c16:uniqueId val="{00000032-6B9B-4FD0-98AE-4854CD1EDC9A}"/>
              </c:ext>
            </c:extLst>
          </c:dPt>
          <c:dPt>
            <c:idx val="76"/>
            <c:spPr>
              <a:solidFill>
                <a:srgbClr val="BCA6E8"/>
              </a:solidFill>
              <a:ln>
                <a:noFill/>
              </a:ln>
            </c:spPr>
            <c:extLst xmlns:c16r2="http://schemas.microsoft.com/office/drawing/2015/06/chart">
              <c:ext xmlns:c16="http://schemas.microsoft.com/office/drawing/2014/chart" uri="{C3380CC4-5D6E-409C-BE32-E72D297353CC}">
                <c16:uniqueId val="{00000033-6B9B-4FD0-98AE-4854CD1EDC9A}"/>
              </c:ext>
            </c:extLst>
          </c:dPt>
          <c:dPt>
            <c:idx val="79"/>
            <c:spPr>
              <a:solidFill>
                <a:srgbClr val="D2E7B6"/>
              </a:solidFill>
              <a:ln>
                <a:noFill/>
              </a:ln>
            </c:spPr>
            <c:extLst xmlns:c16r2="http://schemas.microsoft.com/office/drawing/2015/06/chart">
              <c:ext xmlns:c16="http://schemas.microsoft.com/office/drawing/2014/chart" uri="{C3380CC4-5D6E-409C-BE32-E72D297353CC}">
                <c16:uniqueId val="{00000034-6B9B-4FD0-98AE-4854CD1EDC9A}"/>
              </c:ext>
            </c:extLst>
          </c:dPt>
          <c:dPt>
            <c:idx val="80"/>
            <c:spPr>
              <a:solidFill>
                <a:srgbClr val="BFE3F7"/>
              </a:solidFill>
              <a:ln>
                <a:noFill/>
              </a:ln>
            </c:spPr>
            <c:extLst xmlns:c16r2="http://schemas.microsoft.com/office/drawing/2015/06/chart">
              <c:ext xmlns:c16="http://schemas.microsoft.com/office/drawing/2014/chart" uri="{C3380CC4-5D6E-409C-BE32-E72D297353CC}">
                <c16:uniqueId val="{00000035-6B9B-4FD0-98AE-4854CD1EDC9A}"/>
              </c:ext>
            </c:extLst>
          </c:dPt>
          <c:dPt>
            <c:idx val="81"/>
            <c:spPr>
              <a:solidFill>
                <a:srgbClr val="95C3E3"/>
              </a:solidFill>
              <a:ln>
                <a:noFill/>
              </a:ln>
            </c:spPr>
            <c:extLst xmlns:c16r2="http://schemas.microsoft.com/office/drawing/2015/06/chart">
              <c:ext xmlns:c16="http://schemas.microsoft.com/office/drawing/2014/chart" uri="{C3380CC4-5D6E-409C-BE32-E72D297353CC}">
                <c16:uniqueId val="{00000036-6B9B-4FD0-98AE-4854CD1EDC9A}"/>
              </c:ext>
            </c:extLst>
          </c:dPt>
          <c:dPt>
            <c:idx val="82"/>
            <c:spPr>
              <a:solidFill>
                <a:srgbClr val="BCA6E8"/>
              </a:solidFill>
              <a:ln>
                <a:noFill/>
              </a:ln>
            </c:spPr>
            <c:extLst xmlns:c16r2="http://schemas.microsoft.com/office/drawing/2015/06/chart">
              <c:ext xmlns:c16="http://schemas.microsoft.com/office/drawing/2014/chart" uri="{C3380CC4-5D6E-409C-BE32-E72D297353CC}">
                <c16:uniqueId val="{00000037-6B9B-4FD0-98AE-4854CD1EDC9A}"/>
              </c:ext>
            </c:extLst>
          </c:dPt>
          <c:cat>
            <c:strRef>
              <c:f>'Graf-Zahr.obchod'!$B$69:$B$152</c:f>
              <c:strCache>
                <c:ptCount val="81"/>
                <c:pt idx="0">
                  <c:v>Živá</c:v>
                </c:pt>
                <c:pt idx="2">
                  <c:v>zvířata</c:v>
                </c:pt>
                <c:pt idx="6">
                  <c:v>Maso a masné</c:v>
                </c:pt>
                <c:pt idx="8">
                  <c:v>výrobky</c:v>
                </c:pt>
                <c:pt idx="12">
                  <c:v>Mléčné výrobky </c:v>
                </c:pt>
                <c:pt idx="14">
                  <c:v>a vejce</c:v>
                </c:pt>
                <c:pt idx="18">
                  <c:v>Ryby, korýši 
</c:v>
                </c:pt>
                <c:pt idx="20">
                  <c:v>a měkkýši</c:v>
                </c:pt>
                <c:pt idx="24">
                  <c:v>Obiloviny  a</c:v>
                </c:pt>
                <c:pt idx="26">
                  <c:v>obilné výrobky</c:v>
                </c:pt>
                <c:pt idx="30">
                  <c:v>Zelenina</c:v>
                </c:pt>
                <c:pt idx="32">
                  <c:v>a ovoce</c:v>
                </c:pt>
                <c:pt idx="36">
                  <c:v>Cukr, výrobky 
</c:v>
                </c:pt>
                <c:pt idx="38">
                  <c:v>z cukru a med</c:v>
                </c:pt>
                <c:pt idx="42">
                  <c:v>Káva, čaj, </c:v>
                </c:pt>
                <c:pt idx="44">
                  <c:v>kakao, koření</c:v>
                </c:pt>
                <c:pt idx="48">
                  <c:v>Krmiva </c:v>
                </c:pt>
                <c:pt idx="50">
                  <c:v>pro zvířata*</c:v>
                </c:pt>
                <c:pt idx="54">
                  <c:v>Jedlé výrobky</c:v>
                </c:pt>
                <c:pt idx="56">
                  <c:v>a přípravky**</c:v>
                </c:pt>
                <c:pt idx="61">
                  <c:v>Nápoje</c:v>
                </c:pt>
                <c:pt idx="66">
                  <c:v>Tabák a</c:v>
                </c:pt>
                <c:pt idx="68">
                  <c:v>tabák.výrobky</c:v>
                </c:pt>
                <c:pt idx="72">
                  <c:v>Olejnatá</c:v>
                </c:pt>
                <c:pt idx="74">
                  <c:v>semena a plody</c:v>
                </c:pt>
                <c:pt idx="78">
                  <c:v>Korek</c:v>
                </c:pt>
                <c:pt idx="80">
                  <c:v>a dřevo</c:v>
                </c:pt>
              </c:strCache>
            </c:strRef>
          </c:cat>
          <c:val>
            <c:numRef>
              <c:f>'Graf-Zahr.obchod'!$C$69:$C$152</c:f>
              <c:numCache>
                <c:formatCode>#,##0.0</c:formatCode>
                <c:ptCount val="84"/>
                <c:pt idx="0">
                  <c:v>5.3188869999999655</c:v>
                </c:pt>
                <c:pt idx="1">
                  <c:v>6.0343359999999855</c:v>
                </c:pt>
                <c:pt idx="2">
                  <c:v>7.0361380000000002</c:v>
                </c:pt>
                <c:pt idx="3">
                  <c:v>7.2412090000000653</c:v>
                </c:pt>
                <c:pt idx="4">
                  <c:v>7.1527349999999341</c:v>
                </c:pt>
                <c:pt idx="6">
                  <c:v>-16.264478999999987</c:v>
                </c:pt>
                <c:pt idx="7">
                  <c:v>-17.438032999999756</c:v>
                </c:pt>
                <c:pt idx="8">
                  <c:v>-18.207567999999988</c:v>
                </c:pt>
                <c:pt idx="9">
                  <c:v>-19.154689999999999</c:v>
                </c:pt>
                <c:pt idx="10">
                  <c:v>-22.106666000000001</c:v>
                </c:pt>
                <c:pt idx="12">
                  <c:v>4.3154599999999945</c:v>
                </c:pt>
                <c:pt idx="13">
                  <c:v>5.0176910000000001</c:v>
                </c:pt>
                <c:pt idx="14">
                  <c:v>3.3604559999999699</c:v>
                </c:pt>
                <c:pt idx="15">
                  <c:v>2.0495730000000001</c:v>
                </c:pt>
                <c:pt idx="16">
                  <c:v>3.6277820000000012</c:v>
                </c:pt>
                <c:pt idx="18">
                  <c:v>-2.4911859999999977</c:v>
                </c:pt>
                <c:pt idx="19">
                  <c:v>-2.7032380000000011</c:v>
                </c:pt>
                <c:pt idx="20">
                  <c:v>-2.9756399999999967</c:v>
                </c:pt>
                <c:pt idx="21">
                  <c:v>-2.860684</c:v>
                </c:pt>
                <c:pt idx="22">
                  <c:v>-3.2724579999999968</c:v>
                </c:pt>
                <c:pt idx="24">
                  <c:v>11.092605000000002</c:v>
                </c:pt>
                <c:pt idx="25">
                  <c:v>13.910312999999999</c:v>
                </c:pt>
                <c:pt idx="26">
                  <c:v>15.198913999999998</c:v>
                </c:pt>
                <c:pt idx="27">
                  <c:v>16.309348</c:v>
                </c:pt>
                <c:pt idx="28">
                  <c:v>15.360332000000026</c:v>
                </c:pt>
                <c:pt idx="30">
                  <c:v>-22.333016000000001</c:v>
                </c:pt>
                <c:pt idx="31">
                  <c:v>-23.533365000000035</c:v>
                </c:pt>
                <c:pt idx="32">
                  <c:v>-26.989492999999683</c:v>
                </c:pt>
                <c:pt idx="33">
                  <c:v>-29.242657999999889</c:v>
                </c:pt>
                <c:pt idx="34">
                  <c:v>-30.916378999999999</c:v>
                </c:pt>
                <c:pt idx="36">
                  <c:v>2.9273799999999999</c:v>
                </c:pt>
                <c:pt idx="37">
                  <c:v>2.0212859999999977</c:v>
                </c:pt>
                <c:pt idx="38">
                  <c:v>2.0952319999999998</c:v>
                </c:pt>
                <c:pt idx="39">
                  <c:v>2.9336069999999967</c:v>
                </c:pt>
                <c:pt idx="40">
                  <c:v>2.5046519999999997</c:v>
                </c:pt>
                <c:pt idx="42">
                  <c:v>-5.8929329999999656</c:v>
                </c:pt>
                <c:pt idx="43">
                  <c:v>-6.5880939999999999</c:v>
                </c:pt>
                <c:pt idx="44">
                  <c:v>-6.7027580000000002</c:v>
                </c:pt>
                <c:pt idx="45">
                  <c:v>-7.2983469999999997</c:v>
                </c:pt>
                <c:pt idx="46">
                  <c:v>-7.2968460000000004</c:v>
                </c:pt>
                <c:pt idx="48">
                  <c:v>-2.561461</c:v>
                </c:pt>
                <c:pt idx="49">
                  <c:v>-1.576241</c:v>
                </c:pt>
                <c:pt idx="50">
                  <c:v>-1.578363</c:v>
                </c:pt>
                <c:pt idx="51">
                  <c:v>9.2329000000000022E-2</c:v>
                </c:pt>
                <c:pt idx="52">
                  <c:v>0.27881300000000031</c:v>
                </c:pt>
                <c:pt idx="54">
                  <c:v>-3.7848199999999999</c:v>
                </c:pt>
                <c:pt idx="55">
                  <c:v>-3.406739</c:v>
                </c:pt>
                <c:pt idx="56">
                  <c:v>-2.905764</c:v>
                </c:pt>
                <c:pt idx="57">
                  <c:v>-2.6768239999999968</c:v>
                </c:pt>
                <c:pt idx="58">
                  <c:v>-3.2638029999999998</c:v>
                </c:pt>
                <c:pt idx="60">
                  <c:v>-0.13969899999999999</c:v>
                </c:pt>
                <c:pt idx="61">
                  <c:v>0.54495899999999997</c:v>
                </c:pt>
                <c:pt idx="62">
                  <c:v>0.54479200000000005</c:v>
                </c:pt>
                <c:pt idx="63">
                  <c:v>0.13543400000000044</c:v>
                </c:pt>
                <c:pt idx="64">
                  <c:v>-0.96126800000000001</c:v>
                </c:pt>
                <c:pt idx="66">
                  <c:v>2.904004</c:v>
                </c:pt>
                <c:pt idx="67">
                  <c:v>7.0041739999999955</c:v>
                </c:pt>
                <c:pt idx="68">
                  <c:v>9.2493279999999949</c:v>
                </c:pt>
                <c:pt idx="69">
                  <c:v>10.349094000000004</c:v>
                </c:pt>
                <c:pt idx="70">
                  <c:v>9.7817119999999989</c:v>
                </c:pt>
                <c:pt idx="72">
                  <c:v>3.7379709999999999</c:v>
                </c:pt>
                <c:pt idx="73">
                  <c:v>2.8983349999999999</c:v>
                </c:pt>
                <c:pt idx="74">
                  <c:v>3.9082910000000002</c:v>
                </c:pt>
                <c:pt idx="75">
                  <c:v>0.79710999999999999</c:v>
                </c:pt>
                <c:pt idx="76">
                  <c:v>-0.39205000000000317</c:v>
                </c:pt>
                <c:pt idx="78">
                  <c:v>12.021656</c:v>
                </c:pt>
                <c:pt idx="79">
                  <c:v>12.688187999999998</c:v>
                </c:pt>
                <c:pt idx="80">
                  <c:v>11.61674</c:v>
                </c:pt>
                <c:pt idx="81">
                  <c:v>13.84064</c:v>
                </c:pt>
                <c:pt idx="82">
                  <c:v>15.396656000000107</c:v>
                </c:pt>
              </c:numCache>
            </c:numRef>
          </c:val>
          <c:extLst xmlns:c16r2="http://schemas.microsoft.com/office/drawing/2015/06/chart">
            <c:ext xmlns:c16="http://schemas.microsoft.com/office/drawing/2014/chart" uri="{C3380CC4-5D6E-409C-BE32-E72D297353CC}">
              <c16:uniqueId val="{00000038-6B9B-4FD0-98AE-4854CD1EDC9A}"/>
            </c:ext>
          </c:extLst>
        </c:ser>
        <c:gapWidth val="0"/>
        <c:axId val="134120576"/>
        <c:axId val="134127616"/>
      </c:barChart>
      <c:lineChart>
        <c:grouping val="standard"/>
        <c:ser>
          <c:idx val="3"/>
          <c:order val="1"/>
          <c:tx>
            <c:strRef>
              <c:f>'Graf-Zahr.obchod'!$D$68</c:f>
              <c:strCache>
                <c:ptCount val="1"/>
                <c:pt idx="0">
                  <c:v>z toho se státy EU28</c:v>
                </c:pt>
              </c:strCache>
            </c:strRef>
          </c:tx>
          <c:spPr>
            <a:ln w="3175">
              <a:noFill/>
              <a:prstDash val="solid"/>
            </a:ln>
          </c:spPr>
          <c:marker>
            <c:symbol val="dash"/>
            <c:size val="6"/>
            <c:spPr>
              <a:solidFill>
                <a:schemeClr val="tx1">
                  <a:lumMod val="95000"/>
                  <a:lumOff val="5000"/>
                </a:schemeClr>
              </a:solidFill>
              <a:ln w="6350">
                <a:noFill/>
              </a:ln>
            </c:spPr>
          </c:marker>
          <c:cat>
            <c:strRef>
              <c:f>'Graf-Zahr.obchod'!$B$69:$B$152</c:f>
              <c:strCache>
                <c:ptCount val="81"/>
                <c:pt idx="0">
                  <c:v>Živá</c:v>
                </c:pt>
                <c:pt idx="2">
                  <c:v>zvířata</c:v>
                </c:pt>
                <c:pt idx="6">
                  <c:v>Maso a masné</c:v>
                </c:pt>
                <c:pt idx="8">
                  <c:v>výrobky</c:v>
                </c:pt>
                <c:pt idx="12">
                  <c:v>Mléčné výrobky </c:v>
                </c:pt>
                <c:pt idx="14">
                  <c:v>a vejce</c:v>
                </c:pt>
                <c:pt idx="18">
                  <c:v>Ryby, korýši 
</c:v>
                </c:pt>
                <c:pt idx="20">
                  <c:v>a měkkýši</c:v>
                </c:pt>
                <c:pt idx="24">
                  <c:v>Obiloviny  a</c:v>
                </c:pt>
                <c:pt idx="26">
                  <c:v>obilné výrobky</c:v>
                </c:pt>
                <c:pt idx="30">
                  <c:v>Zelenina</c:v>
                </c:pt>
                <c:pt idx="32">
                  <c:v>a ovoce</c:v>
                </c:pt>
                <c:pt idx="36">
                  <c:v>Cukr, výrobky 
</c:v>
                </c:pt>
                <c:pt idx="38">
                  <c:v>z cukru a med</c:v>
                </c:pt>
                <c:pt idx="42">
                  <c:v>Káva, čaj, </c:v>
                </c:pt>
                <c:pt idx="44">
                  <c:v>kakao, koření</c:v>
                </c:pt>
                <c:pt idx="48">
                  <c:v>Krmiva </c:v>
                </c:pt>
                <c:pt idx="50">
                  <c:v>pro zvířata*</c:v>
                </c:pt>
                <c:pt idx="54">
                  <c:v>Jedlé výrobky</c:v>
                </c:pt>
                <c:pt idx="56">
                  <c:v>a přípravky**</c:v>
                </c:pt>
                <c:pt idx="61">
                  <c:v>Nápoje</c:v>
                </c:pt>
                <c:pt idx="66">
                  <c:v>Tabák a</c:v>
                </c:pt>
                <c:pt idx="68">
                  <c:v>tabák.výrobky</c:v>
                </c:pt>
                <c:pt idx="72">
                  <c:v>Olejnatá</c:v>
                </c:pt>
                <c:pt idx="74">
                  <c:v>semena a plody</c:v>
                </c:pt>
                <c:pt idx="78">
                  <c:v>Korek</c:v>
                </c:pt>
                <c:pt idx="80">
                  <c:v>a dřevo</c:v>
                </c:pt>
              </c:strCache>
            </c:strRef>
          </c:cat>
          <c:val>
            <c:numRef>
              <c:f>'Graf-Zahr.obchod'!$D$69:$D$152</c:f>
              <c:numCache>
                <c:formatCode>##,###,###,###,##0.0</c:formatCode>
                <c:ptCount val="84"/>
                <c:pt idx="0">
                  <c:v>4.8506689999999999</c:v>
                </c:pt>
                <c:pt idx="1">
                  <c:v>5.4343199999999996</c:v>
                </c:pt>
                <c:pt idx="2">
                  <c:v>5.7758589999999996</c:v>
                </c:pt>
                <c:pt idx="3">
                  <c:v>5.8960859999999755</c:v>
                </c:pt>
                <c:pt idx="4">
                  <c:v>5.8704849999999755</c:v>
                </c:pt>
                <c:pt idx="6">
                  <c:v>-14.011627000000001</c:v>
                </c:pt>
                <c:pt idx="7">
                  <c:v>-15.165462000000026</c:v>
                </c:pt>
                <c:pt idx="8">
                  <c:v>-15.420634000000026</c:v>
                </c:pt>
                <c:pt idx="9">
                  <c:v>-17.217918000000218</c:v>
                </c:pt>
                <c:pt idx="10">
                  <c:v>-20.930758000000001</c:v>
                </c:pt>
                <c:pt idx="12">
                  <c:v>1.4067209999999872</c:v>
                </c:pt>
                <c:pt idx="13">
                  <c:v>1.5660259999999999</c:v>
                </c:pt>
                <c:pt idx="14">
                  <c:v>0.51431699999999148</c:v>
                </c:pt>
                <c:pt idx="15">
                  <c:v>-0.48172000000000031</c:v>
                </c:pt>
                <c:pt idx="16">
                  <c:v>0.86970400000000725</c:v>
                </c:pt>
                <c:pt idx="18">
                  <c:v>0.22703699999999999</c:v>
                </c:pt>
                <c:pt idx="19">
                  <c:v>0.37536200000000425</c:v>
                </c:pt>
                <c:pt idx="20">
                  <c:v>0.36896800000000363</c:v>
                </c:pt>
                <c:pt idx="21">
                  <c:v>0.83089900000000738</c:v>
                </c:pt>
                <c:pt idx="22">
                  <c:v>0.63564700000000862</c:v>
                </c:pt>
                <c:pt idx="24">
                  <c:v>10.412808</c:v>
                </c:pt>
                <c:pt idx="25">
                  <c:v>13.458453</c:v>
                </c:pt>
                <c:pt idx="26">
                  <c:v>14.822885000000024</c:v>
                </c:pt>
                <c:pt idx="27">
                  <c:v>15.71388</c:v>
                </c:pt>
                <c:pt idx="28">
                  <c:v>14.726216999999998</c:v>
                </c:pt>
                <c:pt idx="30">
                  <c:v>-14.96786</c:v>
                </c:pt>
                <c:pt idx="31">
                  <c:v>-15.571566000000002</c:v>
                </c:pt>
                <c:pt idx="32">
                  <c:v>-17.345320999999792</c:v>
                </c:pt>
                <c:pt idx="33">
                  <c:v>-18.949088</c:v>
                </c:pt>
                <c:pt idx="34">
                  <c:v>-20.934493</c:v>
                </c:pt>
                <c:pt idx="36">
                  <c:v>1.9816860000000001</c:v>
                </c:pt>
                <c:pt idx="37">
                  <c:v>1.2816159999999999</c:v>
                </c:pt>
                <c:pt idx="38">
                  <c:v>1.124503</c:v>
                </c:pt>
                <c:pt idx="39">
                  <c:v>1.533102</c:v>
                </c:pt>
                <c:pt idx="40">
                  <c:v>1.416417</c:v>
                </c:pt>
                <c:pt idx="42">
                  <c:v>-4.1733229999999999</c:v>
                </c:pt>
                <c:pt idx="43">
                  <c:v>-4.5970680000000002</c:v>
                </c:pt>
                <c:pt idx="44">
                  <c:v>-3.3471609999999998</c:v>
                </c:pt>
                <c:pt idx="45">
                  <c:v>-4.2213580000000004</c:v>
                </c:pt>
                <c:pt idx="46">
                  <c:v>-4.929932</c:v>
                </c:pt>
                <c:pt idx="48">
                  <c:v>-2.4448840000000001</c:v>
                </c:pt>
                <c:pt idx="49">
                  <c:v>-1.8083400000000001</c:v>
                </c:pt>
                <c:pt idx="50">
                  <c:v>-1.5381929999999999</c:v>
                </c:pt>
                <c:pt idx="51">
                  <c:v>-0.21574400000000232</c:v>
                </c:pt>
                <c:pt idx="52">
                  <c:v>-0.23049400000000159</c:v>
                </c:pt>
                <c:pt idx="54">
                  <c:v>-2.3393049999999977</c:v>
                </c:pt>
                <c:pt idx="55">
                  <c:v>-1.7893089999999998</c:v>
                </c:pt>
                <c:pt idx="56">
                  <c:v>-1.1752570000000127</c:v>
                </c:pt>
                <c:pt idx="57">
                  <c:v>-1.0101169999999999</c:v>
                </c:pt>
                <c:pt idx="58">
                  <c:v>-1.8132359999999998</c:v>
                </c:pt>
                <c:pt idx="60">
                  <c:v>-0.30900000000000138</c:v>
                </c:pt>
                <c:pt idx="61">
                  <c:v>0.45942300000000008</c:v>
                </c:pt>
                <c:pt idx="62">
                  <c:v>0.63140399999999997</c:v>
                </c:pt>
                <c:pt idx="63">
                  <c:v>0.35959400000000002</c:v>
                </c:pt>
                <c:pt idx="64">
                  <c:v>-0.54854700000000001</c:v>
                </c:pt>
                <c:pt idx="66">
                  <c:v>3.5092459999999699</c:v>
                </c:pt>
                <c:pt idx="67">
                  <c:v>7.9441309999999845</c:v>
                </c:pt>
                <c:pt idx="68">
                  <c:v>8.5389429999999997</c:v>
                </c:pt>
                <c:pt idx="69">
                  <c:v>10.060480000000076</c:v>
                </c:pt>
                <c:pt idx="70">
                  <c:v>11.094244</c:v>
                </c:pt>
                <c:pt idx="72">
                  <c:v>3.8380239999999977</c:v>
                </c:pt>
                <c:pt idx="73">
                  <c:v>2.9245610000000002</c:v>
                </c:pt>
                <c:pt idx="74">
                  <c:v>3.8696079999999977</c:v>
                </c:pt>
                <c:pt idx="75">
                  <c:v>0.84355500000000005</c:v>
                </c:pt>
                <c:pt idx="76">
                  <c:v>-0.38880200000000437</c:v>
                </c:pt>
                <c:pt idx="78">
                  <c:v>11.182120999999999</c:v>
                </c:pt>
                <c:pt idx="79">
                  <c:v>11.706940999999999</c:v>
                </c:pt>
                <c:pt idx="80">
                  <c:v>11.567540000000006</c:v>
                </c:pt>
                <c:pt idx="81">
                  <c:v>13.831246</c:v>
                </c:pt>
                <c:pt idx="82">
                  <c:v>14.425968000000001</c:v>
                </c:pt>
              </c:numCache>
            </c:numRef>
          </c:val>
          <c:extLst xmlns:c16r2="http://schemas.microsoft.com/office/drawing/2015/06/chart">
            <c:ext xmlns:c16="http://schemas.microsoft.com/office/drawing/2014/chart" uri="{C3380CC4-5D6E-409C-BE32-E72D297353CC}">
              <c16:uniqueId val="{00000039-6B9B-4FD0-98AE-4854CD1EDC9A}"/>
            </c:ext>
          </c:extLst>
        </c:ser>
        <c:ser>
          <c:idx val="1"/>
          <c:order val="2"/>
          <c:tx>
            <c:strRef>
              <c:f>'Graf-Zahr.obchod'!$E$68</c:f>
              <c:strCache>
                <c:ptCount val="1"/>
                <c:pt idx="0">
                  <c:v>z toho s Německem a Rakouskem</c:v>
                </c:pt>
              </c:strCache>
            </c:strRef>
          </c:tx>
          <c:spPr>
            <a:ln w="28575">
              <a:noFill/>
            </a:ln>
          </c:spPr>
          <c:marker>
            <c:symbol val="circle"/>
            <c:size val="3"/>
            <c:spPr>
              <a:solidFill>
                <a:schemeClr val="bg1"/>
              </a:solidFill>
              <a:ln>
                <a:solidFill>
                  <a:srgbClr val="002060"/>
                </a:solidFill>
              </a:ln>
            </c:spPr>
          </c:marker>
          <c:cat>
            <c:strRef>
              <c:f>'Graf-Zahr.obchod'!$B$69:$B$152</c:f>
              <c:strCache>
                <c:ptCount val="81"/>
                <c:pt idx="0">
                  <c:v>Živá</c:v>
                </c:pt>
                <c:pt idx="2">
                  <c:v>zvířata</c:v>
                </c:pt>
                <c:pt idx="6">
                  <c:v>Maso a masné</c:v>
                </c:pt>
                <c:pt idx="8">
                  <c:v>výrobky</c:v>
                </c:pt>
                <c:pt idx="12">
                  <c:v>Mléčné výrobky </c:v>
                </c:pt>
                <c:pt idx="14">
                  <c:v>a vejce</c:v>
                </c:pt>
                <c:pt idx="18">
                  <c:v>Ryby, korýši 
</c:v>
                </c:pt>
                <c:pt idx="20">
                  <c:v>a měkkýši</c:v>
                </c:pt>
                <c:pt idx="24">
                  <c:v>Obiloviny  a</c:v>
                </c:pt>
                <c:pt idx="26">
                  <c:v>obilné výrobky</c:v>
                </c:pt>
                <c:pt idx="30">
                  <c:v>Zelenina</c:v>
                </c:pt>
                <c:pt idx="32">
                  <c:v>a ovoce</c:v>
                </c:pt>
                <c:pt idx="36">
                  <c:v>Cukr, výrobky 
</c:v>
                </c:pt>
                <c:pt idx="38">
                  <c:v>z cukru a med</c:v>
                </c:pt>
                <c:pt idx="42">
                  <c:v>Káva, čaj, </c:v>
                </c:pt>
                <c:pt idx="44">
                  <c:v>kakao, koření</c:v>
                </c:pt>
                <c:pt idx="48">
                  <c:v>Krmiva </c:v>
                </c:pt>
                <c:pt idx="50">
                  <c:v>pro zvířata*</c:v>
                </c:pt>
                <c:pt idx="54">
                  <c:v>Jedlé výrobky</c:v>
                </c:pt>
                <c:pt idx="56">
                  <c:v>a přípravky**</c:v>
                </c:pt>
                <c:pt idx="61">
                  <c:v>Nápoje</c:v>
                </c:pt>
                <c:pt idx="66">
                  <c:v>Tabák a</c:v>
                </c:pt>
                <c:pt idx="68">
                  <c:v>tabák.výrobky</c:v>
                </c:pt>
                <c:pt idx="72">
                  <c:v>Olejnatá</c:v>
                </c:pt>
                <c:pt idx="74">
                  <c:v>semena a plody</c:v>
                </c:pt>
                <c:pt idx="78">
                  <c:v>Korek</c:v>
                </c:pt>
                <c:pt idx="80">
                  <c:v>a dřevo</c:v>
                </c:pt>
              </c:strCache>
            </c:strRef>
          </c:cat>
          <c:val>
            <c:numRef>
              <c:f>'Graf-Zahr.obchod'!$E$69:$E$152</c:f>
              <c:numCache>
                <c:formatCode>##,###,###,###,##0.0</c:formatCode>
                <c:ptCount val="84"/>
                <c:pt idx="0">
                  <c:v>2.4075449999999998</c:v>
                </c:pt>
                <c:pt idx="1">
                  <c:v>2.3084659999999722</c:v>
                </c:pt>
                <c:pt idx="2">
                  <c:v>2.565896</c:v>
                </c:pt>
                <c:pt idx="3">
                  <c:v>2.7357140000000002</c:v>
                </c:pt>
                <c:pt idx="4">
                  <c:v>2.3424249999999978</c:v>
                </c:pt>
                <c:pt idx="6">
                  <c:v>-9.1014870000000005</c:v>
                </c:pt>
                <c:pt idx="7">
                  <c:v>-9.4945590000000006</c:v>
                </c:pt>
                <c:pt idx="8">
                  <c:v>-8.010529</c:v>
                </c:pt>
                <c:pt idx="9">
                  <c:v>-7.6662879999999856</c:v>
                </c:pt>
                <c:pt idx="10">
                  <c:v>-8.4249219999999987</c:v>
                </c:pt>
                <c:pt idx="12">
                  <c:v>-0.97869200000000633</c:v>
                </c:pt>
                <c:pt idx="13">
                  <c:v>-2.2950000000000002E-3</c:v>
                </c:pt>
                <c:pt idx="14">
                  <c:v>-0.14962300000000001</c:v>
                </c:pt>
                <c:pt idx="15">
                  <c:v>-0.996757</c:v>
                </c:pt>
                <c:pt idx="16">
                  <c:v>7.6117000000000004E-2</c:v>
                </c:pt>
                <c:pt idx="18">
                  <c:v>5.3327000000000013E-2</c:v>
                </c:pt>
                <c:pt idx="19">
                  <c:v>4.7068000000000033E-2</c:v>
                </c:pt>
                <c:pt idx="20">
                  <c:v>-4.3993000000000004E-2</c:v>
                </c:pt>
                <c:pt idx="21">
                  <c:v>7.8944E-2</c:v>
                </c:pt>
                <c:pt idx="22">
                  <c:v>9.7296000000000021E-2</c:v>
                </c:pt>
                <c:pt idx="24">
                  <c:v>8.4048000000000016</c:v>
                </c:pt>
                <c:pt idx="25">
                  <c:v>11.262889000000024</c:v>
                </c:pt>
                <c:pt idx="26">
                  <c:v>11.898967999999998</c:v>
                </c:pt>
                <c:pt idx="27">
                  <c:v>11.771544</c:v>
                </c:pt>
                <c:pt idx="28">
                  <c:v>10.820592000000024</c:v>
                </c:pt>
                <c:pt idx="30">
                  <c:v>-4.1464569999999945</c:v>
                </c:pt>
                <c:pt idx="31">
                  <c:v>-4.0684620000000002</c:v>
                </c:pt>
                <c:pt idx="32">
                  <c:v>-4.3776520000000003</c:v>
                </c:pt>
                <c:pt idx="33">
                  <c:v>-5.1687359999999645</c:v>
                </c:pt>
                <c:pt idx="34">
                  <c:v>-6.1766220000000134</c:v>
                </c:pt>
                <c:pt idx="36">
                  <c:v>0.36224000000000001</c:v>
                </c:pt>
                <c:pt idx="37">
                  <c:v>0.69511599999999996</c:v>
                </c:pt>
                <c:pt idx="38">
                  <c:v>3.1435000000000421E-2</c:v>
                </c:pt>
                <c:pt idx="39">
                  <c:v>0.4498370000000001</c:v>
                </c:pt>
                <c:pt idx="40">
                  <c:v>-2.9609000000000052E-2</c:v>
                </c:pt>
                <c:pt idx="42">
                  <c:v>-3.9655770000000001</c:v>
                </c:pt>
                <c:pt idx="43">
                  <c:v>-4.9317070000000589</c:v>
                </c:pt>
                <c:pt idx="44">
                  <c:v>-4.0128179999999745</c:v>
                </c:pt>
                <c:pt idx="45">
                  <c:v>-4.5416020000000525</c:v>
                </c:pt>
                <c:pt idx="46">
                  <c:v>-4.4515760000000002</c:v>
                </c:pt>
                <c:pt idx="48">
                  <c:v>-3.1524049999999977</c:v>
                </c:pt>
                <c:pt idx="49">
                  <c:v>-2.8085529999999967</c:v>
                </c:pt>
                <c:pt idx="50">
                  <c:v>-3.3881109999999999</c:v>
                </c:pt>
                <c:pt idx="51">
                  <c:v>-2.2433180000000092</c:v>
                </c:pt>
                <c:pt idx="52">
                  <c:v>-1.8382320000000001</c:v>
                </c:pt>
                <c:pt idx="54">
                  <c:v>-2.270022</c:v>
                </c:pt>
                <c:pt idx="55">
                  <c:v>-2.0078870000000002</c:v>
                </c:pt>
                <c:pt idx="56">
                  <c:v>-1.919138</c:v>
                </c:pt>
                <c:pt idx="57">
                  <c:v>-1.744283</c:v>
                </c:pt>
                <c:pt idx="58">
                  <c:v>-1.983509</c:v>
                </c:pt>
                <c:pt idx="60">
                  <c:v>3.2501000000000016E-2</c:v>
                </c:pt>
                <c:pt idx="61">
                  <c:v>0.29854200000000031</c:v>
                </c:pt>
                <c:pt idx="62">
                  <c:v>0.28495000000000031</c:v>
                </c:pt>
                <c:pt idx="63">
                  <c:v>-3.1876000000000092E-2</c:v>
                </c:pt>
                <c:pt idx="64">
                  <c:v>-0.28973899999999997</c:v>
                </c:pt>
                <c:pt idx="66">
                  <c:v>-0.81808800000000004</c:v>
                </c:pt>
                <c:pt idx="67">
                  <c:v>-0.41190900000000008</c:v>
                </c:pt>
                <c:pt idx="68">
                  <c:v>-0.62749400000000566</c:v>
                </c:pt>
                <c:pt idx="69">
                  <c:v>-1.0580799999999999</c:v>
                </c:pt>
                <c:pt idx="70">
                  <c:v>-0.50697999999999999</c:v>
                </c:pt>
                <c:pt idx="72">
                  <c:v>3.9900569999999767</c:v>
                </c:pt>
                <c:pt idx="73">
                  <c:v>3.0873550000000001</c:v>
                </c:pt>
                <c:pt idx="74">
                  <c:v>4.8922819999999945</c:v>
                </c:pt>
                <c:pt idx="75">
                  <c:v>1.6768380000000001</c:v>
                </c:pt>
                <c:pt idx="76">
                  <c:v>1.127151</c:v>
                </c:pt>
                <c:pt idx="78">
                  <c:v>12.457574000000006</c:v>
                </c:pt>
                <c:pt idx="79">
                  <c:v>12.908302999999998</c:v>
                </c:pt>
                <c:pt idx="80">
                  <c:v>12.40911</c:v>
                </c:pt>
                <c:pt idx="81">
                  <c:v>13.962639000000149</c:v>
                </c:pt>
                <c:pt idx="82">
                  <c:v>14.319922</c:v>
                </c:pt>
              </c:numCache>
            </c:numRef>
          </c:val>
          <c:extLst xmlns:c16r2="http://schemas.microsoft.com/office/drawing/2015/06/chart">
            <c:ext xmlns:c16="http://schemas.microsoft.com/office/drawing/2014/chart" uri="{C3380CC4-5D6E-409C-BE32-E72D297353CC}">
              <c16:uniqueId val="{0000003A-6B9B-4FD0-98AE-4854CD1EDC9A}"/>
            </c:ext>
          </c:extLst>
        </c:ser>
        <c:marker val="1"/>
        <c:axId val="134120576"/>
        <c:axId val="134127616"/>
      </c:lineChart>
      <c:catAx>
        <c:axId val="134120576"/>
        <c:scaling>
          <c:orientation val="minMax"/>
        </c:scaling>
        <c:axPos val="b"/>
        <c:numFmt formatCode="General" sourceLinked="1"/>
        <c:majorTickMark val="none"/>
        <c:tickLblPos val="low"/>
        <c:spPr>
          <a:ln w="9525">
            <a:solidFill>
              <a:schemeClr val="tx1"/>
            </a:solidFill>
            <a:prstDash val="solid"/>
          </a:ln>
        </c:spPr>
        <c:txPr>
          <a:bodyPr rot="-5400000" vert="horz"/>
          <a:lstStyle/>
          <a:p>
            <a:pPr>
              <a:defRPr/>
            </a:pPr>
            <a:endParaRPr lang="cs-CZ"/>
          </a:p>
        </c:txPr>
        <c:crossAx val="134127616"/>
        <c:crossesAt val="0"/>
        <c:lblAlgn val="ctr"/>
        <c:lblOffset val="0"/>
        <c:tickLblSkip val="1"/>
        <c:tickMarkSkip val="4"/>
      </c:catAx>
      <c:valAx>
        <c:axId val="134127616"/>
        <c:scaling>
          <c:orientation val="minMax"/>
          <c:max val="16"/>
          <c:min val="-32"/>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34120576"/>
        <c:crosses val="autoZero"/>
        <c:crossBetween val="between"/>
        <c:majorUnit val="4"/>
        <c:minorUnit val="1"/>
      </c:valAx>
      <c:spPr>
        <a:noFill/>
        <a:ln w="9525">
          <a:solidFill>
            <a:schemeClr val="tx1"/>
          </a:solidFill>
        </a:ln>
      </c:spPr>
    </c:plotArea>
    <c:legend>
      <c:legendPos val="b"/>
      <c:layout>
        <c:manualLayout>
          <c:xMode val="edge"/>
          <c:yMode val="edge"/>
          <c:x val="4.4398119657568923E-2"/>
          <c:y val="0.90991872709019772"/>
          <c:w val="0.9449914993658175"/>
          <c:h val="4.8003236556590993E-2"/>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userShapes r:id="rId2"/>
</c:chartSpace>
</file>

<file path=word/charts/chart41.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6.2040029038385534E-2"/>
          <c:y val="1.9513175616352955E-2"/>
          <c:w val="0.92433548575002367"/>
          <c:h val="0.72581447709107805"/>
        </c:manualLayout>
      </c:layout>
      <c:barChart>
        <c:barDir val="col"/>
        <c:grouping val="clustered"/>
        <c:ser>
          <c:idx val="0"/>
          <c:order val="0"/>
          <c:tx>
            <c:strRef>
              <c:f>'Graf-Národní účty-souhrnné'!$A$29</c:f>
              <c:strCache>
                <c:ptCount val="1"/>
                <c:pt idx="0">
                  <c:v>Hrubá přidaná hodnota (2010=100)</c:v>
                </c:pt>
              </c:strCache>
            </c:strRef>
          </c:tx>
          <c:spPr>
            <a:solidFill>
              <a:srgbClr val="808080"/>
            </a:solidFill>
            <a:ln w="12700">
              <a:noFill/>
              <a:prstDash val="solid"/>
            </a:ln>
          </c:spP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účty-souhrnné'!$G$29:$S$29</c:f>
              <c:numCache>
                <c:formatCode>#,##0.0</c:formatCode>
                <c:ptCount val="13"/>
                <c:pt idx="0">
                  <c:v>79.3</c:v>
                </c:pt>
                <c:pt idx="1">
                  <c:v>93.1</c:v>
                </c:pt>
                <c:pt idx="2">
                  <c:v>98.2</c:v>
                </c:pt>
                <c:pt idx="3">
                  <c:v>106.2</c:v>
                </c:pt>
                <c:pt idx="4">
                  <c:v>93.9</c:v>
                </c:pt>
                <c:pt idx="5">
                  <c:v>100</c:v>
                </c:pt>
                <c:pt idx="6">
                  <c:v>106.6</c:v>
                </c:pt>
                <c:pt idx="7">
                  <c:v>103.6</c:v>
                </c:pt>
                <c:pt idx="8">
                  <c:v>98.9</c:v>
                </c:pt>
                <c:pt idx="9">
                  <c:v>104</c:v>
                </c:pt>
                <c:pt idx="10">
                  <c:v>108.3</c:v>
                </c:pt>
                <c:pt idx="11">
                  <c:v>110.4</c:v>
                </c:pt>
                <c:pt idx="12">
                  <c:v>120.3</c:v>
                </c:pt>
              </c:numCache>
            </c:numRef>
          </c:val>
          <c:extLst xmlns:c16r2="http://schemas.microsoft.com/office/drawing/2015/06/chart">
            <c:ext xmlns:c16="http://schemas.microsoft.com/office/drawing/2014/chart" uri="{C3380CC4-5D6E-409C-BE32-E72D297353CC}">
              <c16:uniqueId val="{00000000-2949-483C-B040-B53EDC129E30}"/>
            </c:ext>
          </c:extLst>
        </c:ser>
        <c:ser>
          <c:idx val="4"/>
          <c:order val="6"/>
          <c:tx>
            <c:strRef>
              <c:f>'Graf-Národní účty-souhrnné'!$A$35</c:f>
              <c:strCache>
                <c:ptCount val="1"/>
                <c:pt idx="0">
                  <c:v>Produkce (2010=100)</c:v>
                </c:pt>
              </c:strCache>
            </c:strRef>
          </c:tx>
          <c:spPr>
            <a:solidFill>
              <a:srgbClr val="BABABA"/>
            </a:solidFill>
            <a:ln>
              <a:noFill/>
            </a:ln>
          </c:spP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účty-souhrnné'!$G$35:$S$35</c:f>
              <c:numCache>
                <c:formatCode>#,##0.0</c:formatCode>
                <c:ptCount val="13"/>
                <c:pt idx="0">
                  <c:v>85.8</c:v>
                </c:pt>
                <c:pt idx="1">
                  <c:v>97.8</c:v>
                </c:pt>
                <c:pt idx="2">
                  <c:v>104.4</c:v>
                </c:pt>
                <c:pt idx="3">
                  <c:v>106</c:v>
                </c:pt>
                <c:pt idx="4">
                  <c:v>91.5</c:v>
                </c:pt>
                <c:pt idx="5">
                  <c:v>100</c:v>
                </c:pt>
                <c:pt idx="6">
                  <c:v>106</c:v>
                </c:pt>
                <c:pt idx="7">
                  <c:v>104.2</c:v>
                </c:pt>
                <c:pt idx="8">
                  <c:v>102.9</c:v>
                </c:pt>
                <c:pt idx="9">
                  <c:v>108.6</c:v>
                </c:pt>
                <c:pt idx="10">
                  <c:v>114.7</c:v>
                </c:pt>
                <c:pt idx="11">
                  <c:v>118.7</c:v>
                </c:pt>
                <c:pt idx="12">
                  <c:v>126.5</c:v>
                </c:pt>
              </c:numCache>
            </c:numRef>
          </c:val>
          <c:extLst xmlns:c16r2="http://schemas.microsoft.com/office/drawing/2015/06/chart">
            <c:ext xmlns:c16="http://schemas.microsoft.com/office/drawing/2014/chart" uri="{C3380CC4-5D6E-409C-BE32-E72D297353CC}">
              <c16:uniqueId val="{00000001-2949-483C-B040-B53EDC129E30}"/>
            </c:ext>
          </c:extLst>
        </c:ser>
        <c:gapWidth val="75"/>
        <c:axId val="134226304"/>
        <c:axId val="134227840"/>
      </c:barChart>
      <c:lineChart>
        <c:grouping val="standard"/>
        <c:ser>
          <c:idx val="3"/>
          <c:order val="1"/>
          <c:tx>
            <c:strRef>
              <c:f>'Graf-Národní účty-souhrnné'!$A$30</c:f>
              <c:strCache>
                <c:ptCount val="1"/>
                <c:pt idx="0">
                  <c:v>Objem reálných vyplacených mezd a platů (2010=100)*</c:v>
                </c:pt>
              </c:strCache>
            </c:strRef>
          </c:tx>
          <c:spPr>
            <a:ln w="19050">
              <a:solidFill>
                <a:srgbClr val="F8A124"/>
              </a:solidFill>
              <a:prstDash val="solid"/>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účty-souhrnné'!$G$30:$S$30</c:f>
              <c:numCache>
                <c:formatCode>#,##0.0</c:formatCode>
                <c:ptCount val="13"/>
                <c:pt idx="0">
                  <c:v>98.295756585812967</c:v>
                </c:pt>
                <c:pt idx="1">
                  <c:v>103.34149533190191</c:v>
                </c:pt>
                <c:pt idx="2">
                  <c:v>109.44776438200307</c:v>
                </c:pt>
                <c:pt idx="3">
                  <c:v>111.08642676053393</c:v>
                </c:pt>
                <c:pt idx="4">
                  <c:v>100.63803756339622</c:v>
                </c:pt>
                <c:pt idx="5">
                  <c:v>100</c:v>
                </c:pt>
                <c:pt idx="6">
                  <c:v>105.47701749806832</c:v>
                </c:pt>
                <c:pt idx="7">
                  <c:v>106.16544935373342</c:v>
                </c:pt>
                <c:pt idx="8">
                  <c:v>105.688018889261</c:v>
                </c:pt>
                <c:pt idx="9">
                  <c:v>109.97614632728065</c:v>
                </c:pt>
                <c:pt idx="10">
                  <c:v>116.35966162219732</c:v>
                </c:pt>
                <c:pt idx="11">
                  <c:v>123.00194140103579</c:v>
                </c:pt>
                <c:pt idx="12">
                  <c:v>130.37891458071041</c:v>
                </c:pt>
              </c:numCache>
            </c:numRef>
          </c:val>
          <c:extLst xmlns:c16r2="http://schemas.microsoft.com/office/drawing/2015/06/chart">
            <c:ext xmlns:c16="http://schemas.microsoft.com/office/drawing/2014/chart" uri="{C3380CC4-5D6E-409C-BE32-E72D297353CC}">
              <c16:uniqueId val="{00000002-2949-483C-B040-B53EDC129E30}"/>
            </c:ext>
          </c:extLst>
        </c:ser>
        <c:ser>
          <c:idx val="1"/>
          <c:order val="2"/>
          <c:tx>
            <c:strRef>
              <c:f>'Graf-Národní účty-souhrnné'!$A$31</c:f>
              <c:strCache>
                <c:ptCount val="1"/>
                <c:pt idx="0">
                  <c:v>Reálná hodinová produktivita práce (2010=100)</c:v>
                </c:pt>
              </c:strCache>
            </c:strRef>
          </c:tx>
          <c:spPr>
            <a:ln w="19050">
              <a:solidFill>
                <a:srgbClr val="7DBB2D"/>
              </a:solidFill>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účty-souhrnné'!$G$31:$S$31</c:f>
              <c:numCache>
                <c:formatCode>0.0</c:formatCode>
                <c:ptCount val="13"/>
                <c:pt idx="0">
                  <c:v>74.021770158970426</c:v>
                </c:pt>
                <c:pt idx="1">
                  <c:v>87.481049326897946</c:v>
                </c:pt>
                <c:pt idx="2">
                  <c:v>90.678363265641252</c:v>
                </c:pt>
                <c:pt idx="3">
                  <c:v>96.934597004292527</c:v>
                </c:pt>
                <c:pt idx="4">
                  <c:v>94.304790528398655</c:v>
                </c:pt>
                <c:pt idx="5">
                  <c:v>100</c:v>
                </c:pt>
                <c:pt idx="6">
                  <c:v>103.51700072163112</c:v>
                </c:pt>
                <c:pt idx="7">
                  <c:v>100.68976902626628</c:v>
                </c:pt>
                <c:pt idx="8">
                  <c:v>96.657824608123747</c:v>
                </c:pt>
                <c:pt idx="9">
                  <c:v>99.984132733280958</c:v>
                </c:pt>
                <c:pt idx="10">
                  <c:v>101.58980558398385</c:v>
                </c:pt>
                <c:pt idx="11">
                  <c:v>100.8080617426714</c:v>
                </c:pt>
                <c:pt idx="12">
                  <c:v>108.22429310424135</c:v>
                </c:pt>
              </c:numCache>
            </c:numRef>
          </c:val>
          <c:extLst xmlns:c16r2="http://schemas.microsoft.com/office/drawing/2015/06/chart">
            <c:ext xmlns:c16="http://schemas.microsoft.com/office/drawing/2014/chart" uri="{C3380CC4-5D6E-409C-BE32-E72D297353CC}">
              <c16:uniqueId val="{00000003-2949-483C-B040-B53EDC129E30}"/>
            </c:ext>
          </c:extLst>
        </c:ser>
        <c:ser>
          <c:idx val="7"/>
          <c:order val="3"/>
          <c:tx>
            <c:strRef>
              <c:f>'Graf-Národní účty-souhrnné'!$A$32</c:f>
              <c:strCache>
                <c:ptCount val="1"/>
                <c:pt idx="0">
                  <c:v>Zaměstnanost (úvazky na plnou pracovní dobu, 2010=100)</c:v>
                </c:pt>
              </c:strCache>
            </c:strRef>
          </c:tx>
          <c:spPr>
            <a:ln w="19050">
              <a:noFill/>
            </a:ln>
          </c:spPr>
          <c:marker>
            <c:symbol val="circle"/>
            <c:size val="5"/>
            <c:spPr>
              <a:solidFill>
                <a:srgbClr val="FFFF00"/>
              </a:solidFill>
              <a:ln w="6350">
                <a:solidFill>
                  <a:sysClr val="windowText" lastClr="000000">
                    <a:lumMod val="65000"/>
                    <a:lumOff val="35000"/>
                  </a:sysClr>
                </a:solidFill>
              </a:ln>
            </c:spPr>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účty-souhrnné'!$G$32:$S$32</c:f>
              <c:numCache>
                <c:formatCode>0.0</c:formatCode>
                <c:ptCount val="13"/>
                <c:pt idx="0">
                  <c:v>108.33418022054416</c:v>
                </c:pt>
                <c:pt idx="1">
                  <c:v>107.60077589596902</c:v>
                </c:pt>
                <c:pt idx="2">
                  <c:v>110.21397525911082</c:v>
                </c:pt>
                <c:pt idx="3">
                  <c:v>111.11307490754201</c:v>
                </c:pt>
                <c:pt idx="4">
                  <c:v>103.09629328514289</c:v>
                </c:pt>
                <c:pt idx="5">
                  <c:v>100</c:v>
                </c:pt>
                <c:pt idx="6">
                  <c:v>103.4241490992807</c:v>
                </c:pt>
                <c:pt idx="7">
                  <c:v>104.05239212497912</c:v>
                </c:pt>
                <c:pt idx="8">
                  <c:v>103.65737447290405</c:v>
                </c:pt>
                <c:pt idx="9">
                  <c:v>105.14944245364578</c:v>
                </c:pt>
                <c:pt idx="10">
                  <c:v>108.38145861961803</c:v>
                </c:pt>
                <c:pt idx="11">
                  <c:v>110.69191421548051</c:v>
                </c:pt>
                <c:pt idx="12">
                  <c:v>111.64013332213968</c:v>
                </c:pt>
              </c:numCache>
            </c:numRef>
          </c:val>
          <c:extLst xmlns:c16r2="http://schemas.microsoft.com/office/drawing/2015/06/chart">
            <c:ext xmlns:c16="http://schemas.microsoft.com/office/drawing/2014/chart" uri="{C3380CC4-5D6E-409C-BE32-E72D297353CC}">
              <c16:uniqueId val="{00000004-2949-483C-B040-B53EDC129E30}"/>
            </c:ext>
          </c:extLst>
        </c:ser>
        <c:marker val="1"/>
        <c:axId val="134226304"/>
        <c:axId val="134227840"/>
      </c:lineChart>
      <c:lineChart>
        <c:grouping val="standard"/>
        <c:ser>
          <c:idx val="2"/>
          <c:order val="4"/>
          <c:tx>
            <c:strRef>
              <c:f>'Graf-Národní účty-souhrnné'!$A$33</c:f>
              <c:strCache>
                <c:ptCount val="1"/>
                <c:pt idx="0">
                  <c:v>Míra investic (v %, pravá osa)</c:v>
                </c:pt>
              </c:strCache>
            </c:strRef>
          </c:tx>
          <c:spPr>
            <a:ln w="19050">
              <a:solidFill>
                <a:srgbClr val="BD1B21"/>
              </a:solidFill>
              <a:prstDash val="sysDash"/>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účty-souhrnné'!$G$33:$S$33</c:f>
              <c:numCache>
                <c:formatCode>0.0</c:formatCode>
                <c:ptCount val="13"/>
                <c:pt idx="0">
                  <c:v>30.418892018000093</c:v>
                </c:pt>
                <c:pt idx="1">
                  <c:v>28.700317452187626</c:v>
                </c:pt>
                <c:pt idx="2">
                  <c:v>32.416211324641786</c:v>
                </c:pt>
                <c:pt idx="3">
                  <c:v>30.902958491297131</c:v>
                </c:pt>
                <c:pt idx="4">
                  <c:v>28.017830848604635</c:v>
                </c:pt>
                <c:pt idx="5">
                  <c:v>28.711567833654133</c:v>
                </c:pt>
                <c:pt idx="6">
                  <c:v>29.602223544205486</c:v>
                </c:pt>
                <c:pt idx="7">
                  <c:v>29.633461450864935</c:v>
                </c:pt>
                <c:pt idx="8">
                  <c:v>29.926728925207829</c:v>
                </c:pt>
                <c:pt idx="9">
                  <c:v>28.157406630098535</c:v>
                </c:pt>
                <c:pt idx="10">
                  <c:v>29.028981159201251</c:v>
                </c:pt>
                <c:pt idx="11">
                  <c:v>27.775047515114963</c:v>
                </c:pt>
                <c:pt idx="12">
                  <c:v>26.787564297553228</c:v>
                </c:pt>
              </c:numCache>
            </c:numRef>
          </c:val>
          <c:extLst xmlns:c16r2="http://schemas.microsoft.com/office/drawing/2015/06/chart">
            <c:ext xmlns:c16="http://schemas.microsoft.com/office/drawing/2014/chart" uri="{C3380CC4-5D6E-409C-BE32-E72D297353CC}">
              <c16:uniqueId val="{00000005-2949-483C-B040-B53EDC129E30}"/>
            </c:ext>
          </c:extLst>
        </c:ser>
        <c:ser>
          <c:idx val="5"/>
          <c:order val="5"/>
          <c:tx>
            <c:strRef>
              <c:f>'Graf-Národní účty-souhrnné'!$A$34</c:f>
              <c:strCache>
                <c:ptCount val="1"/>
                <c:pt idx="0">
                  <c:v>Míra zisku nefinančních podniků (v %, pravá osa)</c:v>
                </c:pt>
              </c:strCache>
            </c:strRef>
          </c:tx>
          <c:spPr>
            <a:ln w="19050">
              <a:solidFill>
                <a:srgbClr val="0071BC"/>
              </a:solidFill>
              <a:prstDash val="sysDash"/>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účty-souhrnné'!$G$34:$S$34</c:f>
              <c:numCache>
                <c:formatCode>0.0</c:formatCode>
                <c:ptCount val="13"/>
                <c:pt idx="0">
                  <c:v>53.027057476955761</c:v>
                </c:pt>
                <c:pt idx="1">
                  <c:v>54.72693399422046</c:v>
                </c:pt>
                <c:pt idx="2">
                  <c:v>54.546908331350863</c:v>
                </c:pt>
                <c:pt idx="3">
                  <c:v>53.801408600695844</c:v>
                </c:pt>
                <c:pt idx="4">
                  <c:v>55.344024673889848</c:v>
                </c:pt>
                <c:pt idx="5">
                  <c:v>55.113664629694824</c:v>
                </c:pt>
                <c:pt idx="6">
                  <c:v>53.308934204629381</c:v>
                </c:pt>
                <c:pt idx="7">
                  <c:v>52.632580921357913</c:v>
                </c:pt>
                <c:pt idx="8">
                  <c:v>52.443121646553529</c:v>
                </c:pt>
                <c:pt idx="9">
                  <c:v>55.282390268796014</c:v>
                </c:pt>
                <c:pt idx="10">
                  <c:v>54.8302586523249</c:v>
                </c:pt>
                <c:pt idx="11">
                  <c:v>53.027956368864231</c:v>
                </c:pt>
                <c:pt idx="12">
                  <c:v>51.432878026762396</c:v>
                </c:pt>
              </c:numCache>
            </c:numRef>
          </c:val>
          <c:extLst xmlns:c16r2="http://schemas.microsoft.com/office/drawing/2015/06/chart">
            <c:ext xmlns:c16="http://schemas.microsoft.com/office/drawing/2014/chart" uri="{C3380CC4-5D6E-409C-BE32-E72D297353CC}">
              <c16:uniqueId val="{00000006-2949-483C-B040-B53EDC129E30}"/>
            </c:ext>
          </c:extLst>
        </c:ser>
        <c:marker val="1"/>
        <c:axId val="134235264"/>
        <c:axId val="134229376"/>
      </c:lineChart>
      <c:catAx>
        <c:axId val="134226304"/>
        <c:scaling>
          <c:orientation val="minMax"/>
        </c:scaling>
        <c:axPos val="b"/>
        <c:numFmt formatCode="General" sourceLinked="1"/>
        <c:tickLblPos val="low"/>
        <c:spPr>
          <a:ln w="9525">
            <a:solidFill>
              <a:schemeClr val="tx1"/>
            </a:solidFill>
            <a:prstDash val="solid"/>
          </a:ln>
        </c:spPr>
        <c:txPr>
          <a:bodyPr rot="0" vert="horz"/>
          <a:lstStyle/>
          <a:p>
            <a:pPr>
              <a:defRPr/>
            </a:pPr>
            <a:endParaRPr lang="cs-CZ"/>
          </a:p>
        </c:txPr>
        <c:crossAx val="134227840"/>
        <c:crossesAt val="100"/>
        <c:lblAlgn val="ctr"/>
        <c:lblOffset val="0"/>
        <c:tickLblSkip val="1"/>
        <c:tickMarkSkip val="4"/>
      </c:catAx>
      <c:valAx>
        <c:axId val="134227840"/>
        <c:scaling>
          <c:orientation val="minMax"/>
          <c:max val="130"/>
          <c:min val="7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34226304"/>
        <c:crosses val="autoZero"/>
        <c:crossBetween val="between"/>
        <c:majorUnit val="5"/>
      </c:valAx>
      <c:valAx>
        <c:axId val="134229376"/>
        <c:scaling>
          <c:orientation val="minMax"/>
          <c:max val="60"/>
          <c:min val="0"/>
        </c:scaling>
        <c:axPos val="r"/>
        <c:numFmt formatCode="0" sourceLinked="0"/>
        <c:tickLblPos val="nextTo"/>
        <c:crossAx val="134235264"/>
        <c:crosses val="max"/>
        <c:crossBetween val="between"/>
        <c:majorUnit val="5"/>
      </c:valAx>
      <c:catAx>
        <c:axId val="134235264"/>
        <c:scaling>
          <c:orientation val="minMax"/>
        </c:scaling>
        <c:delete val="1"/>
        <c:axPos val="b"/>
        <c:numFmt formatCode="General" sourceLinked="1"/>
        <c:tickLblPos val="none"/>
        <c:crossAx val="134229376"/>
        <c:crosses val="autoZero"/>
        <c:auto val="1"/>
        <c:lblAlgn val="ctr"/>
        <c:lblOffset val="100"/>
      </c:catAx>
      <c:spPr>
        <a:noFill/>
        <a:ln w="9525">
          <a:solidFill>
            <a:schemeClr val="tx1"/>
          </a:solidFill>
        </a:ln>
      </c:spPr>
    </c:plotArea>
    <c:legend>
      <c:legendPos val="b"/>
      <c:layout>
        <c:manualLayout>
          <c:xMode val="edge"/>
          <c:yMode val="edge"/>
          <c:x val="6.0825149028219005E-2"/>
          <c:y val="0.79350557244174269"/>
          <c:w val="0.88531755998340689"/>
          <c:h val="0.20292018462231373"/>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42.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0.10608838874897725"/>
          <c:y val="2.1390374331550797E-2"/>
          <c:w val="0.87783863049508615"/>
          <c:h val="0.78564486925765298"/>
        </c:manualLayout>
      </c:layout>
      <c:lineChart>
        <c:grouping val="standard"/>
        <c:ser>
          <c:idx val="0"/>
          <c:order val="0"/>
          <c:tx>
            <c:strRef>
              <c:f>'Graf-investice'!$A$321</c:f>
              <c:strCache>
                <c:ptCount val="1"/>
                <c:pt idx="0">
                  <c:v>Budovy a stavby (mimo obydlí)</c:v>
                </c:pt>
              </c:strCache>
            </c:strRef>
          </c:tx>
          <c:spPr>
            <a:ln w="22225"/>
          </c:spPr>
          <c:marker>
            <c:symbol val="none"/>
          </c:marker>
          <c:cat>
            <c:strRef>
              <c:f>'Graf-investice'!$G$320:$S$320</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'Graf-investice'!$G$321:$S$321</c:f>
              <c:numCache>
                <c:formatCode>#,##0</c:formatCode>
                <c:ptCount val="13"/>
                <c:pt idx="0">
                  <c:v>54025</c:v>
                </c:pt>
                <c:pt idx="1">
                  <c:v>56818</c:v>
                </c:pt>
                <c:pt idx="2">
                  <c:v>67123</c:v>
                </c:pt>
                <c:pt idx="3">
                  <c:v>48435</c:v>
                </c:pt>
                <c:pt idx="4">
                  <c:v>32127</c:v>
                </c:pt>
                <c:pt idx="5">
                  <c:v>32013</c:v>
                </c:pt>
                <c:pt idx="6">
                  <c:v>40909</c:v>
                </c:pt>
                <c:pt idx="7">
                  <c:v>39291</c:v>
                </c:pt>
                <c:pt idx="8">
                  <c:v>40563</c:v>
                </c:pt>
                <c:pt idx="9">
                  <c:v>38726</c:v>
                </c:pt>
                <c:pt idx="10">
                  <c:v>42035</c:v>
                </c:pt>
                <c:pt idx="11">
                  <c:v>45676</c:v>
                </c:pt>
                <c:pt idx="12">
                  <c:v>46748</c:v>
                </c:pt>
              </c:numCache>
            </c:numRef>
          </c:val>
          <c:extLst xmlns:c16r2="http://schemas.microsoft.com/office/drawing/2015/06/chart">
            <c:ext xmlns:c16="http://schemas.microsoft.com/office/drawing/2014/chart" uri="{C3380CC4-5D6E-409C-BE32-E72D297353CC}">
              <c16:uniqueId val="{00000000-907E-471A-A250-BBAF8D16AC0B}"/>
            </c:ext>
          </c:extLst>
        </c:ser>
        <c:ser>
          <c:idx val="1"/>
          <c:order val="1"/>
          <c:tx>
            <c:strRef>
              <c:f>'Graf-investice'!$A$322</c:f>
              <c:strCache>
                <c:ptCount val="1"/>
                <c:pt idx="0">
                  <c:v>Dopravní prostředky a zařízení</c:v>
                </c:pt>
              </c:strCache>
            </c:strRef>
          </c:tx>
          <c:spPr>
            <a:ln w="22225">
              <a:solidFill>
                <a:srgbClr val="48AEE7"/>
              </a:solidFill>
            </a:ln>
          </c:spPr>
          <c:marker>
            <c:symbol val="none"/>
          </c:marker>
          <c:cat>
            <c:strRef>
              <c:f>'Graf-investice'!$G$320:$S$320</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'Graf-investice'!$G$322:$S$322</c:f>
              <c:numCache>
                <c:formatCode>#,##0</c:formatCode>
                <c:ptCount val="13"/>
                <c:pt idx="0">
                  <c:v>15127</c:v>
                </c:pt>
                <c:pt idx="1">
                  <c:v>11518</c:v>
                </c:pt>
                <c:pt idx="2">
                  <c:v>14317</c:v>
                </c:pt>
                <c:pt idx="3">
                  <c:v>15500</c:v>
                </c:pt>
                <c:pt idx="4">
                  <c:v>9595</c:v>
                </c:pt>
                <c:pt idx="5">
                  <c:v>10682</c:v>
                </c:pt>
                <c:pt idx="6">
                  <c:v>6047</c:v>
                </c:pt>
                <c:pt idx="7">
                  <c:v>5295</c:v>
                </c:pt>
                <c:pt idx="8">
                  <c:v>6289</c:v>
                </c:pt>
                <c:pt idx="9">
                  <c:v>6271</c:v>
                </c:pt>
                <c:pt idx="10">
                  <c:v>5810</c:v>
                </c:pt>
                <c:pt idx="11">
                  <c:v>7272</c:v>
                </c:pt>
                <c:pt idx="12">
                  <c:v>6244</c:v>
                </c:pt>
              </c:numCache>
            </c:numRef>
          </c:val>
          <c:extLst xmlns:c16r2="http://schemas.microsoft.com/office/drawing/2015/06/chart">
            <c:ext xmlns:c16="http://schemas.microsoft.com/office/drawing/2014/chart" uri="{C3380CC4-5D6E-409C-BE32-E72D297353CC}">
              <c16:uniqueId val="{00000001-907E-471A-A250-BBAF8D16AC0B}"/>
            </c:ext>
          </c:extLst>
        </c:ser>
        <c:ser>
          <c:idx val="2"/>
          <c:order val="2"/>
          <c:tx>
            <c:strRef>
              <c:f>'Graf-investice'!$A$323</c:f>
              <c:strCache>
                <c:ptCount val="1"/>
                <c:pt idx="0">
                  <c:v>Prostředky ICT</c:v>
                </c:pt>
              </c:strCache>
            </c:strRef>
          </c:tx>
          <c:spPr>
            <a:ln w="22225">
              <a:solidFill>
                <a:srgbClr val="BD1B21"/>
              </a:solidFill>
            </a:ln>
          </c:spPr>
          <c:marker>
            <c:symbol val="none"/>
          </c:marker>
          <c:cat>
            <c:strRef>
              <c:f>'Graf-investice'!$G$320:$S$320</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'Graf-investice'!$G$323:$S$323</c:f>
              <c:numCache>
                <c:formatCode>#,##0</c:formatCode>
                <c:ptCount val="13"/>
                <c:pt idx="0">
                  <c:v>14301</c:v>
                </c:pt>
                <c:pt idx="1">
                  <c:v>17511</c:v>
                </c:pt>
                <c:pt idx="2">
                  <c:v>21851</c:v>
                </c:pt>
                <c:pt idx="3">
                  <c:v>23176</c:v>
                </c:pt>
                <c:pt idx="4">
                  <c:v>20170</c:v>
                </c:pt>
                <c:pt idx="5">
                  <c:v>23972</c:v>
                </c:pt>
                <c:pt idx="6">
                  <c:v>30723</c:v>
                </c:pt>
                <c:pt idx="7">
                  <c:v>36153</c:v>
                </c:pt>
                <c:pt idx="8">
                  <c:v>38543</c:v>
                </c:pt>
                <c:pt idx="9">
                  <c:v>45012</c:v>
                </c:pt>
                <c:pt idx="10">
                  <c:v>49816</c:v>
                </c:pt>
                <c:pt idx="11">
                  <c:v>54306</c:v>
                </c:pt>
                <c:pt idx="12">
                  <c:v>54051</c:v>
                </c:pt>
              </c:numCache>
            </c:numRef>
          </c:val>
          <c:extLst xmlns:c16r2="http://schemas.microsoft.com/office/drawing/2015/06/chart">
            <c:ext xmlns:c16="http://schemas.microsoft.com/office/drawing/2014/chart" uri="{C3380CC4-5D6E-409C-BE32-E72D297353CC}">
              <c16:uniqueId val="{00000002-907E-471A-A250-BBAF8D16AC0B}"/>
            </c:ext>
          </c:extLst>
        </c:ser>
        <c:ser>
          <c:idx val="3"/>
          <c:order val="3"/>
          <c:tx>
            <c:strRef>
              <c:f>'Graf-investice'!$A$324</c:f>
              <c:strCache>
                <c:ptCount val="1"/>
                <c:pt idx="0">
                  <c:v>Ostatní stroje a zařízení</c:v>
                </c:pt>
              </c:strCache>
            </c:strRef>
          </c:tx>
          <c:spPr>
            <a:ln w="22225">
              <a:solidFill>
                <a:srgbClr val="F8A124"/>
              </a:solidFill>
            </a:ln>
          </c:spPr>
          <c:marker>
            <c:symbol val="none"/>
          </c:marker>
          <c:cat>
            <c:strRef>
              <c:f>'Graf-investice'!$G$320:$S$320</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'Graf-investice'!$G$324:$S$324</c:f>
              <c:numCache>
                <c:formatCode>#,##0</c:formatCode>
                <c:ptCount val="13"/>
                <c:pt idx="0">
                  <c:v>114510</c:v>
                </c:pt>
                <c:pt idx="1">
                  <c:v>122442</c:v>
                </c:pt>
                <c:pt idx="2">
                  <c:v>146686</c:v>
                </c:pt>
                <c:pt idx="3">
                  <c:v>149524</c:v>
                </c:pt>
                <c:pt idx="4">
                  <c:v>106422</c:v>
                </c:pt>
                <c:pt idx="5">
                  <c:v>90552</c:v>
                </c:pt>
                <c:pt idx="6">
                  <c:v>111729</c:v>
                </c:pt>
                <c:pt idx="7">
                  <c:v>114205</c:v>
                </c:pt>
                <c:pt idx="8">
                  <c:v>116350</c:v>
                </c:pt>
                <c:pt idx="9">
                  <c:v>128936</c:v>
                </c:pt>
                <c:pt idx="10">
                  <c:v>147344</c:v>
                </c:pt>
                <c:pt idx="11">
                  <c:v>139989</c:v>
                </c:pt>
                <c:pt idx="12">
                  <c:v>138116</c:v>
                </c:pt>
              </c:numCache>
            </c:numRef>
          </c:val>
          <c:extLst xmlns:c16r2="http://schemas.microsoft.com/office/drawing/2015/06/chart">
            <c:ext xmlns:c16="http://schemas.microsoft.com/office/drawing/2014/chart" uri="{C3380CC4-5D6E-409C-BE32-E72D297353CC}">
              <c16:uniqueId val="{00000003-907E-471A-A250-BBAF8D16AC0B}"/>
            </c:ext>
          </c:extLst>
        </c:ser>
        <c:ser>
          <c:idx val="4"/>
          <c:order val="4"/>
          <c:tx>
            <c:strRef>
              <c:f>'Graf-investice'!$A$325</c:f>
              <c:strCache>
                <c:ptCount val="1"/>
                <c:pt idx="0">
                  <c:v>Výzkum a vývoj</c:v>
                </c:pt>
              </c:strCache>
            </c:strRef>
          </c:tx>
          <c:spPr>
            <a:ln w="22225">
              <a:solidFill>
                <a:srgbClr val="7DBB2D"/>
              </a:solidFill>
            </a:ln>
          </c:spPr>
          <c:marker>
            <c:symbol val="none"/>
          </c:marker>
          <c:cat>
            <c:strRef>
              <c:f>'Graf-investice'!$G$320:$S$320</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'Graf-investice'!$G$325:$S$325</c:f>
              <c:numCache>
                <c:formatCode>#,##0</c:formatCode>
                <c:ptCount val="13"/>
                <c:pt idx="0">
                  <c:v>21137</c:v>
                </c:pt>
                <c:pt idx="1">
                  <c:v>21918</c:v>
                </c:pt>
                <c:pt idx="2">
                  <c:v>23294</c:v>
                </c:pt>
                <c:pt idx="3">
                  <c:v>23168</c:v>
                </c:pt>
                <c:pt idx="4">
                  <c:v>24285</c:v>
                </c:pt>
                <c:pt idx="5">
                  <c:v>24119</c:v>
                </c:pt>
                <c:pt idx="6">
                  <c:v>25074</c:v>
                </c:pt>
                <c:pt idx="7">
                  <c:v>31891</c:v>
                </c:pt>
                <c:pt idx="8">
                  <c:v>27297</c:v>
                </c:pt>
                <c:pt idx="9">
                  <c:v>28413</c:v>
                </c:pt>
                <c:pt idx="10">
                  <c:v>30514</c:v>
                </c:pt>
                <c:pt idx="11">
                  <c:v>30981</c:v>
                </c:pt>
                <c:pt idx="12">
                  <c:v>33770</c:v>
                </c:pt>
              </c:numCache>
            </c:numRef>
          </c:val>
          <c:extLst xmlns:c16r2="http://schemas.microsoft.com/office/drawing/2015/06/chart">
            <c:ext xmlns:c16="http://schemas.microsoft.com/office/drawing/2014/chart" uri="{C3380CC4-5D6E-409C-BE32-E72D297353CC}">
              <c16:uniqueId val="{00000004-907E-471A-A250-BBAF8D16AC0B}"/>
            </c:ext>
          </c:extLst>
        </c:ser>
        <c:ser>
          <c:idx val="5"/>
          <c:order val="5"/>
          <c:tx>
            <c:strRef>
              <c:f>'Graf-investice'!$A$326</c:f>
              <c:strCache>
                <c:ptCount val="1"/>
                <c:pt idx="0">
                  <c:v>Software a databáze</c:v>
                </c:pt>
              </c:strCache>
            </c:strRef>
          </c:tx>
          <c:spPr>
            <a:ln w="22225">
              <a:solidFill>
                <a:srgbClr val="A6A6A6"/>
              </a:solidFill>
            </a:ln>
          </c:spPr>
          <c:marker>
            <c:symbol val="none"/>
          </c:marker>
          <c:cat>
            <c:strRef>
              <c:f>'Graf-investice'!$G$320:$S$320</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'Graf-investice'!$G$326:$S$326</c:f>
              <c:numCache>
                <c:formatCode>#,##0</c:formatCode>
                <c:ptCount val="13"/>
                <c:pt idx="0">
                  <c:v>7923</c:v>
                </c:pt>
                <c:pt idx="1">
                  <c:v>8561</c:v>
                </c:pt>
                <c:pt idx="2">
                  <c:v>8258</c:v>
                </c:pt>
                <c:pt idx="3">
                  <c:v>9819</c:v>
                </c:pt>
                <c:pt idx="4">
                  <c:v>8024</c:v>
                </c:pt>
                <c:pt idx="5">
                  <c:v>7305</c:v>
                </c:pt>
                <c:pt idx="6">
                  <c:v>6989</c:v>
                </c:pt>
                <c:pt idx="7">
                  <c:v>7532</c:v>
                </c:pt>
                <c:pt idx="8">
                  <c:v>7467</c:v>
                </c:pt>
                <c:pt idx="9">
                  <c:v>9430</c:v>
                </c:pt>
                <c:pt idx="10">
                  <c:v>11606</c:v>
                </c:pt>
                <c:pt idx="11">
                  <c:v>12231</c:v>
                </c:pt>
                <c:pt idx="12">
                  <c:v>12954</c:v>
                </c:pt>
              </c:numCache>
            </c:numRef>
          </c:val>
          <c:extLst xmlns:c16r2="http://schemas.microsoft.com/office/drawing/2015/06/chart">
            <c:ext xmlns:c16="http://schemas.microsoft.com/office/drawing/2014/chart" uri="{C3380CC4-5D6E-409C-BE32-E72D297353CC}">
              <c16:uniqueId val="{00000005-907E-471A-A250-BBAF8D16AC0B}"/>
            </c:ext>
          </c:extLst>
        </c:ser>
        <c:marker val="1"/>
        <c:axId val="134273664"/>
        <c:axId val="134291840"/>
      </c:lineChart>
      <c:catAx>
        <c:axId val="134273664"/>
        <c:scaling>
          <c:orientation val="minMax"/>
        </c:scaling>
        <c:axPos val="b"/>
        <c:numFmt formatCode="General" sourceLinked="1"/>
        <c:majorTickMark val="none"/>
        <c:tickLblPos val="nextTo"/>
        <c:txPr>
          <a:bodyPr/>
          <a:lstStyle/>
          <a:p>
            <a:pPr>
              <a:defRPr sz="800">
                <a:latin typeface="Arial" pitchFamily="34" charset="0"/>
                <a:cs typeface="Arial" pitchFamily="34" charset="0"/>
              </a:defRPr>
            </a:pPr>
            <a:endParaRPr lang="cs-CZ"/>
          </a:p>
        </c:txPr>
        <c:crossAx val="134291840"/>
        <c:crosses val="autoZero"/>
        <c:auto val="1"/>
        <c:lblAlgn val="ctr"/>
        <c:lblOffset val="20"/>
      </c:catAx>
      <c:valAx>
        <c:axId val="134291840"/>
        <c:scaling>
          <c:orientation val="minMax"/>
        </c:scaling>
        <c:axPos val="l"/>
        <c:majorGridlines>
          <c:spPr>
            <a:ln w="9525">
              <a:solidFill>
                <a:srgbClr val="BFBFBF"/>
              </a:solidFill>
            </a:ln>
          </c:spPr>
        </c:majorGridlines>
        <c:numFmt formatCode="#,##0" sourceLinked="1"/>
        <c:tickLblPos val="nextTo"/>
        <c:txPr>
          <a:bodyPr/>
          <a:lstStyle/>
          <a:p>
            <a:pPr>
              <a:defRPr sz="800">
                <a:latin typeface="Arial" pitchFamily="34" charset="0"/>
                <a:cs typeface="Arial" pitchFamily="34" charset="0"/>
              </a:defRPr>
            </a:pPr>
            <a:endParaRPr lang="cs-CZ"/>
          </a:p>
        </c:txPr>
        <c:crossAx val="134273664"/>
        <c:crosses val="autoZero"/>
        <c:crossBetween val="between"/>
      </c:valAx>
      <c:spPr>
        <a:ln>
          <a:solidFill>
            <a:sysClr val="windowText" lastClr="000000">
              <a:lumMod val="95000"/>
              <a:lumOff val="5000"/>
            </a:sysClr>
          </a:solidFill>
        </a:ln>
      </c:spPr>
    </c:plotArea>
    <c:legend>
      <c:legendPos val="r"/>
      <c:layout>
        <c:manualLayout>
          <c:xMode val="edge"/>
          <c:yMode val="edge"/>
          <c:x val="0.10133592612664309"/>
          <c:y val="0.87050430193552009"/>
          <c:w val="0.88246974188954508"/>
          <c:h val="0.11817143177958372"/>
        </c:manualLayout>
      </c:layout>
      <c:spPr>
        <a:ln>
          <a:solidFill>
            <a:schemeClr val="tx1">
              <a:lumMod val="95000"/>
              <a:lumOff val="5000"/>
            </a:schemeClr>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43.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5.340225924121491E-2"/>
          <c:y val="1.6434241361665387E-2"/>
          <c:w val="0.93179896008611662"/>
          <c:h val="0.71612175772188802"/>
        </c:manualLayout>
      </c:layout>
      <c:barChart>
        <c:barDir val="col"/>
        <c:grouping val="stacked"/>
        <c:ser>
          <c:idx val="0"/>
          <c:order val="0"/>
          <c:tx>
            <c:strRef>
              <c:f>'GRAF-příspěvky'!$A$35</c:f>
              <c:strCache>
                <c:ptCount val="1"/>
                <c:pt idx="0">
                  <c:v>Těžba a dobývání (5-9)</c:v>
                </c:pt>
              </c:strCache>
            </c:strRef>
          </c:tx>
          <c:spPr>
            <a:solidFill>
              <a:schemeClr val="tx1">
                <a:lumMod val="95000"/>
                <a:lumOff val="5000"/>
              </a:schemeClr>
            </a:solidFill>
            <a:ln>
              <a:noFill/>
            </a:ln>
          </c:spPr>
          <c:cat>
            <c:numRef>
              <c:f>'GRAF-příspěvky'!$M$34:$Y$34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'GRAF-příspěvky'!$M$35:$Y$35</c:f>
              <c:numCache>
                <c:formatCode>0.0</c:formatCode>
                <c:ptCount val="13"/>
                <c:pt idx="0">
                  <c:v>-0.53872284220048805</c:v>
                </c:pt>
                <c:pt idx="1">
                  <c:v>0.53918285426628643</c:v>
                </c:pt>
                <c:pt idx="2">
                  <c:v>-0.14355260812137871</c:v>
                </c:pt>
                <c:pt idx="3">
                  <c:v>-0.46428991126498154</c:v>
                </c:pt>
                <c:pt idx="4">
                  <c:v>-0.41406584503476568</c:v>
                </c:pt>
                <c:pt idx="5">
                  <c:v>-0.15394318782152167</c:v>
                </c:pt>
                <c:pt idx="6">
                  <c:v>-0.23277299398856663</c:v>
                </c:pt>
                <c:pt idx="7">
                  <c:v>-6.5491516548341941E-2</c:v>
                </c:pt>
                <c:pt idx="8">
                  <c:v>-0.74142780721283463</c:v>
                </c:pt>
                <c:pt idx="9">
                  <c:v>0.87270315570301593</c:v>
                </c:pt>
                <c:pt idx="10">
                  <c:v>-7.4590905275029179E-2</c:v>
                </c:pt>
                <c:pt idx="11">
                  <c:v>-0.36650357574404629</c:v>
                </c:pt>
                <c:pt idx="12">
                  <c:v>-0.20914187152791774</c:v>
                </c:pt>
              </c:numCache>
            </c:numRef>
          </c:val>
          <c:extLst xmlns:c16r2="http://schemas.microsoft.com/office/drawing/2015/06/chart">
            <c:ext xmlns:c16="http://schemas.microsoft.com/office/drawing/2014/chart" uri="{C3380CC4-5D6E-409C-BE32-E72D297353CC}">
              <c16:uniqueId val="{00000000-C9A0-428A-B327-137E56B968BC}"/>
            </c:ext>
          </c:extLst>
        </c:ser>
        <c:ser>
          <c:idx val="1"/>
          <c:order val="1"/>
          <c:tx>
            <c:strRef>
              <c:f>'GRAF-příspěvky'!$A$36</c:f>
              <c:strCache>
                <c:ptCount val="1"/>
                <c:pt idx="0">
                  <c:v>Potrativny, nápoje, tabák (10 až 12)</c:v>
                </c:pt>
              </c:strCache>
            </c:strRef>
          </c:tx>
          <c:spPr>
            <a:solidFill>
              <a:srgbClr val="0085BC"/>
            </a:solidFill>
            <a:ln>
              <a:noFill/>
            </a:ln>
          </c:spPr>
          <c:cat>
            <c:numRef>
              <c:f>'GRAF-příspěvky'!$M$34:$Y$34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'GRAF-příspěvky'!$M$36:$Y$36</c:f>
              <c:numCache>
                <c:formatCode>0.0</c:formatCode>
                <c:ptCount val="13"/>
                <c:pt idx="0">
                  <c:v>1.4053331953594053</c:v>
                </c:pt>
                <c:pt idx="1">
                  <c:v>0.9376960229227107</c:v>
                </c:pt>
                <c:pt idx="2">
                  <c:v>-0.80404483138000171</c:v>
                </c:pt>
                <c:pt idx="3">
                  <c:v>-0.36180150412483053</c:v>
                </c:pt>
                <c:pt idx="4">
                  <c:v>-0.16026938606572386</c:v>
                </c:pt>
                <c:pt idx="5">
                  <c:v>0.26334719011453905</c:v>
                </c:pt>
                <c:pt idx="6">
                  <c:v>0.54060129260276124</c:v>
                </c:pt>
                <c:pt idx="7">
                  <c:v>-0.43814454106005113</c:v>
                </c:pt>
                <c:pt idx="8">
                  <c:v>-0.44041740303350752</c:v>
                </c:pt>
                <c:pt idx="9">
                  <c:v>9.7133805366165948E-2</c:v>
                </c:pt>
                <c:pt idx="10">
                  <c:v>0.29564730498801761</c:v>
                </c:pt>
                <c:pt idx="11">
                  <c:v>0.46036409352952667</c:v>
                </c:pt>
                <c:pt idx="12">
                  <c:v>0.74941220415203347</c:v>
                </c:pt>
              </c:numCache>
            </c:numRef>
          </c:val>
          <c:extLst xmlns:c16r2="http://schemas.microsoft.com/office/drawing/2015/06/chart">
            <c:ext xmlns:c16="http://schemas.microsoft.com/office/drawing/2014/chart" uri="{C3380CC4-5D6E-409C-BE32-E72D297353CC}">
              <c16:uniqueId val="{00000001-C9A0-428A-B327-137E56B968BC}"/>
            </c:ext>
          </c:extLst>
        </c:ser>
        <c:ser>
          <c:idx val="2"/>
          <c:order val="2"/>
          <c:tx>
            <c:strRef>
              <c:f>'GRAF-příspěvky'!$A$37</c:f>
              <c:strCache>
                <c:ptCount val="1"/>
                <c:pt idx="0">
                  <c:v>(Petro)chemie, farmacie (19 až 21)</c:v>
                </c:pt>
              </c:strCache>
            </c:strRef>
          </c:tx>
          <c:spPr>
            <a:solidFill>
              <a:srgbClr val="BCA6E8"/>
            </a:solidFill>
            <a:ln>
              <a:noFill/>
            </a:ln>
          </c:spPr>
          <c:cat>
            <c:numRef>
              <c:f>'GRAF-příspěvky'!$M$34:$Y$34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'GRAF-příspěvky'!$M$37:$Y$37</c:f>
              <c:numCache>
                <c:formatCode>0.0</c:formatCode>
                <c:ptCount val="13"/>
                <c:pt idx="0">
                  <c:v>0.84070664344364265</c:v>
                </c:pt>
                <c:pt idx="1">
                  <c:v>1.7544123925907402</c:v>
                </c:pt>
                <c:pt idx="2">
                  <c:v>-0.19494440400641982</c:v>
                </c:pt>
                <c:pt idx="3">
                  <c:v>1.3466042033524441</c:v>
                </c:pt>
                <c:pt idx="4">
                  <c:v>0.44999660955752507</c:v>
                </c:pt>
                <c:pt idx="5">
                  <c:v>-0.77634480717281096</c:v>
                </c:pt>
                <c:pt idx="6">
                  <c:v>-0.28155078742030881</c:v>
                </c:pt>
                <c:pt idx="7">
                  <c:v>0.18703339234761801</c:v>
                </c:pt>
                <c:pt idx="8">
                  <c:v>-5.0556931676338984E-2</c:v>
                </c:pt>
                <c:pt idx="9">
                  <c:v>1.1306864792451481</c:v>
                </c:pt>
                <c:pt idx="10">
                  <c:v>-0.33244183339062411</c:v>
                </c:pt>
                <c:pt idx="11">
                  <c:v>-0.32787636670419229</c:v>
                </c:pt>
                <c:pt idx="12">
                  <c:v>0.68263704311332962</c:v>
                </c:pt>
              </c:numCache>
            </c:numRef>
          </c:val>
          <c:extLst xmlns:c16r2="http://schemas.microsoft.com/office/drawing/2015/06/chart">
            <c:ext xmlns:c16="http://schemas.microsoft.com/office/drawing/2014/chart" uri="{C3380CC4-5D6E-409C-BE32-E72D297353CC}">
              <c16:uniqueId val="{00000002-C9A0-428A-B327-137E56B968BC}"/>
            </c:ext>
          </c:extLst>
        </c:ser>
        <c:ser>
          <c:idx val="3"/>
          <c:order val="3"/>
          <c:tx>
            <c:strRef>
              <c:f>'GRAF-příspěvky'!$A$38</c:f>
              <c:strCache>
                <c:ptCount val="1"/>
                <c:pt idx="0">
                  <c:v>Hutnictví a kovovýroba (24+25)</c:v>
                </c:pt>
              </c:strCache>
            </c:strRef>
          </c:tx>
          <c:spPr>
            <a:solidFill>
              <a:srgbClr val="48AEE7"/>
            </a:solidFill>
            <a:ln>
              <a:noFill/>
            </a:ln>
          </c:spPr>
          <c:cat>
            <c:numRef>
              <c:f>'GRAF-příspěvky'!$M$34:$Y$34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'GRAF-příspěvky'!$M$38:$Y$38</c:f>
              <c:numCache>
                <c:formatCode>0.0</c:formatCode>
                <c:ptCount val="13"/>
                <c:pt idx="0">
                  <c:v>1.9134998941941563</c:v>
                </c:pt>
                <c:pt idx="1">
                  <c:v>1.5203093998185131</c:v>
                </c:pt>
                <c:pt idx="2">
                  <c:v>-0.89000237375045121</c:v>
                </c:pt>
                <c:pt idx="3">
                  <c:v>-1.1214380405391837</c:v>
                </c:pt>
                <c:pt idx="4">
                  <c:v>-1.5654139642198261</c:v>
                </c:pt>
                <c:pt idx="5">
                  <c:v>1.4285895869942342</c:v>
                </c:pt>
                <c:pt idx="6">
                  <c:v>0.72086087679408295</c:v>
                </c:pt>
                <c:pt idx="7">
                  <c:v>4.3504896285663695E-2</c:v>
                </c:pt>
                <c:pt idx="8">
                  <c:v>0.47315481623638278</c:v>
                </c:pt>
                <c:pt idx="9">
                  <c:v>0.93972641590032369</c:v>
                </c:pt>
                <c:pt idx="10">
                  <c:v>1.036920531637028</c:v>
                </c:pt>
                <c:pt idx="11">
                  <c:v>0.67273005482231163</c:v>
                </c:pt>
                <c:pt idx="12">
                  <c:v>0.20579966382369624</c:v>
                </c:pt>
              </c:numCache>
            </c:numRef>
          </c:val>
          <c:extLst xmlns:c16r2="http://schemas.microsoft.com/office/drawing/2015/06/chart">
            <c:ext xmlns:c16="http://schemas.microsoft.com/office/drawing/2014/chart" uri="{C3380CC4-5D6E-409C-BE32-E72D297353CC}">
              <c16:uniqueId val="{00000003-C9A0-428A-B327-137E56B968BC}"/>
            </c:ext>
          </c:extLst>
        </c:ser>
        <c:ser>
          <c:idx val="4"/>
          <c:order val="4"/>
          <c:tx>
            <c:strRef>
              <c:f>'GRAF-příspěvky'!$A$39</c:f>
              <c:strCache>
                <c:ptCount val="1"/>
                <c:pt idx="0">
                  <c:v>Výroba PC, elektronic. a optic. přístr.(26)</c:v>
                </c:pt>
              </c:strCache>
            </c:strRef>
          </c:tx>
          <c:spPr>
            <a:solidFill>
              <a:srgbClr val="FDDEB3"/>
            </a:solidFill>
            <a:ln>
              <a:noFill/>
            </a:ln>
          </c:spPr>
          <c:cat>
            <c:numRef>
              <c:f>'GRAF-příspěvky'!$M$34:$Y$34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'GRAF-příspěvky'!$M$39:$Y$39</c:f>
              <c:numCache>
                <c:formatCode>0.0</c:formatCode>
                <c:ptCount val="13"/>
                <c:pt idx="0">
                  <c:v>1.012720535400772</c:v>
                </c:pt>
                <c:pt idx="1">
                  <c:v>1.1858100206055517</c:v>
                </c:pt>
                <c:pt idx="2">
                  <c:v>1.1519771568379282</c:v>
                </c:pt>
                <c:pt idx="3">
                  <c:v>6.3500762580769365E-2</c:v>
                </c:pt>
                <c:pt idx="4">
                  <c:v>-0.61924890691254064</c:v>
                </c:pt>
                <c:pt idx="5">
                  <c:v>1.8947359842935774</c:v>
                </c:pt>
                <c:pt idx="6">
                  <c:v>0.18855084620042634</c:v>
                </c:pt>
                <c:pt idx="7">
                  <c:v>0.37317017130766544</c:v>
                </c:pt>
                <c:pt idx="8">
                  <c:v>-0.68346489361890062</c:v>
                </c:pt>
                <c:pt idx="9">
                  <c:v>0.58792018129723866</c:v>
                </c:pt>
                <c:pt idx="10">
                  <c:v>0.39512396785848886</c:v>
                </c:pt>
                <c:pt idx="11">
                  <c:v>0.46107292623011792</c:v>
                </c:pt>
                <c:pt idx="12">
                  <c:v>0.71790852928359883</c:v>
                </c:pt>
              </c:numCache>
            </c:numRef>
          </c:val>
          <c:extLst xmlns:c16r2="http://schemas.microsoft.com/office/drawing/2015/06/chart">
            <c:ext xmlns:c16="http://schemas.microsoft.com/office/drawing/2014/chart" uri="{C3380CC4-5D6E-409C-BE32-E72D297353CC}">
              <c16:uniqueId val="{00000004-C9A0-428A-B327-137E56B968BC}"/>
            </c:ext>
          </c:extLst>
        </c:ser>
        <c:ser>
          <c:idx val="5"/>
          <c:order val="5"/>
          <c:tx>
            <c:strRef>
              <c:f>'GRAF-příspěvky'!$A$40</c:f>
              <c:strCache>
                <c:ptCount val="1"/>
                <c:pt idx="0">
                  <c:v>Strojírenství, oprava strojů a zaříz. (28+33)</c:v>
                </c:pt>
              </c:strCache>
            </c:strRef>
          </c:tx>
          <c:spPr>
            <a:solidFill>
              <a:srgbClr val="F8A124"/>
            </a:solidFill>
            <a:ln>
              <a:noFill/>
            </a:ln>
          </c:spPr>
          <c:cat>
            <c:numRef>
              <c:f>'GRAF-příspěvky'!$M$34:$Y$34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'GRAF-příspěvky'!$M$40:$Y$40</c:f>
              <c:numCache>
                <c:formatCode>0.0</c:formatCode>
                <c:ptCount val="13"/>
                <c:pt idx="0">
                  <c:v>2.0266197012787384</c:v>
                </c:pt>
                <c:pt idx="1">
                  <c:v>2.7357762240205807</c:v>
                </c:pt>
                <c:pt idx="2">
                  <c:v>1.9779166350659079</c:v>
                </c:pt>
                <c:pt idx="3">
                  <c:v>1.1113761454579738</c:v>
                </c:pt>
                <c:pt idx="4">
                  <c:v>-2.2289409930914226</c:v>
                </c:pt>
                <c:pt idx="5">
                  <c:v>0.97258802084699358</c:v>
                </c:pt>
                <c:pt idx="6">
                  <c:v>1.2006300668693792</c:v>
                </c:pt>
                <c:pt idx="7">
                  <c:v>0.33089166188734792</c:v>
                </c:pt>
                <c:pt idx="8">
                  <c:v>-0.14499432386958541</c:v>
                </c:pt>
                <c:pt idx="9">
                  <c:v>0.26962857140340923</c:v>
                </c:pt>
                <c:pt idx="10">
                  <c:v>-2.7015061781973607E-3</c:v>
                </c:pt>
                <c:pt idx="11">
                  <c:v>-0.27304781519069082</c:v>
                </c:pt>
                <c:pt idx="12">
                  <c:v>0.80089581097956986</c:v>
                </c:pt>
              </c:numCache>
            </c:numRef>
          </c:val>
          <c:extLst xmlns:c16r2="http://schemas.microsoft.com/office/drawing/2015/06/chart">
            <c:ext xmlns:c16="http://schemas.microsoft.com/office/drawing/2014/chart" uri="{C3380CC4-5D6E-409C-BE32-E72D297353CC}">
              <c16:uniqueId val="{00000005-C9A0-428A-B327-137E56B968BC}"/>
            </c:ext>
          </c:extLst>
        </c:ser>
        <c:ser>
          <c:idx val="6"/>
          <c:order val="6"/>
          <c:tx>
            <c:strRef>
              <c:f>'GRAF-příspěvky'!$A$41</c:f>
              <c:strCache>
                <c:ptCount val="1"/>
                <c:pt idx="0">
                  <c:v>Výroba dopravních prostředků (29+30)</c:v>
                </c:pt>
              </c:strCache>
            </c:strRef>
          </c:tx>
          <c:spPr>
            <a:solidFill>
              <a:srgbClr val="BD1B21"/>
            </a:solidFill>
            <a:ln>
              <a:noFill/>
            </a:ln>
          </c:spPr>
          <c:cat>
            <c:numRef>
              <c:f>'GRAF-příspěvky'!$M$34:$Y$34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'GRAF-příspěvky'!$M$41:$Y$41</c:f>
              <c:numCache>
                <c:formatCode>0.0</c:formatCode>
                <c:ptCount val="13"/>
                <c:pt idx="0">
                  <c:v>2.568039196991859</c:v>
                </c:pt>
                <c:pt idx="1">
                  <c:v>3.9491850054544071</c:v>
                </c:pt>
                <c:pt idx="2">
                  <c:v>2.483228911295603</c:v>
                </c:pt>
                <c:pt idx="3">
                  <c:v>3.2597169655632627</c:v>
                </c:pt>
                <c:pt idx="4">
                  <c:v>-2.8794752299556357</c:v>
                </c:pt>
                <c:pt idx="5">
                  <c:v>3.8042370277672655</c:v>
                </c:pt>
                <c:pt idx="6">
                  <c:v>3.8737527185804002</c:v>
                </c:pt>
                <c:pt idx="7">
                  <c:v>-1.9820842075640399</c:v>
                </c:pt>
                <c:pt idx="8">
                  <c:v>-0.77761794963692255</c:v>
                </c:pt>
                <c:pt idx="9">
                  <c:v>0.50891750992845053</c:v>
                </c:pt>
                <c:pt idx="10">
                  <c:v>1.185051470460122</c:v>
                </c:pt>
                <c:pt idx="11">
                  <c:v>1.6496943079087436</c:v>
                </c:pt>
                <c:pt idx="12">
                  <c:v>3.1848208707625738</c:v>
                </c:pt>
              </c:numCache>
            </c:numRef>
          </c:val>
          <c:extLst xmlns:c16r2="http://schemas.microsoft.com/office/drawing/2015/06/chart">
            <c:ext xmlns:c16="http://schemas.microsoft.com/office/drawing/2014/chart" uri="{C3380CC4-5D6E-409C-BE32-E72D297353CC}">
              <c16:uniqueId val="{00000006-C9A0-428A-B327-137E56B968BC}"/>
            </c:ext>
          </c:extLst>
        </c:ser>
        <c:ser>
          <c:idx val="7"/>
          <c:order val="7"/>
          <c:tx>
            <c:strRef>
              <c:f>'GRAF-příspěvky'!$A$42</c:f>
              <c:strCache>
                <c:ptCount val="1"/>
                <c:pt idx="0">
                  <c:v>Gumárenství, plastik., elektrotech. (22+27)</c:v>
                </c:pt>
              </c:strCache>
            </c:strRef>
          </c:tx>
          <c:spPr>
            <a:solidFill>
              <a:srgbClr val="E8AFB2"/>
            </a:solidFill>
            <a:ln w="28575">
              <a:noFill/>
            </a:ln>
          </c:spPr>
          <c:cat>
            <c:numRef>
              <c:f>'GRAF-příspěvky'!$M$34:$Y$34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'GRAF-příspěvky'!$M$42:$Y$42</c:f>
              <c:numCache>
                <c:formatCode>0.0</c:formatCode>
                <c:ptCount val="13"/>
                <c:pt idx="0">
                  <c:v>1.2090077970760378</c:v>
                </c:pt>
                <c:pt idx="1">
                  <c:v>2.8559931336695619</c:v>
                </c:pt>
                <c:pt idx="2">
                  <c:v>1.3408928256593546</c:v>
                </c:pt>
                <c:pt idx="3">
                  <c:v>1.1212828041210325</c:v>
                </c:pt>
                <c:pt idx="4">
                  <c:v>-0.2940746513788583</c:v>
                </c:pt>
                <c:pt idx="5">
                  <c:v>1.327517356882993</c:v>
                </c:pt>
                <c:pt idx="6">
                  <c:v>1.4314956927236566</c:v>
                </c:pt>
                <c:pt idx="7">
                  <c:v>-0.6148943976802832</c:v>
                </c:pt>
                <c:pt idx="8">
                  <c:v>-7.8026048406887774E-2</c:v>
                </c:pt>
                <c:pt idx="9">
                  <c:v>1.0306056247594417</c:v>
                </c:pt>
                <c:pt idx="10">
                  <c:v>0.96491122751385483</c:v>
                </c:pt>
                <c:pt idx="11">
                  <c:v>-0.21091137673852794</c:v>
                </c:pt>
                <c:pt idx="12">
                  <c:v>1.545197036668118</c:v>
                </c:pt>
              </c:numCache>
            </c:numRef>
          </c:val>
          <c:extLst xmlns:c16r2="http://schemas.microsoft.com/office/drawing/2015/06/chart">
            <c:ext xmlns:c16="http://schemas.microsoft.com/office/drawing/2014/chart" uri="{C3380CC4-5D6E-409C-BE32-E72D297353CC}">
              <c16:uniqueId val="{00000007-C9A0-428A-B327-137E56B968BC}"/>
            </c:ext>
          </c:extLst>
        </c:ser>
        <c:ser>
          <c:idx val="8"/>
          <c:order val="8"/>
          <c:tx>
            <c:strRef>
              <c:f>'GRAF-příspěvky'!$A$43</c:f>
              <c:strCache>
                <c:ptCount val="1"/>
                <c:pt idx="0">
                  <c:v>Energetika a vodní hospodářství (35 až 39)</c:v>
                </c:pt>
              </c:strCache>
            </c:strRef>
          </c:tx>
          <c:spPr>
            <a:solidFill>
              <a:srgbClr val="7DBB2D"/>
            </a:solidFill>
            <a:ln w="28575">
              <a:noFill/>
            </a:ln>
          </c:spPr>
          <c:cat>
            <c:numRef>
              <c:f>'GRAF-příspěvky'!$M$34:$Y$34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'GRAF-příspěvky'!$M$43:$Y$43</c:f>
              <c:numCache>
                <c:formatCode>0.0</c:formatCode>
                <c:ptCount val="13"/>
                <c:pt idx="0">
                  <c:v>3.5891082777369618E-2</c:v>
                </c:pt>
                <c:pt idx="1">
                  <c:v>7.7036339791629813E-2</c:v>
                </c:pt>
                <c:pt idx="2">
                  <c:v>5.4916175090197403E-2</c:v>
                </c:pt>
                <c:pt idx="3">
                  <c:v>1.8082793965365589</c:v>
                </c:pt>
                <c:pt idx="4">
                  <c:v>-1.6249672183841142</c:v>
                </c:pt>
                <c:pt idx="5">
                  <c:v>-1.968625443523158</c:v>
                </c:pt>
                <c:pt idx="6">
                  <c:v>-1.1278223086403976</c:v>
                </c:pt>
                <c:pt idx="7">
                  <c:v>-0.20071707697623831</c:v>
                </c:pt>
                <c:pt idx="8">
                  <c:v>-1.5812725654873621</c:v>
                </c:pt>
                <c:pt idx="9">
                  <c:v>-0.70395226943039868</c:v>
                </c:pt>
                <c:pt idx="10">
                  <c:v>-9.0081700148733124E-2</c:v>
                </c:pt>
                <c:pt idx="11">
                  <c:v>-0.63514673295572521</c:v>
                </c:pt>
                <c:pt idx="12">
                  <c:v>0.30632465549253246</c:v>
                </c:pt>
              </c:numCache>
            </c:numRef>
          </c:val>
          <c:extLst xmlns:c16r2="http://schemas.microsoft.com/office/drawing/2015/06/chart">
            <c:ext xmlns:c16="http://schemas.microsoft.com/office/drawing/2014/chart" uri="{C3380CC4-5D6E-409C-BE32-E72D297353CC}">
              <c16:uniqueId val="{00000008-C9A0-428A-B327-137E56B968BC}"/>
            </c:ext>
          </c:extLst>
        </c:ser>
        <c:ser>
          <c:idx val="9"/>
          <c:order val="9"/>
          <c:tx>
            <c:strRef>
              <c:f>'GRAF-příspěvky'!$A$44</c:f>
              <c:strCache>
                <c:ptCount val="1"/>
                <c:pt idx="0">
                  <c:v>Ostatní průmyslová odvětví</c:v>
                </c:pt>
              </c:strCache>
            </c:strRef>
          </c:tx>
          <c:spPr>
            <a:solidFill>
              <a:srgbClr val="A6A6A6"/>
            </a:solidFill>
            <a:ln w="28575">
              <a:noFill/>
            </a:ln>
          </c:spPr>
          <c:cat>
            <c:numRef>
              <c:f>'GRAF-příspěvky'!$M$34:$Y$34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'GRAF-příspěvky'!$M$44:$Y$44</c:f>
              <c:numCache>
                <c:formatCode>0.0</c:formatCode>
                <c:ptCount val="13"/>
                <c:pt idx="0">
                  <c:v>1.7985883641488107</c:v>
                </c:pt>
                <c:pt idx="1">
                  <c:v>1.8648031772065781</c:v>
                </c:pt>
                <c:pt idx="2">
                  <c:v>0.46800263180963891</c:v>
                </c:pt>
                <c:pt idx="3">
                  <c:v>1.3708297894334038</c:v>
                </c:pt>
                <c:pt idx="4">
                  <c:v>-2.1890206905054401</c:v>
                </c:pt>
                <c:pt idx="5">
                  <c:v>-0.34134216570437692</c:v>
                </c:pt>
                <c:pt idx="6">
                  <c:v>0.25551949960393305</c:v>
                </c:pt>
                <c:pt idx="7">
                  <c:v>-0.44389050772469885</c:v>
                </c:pt>
                <c:pt idx="8">
                  <c:v>-0.47984505841206054</c:v>
                </c:pt>
                <c:pt idx="9">
                  <c:v>0.39788034416883666</c:v>
                </c:pt>
                <c:pt idx="10">
                  <c:v>0.77196653746913868</c:v>
                </c:pt>
                <c:pt idx="11">
                  <c:v>0.49238916546924383</c:v>
                </c:pt>
                <c:pt idx="12">
                  <c:v>0.99736888940971258</c:v>
                </c:pt>
              </c:numCache>
            </c:numRef>
          </c:val>
          <c:extLst xmlns:c16r2="http://schemas.microsoft.com/office/drawing/2015/06/chart">
            <c:ext xmlns:c16="http://schemas.microsoft.com/office/drawing/2014/chart" uri="{C3380CC4-5D6E-409C-BE32-E72D297353CC}">
              <c16:uniqueId val="{00000009-C9A0-428A-B327-137E56B968BC}"/>
            </c:ext>
          </c:extLst>
        </c:ser>
        <c:gapWidth val="43"/>
        <c:overlap val="100"/>
        <c:axId val="134353280"/>
        <c:axId val="134355200"/>
      </c:barChart>
      <c:lineChart>
        <c:grouping val="standard"/>
        <c:ser>
          <c:idx val="10"/>
          <c:order val="10"/>
          <c:tx>
            <c:strRef>
              <c:f>'GRAF-příspěvky'!$A$45</c:f>
              <c:strCache>
                <c:ptCount val="1"/>
                <c:pt idx="0">
                  <c:v>Průmysl celkem (sekce B až E)</c:v>
                </c:pt>
              </c:strCache>
            </c:strRef>
          </c:tx>
          <c:spPr>
            <a:ln>
              <a:noFill/>
            </a:ln>
          </c:spPr>
          <c:marker>
            <c:symbol val="diamond"/>
            <c:size val="7"/>
            <c:spPr>
              <a:solidFill>
                <a:sysClr val="window" lastClr="FFFFFF"/>
              </a:solidFill>
              <a:ln>
                <a:solidFill>
                  <a:schemeClr val="tx1">
                    <a:lumMod val="95000"/>
                    <a:lumOff val="5000"/>
                  </a:schemeClr>
                </a:solidFill>
              </a:ln>
            </c:spPr>
          </c:marker>
          <c:cat>
            <c:numRef>
              <c:f>'GRAF-příspěvky'!$M$34:$Y$34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'GRAF-příspěvky'!$M$45:$Y$45</c:f>
              <c:numCache>
                <c:formatCode>0.0</c:formatCode>
                <c:ptCount val="13"/>
                <c:pt idx="0">
                  <c:v>12.271683568470323</c:v>
                </c:pt>
                <c:pt idx="1">
                  <c:v>17.420204570346421</c:v>
                </c:pt>
                <c:pt idx="2">
                  <c:v>5.4443901185003813</c:v>
                </c:pt>
                <c:pt idx="3">
                  <c:v>8.134060611116448</c:v>
                </c:pt>
                <c:pt idx="4">
                  <c:v>-11.525480275990876</c:v>
                </c:pt>
                <c:pt idx="5">
                  <c:v>6.4507595626777379</c:v>
                </c:pt>
                <c:pt idx="6">
                  <c:v>6.5692649033253634</c:v>
                </c:pt>
                <c:pt idx="7">
                  <c:v>-2.8106221257253567</c:v>
                </c:pt>
                <c:pt idx="8">
                  <c:v>-4.5044681651180154</c:v>
                </c:pt>
                <c:pt idx="9">
                  <c:v>5.131249818341681</c:v>
                </c:pt>
                <c:pt idx="10">
                  <c:v>4.1498050949340834</c:v>
                </c:pt>
                <c:pt idx="11">
                  <c:v>1.922764680626768</c:v>
                </c:pt>
                <c:pt idx="12">
                  <c:v>8.9812228321572078</c:v>
                </c:pt>
              </c:numCache>
            </c:numRef>
          </c:val>
          <c:extLst xmlns:c16r2="http://schemas.microsoft.com/office/drawing/2015/06/chart">
            <c:ext xmlns:c16="http://schemas.microsoft.com/office/drawing/2014/chart" uri="{C3380CC4-5D6E-409C-BE32-E72D297353CC}">
              <c16:uniqueId val="{0000000A-C9A0-428A-B327-137E56B968BC}"/>
            </c:ext>
          </c:extLst>
        </c:ser>
        <c:marker val="1"/>
        <c:axId val="134353280"/>
        <c:axId val="134355200"/>
      </c:lineChart>
      <c:catAx>
        <c:axId val="134353280"/>
        <c:scaling>
          <c:orientation val="minMax"/>
        </c:scaling>
        <c:axPos val="b"/>
        <c:numFmt formatCode="General" sourceLinked="1"/>
        <c:tickLblPos val="low"/>
        <c:spPr>
          <a:noFill/>
        </c:spPr>
        <c:txPr>
          <a:bodyPr/>
          <a:lstStyle/>
          <a:p>
            <a:pPr>
              <a:defRPr sz="800">
                <a:latin typeface="Arial" pitchFamily="34" charset="0"/>
                <a:cs typeface="Arial" pitchFamily="34" charset="0"/>
              </a:defRPr>
            </a:pPr>
            <a:endParaRPr lang="cs-CZ"/>
          </a:p>
        </c:txPr>
        <c:crossAx val="134355200"/>
        <c:crosses val="autoZero"/>
        <c:auto val="1"/>
        <c:lblAlgn val="ctr"/>
        <c:lblOffset val="0"/>
      </c:catAx>
      <c:valAx>
        <c:axId val="134355200"/>
        <c:scaling>
          <c:orientation val="minMax"/>
          <c:max val="18"/>
          <c:min val="-12"/>
        </c:scaling>
        <c:axPos val="l"/>
        <c:majorGridlines>
          <c:spPr>
            <a:ln w="6350">
              <a:solidFill>
                <a:srgbClr val="BFBFBF"/>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34353280"/>
        <c:crosses val="autoZero"/>
        <c:crossBetween val="between"/>
        <c:majorUnit val="2"/>
      </c:valAx>
      <c:spPr>
        <a:ln w="6350">
          <a:solidFill>
            <a:sysClr val="windowText" lastClr="000000">
              <a:lumMod val="95000"/>
              <a:lumOff val="5000"/>
            </a:sysClr>
          </a:solidFill>
        </a:ln>
      </c:spPr>
    </c:plotArea>
    <c:legend>
      <c:legendPos val="r"/>
      <c:layout>
        <c:manualLayout>
          <c:xMode val="edge"/>
          <c:yMode val="edge"/>
          <c:x val="5.7925442681670845E-2"/>
          <c:y val="0.77986228427736048"/>
          <c:w val="0.92580934578479601"/>
          <c:h val="0.20952475578595742"/>
        </c:manualLayout>
      </c:layout>
      <c:spPr>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44.xml><?xml version="1.0" encoding="utf-8"?>
<c:chartSpace xmlns:c="http://schemas.openxmlformats.org/drawingml/2006/chart" xmlns:a="http://schemas.openxmlformats.org/drawingml/2006/main" xmlns:r="http://schemas.openxmlformats.org/officeDocument/2006/relationships">
  <c:date1904 val="1"/>
  <c:lang val="cs-CZ"/>
  <c:chart>
    <c:autoTitleDeleted val="1"/>
    <c:plotArea>
      <c:layout>
        <c:manualLayout>
          <c:layoutTarget val="inner"/>
          <c:xMode val="edge"/>
          <c:yMode val="edge"/>
          <c:x val="9.2679912060213365E-2"/>
          <c:y val="1.6839105901964149E-2"/>
          <c:w val="0.87910494748351065"/>
          <c:h val="0.87771655328798182"/>
        </c:manualLayout>
      </c:layout>
      <c:scatterChart>
        <c:scatterStyle val="lineMarker"/>
        <c:ser>
          <c:idx val="0"/>
          <c:order val="0"/>
          <c:tx>
            <c:strRef>
              <c:f>'Graf-míra investic a zisku'!$C$56</c:f>
              <c:strCache>
                <c:ptCount val="1"/>
                <c:pt idx="0">
                  <c:v>Míra hrubého zisku nefinančních podniků</c:v>
                </c:pt>
              </c:strCache>
            </c:strRef>
          </c:tx>
          <c:spPr>
            <a:ln w="28575">
              <a:noFill/>
            </a:ln>
          </c:spPr>
          <c:marker>
            <c:symbol val="diamond"/>
            <c:size val="8"/>
            <c:spPr>
              <a:solidFill>
                <a:schemeClr val="bg2">
                  <a:lumMod val="75000"/>
                </a:schemeClr>
              </a:solidFill>
              <a:ln w="6350">
                <a:solidFill>
                  <a:schemeClr val="bg1">
                    <a:lumMod val="50000"/>
                  </a:schemeClr>
                </a:solidFill>
              </a:ln>
            </c:spPr>
          </c:marker>
          <c:dPt>
            <c:idx val="0"/>
            <c:marker>
              <c:spPr>
                <a:solidFill>
                  <a:srgbClr val="BFE3F7"/>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0-1670-4E79-8146-0C63D33D5102}"/>
              </c:ext>
            </c:extLst>
          </c:dPt>
          <c:dPt>
            <c:idx val="1"/>
            <c:marker>
              <c:spPr>
                <a:solidFill>
                  <a:srgbClr val="48AEE7"/>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1-1670-4E79-8146-0C63D33D5102}"/>
              </c:ext>
            </c:extLst>
          </c:dPt>
          <c:dPt>
            <c:idx val="2"/>
            <c:marker>
              <c:spPr>
                <a:solidFill>
                  <a:srgbClr val="FCCD8E"/>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2-1670-4E79-8146-0C63D33D5102}"/>
              </c:ext>
            </c:extLst>
          </c:dPt>
          <c:dPt>
            <c:idx val="3"/>
            <c:marker>
              <c:symbol val="square"/>
              <c:size val="9"/>
              <c:spPr>
                <a:solidFill>
                  <a:srgbClr val="D2E7B6"/>
                </a:solidFill>
                <a:ln w="12700">
                  <a:solidFill>
                    <a:schemeClr val="tx1">
                      <a:lumMod val="95000"/>
                      <a:lumOff val="5000"/>
                    </a:schemeClr>
                  </a:solidFill>
                </a:ln>
              </c:spPr>
            </c:marker>
            <c:extLst xmlns:c16r2="http://schemas.microsoft.com/office/drawing/2015/06/chart">
              <c:ext xmlns:c16="http://schemas.microsoft.com/office/drawing/2014/chart" uri="{C3380CC4-5D6E-409C-BE32-E72D297353CC}">
                <c16:uniqueId val="{00000003-1670-4E79-8146-0C63D33D5102}"/>
              </c:ext>
            </c:extLst>
          </c:dPt>
          <c:dPt>
            <c:idx val="4"/>
            <c:marker>
              <c:spPr>
                <a:solidFill>
                  <a:srgbClr val="BFE3F7"/>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4-1670-4E79-8146-0C63D33D5102}"/>
              </c:ext>
            </c:extLst>
          </c:dPt>
          <c:dPt>
            <c:idx val="5"/>
            <c:marker>
              <c:spPr>
                <a:solidFill>
                  <a:srgbClr val="48AEE7"/>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5-1670-4E79-8146-0C63D33D5102}"/>
              </c:ext>
            </c:extLst>
          </c:dPt>
          <c:dPt>
            <c:idx val="6"/>
            <c:marker>
              <c:spPr>
                <a:solidFill>
                  <a:srgbClr val="BFE3F7"/>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6-1670-4E79-8146-0C63D33D5102}"/>
              </c:ext>
            </c:extLst>
          </c:dPt>
          <c:dPt>
            <c:idx val="7"/>
            <c:marker>
              <c:spPr>
                <a:solidFill>
                  <a:srgbClr val="BFE3F7"/>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7-1670-4E79-8146-0C63D33D5102}"/>
              </c:ext>
            </c:extLst>
          </c:dPt>
          <c:dPt>
            <c:idx val="8"/>
            <c:marker>
              <c:spPr>
                <a:solidFill>
                  <a:srgbClr val="FCCD8E"/>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8-1670-4E79-8146-0C63D33D5102}"/>
              </c:ext>
            </c:extLst>
          </c:dPt>
          <c:dPt>
            <c:idx val="9"/>
            <c:marker>
              <c:spPr>
                <a:solidFill>
                  <a:srgbClr val="0071BD"/>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9-1670-4E79-8146-0C63D33D5102}"/>
              </c:ext>
            </c:extLst>
          </c:dPt>
          <c:dPt>
            <c:idx val="10"/>
            <c:marker>
              <c:spPr>
                <a:solidFill>
                  <a:srgbClr val="FFFF00"/>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A-1670-4E79-8146-0C63D33D5102}"/>
              </c:ext>
            </c:extLst>
          </c:dPt>
          <c:dPt>
            <c:idx val="11"/>
            <c:marker>
              <c:spPr>
                <a:solidFill>
                  <a:srgbClr val="F8A124"/>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B-1670-4E79-8146-0C63D33D5102}"/>
              </c:ext>
            </c:extLst>
          </c:dPt>
          <c:dPt>
            <c:idx val="12"/>
            <c:marker>
              <c:spPr>
                <a:solidFill>
                  <a:srgbClr val="FFFF00"/>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C-1670-4E79-8146-0C63D33D5102}"/>
              </c:ext>
            </c:extLst>
          </c:dPt>
          <c:dPt>
            <c:idx val="13"/>
            <c:marker>
              <c:spPr>
                <a:solidFill>
                  <a:srgbClr val="FCCD8E"/>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D-1670-4E79-8146-0C63D33D5102}"/>
              </c:ext>
            </c:extLst>
          </c:dPt>
          <c:dPt>
            <c:idx val="14"/>
            <c:marker>
              <c:spPr>
                <a:solidFill>
                  <a:srgbClr val="D2E7B6"/>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E-1670-4E79-8146-0C63D33D5102}"/>
              </c:ext>
            </c:extLst>
          </c:dPt>
          <c:dPt>
            <c:idx val="15"/>
            <c:marker>
              <c:spPr>
                <a:solidFill>
                  <a:srgbClr val="BFE3F7"/>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0F-1670-4E79-8146-0C63D33D5102}"/>
              </c:ext>
            </c:extLst>
          </c:dPt>
          <c:dPt>
            <c:idx val="16"/>
            <c:marker>
              <c:spPr>
                <a:solidFill>
                  <a:srgbClr val="FCCD8E"/>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10-1670-4E79-8146-0C63D33D5102}"/>
              </c:ext>
            </c:extLst>
          </c:dPt>
          <c:dPt>
            <c:idx val="17"/>
            <c:marker>
              <c:spPr>
                <a:solidFill>
                  <a:srgbClr val="FCCD8E"/>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11-1670-4E79-8146-0C63D33D5102}"/>
              </c:ext>
            </c:extLst>
          </c:dPt>
          <c:dPt>
            <c:idx val="18"/>
            <c:marker>
              <c:spPr>
                <a:solidFill>
                  <a:srgbClr val="D2E7B6"/>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12-1670-4E79-8146-0C63D33D5102}"/>
              </c:ext>
            </c:extLst>
          </c:dPt>
          <c:dPt>
            <c:idx val="19"/>
            <c:marker>
              <c:spPr>
                <a:solidFill>
                  <a:srgbClr val="BD1B21"/>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13-1670-4E79-8146-0C63D33D5102}"/>
              </c:ext>
            </c:extLst>
          </c:dPt>
          <c:dPt>
            <c:idx val="20"/>
            <c:marker>
              <c:spPr>
                <a:solidFill>
                  <a:srgbClr val="0071BD"/>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14-1670-4E79-8146-0C63D33D5102}"/>
              </c:ext>
            </c:extLst>
          </c:dPt>
          <c:dPt>
            <c:idx val="21"/>
            <c:marker>
              <c:spPr>
                <a:solidFill>
                  <a:srgbClr val="0071BD"/>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15-1670-4E79-8146-0C63D33D5102}"/>
              </c:ext>
            </c:extLst>
          </c:dPt>
          <c:dPt>
            <c:idx val="22"/>
            <c:marker>
              <c:spPr>
                <a:solidFill>
                  <a:srgbClr val="D2E7B6"/>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16-1670-4E79-8146-0C63D33D5102}"/>
              </c:ext>
            </c:extLst>
          </c:dPt>
          <c:dPt>
            <c:idx val="23"/>
            <c:marker>
              <c:spPr>
                <a:solidFill>
                  <a:srgbClr val="0071BD"/>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17-1670-4E79-8146-0C63D33D5102}"/>
              </c:ext>
            </c:extLst>
          </c:dPt>
          <c:dPt>
            <c:idx val="24"/>
            <c:marker>
              <c:spPr>
                <a:solidFill>
                  <a:srgbClr val="0071BC"/>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18-1670-4E79-8146-0C63D33D5102}"/>
              </c:ext>
            </c:extLst>
          </c:dPt>
          <c:dPt>
            <c:idx val="25"/>
            <c:marker>
              <c:spPr>
                <a:solidFill>
                  <a:srgbClr val="BFE3F7"/>
                </a:solidFill>
                <a:ln w="6350">
                  <a:solidFill>
                    <a:schemeClr val="bg1">
                      <a:lumMod val="50000"/>
                    </a:schemeClr>
                  </a:solidFill>
                </a:ln>
              </c:spPr>
            </c:marker>
            <c:extLst xmlns:c16r2="http://schemas.microsoft.com/office/drawing/2015/06/chart">
              <c:ext xmlns:c16="http://schemas.microsoft.com/office/drawing/2014/chart" uri="{C3380CC4-5D6E-409C-BE32-E72D297353CC}">
                <c16:uniqueId val="{00000019-1670-4E79-8146-0C63D33D5102}"/>
              </c:ext>
            </c:extLst>
          </c:dPt>
          <c:dLbls>
            <c:dLbl>
              <c:idx val="0"/>
              <c:layout>
                <c:manualLayout>
                  <c:x val="-1.8526399433990526E-2"/>
                  <c:y val="2.5238516965063892E-2"/>
                </c:manualLayout>
              </c:layout>
              <c:tx>
                <c:rich>
                  <a:bodyPr/>
                  <a:lstStyle/>
                  <a:p>
                    <a:r>
                      <a:rPr lang="en-US"/>
                      <a:t>Těžba a </a:t>
                    </a:r>
                    <a:endParaRPr lang="cs-CZ"/>
                  </a:p>
                  <a:p>
                    <a:r>
                      <a:rPr lang="en-US"/>
                      <a:t>dobývání</a:t>
                    </a:r>
                    <a:r>
                      <a:rPr lang="cs-CZ"/>
                      <a:t> (B)</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1670-4E79-8146-0C63D33D5102}"/>
                </c:ext>
              </c:extLst>
            </c:dLbl>
            <c:dLbl>
              <c:idx val="1"/>
              <c:layout>
                <c:manualLayout>
                  <c:x val="7.3106913005799704E-2"/>
                  <c:y val="5.5404478458049904E-2"/>
                </c:manualLayout>
              </c:layout>
              <c:tx>
                <c:rich>
                  <a:bodyPr/>
                  <a:lstStyle/>
                  <a:p>
                    <a:r>
                      <a:rPr lang="cs-CZ"/>
                      <a:t>Potravinářs.</a:t>
                    </a:r>
                    <a:r>
                      <a:rPr lang="cs-CZ" baseline="0"/>
                      <a:t> </a:t>
                    </a:r>
                  </a:p>
                  <a:p>
                    <a:r>
                      <a:rPr lang="cs-CZ" baseline="0"/>
                      <a:t>průmysl (10)</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1670-4E79-8146-0C63D33D5102}"/>
                </c:ext>
              </c:extLst>
            </c:dLbl>
            <c:dLbl>
              <c:idx val="2"/>
              <c:layout>
                <c:manualLayout>
                  <c:x val="-7.9322547965158113E-2"/>
                  <c:y val="-4.2701048669388786E-2"/>
                </c:manualLayout>
              </c:layout>
              <c:tx>
                <c:rich>
                  <a:bodyPr/>
                  <a:lstStyle/>
                  <a:p>
                    <a:r>
                      <a:rPr lang="cs-CZ"/>
                      <a:t>Výroba</a:t>
                    </a:r>
                    <a:r>
                      <a:rPr lang="cs-CZ" baseline="0"/>
                      <a:t> </a:t>
                    </a:r>
                  </a:p>
                  <a:p>
                    <a:r>
                      <a:rPr lang="cs-CZ" baseline="0"/>
                      <a:t>nápojů (11)</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1670-4E79-8146-0C63D33D5102}"/>
                </c:ext>
              </c:extLst>
            </c:dLbl>
            <c:dLbl>
              <c:idx val="3"/>
              <c:layout>
                <c:manualLayout>
                  <c:x val="3.9798088343893576E-2"/>
                  <c:y val="-1.439937641723356E-2"/>
                </c:manualLayout>
              </c:layout>
              <c:tx>
                <c:rich>
                  <a:bodyPr/>
                  <a:lstStyle/>
                  <a:p>
                    <a:r>
                      <a:rPr lang="cs-CZ"/>
                      <a:t>PRŮMYSL</a:t>
                    </a:r>
                    <a:r>
                      <a:rPr lang="cs-CZ" baseline="0"/>
                      <a:t> (B až E)</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1670-4E79-8146-0C63D33D5102}"/>
                </c:ext>
              </c:extLst>
            </c:dLbl>
            <c:dLbl>
              <c:idx val="4"/>
              <c:layout>
                <c:manualLayout>
                  <c:x val="7.6935161289850229E-2"/>
                  <c:y val="9.6987244897959193E-2"/>
                </c:manualLayout>
              </c:layout>
              <c:tx>
                <c:rich>
                  <a:bodyPr/>
                  <a:lstStyle/>
                  <a:p>
                    <a:r>
                      <a:rPr lang="cs-CZ"/>
                      <a:t>Textilní</a:t>
                    </a:r>
                    <a:r>
                      <a:rPr lang="cs-CZ" baseline="0"/>
                      <a:t> pr. (13)</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1670-4E79-8146-0C63D33D5102}"/>
                </c:ext>
              </c:extLst>
            </c:dLbl>
            <c:dLbl>
              <c:idx val="5"/>
              <c:layout>
                <c:manualLayout>
                  <c:x val="-0.13759001826279971"/>
                  <c:y val="1.0509920634920641E-2"/>
                </c:manualLayout>
              </c:layout>
              <c:tx>
                <c:rich>
                  <a:bodyPr/>
                  <a:lstStyle/>
                  <a:p>
                    <a:r>
                      <a:rPr lang="cs-CZ"/>
                      <a:t>Oděvní</a:t>
                    </a:r>
                    <a:r>
                      <a:rPr lang="cs-CZ" baseline="0"/>
                      <a:t> </a:t>
                    </a:r>
                  </a:p>
                  <a:p>
                    <a:r>
                      <a:rPr lang="cs-CZ" baseline="0"/>
                      <a:t>průmysl (14)</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1670-4E79-8146-0C63D33D5102}"/>
                </c:ext>
              </c:extLst>
            </c:dLbl>
            <c:dLbl>
              <c:idx val="6"/>
              <c:layout>
                <c:manualLayout>
                  <c:x val="-0.22485566817952687"/>
                  <c:y val="0"/>
                </c:manualLayout>
              </c:layout>
              <c:tx>
                <c:rich>
                  <a:bodyPr/>
                  <a:lstStyle/>
                  <a:p>
                    <a:r>
                      <a:rPr lang="cs-CZ"/>
                      <a:t>Kožedělný</a:t>
                    </a:r>
                    <a:r>
                      <a:rPr lang="cs-CZ" baseline="0"/>
                      <a:t> pr. (15)</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1670-4E79-8146-0C63D33D5102}"/>
                </c:ext>
              </c:extLst>
            </c:dLbl>
            <c:dLbl>
              <c:idx val="7"/>
              <c:layout>
                <c:manualLayout>
                  <c:x val="-0.23824041339608573"/>
                  <c:y val="6.7670202932741301E-3"/>
                </c:manualLayout>
              </c:layout>
              <c:tx>
                <c:rich>
                  <a:bodyPr/>
                  <a:lstStyle/>
                  <a:p>
                    <a:r>
                      <a:rPr lang="cs-CZ"/>
                      <a:t>Dřevozprac.</a:t>
                    </a:r>
                    <a:r>
                      <a:rPr lang="cs-CZ" baseline="0"/>
                      <a:t>pr.(16)</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1670-4E79-8146-0C63D33D5102}"/>
                </c:ext>
              </c:extLst>
            </c:dLbl>
            <c:dLbl>
              <c:idx val="8"/>
              <c:layout>
                <c:manualLayout>
                  <c:x val="-3.1828024407338104E-2"/>
                  <c:y val="-7.5636621315193636E-2"/>
                </c:manualLayout>
              </c:layout>
              <c:tx>
                <c:rich>
                  <a:bodyPr/>
                  <a:lstStyle/>
                  <a:p>
                    <a:r>
                      <a:rPr lang="cs-CZ"/>
                      <a:t>Papírenský</a:t>
                    </a:r>
                  </a:p>
                  <a:p>
                    <a:r>
                      <a:rPr lang="cs-CZ" baseline="0"/>
                      <a:t> prům. (17)</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1670-4E79-8146-0C63D33D5102}"/>
                </c:ext>
              </c:extLst>
            </c:dLbl>
            <c:dLbl>
              <c:idx val="9"/>
              <c:layout>
                <c:manualLayout>
                  <c:x val="-9.6600344094474502E-2"/>
                  <c:y val="0.12983985260770975"/>
                </c:manualLayout>
              </c:layout>
              <c:tx>
                <c:rich>
                  <a:bodyPr/>
                  <a:lstStyle/>
                  <a:p>
                    <a:r>
                      <a:rPr lang="en-US"/>
                      <a:t>Tisk</a:t>
                    </a:r>
                    <a:r>
                      <a:rPr lang="cs-CZ"/>
                      <a:t>ařský</a:t>
                    </a:r>
                    <a:r>
                      <a:rPr lang="cs-CZ" baseline="0"/>
                      <a:t> </a:t>
                    </a:r>
                  </a:p>
                  <a:p>
                    <a:r>
                      <a:rPr lang="cs-CZ" baseline="0"/>
                      <a:t>prům.</a:t>
                    </a:r>
                    <a:r>
                      <a:rPr lang="cs-CZ"/>
                      <a:t>(18)</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9-1670-4E79-8146-0C63D33D5102}"/>
                </c:ext>
              </c:extLst>
            </c:dLbl>
            <c:dLbl>
              <c:idx val="10"/>
              <c:layout>
                <c:manualLayout>
                  <c:x val="-6.3407895378154486E-2"/>
                  <c:y val="-2.4743480725623612E-2"/>
                </c:manualLayout>
              </c:layout>
              <c:tx>
                <c:rich>
                  <a:bodyPr/>
                  <a:lstStyle/>
                  <a:p>
                    <a:r>
                      <a:rPr lang="en-US"/>
                      <a:t>(Petro)chemický pr. (19+20)</a:t>
                    </a:r>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1670-4E79-8146-0C63D33D5102}"/>
                </c:ext>
              </c:extLst>
            </c:dLbl>
            <c:dLbl>
              <c:idx val="11"/>
              <c:layout>
                <c:manualLayout>
                  <c:x val="-0.14522037789826425"/>
                  <c:y val="-3.2025793650793652E-2"/>
                </c:manualLayout>
              </c:layout>
              <c:tx>
                <c:rich>
                  <a:bodyPr/>
                  <a:lstStyle/>
                  <a:p>
                    <a:r>
                      <a:rPr lang="cs-CZ"/>
                      <a:t>Farmnaceut.</a:t>
                    </a:r>
                    <a:r>
                      <a:rPr lang="cs-CZ" baseline="0"/>
                      <a:t> </a:t>
                    </a:r>
                  </a:p>
                  <a:p>
                    <a:r>
                      <a:rPr lang="cs-CZ" baseline="0"/>
                      <a:t>průmysl (21)</a:t>
                    </a:r>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1670-4E79-8146-0C63D33D5102}"/>
                </c:ext>
              </c:extLst>
            </c:dLbl>
            <c:dLbl>
              <c:idx val="12"/>
              <c:layout>
                <c:manualLayout>
                  <c:x val="-0.2443061834835864"/>
                  <c:y val="-3.227409297052198E-2"/>
                </c:manualLayout>
              </c:layout>
              <c:tx>
                <c:rich>
                  <a:bodyPr/>
                  <a:lstStyle/>
                  <a:p>
                    <a:r>
                      <a:rPr lang="cs-CZ"/>
                      <a:t>Gumárenství,</a:t>
                    </a:r>
                    <a:r>
                      <a:rPr lang="cs-CZ" baseline="0"/>
                      <a:t> </a:t>
                    </a:r>
                  </a:p>
                  <a:p>
                    <a:r>
                      <a:rPr lang="cs-CZ" baseline="0"/>
                      <a:t>plastikářství (22)</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1670-4E79-8146-0C63D33D5102}"/>
                </c:ext>
              </c:extLst>
            </c:dLbl>
            <c:dLbl>
              <c:idx val="13"/>
              <c:layout>
                <c:manualLayout>
                  <c:x val="-0.28804874308989098"/>
                  <c:y val="-2.78058390022679E-2"/>
                </c:manualLayout>
              </c:layout>
              <c:tx>
                <c:rich>
                  <a:bodyPr/>
                  <a:lstStyle/>
                  <a:p>
                    <a:r>
                      <a:rPr lang="en-US" spc="-20" baseline="0"/>
                      <a:t>Prům</a:t>
                    </a:r>
                    <a:r>
                      <a:rPr lang="cs-CZ" spc="-20" baseline="0"/>
                      <a:t>.</a:t>
                    </a:r>
                    <a:r>
                      <a:rPr lang="en-US" spc="-20" baseline="0"/>
                      <a:t> skla, keramiky, porcel</a:t>
                    </a:r>
                    <a:r>
                      <a:rPr lang="cs-CZ" spc="-20" baseline="0"/>
                      <a:t>., stav.</a:t>
                    </a:r>
                    <a:r>
                      <a:rPr lang="en-US" spc="-20" baseline="0"/>
                      <a:t>hmot</a:t>
                    </a:r>
                    <a:r>
                      <a:rPr lang="cs-CZ" spc="-20" baseline="0"/>
                      <a:t> (23)</a:t>
                    </a:r>
                    <a:endParaRPr lang="en-US" spc="-20" baseline="0"/>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1670-4E79-8146-0C63D33D5102}"/>
                </c:ext>
              </c:extLst>
            </c:dLbl>
            <c:dLbl>
              <c:idx val="14"/>
              <c:layout>
                <c:manualLayout>
                  <c:x val="-6.2911094543445067E-2"/>
                  <c:y val="4.1460600907029514E-2"/>
                </c:manualLayout>
              </c:layout>
              <c:tx>
                <c:rich>
                  <a:bodyPr/>
                  <a:lstStyle/>
                  <a:p>
                    <a:r>
                      <a:rPr lang="cs-CZ"/>
                      <a:t>Hutnictví</a:t>
                    </a:r>
                    <a:r>
                      <a:rPr lang="cs-CZ" baseline="0"/>
                      <a:t> </a:t>
                    </a:r>
                  </a:p>
                  <a:p>
                    <a:r>
                      <a:rPr lang="cs-CZ" baseline="0"/>
                      <a:t>(24)</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1670-4E79-8146-0C63D33D5102}"/>
                </c:ext>
              </c:extLst>
            </c:dLbl>
            <c:dLbl>
              <c:idx val="15"/>
              <c:layout>
                <c:manualLayout>
                  <c:x val="-5.538620794234634E-2"/>
                  <c:y val="0.23696485260770991"/>
                </c:manualLayout>
              </c:layout>
              <c:tx>
                <c:rich>
                  <a:bodyPr/>
                  <a:lstStyle/>
                  <a:p>
                    <a:r>
                      <a:rPr lang="cs-CZ"/>
                      <a:t>Kovovýroba</a:t>
                    </a:r>
                    <a:r>
                      <a:rPr lang="cs-CZ" baseline="0"/>
                      <a:t> </a:t>
                    </a:r>
                  </a:p>
                  <a:p>
                    <a:r>
                      <a:rPr lang="cs-CZ" baseline="0"/>
                      <a:t>(25)</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1670-4E79-8146-0C63D33D5102}"/>
                </c:ext>
              </c:extLst>
            </c:dLbl>
            <c:dLbl>
              <c:idx val="16"/>
              <c:layout>
                <c:manualLayout>
                  <c:x val="-2.6244047561795606E-2"/>
                  <c:y val="6.802352607709751E-2"/>
                </c:manualLayout>
              </c:layout>
              <c:tx>
                <c:rich>
                  <a:bodyPr/>
                  <a:lstStyle/>
                  <a:p>
                    <a:r>
                      <a:rPr lang="en-US"/>
                      <a:t>Výroba PC, elektronic. a optic. přístr</a:t>
                    </a:r>
                    <a:r>
                      <a:rPr lang="cs-CZ"/>
                      <a:t>ojů</a:t>
                    </a:r>
                    <a:r>
                      <a:rPr lang="en-US"/>
                      <a:t> (26)</a:t>
                    </a:r>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1670-4E79-8146-0C63D33D5102}"/>
                </c:ext>
              </c:extLst>
            </c:dLbl>
            <c:dLbl>
              <c:idx val="17"/>
              <c:layout>
                <c:manualLayout>
                  <c:x val="-0.25151713585022534"/>
                  <c:y val="4.9631519274376419E-4"/>
                </c:manualLayout>
              </c:layout>
              <c:tx>
                <c:rich>
                  <a:bodyPr/>
                  <a:lstStyle/>
                  <a:p>
                    <a:r>
                      <a:rPr lang="en-US"/>
                      <a:t>Elektrotech</a:t>
                    </a:r>
                    <a:r>
                      <a:rPr lang="cs-CZ"/>
                      <a:t>.</a:t>
                    </a:r>
                    <a:r>
                      <a:rPr lang="cs-CZ" baseline="0"/>
                      <a:t>pr. (27)</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1670-4E79-8146-0C63D33D5102}"/>
                </c:ext>
              </c:extLst>
            </c:dLbl>
            <c:dLbl>
              <c:idx val="18"/>
              <c:layout>
                <c:manualLayout>
                  <c:x val="7.9579894453525812E-2"/>
                  <c:y val="0.1475901360544247"/>
                </c:manualLayout>
              </c:layout>
              <c:tx>
                <c:rich>
                  <a:bodyPr/>
                  <a:lstStyle/>
                  <a:p>
                    <a:r>
                      <a:rPr lang="cs-CZ"/>
                      <a:t>Strojírenství</a:t>
                    </a:r>
                    <a:r>
                      <a:rPr lang="cs-CZ" baseline="0"/>
                      <a:t> (28)</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1670-4E79-8146-0C63D33D5102}"/>
                </c:ext>
              </c:extLst>
            </c:dLbl>
            <c:dLbl>
              <c:idx val="19"/>
              <c:layout>
                <c:manualLayout>
                  <c:x val="-1.5821171582094149E-2"/>
                  <c:y val="-3.3931405895691611E-3"/>
                </c:manualLayout>
              </c:layout>
              <c:tx>
                <c:rich>
                  <a:bodyPr/>
                  <a:lstStyle/>
                  <a:p>
                    <a:r>
                      <a:rPr lang="cs-CZ"/>
                      <a:t>Výroba</a:t>
                    </a:r>
                    <a:r>
                      <a:rPr lang="cs-CZ" baseline="0"/>
                      <a:t> motor. </a:t>
                    </a:r>
                  </a:p>
                  <a:p>
                    <a:r>
                      <a:rPr lang="cs-CZ" baseline="0"/>
                      <a:t>vozidel (29)</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1670-4E79-8146-0C63D33D5102}"/>
                </c:ext>
              </c:extLst>
            </c:dLbl>
            <c:dLbl>
              <c:idx val="20"/>
              <c:layout>
                <c:manualLayout>
                  <c:x val="-4.9523491027016635E-2"/>
                  <c:y val="-2.5115646258503401E-2"/>
                </c:manualLayout>
              </c:layout>
              <c:tx>
                <c:rich>
                  <a:bodyPr/>
                  <a:lstStyle/>
                  <a:p>
                    <a:r>
                      <a:rPr lang="cs-CZ"/>
                      <a:t>Ost</a:t>
                    </a:r>
                    <a:r>
                      <a:rPr lang="cs-CZ" baseline="0"/>
                      <a:t>.dopr.prostř.(30)</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1670-4E79-8146-0C63D33D5102}"/>
                </c:ext>
              </c:extLst>
            </c:dLbl>
            <c:dLbl>
              <c:idx val="21"/>
              <c:layout>
                <c:manualLayout>
                  <c:x val="-0.23862051259391837"/>
                  <c:y val="3.7239229024943954E-3"/>
                </c:manualLayout>
              </c:layout>
              <c:tx>
                <c:rich>
                  <a:bodyPr/>
                  <a:lstStyle/>
                  <a:p>
                    <a:r>
                      <a:rPr lang="cs-CZ"/>
                      <a:t>Nábytkářský</a:t>
                    </a:r>
                    <a:r>
                      <a:rPr lang="cs-CZ" baseline="0"/>
                      <a:t> pr. (31)</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1670-4E79-8146-0C63D33D5102}"/>
                </c:ext>
              </c:extLst>
            </c:dLbl>
            <c:dLbl>
              <c:idx val="22"/>
              <c:layout>
                <c:manualLayout>
                  <c:x val="8.7650374135054221E-2"/>
                  <c:y val="7.1953231292517003E-2"/>
                </c:manualLayout>
              </c:layout>
              <c:tx>
                <c:rich>
                  <a:bodyPr/>
                  <a:lstStyle/>
                  <a:p>
                    <a:r>
                      <a:rPr lang="en-US"/>
                      <a:t> Os</a:t>
                    </a:r>
                    <a:r>
                      <a:rPr lang="cs-CZ"/>
                      <a:t>tat.</a:t>
                    </a:r>
                    <a:r>
                      <a:rPr lang="en-US"/>
                      <a:t>zprac</a:t>
                    </a:r>
                    <a:r>
                      <a:rPr lang="cs-CZ"/>
                      <a:t>.</a:t>
                    </a:r>
                    <a:r>
                      <a:rPr lang="en-US"/>
                      <a:t>pr</a:t>
                    </a:r>
                    <a:r>
                      <a:rPr lang="cs-CZ"/>
                      <a:t>.</a:t>
                    </a:r>
                    <a:r>
                      <a:rPr lang="cs-CZ" baseline="0"/>
                      <a:t> (32)</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1670-4E79-8146-0C63D33D5102}"/>
                </c:ext>
              </c:extLst>
            </c:dLbl>
            <c:dLbl>
              <c:idx val="23"/>
              <c:layout>
                <c:manualLayout>
                  <c:x val="-0.27543937413986735"/>
                  <c:y val="0.21259297052154194"/>
                </c:manualLayout>
              </c:layout>
              <c:tx>
                <c:rich>
                  <a:bodyPr/>
                  <a:lstStyle/>
                  <a:p>
                    <a:r>
                      <a:rPr lang="en-US"/>
                      <a:t>Opravy a instalace strojů a zaří</a:t>
                    </a:r>
                    <a:r>
                      <a:rPr lang="cs-CZ"/>
                      <a:t>z.(33)</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7-1670-4E79-8146-0C63D33D5102}"/>
                </c:ext>
              </c:extLst>
            </c:dLbl>
            <c:dLbl>
              <c:idx val="24"/>
              <c:layout>
                <c:manualLayout>
                  <c:x val="-1.3283148830047447E-2"/>
                  <c:y val="-3.5997732426304471E-3"/>
                </c:manualLayout>
              </c:layout>
              <c:tx>
                <c:rich>
                  <a:bodyPr/>
                  <a:lstStyle/>
                  <a:p>
                    <a:r>
                      <a:rPr lang="cs-CZ"/>
                      <a:t>Energetika</a:t>
                    </a:r>
                    <a:r>
                      <a:rPr lang="cs-CZ" baseline="0"/>
                      <a:t> (D)</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1670-4E79-8146-0C63D33D5102}"/>
                </c:ext>
              </c:extLst>
            </c:dLbl>
            <c:dLbl>
              <c:idx val="25"/>
              <c:layout>
                <c:manualLayout>
                  <c:x val="0.18779532185508449"/>
                  <c:y val="1.7585317460317461E-2"/>
                </c:manualLayout>
              </c:layout>
              <c:tx>
                <c:rich>
                  <a:bodyPr/>
                  <a:lstStyle/>
                  <a:p>
                    <a:r>
                      <a:rPr lang="en-US"/>
                      <a:t>Zásobování vodou; </a:t>
                    </a:r>
                    <a:r>
                      <a:rPr lang="cs-CZ"/>
                      <a:t>práce</a:t>
                    </a:r>
                    <a:r>
                      <a:rPr lang="cs-CZ" baseline="0"/>
                      <a:t> s </a:t>
                    </a:r>
                    <a:r>
                      <a:rPr lang="en-US"/>
                      <a:t>odpadními vodami, odpady </a:t>
                    </a:r>
                    <a:endParaRPr lang="cs-CZ"/>
                  </a:p>
                  <a:p>
                    <a:r>
                      <a:rPr lang="en-US"/>
                      <a:t>a sanacemi</a:t>
                    </a:r>
                    <a:r>
                      <a:rPr lang="cs-CZ"/>
                      <a:t> (E)</a:t>
                    </a:r>
                    <a:endParaRPr lang="en-US"/>
                  </a:p>
                </c:rich>
              </c:tx>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9-1670-4E79-8146-0C63D33D5102}"/>
                </c:ext>
              </c:extLst>
            </c:dLbl>
            <c:spPr>
              <a:noFill/>
              <a:ln>
                <a:noFill/>
              </a:ln>
              <a:effectLst/>
            </c:spPr>
            <c:txPr>
              <a:bodyPr/>
              <a:lstStyle/>
              <a:p>
                <a:pPr>
                  <a:defRPr sz="700">
                    <a:latin typeface="Arial" pitchFamily="34" charset="0"/>
                    <a:cs typeface="Arial" pitchFamily="34" charset="0"/>
                  </a:defRPr>
                </a:pPr>
                <a:endParaRPr lang="cs-CZ"/>
              </a:p>
            </c:txPr>
            <c:showVal val="1"/>
            <c:extLst xmlns:c16r2="http://schemas.microsoft.com/office/drawing/2015/06/chart">
              <c:ext xmlns:c15="http://schemas.microsoft.com/office/drawing/2012/chart" uri="{CE6537A1-D6FC-4f65-9D91-7224C49458BB}">
                <c15:showLeaderLines val="0"/>
              </c:ext>
            </c:extLst>
          </c:dLbls>
          <c:xVal>
            <c:numRef>
              <c:f>'Graf-míra investic a zisku'!$B$57:$B$82</c:f>
              <c:numCache>
                <c:formatCode>0</c:formatCode>
                <c:ptCount val="26"/>
                <c:pt idx="0">
                  <c:v>31.62488674116581</c:v>
                </c:pt>
                <c:pt idx="1">
                  <c:v>24.083489838608589</c:v>
                </c:pt>
                <c:pt idx="2">
                  <c:v>18.941795483512532</c:v>
                </c:pt>
                <c:pt idx="3" formatCode="0.0">
                  <c:v>26.787564297553189</c:v>
                </c:pt>
                <c:pt idx="4" formatCode="0.0">
                  <c:v>24.158243938736092</c:v>
                </c:pt>
                <c:pt idx="5">
                  <c:v>10.627062706270618</c:v>
                </c:pt>
                <c:pt idx="6">
                  <c:v>16.792792792792689</c:v>
                </c:pt>
                <c:pt idx="7">
                  <c:v>16.051422005170789</c:v>
                </c:pt>
                <c:pt idx="8">
                  <c:v>21.937216408926727</c:v>
                </c:pt>
                <c:pt idx="9">
                  <c:v>19.194328948265284</c:v>
                </c:pt>
                <c:pt idx="10">
                  <c:v>35.334672159996089</c:v>
                </c:pt>
                <c:pt idx="11">
                  <c:v>16.156418832004114</c:v>
                </c:pt>
                <c:pt idx="12">
                  <c:v>20.305059445594928</c:v>
                </c:pt>
                <c:pt idx="13">
                  <c:v>19.577971057679935</c:v>
                </c:pt>
                <c:pt idx="14">
                  <c:v>23.908494514195013</c:v>
                </c:pt>
                <c:pt idx="15">
                  <c:v>20.91449646244169</c:v>
                </c:pt>
                <c:pt idx="16">
                  <c:v>54.092251822542615</c:v>
                </c:pt>
                <c:pt idx="17">
                  <c:v>21.612502610205627</c:v>
                </c:pt>
                <c:pt idx="18" formatCode="0.0">
                  <c:v>23.720689687018027</c:v>
                </c:pt>
                <c:pt idx="19">
                  <c:v>28.900478053020432</c:v>
                </c:pt>
                <c:pt idx="20">
                  <c:v>29.982918277442909</c:v>
                </c:pt>
                <c:pt idx="21">
                  <c:v>16.238520724745587</c:v>
                </c:pt>
                <c:pt idx="22" formatCode="0.0">
                  <c:v>24.489491727530183</c:v>
                </c:pt>
                <c:pt idx="23">
                  <c:v>18.102872411489695</c:v>
                </c:pt>
                <c:pt idx="24">
                  <c:v>37.535977886067649</c:v>
                </c:pt>
                <c:pt idx="25">
                  <c:v>27.130570758405035</c:v>
                </c:pt>
              </c:numCache>
            </c:numRef>
          </c:xVal>
          <c:yVal>
            <c:numRef>
              <c:f>'Graf-míra investic a zisku'!$C$57:$C$82</c:f>
              <c:numCache>
                <c:formatCode>0</c:formatCode>
                <c:ptCount val="26"/>
                <c:pt idx="0">
                  <c:v>49.625889652655246</c:v>
                </c:pt>
                <c:pt idx="1">
                  <c:v>40.379797142017864</c:v>
                </c:pt>
                <c:pt idx="2">
                  <c:v>65.973982091568743</c:v>
                </c:pt>
                <c:pt idx="3" formatCode="0.0">
                  <c:v>51.432878026762396</c:v>
                </c:pt>
                <c:pt idx="4" formatCode="0.0">
                  <c:v>36.6</c:v>
                </c:pt>
                <c:pt idx="5">
                  <c:v>28.03001876172609</c:v>
                </c:pt>
                <c:pt idx="6">
                  <c:v>38.355014687368794</c:v>
                </c:pt>
                <c:pt idx="7">
                  <c:v>46.066816095634444</c:v>
                </c:pt>
                <c:pt idx="8">
                  <c:v>56.12830401655593</c:v>
                </c:pt>
                <c:pt idx="9">
                  <c:v>37.019607843137244</c:v>
                </c:pt>
                <c:pt idx="10">
                  <c:v>62.463170300530663</c:v>
                </c:pt>
                <c:pt idx="11">
                  <c:v>60.024276755007044</c:v>
                </c:pt>
                <c:pt idx="12">
                  <c:v>53.222777137491263</c:v>
                </c:pt>
                <c:pt idx="13">
                  <c:v>47.411193357615105</c:v>
                </c:pt>
                <c:pt idx="14">
                  <c:v>31.093423426002808</c:v>
                </c:pt>
                <c:pt idx="15">
                  <c:v>38.745020803946097</c:v>
                </c:pt>
                <c:pt idx="16">
                  <c:v>67.676753725674359</c:v>
                </c:pt>
                <c:pt idx="17">
                  <c:v>42.095320786596012</c:v>
                </c:pt>
                <c:pt idx="18" formatCode="0.0">
                  <c:v>37.412265885973802</c:v>
                </c:pt>
                <c:pt idx="19">
                  <c:v>57.335168497909962</c:v>
                </c:pt>
                <c:pt idx="20">
                  <c:v>39.630082959335994</c:v>
                </c:pt>
                <c:pt idx="21">
                  <c:v>34.70500307746417</c:v>
                </c:pt>
                <c:pt idx="22" formatCode="0.0">
                  <c:v>37.607588266291934</c:v>
                </c:pt>
                <c:pt idx="23">
                  <c:v>36.591406519986144</c:v>
                </c:pt>
                <c:pt idx="24">
                  <c:v>76.043794005971904</c:v>
                </c:pt>
                <c:pt idx="25">
                  <c:v>46.799261457919194</c:v>
                </c:pt>
              </c:numCache>
            </c:numRef>
          </c:yVal>
          <c:extLst xmlns:c16r2="http://schemas.microsoft.com/office/drawing/2015/06/chart">
            <c:ext xmlns:c16="http://schemas.microsoft.com/office/drawing/2014/chart" uri="{C3380CC4-5D6E-409C-BE32-E72D297353CC}">
              <c16:uniqueId val="{0000001A-1670-4E79-8146-0C63D33D5102}"/>
            </c:ext>
          </c:extLst>
        </c:ser>
        <c:axId val="134497792"/>
        <c:axId val="134499328"/>
      </c:scatterChart>
      <c:valAx>
        <c:axId val="134497792"/>
        <c:scaling>
          <c:orientation val="minMax"/>
          <c:max val="60"/>
          <c:min val="0"/>
        </c:scaling>
        <c:axPos val="b"/>
        <c:numFmt formatCode="0" sourceLinked="0"/>
        <c:tickLblPos val="low"/>
        <c:txPr>
          <a:bodyPr/>
          <a:lstStyle/>
          <a:p>
            <a:pPr>
              <a:defRPr sz="800">
                <a:latin typeface="Arial" pitchFamily="34" charset="0"/>
                <a:cs typeface="Arial" pitchFamily="34" charset="0"/>
              </a:defRPr>
            </a:pPr>
            <a:endParaRPr lang="cs-CZ"/>
          </a:p>
        </c:txPr>
        <c:crossAx val="134499328"/>
        <c:crossesAt val="0"/>
        <c:crossBetween val="midCat"/>
      </c:valAx>
      <c:valAx>
        <c:axId val="134499328"/>
        <c:scaling>
          <c:orientation val="minMax"/>
          <c:max val="80"/>
          <c:min val="0"/>
        </c:scaling>
        <c:axPos val="l"/>
        <c:majorGridlines/>
        <c:numFmt formatCode="#,##0" sourceLinked="0"/>
        <c:tickLblPos val="nextTo"/>
        <c:txPr>
          <a:bodyPr/>
          <a:lstStyle/>
          <a:p>
            <a:pPr>
              <a:defRPr sz="800">
                <a:latin typeface="Arial" pitchFamily="34" charset="0"/>
                <a:cs typeface="Arial" pitchFamily="34" charset="0"/>
              </a:defRPr>
            </a:pPr>
            <a:endParaRPr lang="cs-CZ"/>
          </a:p>
        </c:txPr>
        <c:crossAx val="134497792"/>
        <c:crosses val="autoZero"/>
        <c:crossBetween val="midCat"/>
        <c:majorUnit val="10"/>
        <c:minorUnit val="0.4"/>
      </c:valAx>
      <c:spPr>
        <a:ln w="9525">
          <a:solidFill>
            <a:schemeClr val="tx1">
              <a:lumMod val="95000"/>
              <a:lumOff val="5000"/>
            </a:schemeClr>
          </a:solidFill>
        </a:ln>
      </c:spPr>
    </c:plotArea>
    <c:plotVisOnly val="1"/>
    <c:dispBlanksAs val="gap"/>
  </c:chart>
  <c:spPr>
    <a:ln>
      <a:noFill/>
    </a:ln>
  </c:spPr>
  <c:externalData r:id="rId1"/>
  <c:userShapes r:id="rId2"/>
</c:chartSpace>
</file>

<file path=word/charts/chart45.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5.2290858963379545E-2"/>
          <c:y val="1.969125589257158E-2"/>
          <c:w val="0.89226732269299447"/>
          <c:h val="0.73679623486813572"/>
        </c:manualLayout>
      </c:layout>
      <c:barChart>
        <c:barDir val="col"/>
        <c:grouping val="stacked"/>
        <c:ser>
          <c:idx val="0"/>
          <c:order val="0"/>
          <c:tx>
            <c:strRef>
              <c:f>'Eenrgetika-graf'!$B$91</c:f>
              <c:strCache>
                <c:ptCount val="1"/>
                <c:pt idx="0">
                  <c:v>Větrné a fotovoltaické elektrárny</c:v>
                </c:pt>
              </c:strCache>
            </c:strRef>
          </c:tx>
          <c:spPr>
            <a:solidFill>
              <a:srgbClr val="D2E7B6"/>
            </a:solidFill>
            <a:ln>
              <a:noFill/>
            </a:ln>
          </c:spPr>
          <c:cat>
            <c:numRef>
              <c:f>'Eenrgetika-graf'!$A$92:$A$104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'Eenrgetika-graf'!$B$92:$B$104</c:f>
              <c:numCache>
                <c:formatCode>0.0</c:formatCode>
                <c:ptCount val="13"/>
                <c:pt idx="0">
                  <c:v>1.3517823962358781E-2</c:v>
                </c:pt>
                <c:pt idx="1">
                  <c:v>3.4149283228342417E-2</c:v>
                </c:pt>
                <c:pt idx="2">
                  <c:v>9.1630127227187025E-2</c:v>
                </c:pt>
                <c:pt idx="3">
                  <c:v>0.1484825694868887</c:v>
                </c:pt>
                <c:pt idx="4">
                  <c:v>0.14284619547777797</c:v>
                </c:pt>
                <c:pt idx="5">
                  <c:v>0.69823708206687063</c:v>
                </c:pt>
                <c:pt idx="6">
                  <c:v>1.820253992719461</c:v>
                </c:pt>
                <c:pt idx="7">
                  <c:v>8.6340203242140659E-2</c:v>
                </c:pt>
                <c:pt idx="8">
                  <c:v>-4.7845414776353387E-2</c:v>
                </c:pt>
                <c:pt idx="9">
                  <c:v>5.8462135717149102E-2</c:v>
                </c:pt>
                <c:pt idx="10">
                  <c:v>0.27557050070113509</c:v>
                </c:pt>
                <c:pt idx="11">
                  <c:v>-0.2478295543001853</c:v>
                </c:pt>
                <c:pt idx="12">
                  <c:v>0.1871505932037543</c:v>
                </c:pt>
              </c:numCache>
            </c:numRef>
          </c:val>
          <c:extLst xmlns:c16r2="http://schemas.microsoft.com/office/drawing/2015/06/chart">
            <c:ext xmlns:c16="http://schemas.microsoft.com/office/drawing/2014/chart" uri="{C3380CC4-5D6E-409C-BE32-E72D297353CC}">
              <c16:uniqueId val="{00000000-F664-4047-A5CD-D89702DD5605}"/>
            </c:ext>
          </c:extLst>
        </c:ser>
        <c:ser>
          <c:idx val="1"/>
          <c:order val="1"/>
          <c:tx>
            <c:strRef>
              <c:f>'Eenrgetika-graf'!$C$91</c:f>
              <c:strCache>
                <c:ptCount val="1"/>
                <c:pt idx="0">
                  <c:v>Vodní a přečerpávací  elektrárny</c:v>
                </c:pt>
              </c:strCache>
            </c:strRef>
          </c:tx>
          <c:spPr>
            <a:solidFill>
              <a:srgbClr val="BFE3F7"/>
            </a:solidFill>
            <a:ln>
              <a:noFill/>
            </a:ln>
          </c:spPr>
          <c:cat>
            <c:numRef>
              <c:f>'Eenrgetika-graf'!$A$92:$A$104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'Eenrgetika-graf'!$C$92:$C$104</c:f>
              <c:numCache>
                <c:formatCode>0.0</c:formatCode>
                <c:ptCount val="13"/>
                <c:pt idx="0">
                  <c:v>0.55043630555499456</c:v>
                </c:pt>
                <c:pt idx="1">
                  <c:v>0.27888581303146764</c:v>
                </c:pt>
                <c:pt idx="2">
                  <c:v>-0.86959717120135116</c:v>
                </c:pt>
                <c:pt idx="3">
                  <c:v>-0.16745471111222357</c:v>
                </c:pt>
                <c:pt idx="4">
                  <c:v>0.72608493661125662</c:v>
                </c:pt>
                <c:pt idx="5">
                  <c:v>0.48376899696049236</c:v>
                </c:pt>
                <c:pt idx="6">
                  <c:v>-0.63515642007402062</c:v>
                </c:pt>
                <c:pt idx="7">
                  <c:v>0.14607026447975965</c:v>
                </c:pt>
                <c:pt idx="8">
                  <c:v>0.91214599817066788</c:v>
                </c:pt>
                <c:pt idx="9">
                  <c:v>-0.92000335381996656</c:v>
                </c:pt>
                <c:pt idx="10">
                  <c:v>0.12801819462951508</c:v>
                </c:pt>
                <c:pt idx="11">
                  <c:v>0.15639844888977786</c:v>
                </c:pt>
                <c:pt idx="12">
                  <c:v>-0.19447335534963758</c:v>
                </c:pt>
              </c:numCache>
            </c:numRef>
          </c:val>
          <c:extLst xmlns:c16r2="http://schemas.microsoft.com/office/drawing/2015/06/chart">
            <c:ext xmlns:c16="http://schemas.microsoft.com/office/drawing/2014/chart" uri="{C3380CC4-5D6E-409C-BE32-E72D297353CC}">
              <c16:uniqueId val="{00000001-F664-4047-A5CD-D89702DD5605}"/>
            </c:ext>
          </c:extLst>
        </c:ser>
        <c:ser>
          <c:idx val="2"/>
          <c:order val="2"/>
          <c:tx>
            <c:strRef>
              <c:f>'Eenrgetika-graf'!$D$91</c:f>
              <c:strCache>
                <c:ptCount val="1"/>
                <c:pt idx="0">
                  <c:v>(Paro-)plynové a spalovací  elektrárny</c:v>
                </c:pt>
              </c:strCache>
            </c:strRef>
          </c:tx>
          <c:spPr>
            <a:solidFill>
              <a:srgbClr val="FDDEB3"/>
            </a:solidFill>
            <a:ln>
              <a:noFill/>
            </a:ln>
          </c:spPr>
          <c:cat>
            <c:numRef>
              <c:f>'Eenrgetika-graf'!$A$92:$A$104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'Eenrgetika-graf'!$D$92:$D$104</c:f>
              <c:numCache>
                <c:formatCode>0.0</c:formatCode>
                <c:ptCount val="13"/>
                <c:pt idx="0">
                  <c:v>4.8379580496863167E-2</c:v>
                </c:pt>
                <c:pt idx="1">
                  <c:v>-6.4544567236548139E-2</c:v>
                </c:pt>
                <c:pt idx="2">
                  <c:v>-0.16500535200549293</c:v>
                </c:pt>
                <c:pt idx="3">
                  <c:v>0.72684887496336903</c:v>
                </c:pt>
                <c:pt idx="4">
                  <c:v>0.13470408207250567</c:v>
                </c:pt>
                <c:pt idx="5">
                  <c:v>0.45617021276595832</c:v>
                </c:pt>
                <c:pt idx="6">
                  <c:v>0.41292152162803408</c:v>
                </c:pt>
                <c:pt idx="7">
                  <c:v>0.54819176661676761</c:v>
                </c:pt>
                <c:pt idx="8">
                  <c:v>0.95610896878855767</c:v>
                </c:pt>
                <c:pt idx="9">
                  <c:v>0.49009417112981996</c:v>
                </c:pt>
                <c:pt idx="10">
                  <c:v>0.72322722124939265</c:v>
                </c:pt>
                <c:pt idx="11">
                  <c:v>1.5997463293451109</c:v>
                </c:pt>
                <c:pt idx="12">
                  <c:v>-0.26542011646793168</c:v>
                </c:pt>
              </c:numCache>
            </c:numRef>
          </c:val>
          <c:extLst xmlns:c16r2="http://schemas.microsoft.com/office/drawing/2015/06/chart">
            <c:ext xmlns:c16="http://schemas.microsoft.com/office/drawing/2014/chart" uri="{C3380CC4-5D6E-409C-BE32-E72D297353CC}">
              <c16:uniqueId val="{00000002-F664-4047-A5CD-D89702DD5605}"/>
            </c:ext>
          </c:extLst>
        </c:ser>
        <c:ser>
          <c:idx val="3"/>
          <c:order val="3"/>
          <c:tx>
            <c:strRef>
              <c:f>'Eenrgetika-graf'!$E$91</c:f>
              <c:strCache>
                <c:ptCount val="1"/>
                <c:pt idx="0">
                  <c:v>Parní elektrárny</c:v>
                </c:pt>
              </c:strCache>
            </c:strRef>
          </c:tx>
          <c:spPr>
            <a:solidFill>
              <a:srgbClr val="BABABA"/>
            </a:solidFill>
            <a:ln>
              <a:noFill/>
            </a:ln>
          </c:spPr>
          <c:cat>
            <c:numRef>
              <c:f>'Eenrgetika-graf'!$A$92:$A$104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'Eenrgetika-graf'!$E$92:$E$104</c:f>
              <c:numCache>
                <c:formatCode>0.0</c:formatCode>
                <c:ptCount val="13"/>
                <c:pt idx="0">
                  <c:v>-0.79897454261731393</c:v>
                </c:pt>
                <c:pt idx="1">
                  <c:v>0.31267180601270378</c:v>
                </c:pt>
                <c:pt idx="2">
                  <c:v>5.136028657826075</c:v>
                </c:pt>
                <c:pt idx="3">
                  <c:v>-6.2589890461443298</c:v>
                </c:pt>
                <c:pt idx="4">
                  <c:v>-3.3064164643111953</c:v>
                </c:pt>
                <c:pt idx="5">
                  <c:v>1.8508206686930075</c:v>
                </c:pt>
                <c:pt idx="6">
                  <c:v>-7.799758091081679E-3</c:v>
                </c:pt>
                <c:pt idx="7">
                  <c:v>-3.097283481384737</c:v>
                </c:pt>
                <c:pt idx="8">
                  <c:v>-2.8821438399884367</c:v>
                </c:pt>
                <c:pt idx="9">
                  <c:v>-0.36490020662747097</c:v>
                </c:pt>
                <c:pt idx="10">
                  <c:v>0.46498161700583607</c:v>
                </c:pt>
                <c:pt idx="11">
                  <c:v>1.054855087062214</c:v>
                </c:pt>
                <c:pt idx="12">
                  <c:v>-0.32700334566198491</c:v>
                </c:pt>
              </c:numCache>
            </c:numRef>
          </c:val>
          <c:extLst xmlns:c16r2="http://schemas.microsoft.com/office/drawing/2015/06/chart">
            <c:ext xmlns:c16="http://schemas.microsoft.com/office/drawing/2014/chart" uri="{C3380CC4-5D6E-409C-BE32-E72D297353CC}">
              <c16:uniqueId val="{00000003-F664-4047-A5CD-D89702DD5605}"/>
            </c:ext>
          </c:extLst>
        </c:ser>
        <c:ser>
          <c:idx val="4"/>
          <c:order val="4"/>
          <c:tx>
            <c:strRef>
              <c:f>'Eenrgetika-graf'!$F$91</c:f>
              <c:strCache>
                <c:ptCount val="1"/>
                <c:pt idx="0">
                  <c:v>Jaderné elektrárny</c:v>
                </c:pt>
              </c:strCache>
            </c:strRef>
          </c:tx>
          <c:spPr>
            <a:solidFill>
              <a:srgbClr val="C3B0EA"/>
            </a:solidFill>
            <a:ln>
              <a:noFill/>
            </a:ln>
          </c:spPr>
          <c:cat>
            <c:numRef>
              <c:f>'Eenrgetika-graf'!$A$92:$A$104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'Eenrgetika-graf'!$F$92:$F$104</c:f>
              <c:numCache>
                <c:formatCode>0.0</c:formatCode>
                <c:ptCount val="13"/>
                <c:pt idx="0">
                  <c:v>-1.8937997061651819</c:v>
                </c:pt>
                <c:pt idx="1">
                  <c:v>1.5971450230447228</c:v>
                </c:pt>
                <c:pt idx="2">
                  <c:v>0.14888413945323017</c:v>
                </c:pt>
                <c:pt idx="3">
                  <c:v>0.43045176418196496</c:v>
                </c:pt>
                <c:pt idx="4">
                  <c:v>0.78643236537972916</c:v>
                </c:pt>
                <c:pt idx="5">
                  <c:v>0.94881458966565657</c:v>
                </c:pt>
                <c:pt idx="6">
                  <c:v>0.34272369880826636</c:v>
                </c:pt>
                <c:pt idx="7">
                  <c:v>2.331642314009938</c:v>
                </c:pt>
                <c:pt idx="8">
                  <c:v>0.48085212797905885</c:v>
                </c:pt>
                <c:pt idx="9">
                  <c:v>-0.48285818969527683</c:v>
                </c:pt>
                <c:pt idx="10">
                  <c:v>-4.0511189092524278</c:v>
                </c:pt>
                <c:pt idx="11">
                  <c:v>-3.262195085607948</c:v>
                </c:pt>
                <c:pt idx="12">
                  <c:v>5.0843978348633003</c:v>
                </c:pt>
              </c:numCache>
            </c:numRef>
          </c:val>
          <c:extLst xmlns:c16r2="http://schemas.microsoft.com/office/drawing/2015/06/chart">
            <c:ext xmlns:c16="http://schemas.microsoft.com/office/drawing/2014/chart" uri="{C3380CC4-5D6E-409C-BE32-E72D297353CC}">
              <c16:uniqueId val="{00000004-F664-4047-A5CD-D89702DD5605}"/>
            </c:ext>
          </c:extLst>
        </c:ser>
        <c:gapWidth val="72"/>
        <c:overlap val="100"/>
        <c:axId val="151116416"/>
        <c:axId val="151212416"/>
      </c:barChart>
      <c:lineChart>
        <c:grouping val="standard"/>
        <c:ser>
          <c:idx val="5"/>
          <c:order val="5"/>
          <c:tx>
            <c:strRef>
              <c:f>'Eenrgetika-graf'!$G$91</c:f>
              <c:strCache>
                <c:ptCount val="1"/>
                <c:pt idx="0">
                  <c:v>Tuzemská výroba elektřiny celkem</c:v>
                </c:pt>
              </c:strCache>
            </c:strRef>
          </c:tx>
          <c:spPr>
            <a:ln>
              <a:noFill/>
            </a:ln>
          </c:spPr>
          <c:marker>
            <c:symbol val="diamond"/>
            <c:size val="8"/>
            <c:spPr>
              <a:solidFill>
                <a:schemeClr val="bg1"/>
              </a:solidFill>
              <a:ln>
                <a:solidFill>
                  <a:sysClr val="windowText" lastClr="000000"/>
                </a:solidFill>
              </a:ln>
            </c:spPr>
          </c:marker>
          <c:cat>
            <c:numRef>
              <c:f>'Eenrgetika-graf'!$A$92:$A$104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'Eenrgetika-graf'!$G$92:$G$104</c:f>
              <c:numCache>
                <c:formatCode>0.0</c:formatCode>
                <c:ptCount val="13"/>
                <c:pt idx="0">
                  <c:v>-2.0804405387682863</c:v>
                </c:pt>
                <c:pt idx="1">
                  <c:v>2.1583073580806786</c:v>
                </c:pt>
                <c:pt idx="2">
                  <c:v>4.3419404012996834</c:v>
                </c:pt>
                <c:pt idx="3">
                  <c:v>-5.1206605486243575</c:v>
                </c:pt>
                <c:pt idx="4">
                  <c:v>-1.51634888476994</c:v>
                </c:pt>
                <c:pt idx="5">
                  <c:v>4.4378115501519755</c:v>
                </c:pt>
                <c:pt idx="6">
                  <c:v>1.9330594492905373</c:v>
                </c:pt>
                <c:pt idx="7">
                  <c:v>1.496106696390598E-2</c:v>
                </c:pt>
                <c:pt idx="8">
                  <c:v>-0.58099634936058919</c:v>
                </c:pt>
                <c:pt idx="9">
                  <c:v>-1.2192054432957491</c:v>
                </c:pt>
                <c:pt idx="10">
                  <c:v>-2.4593213756665402</c:v>
                </c:pt>
                <c:pt idx="11">
                  <c:v>-0.69902477461101864</c:v>
                </c:pt>
                <c:pt idx="12">
                  <c:v>4.4845315653063835</c:v>
                </c:pt>
              </c:numCache>
            </c:numRef>
          </c:val>
          <c:extLst xmlns:c16r2="http://schemas.microsoft.com/office/drawing/2015/06/chart">
            <c:ext xmlns:c16="http://schemas.microsoft.com/office/drawing/2014/chart" uri="{C3380CC4-5D6E-409C-BE32-E72D297353CC}">
              <c16:uniqueId val="{00000005-F664-4047-A5CD-D89702DD5605}"/>
            </c:ext>
          </c:extLst>
        </c:ser>
        <c:marker val="1"/>
        <c:axId val="151116416"/>
        <c:axId val="151212416"/>
      </c:lineChart>
      <c:lineChart>
        <c:grouping val="standard"/>
        <c:ser>
          <c:idx val="6"/>
          <c:order val="6"/>
          <c:tx>
            <c:strRef>
              <c:f>'Eenrgetika-graf'!$H$91</c:f>
              <c:strCache>
                <c:ptCount val="1"/>
                <c:pt idx="0">
                  <c:v>Spotřeba elektř.(velkoodběr), 2005=100</c:v>
                </c:pt>
              </c:strCache>
            </c:strRef>
          </c:tx>
          <c:spPr>
            <a:ln w="22225">
              <a:solidFill>
                <a:srgbClr val="808080"/>
              </a:solidFill>
            </a:ln>
          </c:spPr>
          <c:marker>
            <c:symbol val="none"/>
          </c:marker>
          <c:cat>
            <c:numRef>
              <c:f>'Eenrgetika-graf'!$A$92:$A$104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'Eenrgetika-graf'!$H$92:$H$104</c:f>
              <c:numCache>
                <c:formatCode>#,##0</c:formatCode>
                <c:ptCount val="13"/>
                <c:pt idx="0">
                  <c:v>100</c:v>
                </c:pt>
                <c:pt idx="1">
                  <c:v>97.666364577938879</c:v>
                </c:pt>
                <c:pt idx="2">
                  <c:v>105.97617814603746</c:v>
                </c:pt>
                <c:pt idx="3">
                  <c:v>104.04971517348405</c:v>
                </c:pt>
                <c:pt idx="4">
                  <c:v>94.939150699120631</c:v>
                </c:pt>
                <c:pt idx="5">
                  <c:v>95.690056965303327</c:v>
                </c:pt>
                <c:pt idx="6">
                  <c:v>99.398627654065237</c:v>
                </c:pt>
                <c:pt idx="7">
                  <c:v>98.39687985499738</c:v>
                </c:pt>
                <c:pt idx="8">
                  <c:v>99.323537027445639</c:v>
                </c:pt>
                <c:pt idx="9">
                  <c:v>96.626100466079748</c:v>
                </c:pt>
                <c:pt idx="10">
                  <c:v>99.205398757119426</c:v>
                </c:pt>
                <c:pt idx="11">
                  <c:v>101.06097876747798</c:v>
                </c:pt>
                <c:pt idx="12">
                  <c:v>103.55256343863284</c:v>
                </c:pt>
              </c:numCache>
            </c:numRef>
          </c:val>
          <c:extLst xmlns:c16r2="http://schemas.microsoft.com/office/drawing/2015/06/chart">
            <c:ext xmlns:c16="http://schemas.microsoft.com/office/drawing/2014/chart" uri="{C3380CC4-5D6E-409C-BE32-E72D297353CC}">
              <c16:uniqueId val="{00000006-F664-4047-A5CD-D89702DD5605}"/>
            </c:ext>
          </c:extLst>
        </c:ser>
        <c:ser>
          <c:idx val="7"/>
          <c:order val="7"/>
          <c:tx>
            <c:strRef>
              <c:f>'Eenrgetika-graf'!$I$91</c:f>
              <c:strCache>
                <c:ptCount val="1"/>
              </c:strCache>
            </c:strRef>
          </c:tx>
          <c:spPr>
            <a:ln w="22225">
              <a:noFill/>
            </a:ln>
          </c:spPr>
          <c:marker>
            <c:symbol val="none"/>
          </c:marker>
          <c:cat>
            <c:numRef>
              <c:f>'Eenrgetika-graf'!$A$92:$A$104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'Eenrgetika-graf'!$I$92:$I$104</c:f>
              <c:numCache>
                <c:formatCode>General</c:formatCode>
                <c:ptCount val="13"/>
              </c:numCache>
            </c:numRef>
          </c:val>
          <c:extLst xmlns:c16r2="http://schemas.microsoft.com/office/drawing/2015/06/chart">
            <c:ext xmlns:c16="http://schemas.microsoft.com/office/drawing/2014/chart" uri="{C3380CC4-5D6E-409C-BE32-E72D297353CC}">
              <c16:uniqueId val="{00000007-F664-4047-A5CD-D89702DD5605}"/>
            </c:ext>
          </c:extLst>
        </c:ser>
        <c:ser>
          <c:idx val="8"/>
          <c:order val="8"/>
          <c:tx>
            <c:strRef>
              <c:f>'Eenrgetika-graf'!$J$91</c:f>
              <c:strCache>
                <c:ptCount val="1"/>
                <c:pt idx="0">
                  <c:v>Maloodběr (podnikatelé), 2005=100</c:v>
                </c:pt>
              </c:strCache>
            </c:strRef>
          </c:tx>
          <c:spPr>
            <a:ln w="22225">
              <a:solidFill>
                <a:srgbClr val="BD1B21"/>
              </a:solidFill>
            </a:ln>
          </c:spPr>
          <c:marker>
            <c:symbol val="none"/>
          </c:marker>
          <c:cat>
            <c:numRef>
              <c:f>'Eenrgetika-graf'!$A$92:$A$104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'Eenrgetika-graf'!$J$92:$J$104</c:f>
              <c:numCache>
                <c:formatCode>#,##0</c:formatCode>
                <c:ptCount val="13"/>
                <c:pt idx="0">
                  <c:v>100</c:v>
                </c:pt>
                <c:pt idx="1">
                  <c:v>102.06355234839852</c:v>
                </c:pt>
                <c:pt idx="2">
                  <c:v>100.23673882769826</c:v>
                </c:pt>
                <c:pt idx="3">
                  <c:v>107.23382706671732</c:v>
                </c:pt>
                <c:pt idx="4">
                  <c:v>106.21724268894953</c:v>
                </c:pt>
                <c:pt idx="5">
                  <c:v>107.33257374351165</c:v>
                </c:pt>
                <c:pt idx="6">
                  <c:v>101.9179642992801</c:v>
                </c:pt>
                <c:pt idx="7">
                  <c:v>102.55222180022787</c:v>
                </c:pt>
                <c:pt idx="8">
                  <c:v>103.45613368780934</c:v>
                </c:pt>
                <c:pt idx="9">
                  <c:v>97.907330041777527</c:v>
                </c:pt>
                <c:pt idx="10">
                  <c:v>98.742878845422226</c:v>
                </c:pt>
                <c:pt idx="11">
                  <c:v>101.62425623496645</c:v>
                </c:pt>
                <c:pt idx="12">
                  <c:v>102.65856437523739</c:v>
                </c:pt>
              </c:numCache>
            </c:numRef>
          </c:val>
          <c:extLst xmlns:c16r2="http://schemas.microsoft.com/office/drawing/2015/06/chart">
            <c:ext xmlns:c16="http://schemas.microsoft.com/office/drawing/2014/chart" uri="{C3380CC4-5D6E-409C-BE32-E72D297353CC}">
              <c16:uniqueId val="{00000008-F664-4047-A5CD-D89702DD5605}"/>
            </c:ext>
          </c:extLst>
        </c:ser>
        <c:ser>
          <c:idx val="9"/>
          <c:order val="9"/>
          <c:tx>
            <c:strRef>
              <c:f>'Eenrgetika-graf'!$K$91</c:f>
              <c:strCache>
                <c:ptCount val="1"/>
                <c:pt idx="0">
                  <c:v>Maloodběr (domácnosti), 2005=100</c:v>
                </c:pt>
              </c:strCache>
            </c:strRef>
          </c:tx>
          <c:spPr>
            <a:ln w="22225">
              <a:solidFill>
                <a:srgbClr val="0071BC"/>
              </a:solidFill>
            </a:ln>
          </c:spPr>
          <c:marker>
            <c:symbol val="none"/>
          </c:marker>
          <c:cat>
            <c:numRef>
              <c:f>'Eenrgetika-graf'!$A$92:$A$104</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'Eenrgetika-graf'!$K$92:$K$104</c:f>
              <c:numCache>
                <c:formatCode>#,##0</c:formatCode>
                <c:ptCount val="13"/>
                <c:pt idx="0">
                  <c:v>100</c:v>
                </c:pt>
                <c:pt idx="1">
                  <c:v>103.25429716692712</c:v>
                </c:pt>
                <c:pt idx="2">
                  <c:v>99.502683606223243</c:v>
                </c:pt>
                <c:pt idx="3">
                  <c:v>99.890617569128366</c:v>
                </c:pt>
                <c:pt idx="4">
                  <c:v>99.783952714178952</c:v>
                </c:pt>
                <c:pt idx="5">
                  <c:v>102.09593043005565</c:v>
                </c:pt>
                <c:pt idx="6">
                  <c:v>96.475983422786058</c:v>
                </c:pt>
                <c:pt idx="7">
                  <c:v>99.060398124872549</c:v>
                </c:pt>
                <c:pt idx="8">
                  <c:v>99.979618180582918</c:v>
                </c:pt>
                <c:pt idx="9">
                  <c:v>95.961682179495881</c:v>
                </c:pt>
                <c:pt idx="10">
                  <c:v>97.709762891500759</c:v>
                </c:pt>
                <c:pt idx="11">
                  <c:v>100.68007337454887</c:v>
                </c:pt>
                <c:pt idx="12">
                  <c:v>103.34465656634377</c:v>
                </c:pt>
              </c:numCache>
            </c:numRef>
          </c:val>
          <c:extLst xmlns:c16r2="http://schemas.microsoft.com/office/drawing/2015/06/chart">
            <c:ext xmlns:c16="http://schemas.microsoft.com/office/drawing/2014/chart" uri="{C3380CC4-5D6E-409C-BE32-E72D297353CC}">
              <c16:uniqueId val="{00000009-F664-4047-A5CD-D89702DD5605}"/>
            </c:ext>
          </c:extLst>
        </c:ser>
        <c:marker val="1"/>
        <c:axId val="151215488"/>
        <c:axId val="151213952"/>
      </c:lineChart>
      <c:catAx>
        <c:axId val="151116416"/>
        <c:scaling>
          <c:orientation val="minMax"/>
        </c:scaling>
        <c:axPos val="b"/>
        <c:numFmt formatCode="General" sourceLinked="1"/>
        <c:majorTickMark val="none"/>
        <c:tickLblPos val="low"/>
        <c:txPr>
          <a:bodyPr/>
          <a:lstStyle/>
          <a:p>
            <a:pPr>
              <a:defRPr sz="800">
                <a:latin typeface="Arial" pitchFamily="34" charset="0"/>
                <a:cs typeface="Arial" pitchFamily="34" charset="0"/>
              </a:defRPr>
            </a:pPr>
            <a:endParaRPr lang="cs-CZ"/>
          </a:p>
        </c:txPr>
        <c:crossAx val="151212416"/>
        <c:crosses val="autoZero"/>
        <c:auto val="1"/>
        <c:lblAlgn val="ctr"/>
        <c:lblOffset val="10"/>
      </c:catAx>
      <c:valAx>
        <c:axId val="151212416"/>
        <c:scaling>
          <c:orientation val="minMax"/>
          <c:min val="-7"/>
        </c:scaling>
        <c:axPos val="l"/>
        <c:majorGridlines>
          <c:spPr>
            <a:ln w="6350">
              <a:solidFill>
                <a:schemeClr val="bg1">
                  <a:lumMod val="65000"/>
                </a:schemeClr>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51116416"/>
        <c:crosses val="autoZero"/>
        <c:crossBetween val="between"/>
        <c:majorUnit val="1"/>
      </c:valAx>
      <c:valAx>
        <c:axId val="151213952"/>
        <c:scaling>
          <c:orientation val="minMax"/>
          <c:max val="112"/>
          <c:min val="86"/>
        </c:scaling>
        <c:axPos val="r"/>
        <c:numFmt formatCode="#,##0" sourceLinked="1"/>
        <c:tickLblPos val="nextTo"/>
        <c:txPr>
          <a:bodyPr/>
          <a:lstStyle/>
          <a:p>
            <a:pPr>
              <a:defRPr sz="800">
                <a:latin typeface="Arial" pitchFamily="34" charset="0"/>
                <a:cs typeface="Arial" pitchFamily="34" charset="0"/>
              </a:defRPr>
            </a:pPr>
            <a:endParaRPr lang="cs-CZ"/>
          </a:p>
        </c:txPr>
        <c:crossAx val="151215488"/>
        <c:crosses val="max"/>
        <c:crossBetween val="between"/>
        <c:majorUnit val="2"/>
      </c:valAx>
      <c:catAx>
        <c:axId val="151215488"/>
        <c:scaling>
          <c:orientation val="minMax"/>
        </c:scaling>
        <c:delete val="1"/>
        <c:axPos val="b"/>
        <c:numFmt formatCode="General" sourceLinked="1"/>
        <c:tickLblPos val="none"/>
        <c:crossAx val="151213952"/>
        <c:crosses val="autoZero"/>
        <c:auto val="1"/>
        <c:lblAlgn val="ctr"/>
        <c:lblOffset val="100"/>
      </c:catAx>
      <c:spPr>
        <a:ln>
          <a:solidFill>
            <a:sysClr val="windowText" lastClr="000000"/>
          </a:solidFill>
        </a:ln>
      </c:spPr>
    </c:plotArea>
    <c:legend>
      <c:legendPos val="r"/>
      <c:layout>
        <c:manualLayout>
          <c:xMode val="edge"/>
          <c:yMode val="edge"/>
          <c:x val="3.2136707047442592E-2"/>
          <c:y val="0.81351820934982289"/>
          <c:w val="0.93098961851640571"/>
          <c:h val="0.16859441040350698"/>
        </c:manualLayout>
      </c:layout>
      <c:spPr>
        <a:noFill/>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46.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534E-2"/>
          <c:y val="1.951317561635282E-2"/>
          <c:w val="0.92433548575002578"/>
          <c:h val="0.7541272225868848"/>
        </c:manualLayout>
      </c:layout>
      <c:barChart>
        <c:barDir val="col"/>
        <c:grouping val="clustered"/>
        <c:ser>
          <c:idx val="0"/>
          <c:order val="0"/>
          <c:tx>
            <c:strRef>
              <c:f>'Graf-Národní účty'!$A$29</c:f>
              <c:strCache>
                <c:ptCount val="1"/>
                <c:pt idx="0">
                  <c:v>Hrubá přidaná hodnota (2010=100)</c:v>
                </c:pt>
              </c:strCache>
            </c:strRef>
          </c:tx>
          <c:spPr>
            <a:solidFill>
              <a:schemeClr val="bg1">
                <a:lumMod val="65000"/>
              </a:schemeClr>
            </a:solidFill>
            <a:ln w="12700">
              <a:noFill/>
              <a:prstDash val="solid"/>
            </a:ln>
          </c:spPr>
          <c:cat>
            <c:strRef>
              <c:f>'Graf-Národní účty'!$G$28:$S$28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účty'!$G$29:$S$29</c:f>
              <c:numCache>
                <c:formatCode>#,##0.0</c:formatCode>
                <c:ptCount val="13"/>
                <c:pt idx="0">
                  <c:v>95.4</c:v>
                </c:pt>
                <c:pt idx="1">
                  <c:v>95.2</c:v>
                </c:pt>
                <c:pt idx="2">
                  <c:v>99.8</c:v>
                </c:pt>
                <c:pt idx="3">
                  <c:v>99.7</c:v>
                </c:pt>
                <c:pt idx="4">
                  <c:v>96.2</c:v>
                </c:pt>
                <c:pt idx="5">
                  <c:v>100</c:v>
                </c:pt>
                <c:pt idx="6">
                  <c:v>93.3</c:v>
                </c:pt>
                <c:pt idx="7">
                  <c:v>90.4</c:v>
                </c:pt>
                <c:pt idx="8">
                  <c:v>91.6</c:v>
                </c:pt>
                <c:pt idx="9">
                  <c:v>93.4</c:v>
                </c:pt>
                <c:pt idx="10">
                  <c:v>97.1</c:v>
                </c:pt>
                <c:pt idx="11">
                  <c:v>93.5</c:v>
                </c:pt>
                <c:pt idx="12">
                  <c:v>90.8</c:v>
                </c:pt>
              </c:numCache>
            </c:numRef>
          </c:val>
          <c:extLst xmlns:c16r2="http://schemas.microsoft.com/office/drawing/2015/06/chart">
            <c:ext xmlns:c16="http://schemas.microsoft.com/office/drawing/2014/chart" uri="{C3380CC4-5D6E-409C-BE32-E72D297353CC}">
              <c16:uniqueId val="{00000000-EDC2-434C-8A54-96E7B363BB35}"/>
            </c:ext>
          </c:extLst>
        </c:ser>
        <c:gapWidth val="30"/>
        <c:axId val="151464576"/>
        <c:axId val="151474560"/>
      </c:barChart>
      <c:lineChart>
        <c:grouping val="standard"/>
        <c:ser>
          <c:idx val="3"/>
          <c:order val="1"/>
          <c:tx>
            <c:strRef>
              <c:f>'Graf-Národní účty'!$A$30</c:f>
              <c:strCache>
                <c:ptCount val="1"/>
                <c:pt idx="0">
                  <c:v>Objem reálných vyplacených mezd a platů (2010=100)*</c:v>
                </c:pt>
              </c:strCache>
            </c:strRef>
          </c:tx>
          <c:spPr>
            <a:ln w="19050">
              <a:solidFill>
                <a:srgbClr val="F8A124"/>
              </a:solidFill>
              <a:prstDash val="solid"/>
            </a:ln>
          </c:spPr>
          <c:marker>
            <c:symbol val="none"/>
          </c:marker>
          <c:cat>
            <c:strRef>
              <c:f>'Graf-Národní účty'!$G$28:$S$28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účty'!$G$30:$S$30</c:f>
              <c:numCache>
                <c:formatCode>0.0</c:formatCode>
                <c:ptCount val="13"/>
                <c:pt idx="0">
                  <c:v>88.872958608160758</c:v>
                </c:pt>
                <c:pt idx="1">
                  <c:v>93.395491653568726</c:v>
                </c:pt>
                <c:pt idx="2">
                  <c:v>98.797041479858564</c:v>
                </c:pt>
                <c:pt idx="3">
                  <c:v>102.06282607321229</c:v>
                </c:pt>
                <c:pt idx="4">
                  <c:v>101.22804327435941</c:v>
                </c:pt>
                <c:pt idx="5">
                  <c:v>100</c:v>
                </c:pt>
                <c:pt idx="6">
                  <c:v>94.024883186783967</c:v>
                </c:pt>
                <c:pt idx="7">
                  <c:v>89.912796332581976</c:v>
                </c:pt>
                <c:pt idx="8">
                  <c:v>83.094855006536918</c:v>
                </c:pt>
                <c:pt idx="9">
                  <c:v>80.348684479829132</c:v>
                </c:pt>
                <c:pt idx="10">
                  <c:v>82.882459415101778</c:v>
                </c:pt>
                <c:pt idx="11">
                  <c:v>83.497424207242119</c:v>
                </c:pt>
                <c:pt idx="12">
                  <c:v>84.291724583205834</c:v>
                </c:pt>
              </c:numCache>
            </c:numRef>
          </c:val>
          <c:extLst xmlns:c16r2="http://schemas.microsoft.com/office/drawing/2015/06/chart">
            <c:ext xmlns:c16="http://schemas.microsoft.com/office/drawing/2014/chart" uri="{C3380CC4-5D6E-409C-BE32-E72D297353CC}">
              <c16:uniqueId val="{00000001-EDC2-434C-8A54-96E7B363BB35}"/>
            </c:ext>
          </c:extLst>
        </c:ser>
        <c:ser>
          <c:idx val="1"/>
          <c:order val="2"/>
          <c:tx>
            <c:strRef>
              <c:f>'Graf-Národní účty'!$A$31</c:f>
              <c:strCache>
                <c:ptCount val="1"/>
                <c:pt idx="0">
                  <c:v>Reálná hodinová produktivita práce (2010=100)</c:v>
                </c:pt>
              </c:strCache>
            </c:strRef>
          </c:tx>
          <c:spPr>
            <a:ln w="19050">
              <a:solidFill>
                <a:srgbClr val="7DBB2D"/>
              </a:solidFill>
            </a:ln>
          </c:spPr>
          <c:marker>
            <c:symbol val="none"/>
          </c:marker>
          <c:cat>
            <c:strRef>
              <c:f>'Graf-Národní účty'!$G$28:$S$28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účty'!$G$31:$S$31</c:f>
              <c:numCache>
                <c:formatCode>0.0</c:formatCode>
                <c:ptCount val="13"/>
                <c:pt idx="0">
                  <c:v>100.40255211866553</c:v>
                </c:pt>
                <c:pt idx="1">
                  <c:v>100.8751063927085</c:v>
                </c:pt>
                <c:pt idx="2">
                  <c:v>107.43517214931229</c:v>
                </c:pt>
                <c:pt idx="3">
                  <c:v>104.01506292037332</c:v>
                </c:pt>
                <c:pt idx="4">
                  <c:v>97.723933671592476</c:v>
                </c:pt>
                <c:pt idx="5">
                  <c:v>100</c:v>
                </c:pt>
                <c:pt idx="6">
                  <c:v>97.474119991968081</c:v>
                </c:pt>
                <c:pt idx="7">
                  <c:v>97.643589669977359</c:v>
                </c:pt>
                <c:pt idx="8">
                  <c:v>102.42555718698404</c:v>
                </c:pt>
                <c:pt idx="9">
                  <c:v>107.79083702217523</c:v>
                </c:pt>
                <c:pt idx="10">
                  <c:v>113.96102538251102</c:v>
                </c:pt>
                <c:pt idx="11">
                  <c:v>111.13831306072888</c:v>
                </c:pt>
                <c:pt idx="12">
                  <c:v>106.57035378062378</c:v>
                </c:pt>
              </c:numCache>
            </c:numRef>
          </c:val>
          <c:extLst xmlns:c16r2="http://schemas.microsoft.com/office/drawing/2015/06/chart">
            <c:ext xmlns:c16="http://schemas.microsoft.com/office/drawing/2014/chart" uri="{C3380CC4-5D6E-409C-BE32-E72D297353CC}">
              <c16:uniqueId val="{00000002-EDC2-434C-8A54-96E7B363BB35}"/>
            </c:ext>
          </c:extLst>
        </c:ser>
        <c:ser>
          <c:idx val="7"/>
          <c:order val="3"/>
          <c:tx>
            <c:strRef>
              <c:f>'Graf-Národní účty'!$A$32</c:f>
              <c:strCache>
                <c:ptCount val="1"/>
                <c:pt idx="0">
                  <c:v>Zaměstnanost (úvazky na plnou pracovní dobu, 2010=100)</c:v>
                </c:pt>
              </c:strCache>
            </c:strRef>
          </c:tx>
          <c:spPr>
            <a:ln w="19050">
              <a:noFill/>
            </a:ln>
          </c:spPr>
          <c:marker>
            <c:symbol val="circle"/>
            <c:size val="5"/>
            <c:spPr>
              <a:solidFill>
                <a:srgbClr val="FFFF00"/>
              </a:solidFill>
              <a:ln w="6350">
                <a:solidFill>
                  <a:sysClr val="windowText" lastClr="000000">
                    <a:lumMod val="65000"/>
                    <a:lumOff val="35000"/>
                  </a:sysClr>
                </a:solidFill>
              </a:ln>
            </c:spPr>
          </c:marker>
          <c:cat>
            <c:strRef>
              <c:f>'Graf-Národní účty'!$G$28:$S$28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účty'!$G$32:$S$32</c:f>
              <c:numCache>
                <c:formatCode>0.0</c:formatCode>
                <c:ptCount val="13"/>
                <c:pt idx="0">
                  <c:v>93.834942311721178</c:v>
                </c:pt>
                <c:pt idx="1">
                  <c:v>93.316583871834851</c:v>
                </c:pt>
                <c:pt idx="2">
                  <c:v>92.611540195532683</c:v>
                </c:pt>
                <c:pt idx="3">
                  <c:v>95.825828177616856</c:v>
                </c:pt>
                <c:pt idx="4">
                  <c:v>98.258239443923529</c:v>
                </c:pt>
                <c:pt idx="5">
                  <c:v>100</c:v>
                </c:pt>
                <c:pt idx="6">
                  <c:v>95.048184687154063</c:v>
                </c:pt>
                <c:pt idx="7">
                  <c:v>93.457550274842745</c:v>
                </c:pt>
                <c:pt idx="8">
                  <c:v>90.896448958944049</c:v>
                </c:pt>
                <c:pt idx="9">
                  <c:v>87.079773014457516</c:v>
                </c:pt>
                <c:pt idx="10">
                  <c:v>86.478655019652749</c:v>
                </c:pt>
                <c:pt idx="11">
                  <c:v>84.521634956281318</c:v>
                </c:pt>
                <c:pt idx="12">
                  <c:v>84.068679847519178</c:v>
                </c:pt>
              </c:numCache>
            </c:numRef>
          </c:val>
          <c:extLst xmlns:c16r2="http://schemas.microsoft.com/office/drawing/2015/06/chart">
            <c:ext xmlns:c16="http://schemas.microsoft.com/office/drawing/2014/chart" uri="{C3380CC4-5D6E-409C-BE32-E72D297353CC}">
              <c16:uniqueId val="{00000003-EDC2-434C-8A54-96E7B363BB35}"/>
            </c:ext>
          </c:extLst>
        </c:ser>
        <c:marker val="1"/>
        <c:axId val="151464576"/>
        <c:axId val="151474560"/>
      </c:lineChart>
      <c:lineChart>
        <c:grouping val="standard"/>
        <c:ser>
          <c:idx val="2"/>
          <c:order val="4"/>
          <c:tx>
            <c:strRef>
              <c:f>'Graf-Národní účty'!$A$33</c:f>
              <c:strCache>
                <c:ptCount val="1"/>
                <c:pt idx="0">
                  <c:v>Míra investic (v %)</c:v>
                </c:pt>
              </c:strCache>
            </c:strRef>
          </c:tx>
          <c:spPr>
            <a:ln w="19050">
              <a:solidFill>
                <a:srgbClr val="BD1B21"/>
              </a:solidFill>
              <a:prstDash val="sysDash"/>
            </a:ln>
          </c:spPr>
          <c:marker>
            <c:symbol val="none"/>
          </c:marker>
          <c:cat>
            <c:strRef>
              <c:f>'Graf-Národní účty'!$G$28:$S$28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účty'!$G$33:$S$33</c:f>
              <c:numCache>
                <c:formatCode>0.0</c:formatCode>
                <c:ptCount val="13"/>
                <c:pt idx="0">
                  <c:v>14.489303930773719</c:v>
                </c:pt>
                <c:pt idx="1">
                  <c:v>14.664232714676533</c:v>
                </c:pt>
                <c:pt idx="2">
                  <c:v>15.547097243023369</c:v>
                </c:pt>
                <c:pt idx="3">
                  <c:v>17.816022300327077</c:v>
                </c:pt>
                <c:pt idx="4">
                  <c:v>14.576024553319424</c:v>
                </c:pt>
                <c:pt idx="5">
                  <c:v>16.380925290042057</c:v>
                </c:pt>
                <c:pt idx="6">
                  <c:v>14.799255943109909</c:v>
                </c:pt>
                <c:pt idx="7">
                  <c:v>14.726700747149035</c:v>
                </c:pt>
                <c:pt idx="8">
                  <c:v>12.842435709577529</c:v>
                </c:pt>
                <c:pt idx="9">
                  <c:v>15.824123599903089</c:v>
                </c:pt>
                <c:pt idx="10">
                  <c:v>15.532659660120812</c:v>
                </c:pt>
                <c:pt idx="11">
                  <c:v>15.685974182898081</c:v>
                </c:pt>
                <c:pt idx="12">
                  <c:v>16.289384371550966</c:v>
                </c:pt>
              </c:numCache>
            </c:numRef>
          </c:val>
          <c:extLst xmlns:c16r2="http://schemas.microsoft.com/office/drawing/2015/06/chart">
            <c:ext xmlns:c16="http://schemas.microsoft.com/office/drawing/2014/chart" uri="{C3380CC4-5D6E-409C-BE32-E72D297353CC}">
              <c16:uniqueId val="{00000004-EDC2-434C-8A54-96E7B363BB35}"/>
            </c:ext>
          </c:extLst>
        </c:ser>
        <c:ser>
          <c:idx val="5"/>
          <c:order val="5"/>
          <c:tx>
            <c:strRef>
              <c:f>'Graf-Národní účty'!$A$34</c:f>
              <c:strCache>
                <c:ptCount val="1"/>
                <c:pt idx="0">
                  <c:v>Míra zisku nefinančních podniků (v %)</c:v>
                </c:pt>
              </c:strCache>
            </c:strRef>
          </c:tx>
          <c:spPr>
            <a:ln w="19050">
              <a:solidFill>
                <a:srgbClr val="0071BC"/>
              </a:solidFill>
              <a:prstDash val="sysDash"/>
            </a:ln>
          </c:spPr>
          <c:marker>
            <c:symbol val="none"/>
          </c:marker>
          <c:cat>
            <c:strRef>
              <c:f>'Graf-Národní účty'!$G$28:$S$28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účty'!$G$34:$S$34</c:f>
              <c:numCache>
                <c:formatCode>0.0</c:formatCode>
                <c:ptCount val="13"/>
                <c:pt idx="0">
                  <c:v>46.752371572235759</c:v>
                </c:pt>
                <c:pt idx="1">
                  <c:v>43.636546487655245</c:v>
                </c:pt>
                <c:pt idx="2">
                  <c:v>46.130449263795278</c:v>
                </c:pt>
                <c:pt idx="3">
                  <c:v>43.984376378684544</c:v>
                </c:pt>
                <c:pt idx="4">
                  <c:v>42.368792104026319</c:v>
                </c:pt>
                <c:pt idx="5">
                  <c:v>42.419000566233365</c:v>
                </c:pt>
                <c:pt idx="6">
                  <c:v>39.224053131805213</c:v>
                </c:pt>
                <c:pt idx="7">
                  <c:v>36.000470498287044</c:v>
                </c:pt>
                <c:pt idx="8">
                  <c:v>38.934113360997102</c:v>
                </c:pt>
                <c:pt idx="9">
                  <c:v>41.982415358329263</c:v>
                </c:pt>
                <c:pt idx="10">
                  <c:v>43.968630758452761</c:v>
                </c:pt>
                <c:pt idx="11">
                  <c:v>42.065421593545999</c:v>
                </c:pt>
                <c:pt idx="12">
                  <c:v>41.353121142182374</c:v>
                </c:pt>
              </c:numCache>
            </c:numRef>
          </c:val>
          <c:extLst xmlns:c16r2="http://schemas.microsoft.com/office/drawing/2015/06/chart">
            <c:ext xmlns:c16="http://schemas.microsoft.com/office/drawing/2014/chart" uri="{C3380CC4-5D6E-409C-BE32-E72D297353CC}">
              <c16:uniqueId val="{00000005-EDC2-434C-8A54-96E7B363BB35}"/>
            </c:ext>
          </c:extLst>
        </c:ser>
        <c:marker val="1"/>
        <c:axId val="151477632"/>
        <c:axId val="151476096"/>
      </c:lineChart>
      <c:catAx>
        <c:axId val="151464576"/>
        <c:scaling>
          <c:orientation val="minMax"/>
        </c:scaling>
        <c:axPos val="b"/>
        <c:numFmt formatCode="General" sourceLinked="1"/>
        <c:tickLblPos val="low"/>
        <c:spPr>
          <a:ln w="9525">
            <a:solidFill>
              <a:schemeClr val="tx1"/>
            </a:solidFill>
            <a:prstDash val="solid"/>
          </a:ln>
        </c:spPr>
        <c:txPr>
          <a:bodyPr rot="0" vert="horz"/>
          <a:lstStyle/>
          <a:p>
            <a:pPr>
              <a:defRPr/>
            </a:pPr>
            <a:endParaRPr lang="cs-CZ"/>
          </a:p>
        </c:txPr>
        <c:crossAx val="151474560"/>
        <c:crossesAt val="100"/>
        <c:lblAlgn val="ctr"/>
        <c:lblOffset val="0"/>
        <c:tickLblSkip val="1"/>
        <c:tickMarkSkip val="4"/>
      </c:catAx>
      <c:valAx>
        <c:axId val="151474560"/>
        <c:scaling>
          <c:orientation val="minMax"/>
          <c:max val="120"/>
          <c:min val="8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51464576"/>
        <c:crosses val="autoZero"/>
        <c:crossBetween val="between"/>
        <c:majorUnit val="5"/>
      </c:valAx>
      <c:valAx>
        <c:axId val="151476096"/>
        <c:scaling>
          <c:orientation val="minMax"/>
          <c:max val="50"/>
          <c:min val="0"/>
        </c:scaling>
        <c:axPos val="r"/>
        <c:numFmt formatCode="0" sourceLinked="0"/>
        <c:tickLblPos val="nextTo"/>
        <c:crossAx val="151477632"/>
        <c:crosses val="max"/>
        <c:crossBetween val="between"/>
      </c:valAx>
      <c:catAx>
        <c:axId val="151477632"/>
        <c:scaling>
          <c:orientation val="minMax"/>
        </c:scaling>
        <c:delete val="1"/>
        <c:axPos val="b"/>
        <c:numFmt formatCode="General" sourceLinked="1"/>
        <c:tickLblPos val="none"/>
        <c:crossAx val="151476096"/>
        <c:crosses val="autoZero"/>
        <c:auto val="1"/>
        <c:lblAlgn val="ctr"/>
        <c:lblOffset val="100"/>
      </c:catAx>
      <c:spPr>
        <a:noFill/>
        <a:ln w="9525">
          <a:solidFill>
            <a:schemeClr val="tx1"/>
          </a:solidFill>
        </a:ln>
      </c:spPr>
    </c:plotArea>
    <c:legend>
      <c:legendPos val="b"/>
      <c:layout>
        <c:manualLayout>
          <c:xMode val="edge"/>
          <c:yMode val="edge"/>
          <c:x val="6.0825173196790622E-2"/>
          <c:y val="0.81810356023404951"/>
          <c:w val="0.88531755998340866"/>
          <c:h val="0.17446685410282964"/>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47.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493E-2"/>
          <c:y val="1.9513175616352876E-2"/>
          <c:w val="0.924335485750025"/>
          <c:h val="0.76155690645052365"/>
        </c:manualLayout>
      </c:layout>
      <c:lineChart>
        <c:grouping val="standard"/>
        <c:ser>
          <c:idx val="0"/>
          <c:order val="0"/>
          <c:tx>
            <c:strRef>
              <c:f>'Graf-stavební práce S'!$D$4</c:f>
              <c:strCache>
                <c:ptCount val="1"/>
                <c:pt idx="0">
                  <c:v>Bytové budovy</c:v>
                </c:pt>
              </c:strCache>
            </c:strRef>
          </c:tx>
          <c:spPr>
            <a:ln w="22225">
              <a:solidFill>
                <a:srgbClr val="0071BC"/>
              </a:solidFill>
            </a:ln>
          </c:spPr>
          <c:marker>
            <c:symbol val="none"/>
          </c:marker>
          <c:cat>
            <c:numRef>
              <c:f>'Graf-stavební práce S'!$C$16:$C$28</c:f>
              <c:numCache>
                <c:formatCode>0</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'Graf-stavební práce S'!$D$16:$D$28</c:f>
              <c:numCache>
                <c:formatCode>#,##0</c:formatCode>
                <c:ptCount val="13"/>
                <c:pt idx="0">
                  <c:v>58.818641364066174</c:v>
                </c:pt>
                <c:pt idx="1">
                  <c:v>68.959892001446178</c:v>
                </c:pt>
                <c:pt idx="2">
                  <c:v>80.630953920443133</c:v>
                </c:pt>
                <c:pt idx="3">
                  <c:v>80.150026903180958</c:v>
                </c:pt>
                <c:pt idx="4">
                  <c:v>65.687689495415327</c:v>
                </c:pt>
                <c:pt idx="5">
                  <c:v>56.711000000000006</c:v>
                </c:pt>
                <c:pt idx="6">
                  <c:v>61.111000000000004</c:v>
                </c:pt>
                <c:pt idx="7">
                  <c:v>50.453999999999994</c:v>
                </c:pt>
                <c:pt idx="8">
                  <c:v>43.690000000000012</c:v>
                </c:pt>
                <c:pt idx="9">
                  <c:v>46.343999999999994</c:v>
                </c:pt>
                <c:pt idx="10">
                  <c:v>51.603000000000002</c:v>
                </c:pt>
                <c:pt idx="11">
                  <c:v>57.574000000000005</c:v>
                </c:pt>
                <c:pt idx="12">
                  <c:v>59.966000000000001</c:v>
                </c:pt>
              </c:numCache>
            </c:numRef>
          </c:val>
          <c:extLst xmlns:c16r2="http://schemas.microsoft.com/office/drawing/2015/06/chart">
            <c:ext xmlns:c16="http://schemas.microsoft.com/office/drawing/2014/chart" uri="{C3380CC4-5D6E-409C-BE32-E72D297353CC}">
              <c16:uniqueId val="{00000000-2C4F-449B-B94B-93F59C3A1B7E}"/>
            </c:ext>
          </c:extLst>
        </c:ser>
        <c:ser>
          <c:idx val="1"/>
          <c:order val="1"/>
          <c:tx>
            <c:strRef>
              <c:f>'Graf-stavební práce S'!$E$4</c:f>
              <c:strCache>
                <c:ptCount val="1"/>
                <c:pt idx="0">
                  <c:v>Nebytové budovy nevýrobní</c:v>
                </c:pt>
              </c:strCache>
            </c:strRef>
          </c:tx>
          <c:spPr>
            <a:ln w="22225">
              <a:solidFill>
                <a:srgbClr val="BD1B21"/>
              </a:solidFill>
            </a:ln>
          </c:spPr>
          <c:marker>
            <c:symbol val="none"/>
          </c:marker>
          <c:cat>
            <c:numRef>
              <c:f>'Graf-stavební práce S'!$C$16:$C$28</c:f>
              <c:numCache>
                <c:formatCode>0</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'Graf-stavební práce S'!$E$16:$E$28</c:f>
              <c:numCache>
                <c:formatCode>#,##0</c:formatCode>
                <c:ptCount val="13"/>
                <c:pt idx="0">
                  <c:v>53.60564868461227</c:v>
                </c:pt>
                <c:pt idx="1">
                  <c:v>64.920537063059058</c:v>
                </c:pt>
                <c:pt idx="2">
                  <c:v>63.567281719881024</c:v>
                </c:pt>
                <c:pt idx="3">
                  <c:v>65.036916750354749</c:v>
                </c:pt>
                <c:pt idx="4">
                  <c:v>66.210068986541103</c:v>
                </c:pt>
                <c:pt idx="5">
                  <c:v>62.929000000000002</c:v>
                </c:pt>
                <c:pt idx="6">
                  <c:v>62.364000000000004</c:v>
                </c:pt>
                <c:pt idx="7">
                  <c:v>61.037000000000006</c:v>
                </c:pt>
                <c:pt idx="8">
                  <c:v>55.079000000000001</c:v>
                </c:pt>
                <c:pt idx="9">
                  <c:v>59.810999999999993</c:v>
                </c:pt>
                <c:pt idx="10">
                  <c:v>56.185000000000002</c:v>
                </c:pt>
                <c:pt idx="11">
                  <c:v>42.645000000000003</c:v>
                </c:pt>
                <c:pt idx="12">
                  <c:v>48.379000000000005</c:v>
                </c:pt>
              </c:numCache>
            </c:numRef>
          </c:val>
          <c:extLst xmlns:c16r2="http://schemas.microsoft.com/office/drawing/2015/06/chart">
            <c:ext xmlns:c16="http://schemas.microsoft.com/office/drawing/2014/chart" uri="{C3380CC4-5D6E-409C-BE32-E72D297353CC}">
              <c16:uniqueId val="{00000001-2C4F-449B-B94B-93F59C3A1B7E}"/>
            </c:ext>
          </c:extLst>
        </c:ser>
        <c:ser>
          <c:idx val="2"/>
          <c:order val="2"/>
          <c:tx>
            <c:strRef>
              <c:f>'Graf-stavební práce S'!$F$4</c:f>
              <c:strCache>
                <c:ptCount val="1"/>
                <c:pt idx="0">
                  <c:v>Nebytové budovy výrobní</c:v>
                </c:pt>
              </c:strCache>
            </c:strRef>
          </c:tx>
          <c:spPr>
            <a:ln w="22225">
              <a:solidFill>
                <a:srgbClr val="7DBB2D"/>
              </a:solidFill>
            </a:ln>
          </c:spPr>
          <c:marker>
            <c:symbol val="none"/>
          </c:marker>
          <c:cat>
            <c:numRef>
              <c:f>'Graf-stavební práce S'!$C$16:$C$28</c:f>
              <c:numCache>
                <c:formatCode>0</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'Graf-stavební práce S'!$F$16:$F$28</c:f>
              <c:numCache>
                <c:formatCode>#,##0</c:formatCode>
                <c:ptCount val="13"/>
                <c:pt idx="0">
                  <c:v>67.897494707140893</c:v>
                </c:pt>
                <c:pt idx="1">
                  <c:v>72.727779427550658</c:v>
                </c:pt>
                <c:pt idx="2">
                  <c:v>91.47128442967653</c:v>
                </c:pt>
                <c:pt idx="3">
                  <c:v>88.138023390106511</c:v>
                </c:pt>
                <c:pt idx="4">
                  <c:v>63.625182468539428</c:v>
                </c:pt>
                <c:pt idx="5">
                  <c:v>54.336999999999996</c:v>
                </c:pt>
                <c:pt idx="6">
                  <c:v>62.355999999999995</c:v>
                </c:pt>
                <c:pt idx="7">
                  <c:v>60.698000000000263</c:v>
                </c:pt>
                <c:pt idx="8">
                  <c:v>58.63</c:v>
                </c:pt>
                <c:pt idx="9">
                  <c:v>60.615000000000002</c:v>
                </c:pt>
                <c:pt idx="10">
                  <c:v>62.155000000000001</c:v>
                </c:pt>
                <c:pt idx="11">
                  <c:v>71.170999999999978</c:v>
                </c:pt>
                <c:pt idx="12">
                  <c:v>87.816999999999993</c:v>
                </c:pt>
              </c:numCache>
            </c:numRef>
          </c:val>
          <c:extLst xmlns:c16r2="http://schemas.microsoft.com/office/drawing/2015/06/chart">
            <c:ext xmlns:c16="http://schemas.microsoft.com/office/drawing/2014/chart" uri="{C3380CC4-5D6E-409C-BE32-E72D297353CC}">
              <c16:uniqueId val="{00000002-2C4F-449B-B94B-93F59C3A1B7E}"/>
            </c:ext>
          </c:extLst>
        </c:ser>
        <c:ser>
          <c:idx val="3"/>
          <c:order val="3"/>
          <c:tx>
            <c:strRef>
              <c:f>'Graf-stavební práce S'!$G$4</c:f>
              <c:strCache>
                <c:ptCount val="1"/>
                <c:pt idx="0">
                  <c:v>Vodohospodářské stavby</c:v>
                </c:pt>
              </c:strCache>
            </c:strRef>
          </c:tx>
          <c:spPr>
            <a:ln w="22225">
              <a:solidFill>
                <a:srgbClr val="48AEE7"/>
              </a:solidFill>
            </a:ln>
          </c:spPr>
          <c:marker>
            <c:symbol val="none"/>
          </c:marker>
          <c:cat>
            <c:numRef>
              <c:f>'Graf-stavební práce S'!$C$16:$C$28</c:f>
              <c:numCache>
                <c:formatCode>0</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'Graf-stavební práce S'!$G$16:$G$28</c:f>
              <c:numCache>
                <c:formatCode>#,##0</c:formatCode>
                <c:ptCount val="13"/>
                <c:pt idx="0">
                  <c:v>4.7864008744399635</c:v>
                </c:pt>
                <c:pt idx="1">
                  <c:v>4.6751604276779259</c:v>
                </c:pt>
                <c:pt idx="2">
                  <c:v>4.5690227537031864</c:v>
                </c:pt>
                <c:pt idx="3">
                  <c:v>4.4319987855547174</c:v>
                </c:pt>
                <c:pt idx="4">
                  <c:v>7.0831826430222806</c:v>
                </c:pt>
                <c:pt idx="5">
                  <c:v>6.4009999999999998</c:v>
                </c:pt>
                <c:pt idx="6">
                  <c:v>6.1209999999999845</c:v>
                </c:pt>
                <c:pt idx="7">
                  <c:v>8.3370000000000015</c:v>
                </c:pt>
                <c:pt idx="8">
                  <c:v>6.9279999999999955</c:v>
                </c:pt>
                <c:pt idx="9">
                  <c:v>5.242</c:v>
                </c:pt>
                <c:pt idx="10">
                  <c:v>4.7039999999999997</c:v>
                </c:pt>
                <c:pt idx="11">
                  <c:v>2.98</c:v>
                </c:pt>
                <c:pt idx="12">
                  <c:v>2.9699999999999998</c:v>
                </c:pt>
              </c:numCache>
            </c:numRef>
          </c:val>
          <c:extLst xmlns:c16r2="http://schemas.microsoft.com/office/drawing/2015/06/chart">
            <c:ext xmlns:c16="http://schemas.microsoft.com/office/drawing/2014/chart" uri="{C3380CC4-5D6E-409C-BE32-E72D297353CC}">
              <c16:uniqueId val="{00000003-2C4F-449B-B94B-93F59C3A1B7E}"/>
            </c:ext>
          </c:extLst>
        </c:ser>
        <c:ser>
          <c:idx val="4"/>
          <c:order val="4"/>
          <c:tx>
            <c:strRef>
              <c:f>'Graf-stavební práce S'!$H$4</c:f>
              <c:strCache>
                <c:ptCount val="1"/>
                <c:pt idx="0">
                  <c:v>Inženýrské stavby</c:v>
                </c:pt>
              </c:strCache>
            </c:strRef>
          </c:tx>
          <c:spPr>
            <a:ln w="22225">
              <a:solidFill>
                <a:srgbClr val="7030A0"/>
              </a:solidFill>
            </a:ln>
          </c:spPr>
          <c:marker>
            <c:symbol val="none"/>
          </c:marker>
          <c:cat>
            <c:numRef>
              <c:f>'Graf-stavební práce S'!$C$16:$C$28</c:f>
              <c:numCache>
                <c:formatCode>0</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'Graf-stavební práce S'!$H$16:$H$28</c:f>
              <c:numCache>
                <c:formatCode>#,##0</c:formatCode>
                <c:ptCount val="13"/>
                <c:pt idx="0">
                  <c:v>129.73595700670072</c:v>
                </c:pt>
                <c:pt idx="1">
                  <c:v>132.36490554669271</c:v>
                </c:pt>
                <c:pt idx="2">
                  <c:v>138.34841691702445</c:v>
                </c:pt>
                <c:pt idx="3">
                  <c:v>160.39469725533581</c:v>
                </c:pt>
                <c:pt idx="4">
                  <c:v>173.31131139844464</c:v>
                </c:pt>
                <c:pt idx="5">
                  <c:v>175.911</c:v>
                </c:pt>
                <c:pt idx="6">
                  <c:v>140.26499999999999</c:v>
                </c:pt>
                <c:pt idx="7">
                  <c:v>124.262</c:v>
                </c:pt>
                <c:pt idx="8">
                  <c:v>119.423</c:v>
                </c:pt>
                <c:pt idx="9">
                  <c:v>130.56300000000002</c:v>
                </c:pt>
                <c:pt idx="10">
                  <c:v>151.69299999999998</c:v>
                </c:pt>
                <c:pt idx="11">
                  <c:v>117.92700000000002</c:v>
                </c:pt>
                <c:pt idx="12">
                  <c:v>114.768</c:v>
                </c:pt>
              </c:numCache>
            </c:numRef>
          </c:val>
          <c:extLst xmlns:c16r2="http://schemas.microsoft.com/office/drawing/2015/06/chart">
            <c:ext xmlns:c16="http://schemas.microsoft.com/office/drawing/2014/chart" uri="{C3380CC4-5D6E-409C-BE32-E72D297353CC}">
              <c16:uniqueId val="{00000004-2C4F-449B-B94B-93F59C3A1B7E}"/>
            </c:ext>
          </c:extLst>
        </c:ser>
        <c:ser>
          <c:idx val="5"/>
          <c:order val="5"/>
          <c:tx>
            <c:strRef>
              <c:f>'Graf-stavební práce S'!$I$4</c:f>
              <c:strCache>
                <c:ptCount val="1"/>
                <c:pt idx="0">
                  <c:v>Opravy a údržba</c:v>
                </c:pt>
              </c:strCache>
            </c:strRef>
          </c:tx>
          <c:spPr>
            <a:ln w="22225">
              <a:solidFill>
                <a:srgbClr val="F8A124"/>
              </a:solidFill>
            </a:ln>
          </c:spPr>
          <c:marker>
            <c:symbol val="none"/>
          </c:marker>
          <c:cat>
            <c:numRef>
              <c:f>'Graf-stavební práce S'!$C$16:$C$28</c:f>
              <c:numCache>
                <c:formatCode>0</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'Graf-stavební práce S'!$I$16:$I$28</c:f>
              <c:numCache>
                <c:formatCode>#,##0</c:formatCode>
                <c:ptCount val="13"/>
                <c:pt idx="0">
                  <c:v>110.61892903654996</c:v>
                </c:pt>
                <c:pt idx="1">
                  <c:v>119.33140329350022</c:v>
                </c:pt>
                <c:pt idx="2">
                  <c:v>128.85828008729766</c:v>
                </c:pt>
                <c:pt idx="3">
                  <c:v>137.86096491546721</c:v>
                </c:pt>
                <c:pt idx="4">
                  <c:v>131.79178300803778</c:v>
                </c:pt>
                <c:pt idx="5">
                  <c:v>121.504</c:v>
                </c:pt>
                <c:pt idx="6">
                  <c:v>119.636</c:v>
                </c:pt>
                <c:pt idx="7">
                  <c:v>109.145</c:v>
                </c:pt>
                <c:pt idx="8">
                  <c:v>103.83799999999999</c:v>
                </c:pt>
                <c:pt idx="9">
                  <c:v>114.438</c:v>
                </c:pt>
                <c:pt idx="10">
                  <c:v>119.76400000000002</c:v>
                </c:pt>
                <c:pt idx="11">
                  <c:v>118.422</c:v>
                </c:pt>
                <c:pt idx="12">
                  <c:v>123.642</c:v>
                </c:pt>
              </c:numCache>
            </c:numRef>
          </c:val>
          <c:extLst xmlns:c16r2="http://schemas.microsoft.com/office/drawing/2015/06/chart">
            <c:ext xmlns:c16="http://schemas.microsoft.com/office/drawing/2014/chart" uri="{C3380CC4-5D6E-409C-BE32-E72D297353CC}">
              <c16:uniqueId val="{00000005-2C4F-449B-B94B-93F59C3A1B7E}"/>
            </c:ext>
          </c:extLst>
        </c:ser>
        <c:ser>
          <c:idx val="6"/>
          <c:order val="6"/>
          <c:tx>
            <c:strRef>
              <c:f>'Graf-stavební práce S'!$J$4</c:f>
              <c:strCache>
                <c:ptCount val="1"/>
                <c:pt idx="0">
                  <c:v>Stavební práce v zahraničí</c:v>
                </c:pt>
              </c:strCache>
            </c:strRef>
          </c:tx>
          <c:spPr>
            <a:ln w="22225">
              <a:solidFill>
                <a:srgbClr val="808080"/>
              </a:solidFill>
            </a:ln>
          </c:spPr>
          <c:marker>
            <c:symbol val="none"/>
          </c:marker>
          <c:cat>
            <c:numRef>
              <c:f>'Graf-stavební práce S'!$C$16:$C$28</c:f>
              <c:numCache>
                <c:formatCode>0</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'Graf-stavební práce S'!$J$16:$J$28</c:f>
              <c:numCache>
                <c:formatCode>#,##0</c:formatCode>
                <c:ptCount val="13"/>
                <c:pt idx="0">
                  <c:v>5.9631002791796766</c:v>
                </c:pt>
                <c:pt idx="1">
                  <c:v>9.5983156128160889</c:v>
                </c:pt>
                <c:pt idx="2">
                  <c:v>14.041810155952968</c:v>
                </c:pt>
                <c:pt idx="3">
                  <c:v>11.588756</c:v>
                </c:pt>
                <c:pt idx="4">
                  <c:v>13.168216000000001</c:v>
                </c:pt>
                <c:pt idx="5">
                  <c:v>10.897</c:v>
                </c:pt>
                <c:pt idx="6">
                  <c:v>12.168000000000001</c:v>
                </c:pt>
                <c:pt idx="7">
                  <c:v>10.056000000000004</c:v>
                </c:pt>
                <c:pt idx="8">
                  <c:v>9.8840000000000003</c:v>
                </c:pt>
                <c:pt idx="9">
                  <c:v>11.263</c:v>
                </c:pt>
                <c:pt idx="10">
                  <c:v>12.947000000000001</c:v>
                </c:pt>
                <c:pt idx="11">
                  <c:v>13.89</c:v>
                </c:pt>
                <c:pt idx="12">
                  <c:v>15.889000000000006</c:v>
                </c:pt>
              </c:numCache>
            </c:numRef>
          </c:val>
          <c:extLst xmlns:c16r2="http://schemas.microsoft.com/office/drawing/2015/06/chart">
            <c:ext xmlns:c16="http://schemas.microsoft.com/office/drawing/2014/chart" uri="{C3380CC4-5D6E-409C-BE32-E72D297353CC}">
              <c16:uniqueId val="{00000006-2C4F-449B-B94B-93F59C3A1B7E}"/>
            </c:ext>
          </c:extLst>
        </c:ser>
        <c:marker val="1"/>
        <c:axId val="151521536"/>
        <c:axId val="151547904"/>
      </c:lineChart>
      <c:catAx>
        <c:axId val="151521536"/>
        <c:scaling>
          <c:orientation val="minMax"/>
        </c:scaling>
        <c:axPos val="b"/>
        <c:numFmt formatCode="0" sourceLinked="1"/>
        <c:tickLblPos val="low"/>
        <c:spPr>
          <a:ln w="9525">
            <a:solidFill>
              <a:schemeClr val="tx1"/>
            </a:solidFill>
            <a:prstDash val="solid"/>
          </a:ln>
        </c:spPr>
        <c:txPr>
          <a:bodyPr rot="0" vert="horz"/>
          <a:lstStyle/>
          <a:p>
            <a:pPr>
              <a:defRPr/>
            </a:pPr>
            <a:endParaRPr lang="cs-CZ"/>
          </a:p>
        </c:txPr>
        <c:crossAx val="151547904"/>
        <c:crossesAt val="0"/>
        <c:lblAlgn val="ctr"/>
        <c:lblOffset val="0"/>
        <c:tickLblSkip val="1"/>
        <c:tickMarkSkip val="4"/>
      </c:catAx>
      <c:valAx>
        <c:axId val="151547904"/>
        <c:scaling>
          <c:orientation val="minMax"/>
          <c:max val="180"/>
          <c:min val="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51521536"/>
        <c:crosses val="autoZero"/>
        <c:crossBetween val="between"/>
        <c:majorUnit val="20"/>
      </c:valAx>
      <c:spPr>
        <a:noFill/>
        <a:ln w="9525">
          <a:solidFill>
            <a:schemeClr val="tx1"/>
          </a:solidFill>
        </a:ln>
      </c:spPr>
    </c:plotArea>
    <c:legend>
      <c:legendPos val="b"/>
      <c:layout>
        <c:manualLayout>
          <c:xMode val="edge"/>
          <c:yMode val="edge"/>
          <c:x val="6.0825126813686833E-2"/>
          <c:y val="0.8328222447371384"/>
          <c:w val="0.91958409208407565"/>
          <c:h val="0.15288078351908141"/>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48.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534E-2"/>
          <c:y val="1.9513175616352813E-2"/>
          <c:w val="0.88956025070613887"/>
          <c:h val="0.76155690645052365"/>
        </c:manualLayout>
      </c:layout>
      <c:barChart>
        <c:barDir val="col"/>
        <c:grouping val="clustered"/>
        <c:ser>
          <c:idx val="0"/>
          <c:order val="0"/>
          <c:tx>
            <c:strRef>
              <c:f>'Graf-Národní účty-souhrnné'!$A$29</c:f>
              <c:strCache>
                <c:ptCount val="1"/>
                <c:pt idx="0">
                  <c:v>Hrubá přidaná hodnota (2010=100)</c:v>
                </c:pt>
              </c:strCache>
            </c:strRef>
          </c:tx>
          <c:spPr>
            <a:solidFill>
              <a:schemeClr val="bg1">
                <a:lumMod val="65000"/>
              </a:schemeClr>
            </a:solidFill>
            <a:ln w="12700">
              <a:noFill/>
              <a:prstDash val="solid"/>
            </a:ln>
          </c:spP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účty-souhrnné'!$G$29:$S$29</c:f>
              <c:numCache>
                <c:formatCode>#,##0.0</c:formatCode>
                <c:ptCount val="13"/>
                <c:pt idx="0">
                  <c:v>90.753541805867115</c:v>
                </c:pt>
                <c:pt idx="1">
                  <c:v>97.73374311986835</c:v>
                </c:pt>
                <c:pt idx="2">
                  <c:v>104.45467462007493</c:v>
                </c:pt>
                <c:pt idx="3">
                  <c:v>103.51617211324738</c:v>
                </c:pt>
                <c:pt idx="4">
                  <c:v>94.975605216021307</c:v>
                </c:pt>
                <c:pt idx="5">
                  <c:v>100</c:v>
                </c:pt>
                <c:pt idx="6">
                  <c:v>100.1705621023802</c:v>
                </c:pt>
                <c:pt idx="7">
                  <c:v>100.76937240423958</c:v>
                </c:pt>
                <c:pt idx="8">
                  <c:v>100.3034865108235</c:v>
                </c:pt>
                <c:pt idx="9">
                  <c:v>104.52935312764878</c:v>
                </c:pt>
                <c:pt idx="10">
                  <c:v>112.40158480240787</c:v>
                </c:pt>
                <c:pt idx="11">
                  <c:v>114.65816409365419</c:v>
                </c:pt>
                <c:pt idx="12">
                  <c:v>118.22482529062867</c:v>
                </c:pt>
              </c:numCache>
            </c:numRef>
          </c:val>
          <c:extLst xmlns:c16r2="http://schemas.microsoft.com/office/drawing/2015/06/chart">
            <c:ext xmlns:c16="http://schemas.microsoft.com/office/drawing/2014/chart" uri="{C3380CC4-5D6E-409C-BE32-E72D297353CC}">
              <c16:uniqueId val="{00000000-7C3B-4D88-AC20-A856B28AC81C}"/>
            </c:ext>
          </c:extLst>
        </c:ser>
        <c:gapWidth val="30"/>
        <c:axId val="151579648"/>
        <c:axId val="162542336"/>
      </c:barChart>
      <c:lineChart>
        <c:grouping val="standard"/>
        <c:ser>
          <c:idx val="3"/>
          <c:order val="1"/>
          <c:tx>
            <c:strRef>
              <c:f>'Graf-Národní účty-souhrnné'!$A$30</c:f>
              <c:strCache>
                <c:ptCount val="1"/>
                <c:pt idx="0">
                  <c:v>Objem reálných vyplacených mezd a platů (2010=100)*</c:v>
                </c:pt>
              </c:strCache>
            </c:strRef>
          </c:tx>
          <c:spPr>
            <a:ln w="19050">
              <a:solidFill>
                <a:srgbClr val="F8A124"/>
              </a:solidFill>
              <a:prstDash val="solid"/>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účty-souhrnné'!$G$30:$S$30</c:f>
              <c:numCache>
                <c:formatCode>0.0</c:formatCode>
                <c:ptCount val="13"/>
                <c:pt idx="0">
                  <c:v>87.882160788926384</c:v>
                </c:pt>
                <c:pt idx="1">
                  <c:v>92.379052906782917</c:v>
                </c:pt>
                <c:pt idx="2">
                  <c:v>97.457151080600397</c:v>
                </c:pt>
                <c:pt idx="3">
                  <c:v>101.46045060117429</c:v>
                </c:pt>
                <c:pt idx="4">
                  <c:v>97.918049526455789</c:v>
                </c:pt>
                <c:pt idx="5">
                  <c:v>100</c:v>
                </c:pt>
                <c:pt idx="6">
                  <c:v>99.977725459124898</c:v>
                </c:pt>
                <c:pt idx="7">
                  <c:v>98.500217737990283</c:v>
                </c:pt>
                <c:pt idx="8">
                  <c:v>97.283535391180749</c:v>
                </c:pt>
                <c:pt idx="9">
                  <c:v>99.637708476749808</c:v>
                </c:pt>
                <c:pt idx="10">
                  <c:v>104.2529933906271</c:v>
                </c:pt>
                <c:pt idx="11">
                  <c:v>108.89504626016242</c:v>
                </c:pt>
                <c:pt idx="12">
                  <c:v>115.4409132020443</c:v>
                </c:pt>
              </c:numCache>
            </c:numRef>
          </c:val>
          <c:extLst xmlns:c16r2="http://schemas.microsoft.com/office/drawing/2015/06/chart">
            <c:ext xmlns:c16="http://schemas.microsoft.com/office/drawing/2014/chart" uri="{C3380CC4-5D6E-409C-BE32-E72D297353CC}">
              <c16:uniqueId val="{00000001-7C3B-4D88-AC20-A856B28AC81C}"/>
            </c:ext>
          </c:extLst>
        </c:ser>
        <c:ser>
          <c:idx val="1"/>
          <c:order val="2"/>
          <c:tx>
            <c:strRef>
              <c:f>'Graf-Národní účty-souhrnné'!$A$31</c:f>
              <c:strCache>
                <c:ptCount val="1"/>
                <c:pt idx="0">
                  <c:v>Reálná hodinová produktivita práce (2010=100)</c:v>
                </c:pt>
              </c:strCache>
            </c:strRef>
          </c:tx>
          <c:spPr>
            <a:ln w="19050">
              <a:solidFill>
                <a:srgbClr val="7DBB2D"/>
              </a:solidFill>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účty-souhrnné'!$G$31:$S$31</c:f>
              <c:numCache>
                <c:formatCode>0.0</c:formatCode>
                <c:ptCount val="13"/>
                <c:pt idx="0">
                  <c:v>94.529723191902903</c:v>
                </c:pt>
                <c:pt idx="1">
                  <c:v>101.21324197358031</c:v>
                </c:pt>
                <c:pt idx="2">
                  <c:v>107.88967348803909</c:v>
                </c:pt>
                <c:pt idx="3">
                  <c:v>102.68539010753855</c:v>
                </c:pt>
                <c:pt idx="4">
                  <c:v>95.562264213538157</c:v>
                </c:pt>
                <c:pt idx="5">
                  <c:v>100</c:v>
                </c:pt>
                <c:pt idx="6">
                  <c:v>99.845738287928626</c:v>
                </c:pt>
                <c:pt idx="7">
                  <c:v>102.67332323803215</c:v>
                </c:pt>
                <c:pt idx="8">
                  <c:v>102.06222907688736</c:v>
                </c:pt>
                <c:pt idx="9">
                  <c:v>105.09352608379167</c:v>
                </c:pt>
                <c:pt idx="10">
                  <c:v>113.61466907385872</c:v>
                </c:pt>
                <c:pt idx="11">
                  <c:v>113.50922346330887</c:v>
                </c:pt>
                <c:pt idx="12">
                  <c:v>115.40938797736978</c:v>
                </c:pt>
              </c:numCache>
            </c:numRef>
          </c:val>
          <c:extLst xmlns:c16r2="http://schemas.microsoft.com/office/drawing/2015/06/chart">
            <c:ext xmlns:c16="http://schemas.microsoft.com/office/drawing/2014/chart" uri="{C3380CC4-5D6E-409C-BE32-E72D297353CC}">
              <c16:uniqueId val="{00000002-7C3B-4D88-AC20-A856B28AC81C}"/>
            </c:ext>
          </c:extLst>
        </c:ser>
        <c:ser>
          <c:idx val="7"/>
          <c:order val="3"/>
          <c:tx>
            <c:strRef>
              <c:f>'Graf-Národní účty-souhrnné'!$A$32</c:f>
              <c:strCache>
                <c:ptCount val="1"/>
                <c:pt idx="0">
                  <c:v>Zaměstnanost (úvazky na plnou pracovní dobu, 2010=100)</c:v>
                </c:pt>
              </c:strCache>
            </c:strRef>
          </c:tx>
          <c:spPr>
            <a:ln w="19050">
              <a:noFill/>
            </a:ln>
          </c:spPr>
          <c:marker>
            <c:symbol val="circle"/>
            <c:size val="5"/>
            <c:spPr>
              <a:solidFill>
                <a:srgbClr val="FFFF00"/>
              </a:solidFill>
              <a:ln w="6350">
                <a:solidFill>
                  <a:sysClr val="windowText" lastClr="000000">
                    <a:lumMod val="65000"/>
                    <a:lumOff val="35000"/>
                  </a:sysClr>
                </a:solidFill>
              </a:ln>
            </c:spPr>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účty-souhrnné'!$G$32:$S$32</c:f>
              <c:numCache>
                <c:formatCode>0.0</c:formatCode>
                <c:ptCount val="13"/>
                <c:pt idx="0">
                  <c:v>94.91776546585109</c:v>
                </c:pt>
                <c:pt idx="1">
                  <c:v>95.533931725255854</c:v>
                </c:pt>
                <c:pt idx="2">
                  <c:v>96.812232356712258</c:v>
                </c:pt>
                <c:pt idx="3">
                  <c:v>100.75271574770764</c:v>
                </c:pt>
                <c:pt idx="4">
                  <c:v>99.435027701836304</c:v>
                </c:pt>
                <c:pt idx="5">
                  <c:v>100</c:v>
                </c:pt>
                <c:pt idx="6">
                  <c:v>99.675707062152725</c:v>
                </c:pt>
                <c:pt idx="7">
                  <c:v>98.985507947644678</c:v>
                </c:pt>
                <c:pt idx="8">
                  <c:v>99.389349914112216</c:v>
                </c:pt>
                <c:pt idx="9">
                  <c:v>100.01829047008444</c:v>
                </c:pt>
                <c:pt idx="10">
                  <c:v>100.48852006871064</c:v>
                </c:pt>
                <c:pt idx="11">
                  <c:v>100.14283986161178</c:v>
                </c:pt>
                <c:pt idx="12">
                  <c:v>100.60590811216105</c:v>
                </c:pt>
              </c:numCache>
            </c:numRef>
          </c:val>
          <c:extLst xmlns:c16r2="http://schemas.microsoft.com/office/drawing/2015/06/chart">
            <c:ext xmlns:c16="http://schemas.microsoft.com/office/drawing/2014/chart" uri="{C3380CC4-5D6E-409C-BE32-E72D297353CC}">
              <c16:uniqueId val="{00000003-7C3B-4D88-AC20-A856B28AC81C}"/>
            </c:ext>
          </c:extLst>
        </c:ser>
        <c:marker val="1"/>
        <c:axId val="151579648"/>
        <c:axId val="162542336"/>
      </c:lineChart>
      <c:lineChart>
        <c:grouping val="standard"/>
        <c:ser>
          <c:idx val="2"/>
          <c:order val="4"/>
          <c:tx>
            <c:strRef>
              <c:f>'Graf-Národní účty-souhrnné'!$A$33</c:f>
              <c:strCache>
                <c:ptCount val="1"/>
                <c:pt idx="0">
                  <c:v>Míra investic (v %)</c:v>
                </c:pt>
              </c:strCache>
            </c:strRef>
          </c:tx>
          <c:spPr>
            <a:ln w="19050">
              <a:solidFill>
                <a:srgbClr val="BD1B21"/>
              </a:solidFill>
              <a:prstDash val="sysDash"/>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účty-souhrnné'!$G$33:$S$33</c:f>
              <c:numCache>
                <c:formatCode>0.0</c:formatCode>
                <c:ptCount val="13"/>
                <c:pt idx="0">
                  <c:v>35.329620822708172</c:v>
                </c:pt>
                <c:pt idx="1">
                  <c:v>33.622363710812628</c:v>
                </c:pt>
                <c:pt idx="2">
                  <c:v>33.591417864267996</c:v>
                </c:pt>
                <c:pt idx="3">
                  <c:v>35.277746049263747</c:v>
                </c:pt>
                <c:pt idx="4">
                  <c:v>33.619448627501605</c:v>
                </c:pt>
                <c:pt idx="5">
                  <c:v>30.074255764636639</c:v>
                </c:pt>
                <c:pt idx="6">
                  <c:v>28.774048374205176</c:v>
                </c:pt>
                <c:pt idx="7">
                  <c:v>24.094345175530787</c:v>
                </c:pt>
                <c:pt idx="8">
                  <c:v>23.167971971726342</c:v>
                </c:pt>
                <c:pt idx="9">
                  <c:v>22.711216891879889</c:v>
                </c:pt>
                <c:pt idx="10">
                  <c:v>24.063680012186442</c:v>
                </c:pt>
                <c:pt idx="11">
                  <c:v>25.366503901163725</c:v>
                </c:pt>
                <c:pt idx="12">
                  <c:v>22.164625208210357</c:v>
                </c:pt>
              </c:numCache>
            </c:numRef>
          </c:val>
          <c:extLst xmlns:c16r2="http://schemas.microsoft.com/office/drawing/2015/06/chart">
            <c:ext xmlns:c16="http://schemas.microsoft.com/office/drawing/2014/chart" uri="{C3380CC4-5D6E-409C-BE32-E72D297353CC}">
              <c16:uniqueId val="{00000004-7C3B-4D88-AC20-A856B28AC81C}"/>
            </c:ext>
          </c:extLst>
        </c:ser>
        <c:ser>
          <c:idx val="5"/>
          <c:order val="5"/>
          <c:tx>
            <c:strRef>
              <c:f>'Graf-Národní účty-souhrnné'!$A$34</c:f>
              <c:strCache>
                <c:ptCount val="1"/>
                <c:pt idx="0">
                  <c:v>Míra zisku nefinančních podniků (v %)</c:v>
                </c:pt>
              </c:strCache>
            </c:strRef>
          </c:tx>
          <c:spPr>
            <a:ln w="19050">
              <a:solidFill>
                <a:srgbClr val="0071BC"/>
              </a:solidFill>
              <a:prstDash val="sysDash"/>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účty-souhrnné'!$G$34:$S$34</c:f>
              <c:numCache>
                <c:formatCode>0.0</c:formatCode>
                <c:ptCount val="13"/>
                <c:pt idx="0">
                  <c:v>44.670435355602194</c:v>
                </c:pt>
                <c:pt idx="1">
                  <c:v>46.255272493979419</c:v>
                </c:pt>
                <c:pt idx="2">
                  <c:v>46.809447813596883</c:v>
                </c:pt>
                <c:pt idx="3">
                  <c:v>42.576898701528393</c:v>
                </c:pt>
                <c:pt idx="4">
                  <c:v>38.282318078464087</c:v>
                </c:pt>
                <c:pt idx="5">
                  <c:v>38.688685378009417</c:v>
                </c:pt>
                <c:pt idx="6">
                  <c:v>38.730074016449606</c:v>
                </c:pt>
                <c:pt idx="7">
                  <c:v>40.152312317623213</c:v>
                </c:pt>
                <c:pt idx="8">
                  <c:v>39.712827256531803</c:v>
                </c:pt>
                <c:pt idx="9">
                  <c:v>42.311896294026795</c:v>
                </c:pt>
                <c:pt idx="10">
                  <c:v>45.400863889279904</c:v>
                </c:pt>
                <c:pt idx="11">
                  <c:v>44.600043563030894</c:v>
                </c:pt>
                <c:pt idx="12">
                  <c:v>44.435202859115464</c:v>
                </c:pt>
              </c:numCache>
            </c:numRef>
          </c:val>
          <c:extLst xmlns:c16r2="http://schemas.microsoft.com/office/drawing/2015/06/chart">
            <c:ext xmlns:c16="http://schemas.microsoft.com/office/drawing/2014/chart" uri="{C3380CC4-5D6E-409C-BE32-E72D297353CC}">
              <c16:uniqueId val="{00000005-7C3B-4D88-AC20-A856B28AC81C}"/>
            </c:ext>
          </c:extLst>
        </c:ser>
        <c:marker val="1"/>
        <c:axId val="162566144"/>
        <c:axId val="162543872"/>
      </c:lineChart>
      <c:catAx>
        <c:axId val="151579648"/>
        <c:scaling>
          <c:orientation val="minMax"/>
        </c:scaling>
        <c:axPos val="b"/>
        <c:numFmt formatCode="General" sourceLinked="1"/>
        <c:tickLblPos val="low"/>
        <c:spPr>
          <a:ln w="9525">
            <a:solidFill>
              <a:schemeClr val="tx1"/>
            </a:solidFill>
            <a:prstDash val="solid"/>
          </a:ln>
        </c:spPr>
        <c:txPr>
          <a:bodyPr rot="0" vert="horz"/>
          <a:lstStyle/>
          <a:p>
            <a:pPr>
              <a:defRPr/>
            </a:pPr>
            <a:endParaRPr lang="cs-CZ"/>
          </a:p>
        </c:txPr>
        <c:crossAx val="162542336"/>
        <c:crossesAt val="100"/>
        <c:lblAlgn val="ctr"/>
        <c:lblOffset val="0"/>
        <c:tickLblSkip val="1"/>
        <c:tickMarkSkip val="4"/>
      </c:catAx>
      <c:valAx>
        <c:axId val="162542336"/>
        <c:scaling>
          <c:orientation val="minMax"/>
          <c:max val="130"/>
          <c:min val="8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51579648"/>
        <c:crosses val="autoZero"/>
        <c:crossBetween val="between"/>
        <c:majorUnit val="5"/>
      </c:valAx>
      <c:valAx>
        <c:axId val="162543872"/>
        <c:scaling>
          <c:orientation val="minMax"/>
          <c:max val="50"/>
          <c:min val="0"/>
        </c:scaling>
        <c:axPos val="r"/>
        <c:numFmt formatCode="0" sourceLinked="0"/>
        <c:tickLblPos val="nextTo"/>
        <c:crossAx val="162566144"/>
        <c:crosses val="max"/>
        <c:crossBetween val="between"/>
      </c:valAx>
      <c:catAx>
        <c:axId val="162566144"/>
        <c:scaling>
          <c:orientation val="minMax"/>
        </c:scaling>
        <c:delete val="1"/>
        <c:axPos val="b"/>
        <c:numFmt formatCode="General" sourceLinked="1"/>
        <c:tickLblPos val="none"/>
        <c:crossAx val="162543872"/>
        <c:crosses val="autoZero"/>
        <c:auto val="1"/>
        <c:lblAlgn val="ctr"/>
        <c:lblOffset val="100"/>
      </c:catAx>
      <c:spPr>
        <a:noFill/>
        <a:ln w="9525">
          <a:solidFill>
            <a:schemeClr val="tx1"/>
          </a:solidFill>
        </a:ln>
      </c:spPr>
    </c:plotArea>
    <c:legend>
      <c:legendPos val="b"/>
      <c:layout>
        <c:manualLayout>
          <c:xMode val="edge"/>
          <c:yMode val="edge"/>
          <c:x val="6.0825149028219005E-2"/>
          <c:y val="0.82924800180119362"/>
          <c:w val="0.88531755998340889"/>
          <c:h val="0.16717775526286172"/>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49.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5.3834071173074864E-2"/>
          <c:y val="1.643251153889452E-2"/>
          <c:w val="0.93243256741239411"/>
          <c:h val="0.76870539232242052"/>
        </c:manualLayout>
      </c:layout>
      <c:barChart>
        <c:barDir val="col"/>
        <c:grouping val="stacked"/>
        <c:ser>
          <c:idx val="0"/>
          <c:order val="0"/>
          <c:tx>
            <c:strRef>
              <c:f>'[Obchod-doprava-grafy.xlsx]Graf-příspěvky k růstu'!$A$59</c:f>
              <c:strCache>
                <c:ptCount val="1"/>
                <c:pt idx="0">
                  <c:v>Obchod a opravy motor.voz.(NACE 45)</c:v>
                </c:pt>
              </c:strCache>
            </c:strRef>
          </c:tx>
          <c:spPr>
            <a:solidFill>
              <a:srgbClr val="0071BC"/>
            </a:solidFill>
            <a:ln w="6350">
              <a:solidFill>
                <a:schemeClr val="bg1">
                  <a:lumMod val="65000"/>
                </a:schemeClr>
              </a:solidFill>
              <a:prstDash val="solid"/>
            </a:ln>
          </c:spPr>
          <c:cat>
            <c:numRef>
              <c:f>'[Obchod-doprava-grafy.xlsx]Graf-příspěvky k růstu'!$H$58:$T$58</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'[Obchod-doprava-grafy.xlsx]Graf-příspěvky k růstu'!$H$59:$T$59</c:f>
              <c:numCache>
                <c:formatCode>#,##0.0</c:formatCode>
                <c:ptCount val="13"/>
                <c:pt idx="0">
                  <c:v>0.48960304755808776</c:v>
                </c:pt>
                <c:pt idx="1">
                  <c:v>0.85560139981513572</c:v>
                </c:pt>
                <c:pt idx="2">
                  <c:v>1.3434857738712265</c:v>
                </c:pt>
                <c:pt idx="3">
                  <c:v>-0.76960158076420004</c:v>
                </c:pt>
                <c:pt idx="4">
                  <c:v>-0.55989794433162576</c:v>
                </c:pt>
                <c:pt idx="5">
                  <c:v>0.84512665861417835</c:v>
                </c:pt>
                <c:pt idx="6">
                  <c:v>-0.26289829007059901</c:v>
                </c:pt>
                <c:pt idx="7">
                  <c:v>0.94265712719583861</c:v>
                </c:pt>
                <c:pt idx="8">
                  <c:v>-0.51414780643636881</c:v>
                </c:pt>
                <c:pt idx="9">
                  <c:v>1.5866714163312761</c:v>
                </c:pt>
                <c:pt idx="10">
                  <c:v>0.86849260968514364</c:v>
                </c:pt>
                <c:pt idx="11">
                  <c:v>1.0817600337506215</c:v>
                </c:pt>
                <c:pt idx="12">
                  <c:v>-0.47955520206042834</c:v>
                </c:pt>
              </c:numCache>
            </c:numRef>
          </c:val>
          <c:extLst xmlns:c16r2="http://schemas.microsoft.com/office/drawing/2015/06/chart">
            <c:ext xmlns:c16="http://schemas.microsoft.com/office/drawing/2014/chart" uri="{C3380CC4-5D6E-409C-BE32-E72D297353CC}">
              <c16:uniqueId val="{00000000-38AA-42ED-9EF7-AB4B06B62CAA}"/>
            </c:ext>
          </c:extLst>
        </c:ser>
        <c:ser>
          <c:idx val="3"/>
          <c:order val="1"/>
          <c:tx>
            <c:strRef>
              <c:f>'[Obchod-doprava-grafy.xlsx]Graf-příspěvky k růstu'!$A$60</c:f>
              <c:strCache>
                <c:ptCount val="1"/>
                <c:pt idx="0">
                  <c:v>Velkoobchod bez motor. voz. (46)</c:v>
                </c:pt>
              </c:strCache>
            </c:strRef>
          </c:tx>
          <c:spPr>
            <a:solidFill>
              <a:srgbClr val="48AEE7"/>
            </a:solidFill>
            <a:ln w="6350">
              <a:solidFill>
                <a:schemeClr val="bg1">
                  <a:lumMod val="65000"/>
                </a:schemeClr>
              </a:solidFill>
              <a:prstDash val="solid"/>
            </a:ln>
          </c:spPr>
          <c:cat>
            <c:numRef>
              <c:f>'[Obchod-doprava-grafy.xlsx]Graf-příspěvky k růstu'!$H$58:$T$58</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'[Obchod-doprava-grafy.xlsx]Graf-příspěvky k růstu'!$H$60:$T$60</c:f>
              <c:numCache>
                <c:formatCode>#,##0.0</c:formatCode>
                <c:ptCount val="13"/>
                <c:pt idx="0">
                  <c:v>4.7864978579515842</c:v>
                </c:pt>
                <c:pt idx="1">
                  <c:v>2.8625765720666512</c:v>
                </c:pt>
                <c:pt idx="2">
                  <c:v>3.7188170737375676</c:v>
                </c:pt>
                <c:pt idx="3">
                  <c:v>-0.67966862745881462</c:v>
                </c:pt>
                <c:pt idx="4">
                  <c:v>-5.1257159141752782</c:v>
                </c:pt>
                <c:pt idx="5">
                  <c:v>3.6692978104292142</c:v>
                </c:pt>
                <c:pt idx="6">
                  <c:v>2.1744893028749392</c:v>
                </c:pt>
                <c:pt idx="7">
                  <c:v>0.93553805239668764</c:v>
                </c:pt>
                <c:pt idx="8">
                  <c:v>0.75477846819230043</c:v>
                </c:pt>
                <c:pt idx="9">
                  <c:v>2.3755644352274543</c:v>
                </c:pt>
                <c:pt idx="10">
                  <c:v>5.4224953098616471</c:v>
                </c:pt>
                <c:pt idx="11">
                  <c:v>-0.63389871776281936</c:v>
                </c:pt>
                <c:pt idx="12">
                  <c:v>0.40094001383098782</c:v>
                </c:pt>
              </c:numCache>
            </c:numRef>
          </c:val>
          <c:extLst xmlns:c16r2="http://schemas.microsoft.com/office/drawing/2015/06/chart">
            <c:ext xmlns:c16="http://schemas.microsoft.com/office/drawing/2014/chart" uri="{C3380CC4-5D6E-409C-BE32-E72D297353CC}">
              <c16:uniqueId val="{00000001-38AA-42ED-9EF7-AB4B06B62CAA}"/>
            </c:ext>
          </c:extLst>
        </c:ser>
        <c:ser>
          <c:idx val="1"/>
          <c:order val="2"/>
          <c:tx>
            <c:strRef>
              <c:f>'[Obchod-doprava-grafy.xlsx]Graf-příspěvky k růstu'!$A$61</c:f>
              <c:strCache>
                <c:ptCount val="1"/>
                <c:pt idx="0">
                  <c:v>Maloobchod bez motor. voz. (47)</c:v>
                </c:pt>
              </c:strCache>
            </c:strRef>
          </c:tx>
          <c:spPr>
            <a:solidFill>
              <a:srgbClr val="C5E3FE"/>
            </a:solidFill>
            <a:ln w="6350">
              <a:solidFill>
                <a:schemeClr val="bg1">
                  <a:lumMod val="65000"/>
                </a:schemeClr>
              </a:solidFill>
            </a:ln>
          </c:spPr>
          <c:cat>
            <c:numRef>
              <c:f>'[Obchod-doprava-grafy.xlsx]Graf-příspěvky k růstu'!$H$58:$T$58</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'[Obchod-doprava-grafy.xlsx]Graf-příspěvky k růstu'!$H$61:$T$61</c:f>
              <c:numCache>
                <c:formatCode>#,##0.0</c:formatCode>
                <c:ptCount val="13"/>
                <c:pt idx="0">
                  <c:v>4.1113841732586387</c:v>
                </c:pt>
                <c:pt idx="1">
                  <c:v>1.0123368310102983</c:v>
                </c:pt>
                <c:pt idx="2">
                  <c:v>1.1351551968347804</c:v>
                </c:pt>
                <c:pt idx="3">
                  <c:v>1.4974111525739884</c:v>
                </c:pt>
                <c:pt idx="4">
                  <c:v>1.0323616646485361</c:v>
                </c:pt>
                <c:pt idx="5">
                  <c:v>0.66060894811025062</c:v>
                </c:pt>
                <c:pt idx="6">
                  <c:v>0.6637049365151888</c:v>
                </c:pt>
                <c:pt idx="7">
                  <c:v>-0.10297577379830977</c:v>
                </c:pt>
                <c:pt idx="8">
                  <c:v>-0.26701000566224786</c:v>
                </c:pt>
                <c:pt idx="9">
                  <c:v>1.5396040811398737</c:v>
                </c:pt>
                <c:pt idx="10">
                  <c:v>0.41027647556560437</c:v>
                </c:pt>
                <c:pt idx="11">
                  <c:v>0.65295599202883592</c:v>
                </c:pt>
                <c:pt idx="12">
                  <c:v>1.1927171268928953</c:v>
                </c:pt>
              </c:numCache>
            </c:numRef>
          </c:val>
          <c:extLst xmlns:c16r2="http://schemas.microsoft.com/office/drawing/2015/06/chart">
            <c:ext xmlns:c16="http://schemas.microsoft.com/office/drawing/2014/chart" uri="{C3380CC4-5D6E-409C-BE32-E72D297353CC}">
              <c16:uniqueId val="{00000002-38AA-42ED-9EF7-AB4B06B62CAA}"/>
            </c:ext>
          </c:extLst>
        </c:ser>
        <c:ser>
          <c:idx val="7"/>
          <c:order val="3"/>
          <c:tx>
            <c:strRef>
              <c:f>'[Obchod-doprava-grafy.xlsx]Graf-příspěvky k růstu'!$A$62</c:f>
              <c:strCache>
                <c:ptCount val="1"/>
                <c:pt idx="0">
                  <c:v>Pozemní doprava (49)</c:v>
                </c:pt>
              </c:strCache>
            </c:strRef>
          </c:tx>
          <c:spPr>
            <a:solidFill>
              <a:srgbClr val="FDDEB3"/>
            </a:solidFill>
            <a:ln w="6350">
              <a:solidFill>
                <a:schemeClr val="bg1">
                  <a:lumMod val="65000"/>
                </a:schemeClr>
              </a:solidFill>
            </a:ln>
          </c:spPr>
          <c:cat>
            <c:numRef>
              <c:f>'[Obchod-doprava-grafy.xlsx]Graf-příspěvky k růstu'!$H$58:$T$58</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'[Obchod-doprava-grafy.xlsx]Graf-příspěvky k růstu'!$H$62:$T$62</c:f>
              <c:numCache>
                <c:formatCode>#,##0.0</c:formatCode>
                <c:ptCount val="13"/>
                <c:pt idx="0">
                  <c:v>-1.2630098416425031</c:v>
                </c:pt>
                <c:pt idx="1">
                  <c:v>2.174093243776845</c:v>
                </c:pt>
                <c:pt idx="2">
                  <c:v>-0.53421371878653257</c:v>
                </c:pt>
                <c:pt idx="3">
                  <c:v>-2.9013793517131643</c:v>
                </c:pt>
                <c:pt idx="4">
                  <c:v>-3.7708349401484802</c:v>
                </c:pt>
                <c:pt idx="5">
                  <c:v>0.39165268130881908</c:v>
                </c:pt>
                <c:pt idx="6">
                  <c:v>-1.4965237698977281</c:v>
                </c:pt>
                <c:pt idx="7">
                  <c:v>-1.8302268171973242</c:v>
                </c:pt>
                <c:pt idx="8">
                  <c:v>-0.45801435218430131</c:v>
                </c:pt>
                <c:pt idx="9">
                  <c:v>-0.96493683073946135</c:v>
                </c:pt>
                <c:pt idx="10">
                  <c:v>1.1769595786084621</c:v>
                </c:pt>
                <c:pt idx="11">
                  <c:v>0.47387590027589654</c:v>
                </c:pt>
                <c:pt idx="12">
                  <c:v>0.94009301264926048</c:v>
                </c:pt>
              </c:numCache>
            </c:numRef>
          </c:val>
          <c:extLst xmlns:c16r2="http://schemas.microsoft.com/office/drawing/2015/06/chart">
            <c:ext xmlns:c16="http://schemas.microsoft.com/office/drawing/2014/chart" uri="{C3380CC4-5D6E-409C-BE32-E72D297353CC}">
              <c16:uniqueId val="{00000003-38AA-42ED-9EF7-AB4B06B62CAA}"/>
            </c:ext>
          </c:extLst>
        </c:ser>
        <c:ser>
          <c:idx val="2"/>
          <c:order val="4"/>
          <c:tx>
            <c:strRef>
              <c:f>'[Obchod-doprava-grafy.xlsx]Graf-příspěvky k růstu'!$A$63</c:f>
              <c:strCache>
                <c:ptCount val="1"/>
                <c:pt idx="0">
                  <c:v>Vodní doprava (50)</c:v>
                </c:pt>
              </c:strCache>
            </c:strRef>
          </c:tx>
          <c:spPr>
            <a:solidFill>
              <a:srgbClr val="F8A124"/>
            </a:solidFill>
            <a:ln w="6350">
              <a:solidFill>
                <a:schemeClr val="bg1">
                  <a:lumMod val="65000"/>
                </a:schemeClr>
              </a:solidFill>
              <a:prstDash val="sysDash"/>
            </a:ln>
          </c:spPr>
          <c:cat>
            <c:numRef>
              <c:f>'[Obchod-doprava-grafy.xlsx]Graf-příspěvky k růstu'!$H$58:$T$58</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'[Obchod-doprava-grafy.xlsx]Graf-příspěvky k růstu'!$H$63:$T$63</c:f>
              <c:numCache>
                <c:formatCode>#,##0.0</c:formatCode>
                <c:ptCount val="13"/>
                <c:pt idx="0">
                  <c:v>4.5827461570053817E-2</c:v>
                </c:pt>
                <c:pt idx="1">
                  <c:v>7.8510728009966813E-4</c:v>
                </c:pt>
                <c:pt idx="2">
                  <c:v>9.9194319524040387E-3</c:v>
                </c:pt>
                <c:pt idx="3">
                  <c:v>-7.8038186760420883E-3</c:v>
                </c:pt>
                <c:pt idx="4">
                  <c:v>-1.236328515097389E-2</c:v>
                </c:pt>
                <c:pt idx="5">
                  <c:v>-5.5931611416861534E-3</c:v>
                </c:pt>
                <c:pt idx="6">
                  <c:v>-2.4830215016240581E-2</c:v>
                </c:pt>
                <c:pt idx="7">
                  <c:v>6.3586961458615542E-3</c:v>
                </c:pt>
                <c:pt idx="8">
                  <c:v>-3.18499483038961E-3</c:v>
                </c:pt>
                <c:pt idx="9">
                  <c:v>-1.2553194873297917E-3</c:v>
                </c:pt>
                <c:pt idx="10">
                  <c:v>-9.2485109481190552E-3</c:v>
                </c:pt>
                <c:pt idx="11">
                  <c:v>6.0118958585732791E-3</c:v>
                </c:pt>
                <c:pt idx="12">
                  <c:v>-3.3132743086869681E-3</c:v>
                </c:pt>
              </c:numCache>
            </c:numRef>
          </c:val>
          <c:extLst xmlns:c16r2="http://schemas.microsoft.com/office/drawing/2015/06/chart">
            <c:ext xmlns:c16="http://schemas.microsoft.com/office/drawing/2014/chart" uri="{C3380CC4-5D6E-409C-BE32-E72D297353CC}">
              <c16:uniqueId val="{00000004-38AA-42ED-9EF7-AB4B06B62CAA}"/>
            </c:ext>
          </c:extLst>
        </c:ser>
        <c:ser>
          <c:idx val="5"/>
          <c:order val="5"/>
          <c:tx>
            <c:strRef>
              <c:f>'[Obchod-doprava-grafy.xlsx]Graf-příspěvky k růstu'!$A$64</c:f>
              <c:strCache>
                <c:ptCount val="1"/>
                <c:pt idx="0">
                  <c:v>Letecká doprava (51)</c:v>
                </c:pt>
              </c:strCache>
            </c:strRef>
          </c:tx>
          <c:spPr>
            <a:solidFill>
              <a:srgbClr val="BD1B21"/>
            </a:solidFill>
            <a:ln w="6350">
              <a:solidFill>
                <a:schemeClr val="bg1">
                  <a:lumMod val="65000"/>
                </a:schemeClr>
              </a:solidFill>
              <a:prstDash val="sysDash"/>
            </a:ln>
          </c:spPr>
          <c:cat>
            <c:numRef>
              <c:f>'[Obchod-doprava-grafy.xlsx]Graf-příspěvky k růstu'!$H$58:$T$58</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'[Obchod-doprava-grafy.xlsx]Graf-příspěvky k růstu'!$H$64:$T$64</c:f>
              <c:numCache>
                <c:formatCode>#,##0.0</c:formatCode>
                <c:ptCount val="13"/>
                <c:pt idx="0">
                  <c:v>-1.0010124006625327E-2</c:v>
                </c:pt>
                <c:pt idx="1">
                  <c:v>0.19709791195878532</c:v>
                </c:pt>
                <c:pt idx="2">
                  <c:v>0.61330640021979965</c:v>
                </c:pt>
                <c:pt idx="3">
                  <c:v>0.34118552835057181</c:v>
                </c:pt>
                <c:pt idx="4">
                  <c:v>-0.77311799014025329</c:v>
                </c:pt>
                <c:pt idx="5">
                  <c:v>-0.41883798137243117</c:v>
                </c:pt>
                <c:pt idx="6">
                  <c:v>-0.32631600139586686</c:v>
                </c:pt>
                <c:pt idx="7">
                  <c:v>0.14621362933063123</c:v>
                </c:pt>
                <c:pt idx="8">
                  <c:v>-0.59210030065611319</c:v>
                </c:pt>
                <c:pt idx="9">
                  <c:v>-0.24256907232217498</c:v>
                </c:pt>
                <c:pt idx="10">
                  <c:v>-0.39864937245935766</c:v>
                </c:pt>
                <c:pt idx="11">
                  <c:v>-0.11713489851563012</c:v>
                </c:pt>
                <c:pt idx="12">
                  <c:v>0.12969372283251637</c:v>
                </c:pt>
              </c:numCache>
            </c:numRef>
          </c:val>
          <c:extLst xmlns:c16r2="http://schemas.microsoft.com/office/drawing/2015/06/chart">
            <c:ext xmlns:c16="http://schemas.microsoft.com/office/drawing/2014/chart" uri="{C3380CC4-5D6E-409C-BE32-E72D297353CC}">
              <c16:uniqueId val="{00000005-38AA-42ED-9EF7-AB4B06B62CAA}"/>
            </c:ext>
          </c:extLst>
        </c:ser>
        <c:ser>
          <c:idx val="4"/>
          <c:order val="6"/>
          <c:tx>
            <c:strRef>
              <c:f>'[Obchod-doprava-grafy.xlsx]Graf-příspěvky k růstu'!$A$65</c:f>
              <c:strCache>
                <c:ptCount val="1"/>
                <c:pt idx="0">
                  <c:v>Skladování (52)</c:v>
                </c:pt>
              </c:strCache>
            </c:strRef>
          </c:tx>
          <c:spPr>
            <a:solidFill>
              <a:srgbClr val="E8AFB2"/>
            </a:solidFill>
            <a:ln w="6350">
              <a:solidFill>
                <a:prstClr val="white">
                  <a:lumMod val="65000"/>
                </a:prstClr>
              </a:solidFill>
            </a:ln>
          </c:spPr>
          <c:cat>
            <c:numRef>
              <c:f>'[Obchod-doprava-grafy.xlsx]Graf-příspěvky k růstu'!$H$58:$T$58</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'[Obchod-doprava-grafy.xlsx]Graf-příspěvky k růstu'!$H$65:$T$65</c:f>
              <c:numCache>
                <c:formatCode>#,##0.0</c:formatCode>
                <c:ptCount val="13"/>
                <c:pt idx="0">
                  <c:v>0.4451812448852317</c:v>
                </c:pt>
                <c:pt idx="1">
                  <c:v>0.53913929671131866</c:v>
                </c:pt>
                <c:pt idx="2">
                  <c:v>0.20662862745849939</c:v>
                </c:pt>
                <c:pt idx="3">
                  <c:v>1.5796630670116074</c:v>
                </c:pt>
                <c:pt idx="4">
                  <c:v>0.89240684994982655</c:v>
                </c:pt>
                <c:pt idx="5">
                  <c:v>0.18016846640906894</c:v>
                </c:pt>
                <c:pt idx="6">
                  <c:v>-0.52428663463345215</c:v>
                </c:pt>
                <c:pt idx="7">
                  <c:v>0.6317578451313417</c:v>
                </c:pt>
                <c:pt idx="8">
                  <c:v>0.74487401133161224</c:v>
                </c:pt>
                <c:pt idx="9">
                  <c:v>7.9664738673700081E-2</c:v>
                </c:pt>
                <c:pt idx="10">
                  <c:v>0.12540106251475183</c:v>
                </c:pt>
                <c:pt idx="11">
                  <c:v>0.61826342915633536</c:v>
                </c:pt>
                <c:pt idx="12">
                  <c:v>1.0218164477410958</c:v>
                </c:pt>
              </c:numCache>
            </c:numRef>
          </c:val>
          <c:extLst xmlns:c16r2="http://schemas.microsoft.com/office/drawing/2015/06/chart">
            <c:ext xmlns:c16="http://schemas.microsoft.com/office/drawing/2014/chart" uri="{C3380CC4-5D6E-409C-BE32-E72D297353CC}">
              <c16:uniqueId val="{00000006-38AA-42ED-9EF7-AB4B06B62CAA}"/>
            </c:ext>
          </c:extLst>
        </c:ser>
        <c:ser>
          <c:idx val="6"/>
          <c:order val="7"/>
          <c:tx>
            <c:strRef>
              <c:f>'[Obchod-doprava-grafy.xlsx]Graf-příspěvky k růstu'!$A$66</c:f>
              <c:strCache>
                <c:ptCount val="1"/>
                <c:pt idx="0">
                  <c:v>Poštovní a kurýrní čin. (53)</c:v>
                </c:pt>
              </c:strCache>
            </c:strRef>
          </c:tx>
          <c:spPr>
            <a:solidFill>
              <a:srgbClr val="7DBB2D"/>
            </a:solidFill>
            <a:ln w="6350">
              <a:solidFill>
                <a:prstClr val="white">
                  <a:lumMod val="65000"/>
                </a:prstClr>
              </a:solidFill>
            </a:ln>
          </c:spPr>
          <c:cat>
            <c:numRef>
              <c:f>'[Obchod-doprava-grafy.xlsx]Graf-příspěvky k růstu'!$H$58:$T$58</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'[Obchod-doprava-grafy.xlsx]Graf-příspěvky k růstu'!$H$66:$T$66</c:f>
              <c:numCache>
                <c:formatCode>#,##0.0</c:formatCode>
                <c:ptCount val="13"/>
                <c:pt idx="0">
                  <c:v>0.14627211959831871</c:v>
                </c:pt>
                <c:pt idx="1">
                  <c:v>7.7548851626127083E-2</c:v>
                </c:pt>
                <c:pt idx="2">
                  <c:v>0.38292582773655592</c:v>
                </c:pt>
                <c:pt idx="3">
                  <c:v>2.347028912718158E-2</c:v>
                </c:pt>
                <c:pt idx="4">
                  <c:v>2.8753754785299741E-2</c:v>
                </c:pt>
                <c:pt idx="5">
                  <c:v>-2.1586908546660892E-2</c:v>
                </c:pt>
                <c:pt idx="6">
                  <c:v>-2.3823584677744172E-2</c:v>
                </c:pt>
                <c:pt idx="7">
                  <c:v>-0.13192365149239646</c:v>
                </c:pt>
                <c:pt idx="8">
                  <c:v>-0.14366932100600871</c:v>
                </c:pt>
                <c:pt idx="9">
                  <c:v>-0.18626420646755687</c:v>
                </c:pt>
                <c:pt idx="10">
                  <c:v>-5.5972334136194804E-2</c:v>
                </c:pt>
                <c:pt idx="11">
                  <c:v>-9.6508575437114025E-2</c:v>
                </c:pt>
                <c:pt idx="12">
                  <c:v>-0.10733439453303317</c:v>
                </c:pt>
              </c:numCache>
            </c:numRef>
          </c:val>
          <c:extLst xmlns:c16r2="http://schemas.microsoft.com/office/drawing/2015/06/chart">
            <c:ext xmlns:c16="http://schemas.microsoft.com/office/drawing/2014/chart" uri="{C3380CC4-5D6E-409C-BE32-E72D297353CC}">
              <c16:uniqueId val="{00000007-38AA-42ED-9EF7-AB4B06B62CAA}"/>
            </c:ext>
          </c:extLst>
        </c:ser>
        <c:gapWidth val="30"/>
        <c:overlap val="100"/>
        <c:axId val="162645120"/>
        <c:axId val="162647040"/>
      </c:barChart>
      <c:lineChart>
        <c:grouping val="standard"/>
        <c:ser>
          <c:idx val="8"/>
          <c:order val="8"/>
          <c:tx>
            <c:strRef>
              <c:f>'[Obchod-doprava-grafy.xlsx]Graf-příspěvky k růstu'!$A$67</c:f>
              <c:strCache>
                <c:ptCount val="1"/>
                <c:pt idx="0">
                  <c:v>Obchod, Doprava a skladování celkem (G+H)</c:v>
                </c:pt>
              </c:strCache>
            </c:strRef>
          </c:tx>
          <c:spPr>
            <a:ln>
              <a:noFill/>
            </a:ln>
          </c:spPr>
          <c:marker>
            <c:symbol val="diamond"/>
            <c:size val="7"/>
            <c:spPr>
              <a:solidFill>
                <a:schemeClr val="bg1"/>
              </a:solidFill>
              <a:ln>
                <a:solidFill>
                  <a:sysClr val="windowText" lastClr="000000"/>
                </a:solidFill>
              </a:ln>
            </c:spPr>
          </c:marker>
          <c:cat>
            <c:numRef>
              <c:f>'[Obchod-doprava-grafy.xlsx]Graf-příspěvky k růstu'!$H$58:$T$58</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'[Obchod-doprava-grafy.xlsx]Graf-příspěvky k růstu'!$H$67:$T$67</c:f>
              <c:numCache>
                <c:formatCode>#,##0.0</c:formatCode>
                <c:ptCount val="13"/>
                <c:pt idx="0">
                  <c:v>8.7517459391727872</c:v>
                </c:pt>
                <c:pt idx="1">
                  <c:v>7.7191792142452611</c:v>
                </c:pt>
                <c:pt idx="2">
                  <c:v>6.8760246130242813</c:v>
                </c:pt>
                <c:pt idx="3">
                  <c:v>-0.9167233415488546</c:v>
                </c:pt>
                <c:pt idx="4">
                  <c:v>-8.2884078045629845</c:v>
                </c:pt>
                <c:pt idx="5">
                  <c:v>5.3008365138107365</c:v>
                </c:pt>
                <c:pt idx="6">
                  <c:v>0.17951574369849163</c:v>
                </c:pt>
                <c:pt idx="7">
                  <c:v>0.59739910771232008</c:v>
                </c:pt>
                <c:pt idx="8">
                  <c:v>-0.47847430125152363</c:v>
                </c:pt>
                <c:pt idx="9">
                  <c:v>4.1864792423557855</c:v>
                </c:pt>
                <c:pt idx="10">
                  <c:v>7.5397548186919359</c:v>
                </c:pt>
                <c:pt idx="11">
                  <c:v>1.9853250593546934</c:v>
                </c:pt>
                <c:pt idx="12">
                  <c:v>3.0950574530445767</c:v>
                </c:pt>
              </c:numCache>
            </c:numRef>
          </c:val>
          <c:extLst xmlns:c16r2="http://schemas.microsoft.com/office/drawing/2015/06/chart">
            <c:ext xmlns:c16="http://schemas.microsoft.com/office/drawing/2014/chart" uri="{C3380CC4-5D6E-409C-BE32-E72D297353CC}">
              <c16:uniqueId val="{00000008-38AA-42ED-9EF7-AB4B06B62CAA}"/>
            </c:ext>
          </c:extLst>
        </c:ser>
        <c:marker val="1"/>
        <c:axId val="162645120"/>
        <c:axId val="162647040"/>
      </c:lineChart>
      <c:catAx>
        <c:axId val="162645120"/>
        <c:scaling>
          <c:orientation val="minMax"/>
        </c:scaling>
        <c:axPos val="b"/>
        <c:numFmt formatCode="General" sourceLinked="1"/>
        <c:majorTickMark val="none"/>
        <c:tickLblPos val="low"/>
        <c:spPr>
          <a:ln w="9525">
            <a:solidFill>
              <a:schemeClr val="tx1"/>
            </a:solidFill>
            <a:prstDash val="solid"/>
          </a:ln>
        </c:spPr>
        <c:txPr>
          <a:bodyPr rot="0" vert="horz"/>
          <a:lstStyle/>
          <a:p>
            <a:pPr>
              <a:defRPr/>
            </a:pPr>
            <a:endParaRPr lang="cs-CZ"/>
          </a:p>
        </c:txPr>
        <c:crossAx val="162647040"/>
        <c:crossesAt val="100"/>
        <c:lblAlgn val="ctr"/>
        <c:lblOffset val="0"/>
        <c:tickLblSkip val="1"/>
        <c:tickMarkSkip val="4"/>
      </c:catAx>
      <c:valAx>
        <c:axId val="162647040"/>
        <c:scaling>
          <c:orientation val="minMax"/>
          <c:max val="11"/>
          <c:min val="-11"/>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62645120"/>
        <c:crosses val="autoZero"/>
        <c:crossBetween val="between"/>
        <c:majorUnit val="1"/>
      </c:valAx>
      <c:spPr>
        <a:noFill/>
        <a:ln w="9525">
          <a:solidFill>
            <a:schemeClr val="tx1"/>
          </a:solidFill>
        </a:ln>
      </c:spPr>
    </c:plotArea>
    <c:legend>
      <c:legendPos val="b"/>
      <c:layout>
        <c:manualLayout>
          <c:xMode val="edge"/>
          <c:yMode val="edge"/>
          <c:x val="5.002292045973597E-2"/>
          <c:y val="0.82924800180119362"/>
          <c:w val="0.9374147124061426"/>
          <c:h val="0.16360351232691617"/>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50.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7.3562142311828851E-2"/>
          <c:y val="1.6427920487154187E-2"/>
          <c:w val="0.91112827457077816"/>
          <c:h val="0.79415439735546167"/>
        </c:manualLayout>
      </c:layout>
      <c:barChart>
        <c:barDir val="col"/>
        <c:grouping val="stacked"/>
        <c:ser>
          <c:idx val="4"/>
          <c:order val="4"/>
          <c:tx>
            <c:strRef>
              <c:f>'Graf-dopravní výkony'!$F$89</c:f>
              <c:strCache>
                <c:ptCount val="1"/>
                <c:pt idx="0">
                  <c:v>Osobní železnič. doprava (pravá osa)</c:v>
                </c:pt>
              </c:strCache>
            </c:strRef>
          </c:tx>
          <c:spPr>
            <a:solidFill>
              <a:srgbClr val="ECECEC"/>
            </a:solidFill>
            <a:ln>
              <a:solidFill>
                <a:srgbClr val="AEAEAE"/>
              </a:solidFill>
            </a:ln>
          </c:spPr>
          <c:cat>
            <c:numRef>
              <c:f>'Graf-dopravní výkony'!$A$95:$A$107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'Graf-dopravní výkony'!$F$95:$F$107</c:f>
              <c:numCache>
                <c:formatCode>#,##0.00</c:formatCode>
                <c:ptCount val="13"/>
                <c:pt idx="0">
                  <c:v>6.6667009999999909</c:v>
                </c:pt>
                <c:pt idx="1">
                  <c:v>6.9221209999999909</c:v>
                </c:pt>
                <c:pt idx="2">
                  <c:v>6.8982479999999997</c:v>
                </c:pt>
                <c:pt idx="3">
                  <c:v>6.8033739999999998</c:v>
                </c:pt>
                <c:pt idx="4">
                  <c:v>6.5028149999999885</c:v>
                </c:pt>
                <c:pt idx="5">
                  <c:v>6.5907189999999956</c:v>
                </c:pt>
                <c:pt idx="6">
                  <c:v>6.7139930000000003</c:v>
                </c:pt>
                <c:pt idx="7">
                  <c:v>7.2647559999999896</c:v>
                </c:pt>
                <c:pt idx="8">
                  <c:v>7.6005969999999907</c:v>
                </c:pt>
                <c:pt idx="9">
                  <c:v>7.7965099999999996</c:v>
                </c:pt>
                <c:pt idx="10">
                  <c:v>8.298112591999999</c:v>
                </c:pt>
                <c:pt idx="11">
                  <c:v>8.8433732679999988</c:v>
                </c:pt>
                <c:pt idx="12">
                  <c:v>9.5146141800000006</c:v>
                </c:pt>
              </c:numCache>
            </c:numRef>
          </c:val>
          <c:extLst xmlns:c16r2="http://schemas.microsoft.com/office/drawing/2015/06/chart">
            <c:ext xmlns:c16="http://schemas.microsoft.com/office/drawing/2014/chart" uri="{C3380CC4-5D6E-409C-BE32-E72D297353CC}">
              <c16:uniqueId val="{00000000-BE86-470B-B3ED-93DDD423D69E}"/>
            </c:ext>
          </c:extLst>
        </c:ser>
        <c:ser>
          <c:idx val="5"/>
          <c:order val="5"/>
          <c:tx>
            <c:strRef>
              <c:f>'Graf-dopravní výkony'!$G$89</c:f>
              <c:strCache>
                <c:ptCount val="1"/>
                <c:pt idx="0">
                  <c:v>Veř. autobous. doprava (pravá osa)</c:v>
                </c:pt>
              </c:strCache>
            </c:strRef>
          </c:tx>
          <c:spPr>
            <a:solidFill>
              <a:srgbClr val="D3D3D3"/>
            </a:solidFill>
            <a:ln>
              <a:solidFill>
                <a:srgbClr val="AEAEAE"/>
              </a:solidFill>
            </a:ln>
          </c:spPr>
          <c:cat>
            <c:numRef>
              <c:f>'Graf-dopravní výkony'!$A$95:$A$107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'Graf-dopravní výkony'!$G$95:$G$107</c:f>
              <c:numCache>
                <c:formatCode>#,##0.00</c:formatCode>
                <c:ptCount val="13"/>
                <c:pt idx="0">
                  <c:v>8.607598890000002</c:v>
                </c:pt>
                <c:pt idx="1">
                  <c:v>9.5011483199999986</c:v>
                </c:pt>
                <c:pt idx="2">
                  <c:v>9.5187626200000004</c:v>
                </c:pt>
                <c:pt idx="3">
                  <c:v>9.2151800000000001</c:v>
                </c:pt>
                <c:pt idx="4">
                  <c:v>9.4935521100000066</c:v>
                </c:pt>
                <c:pt idx="5">
                  <c:v>10.335654910000024</c:v>
                </c:pt>
                <c:pt idx="6">
                  <c:v>9.2667312000000006</c:v>
                </c:pt>
                <c:pt idx="7">
                  <c:v>9.0154106600000024</c:v>
                </c:pt>
                <c:pt idx="8">
                  <c:v>9.0255682500000027</c:v>
                </c:pt>
                <c:pt idx="9">
                  <c:v>10.01019814</c:v>
                </c:pt>
                <c:pt idx="10">
                  <c:v>9.995755530000018</c:v>
                </c:pt>
                <c:pt idx="11">
                  <c:v>10.25714305</c:v>
                </c:pt>
                <c:pt idx="12">
                  <c:v>11.121737489999999</c:v>
                </c:pt>
              </c:numCache>
            </c:numRef>
          </c:val>
          <c:extLst xmlns:c16r2="http://schemas.microsoft.com/office/drawing/2015/06/chart">
            <c:ext xmlns:c16="http://schemas.microsoft.com/office/drawing/2014/chart" uri="{C3380CC4-5D6E-409C-BE32-E72D297353CC}">
              <c16:uniqueId val="{00000001-BE86-470B-B3ED-93DDD423D69E}"/>
            </c:ext>
          </c:extLst>
        </c:ser>
        <c:ser>
          <c:idx val="6"/>
          <c:order val="6"/>
          <c:tx>
            <c:strRef>
              <c:f>'Graf-dopravní výkony'!$H$89</c:f>
              <c:strCache>
                <c:ptCount val="1"/>
                <c:pt idx="0">
                  <c:v>MHD (pravá osa)</c:v>
                </c:pt>
              </c:strCache>
            </c:strRef>
          </c:tx>
          <c:spPr>
            <a:solidFill>
              <a:srgbClr val="AEAEAE"/>
            </a:solidFill>
            <a:ln>
              <a:solidFill>
                <a:srgbClr val="AEAEAE"/>
              </a:solidFill>
            </a:ln>
          </c:spPr>
          <c:cat>
            <c:numRef>
              <c:f>'Graf-dopravní výkony'!$A$95:$A$107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'Graf-dopravní výkony'!$H$95:$H$107</c:f>
              <c:numCache>
                <c:formatCode>#,##0.00</c:formatCode>
                <c:ptCount val="13"/>
                <c:pt idx="0">
                  <c:v>14.934782470000002</c:v>
                </c:pt>
                <c:pt idx="1">
                  <c:v>14.312665550000018</c:v>
                </c:pt>
                <c:pt idx="2">
                  <c:v>14.352502880000031</c:v>
                </c:pt>
                <c:pt idx="3">
                  <c:v>15.880456730000025</c:v>
                </c:pt>
                <c:pt idx="4">
                  <c:v>15.555059620000016</c:v>
                </c:pt>
                <c:pt idx="5">
                  <c:v>15.617444410000004</c:v>
                </c:pt>
                <c:pt idx="6">
                  <c:v>15.281468970000001</c:v>
                </c:pt>
                <c:pt idx="7">
                  <c:v>15.813667970000004</c:v>
                </c:pt>
                <c:pt idx="8">
                  <c:v>16.276193500000002</c:v>
                </c:pt>
                <c:pt idx="9">
                  <c:v>16.27018</c:v>
                </c:pt>
                <c:pt idx="10">
                  <c:v>16.100467073000001</c:v>
                </c:pt>
                <c:pt idx="11">
                  <c:v>17.387054529000039</c:v>
                </c:pt>
                <c:pt idx="12">
                  <c:v>17.824203494000031</c:v>
                </c:pt>
              </c:numCache>
            </c:numRef>
          </c:val>
          <c:extLst xmlns:c16r2="http://schemas.microsoft.com/office/drawing/2015/06/chart">
            <c:ext xmlns:c16="http://schemas.microsoft.com/office/drawing/2014/chart" uri="{C3380CC4-5D6E-409C-BE32-E72D297353CC}">
              <c16:uniqueId val="{00000002-BE86-470B-B3ED-93DDD423D69E}"/>
            </c:ext>
          </c:extLst>
        </c:ser>
        <c:ser>
          <c:idx val="7"/>
          <c:order val="7"/>
          <c:tx>
            <c:strRef>
              <c:f>'Graf-dopravní výkony'!$I$89</c:f>
              <c:strCache>
                <c:ptCount val="1"/>
                <c:pt idx="0">
                  <c:v>Obch.letecká osob.přepr.(pravá osa)*</c:v>
                </c:pt>
              </c:strCache>
            </c:strRef>
          </c:tx>
          <c:spPr>
            <a:solidFill>
              <a:srgbClr val="7D7D7D"/>
            </a:solidFill>
            <a:ln>
              <a:solidFill>
                <a:srgbClr val="AEAEAE"/>
              </a:solidFill>
            </a:ln>
          </c:spPr>
          <c:cat>
            <c:numRef>
              <c:f>'Graf-dopravní výkony'!$A$95:$A$107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'Graf-dopravní výkony'!$I$95:$I$107</c:f>
              <c:numCache>
                <c:formatCode>#,##0.00</c:formatCode>
                <c:ptCount val="13"/>
                <c:pt idx="0">
                  <c:v>9.7357101900000007</c:v>
                </c:pt>
                <c:pt idx="1">
                  <c:v>10.233053079999999</c:v>
                </c:pt>
                <c:pt idx="2">
                  <c:v>10.4772915</c:v>
                </c:pt>
                <c:pt idx="3">
                  <c:v>10.748869599999999</c:v>
                </c:pt>
                <c:pt idx="4">
                  <c:v>11.330473000000001</c:v>
                </c:pt>
                <c:pt idx="5">
                  <c:v>10.902008500000004</c:v>
                </c:pt>
                <c:pt idx="6">
                  <c:v>11.585630000000021</c:v>
                </c:pt>
                <c:pt idx="7">
                  <c:v>10.611569999999999</c:v>
                </c:pt>
                <c:pt idx="8">
                  <c:v>9.603860000000001</c:v>
                </c:pt>
                <c:pt idx="9">
                  <c:v>9.7561400000000003</c:v>
                </c:pt>
                <c:pt idx="10">
                  <c:v>9.7009999999999987</c:v>
                </c:pt>
                <c:pt idx="11">
                  <c:v>10.202540000000004</c:v>
                </c:pt>
                <c:pt idx="12">
                  <c:v>11.32605</c:v>
                </c:pt>
              </c:numCache>
            </c:numRef>
          </c:val>
          <c:extLst xmlns:c16r2="http://schemas.microsoft.com/office/drawing/2015/06/chart">
            <c:ext xmlns:c16="http://schemas.microsoft.com/office/drawing/2014/chart" uri="{C3380CC4-5D6E-409C-BE32-E72D297353CC}">
              <c16:uniqueId val="{00000003-BE86-470B-B3ED-93DDD423D69E}"/>
            </c:ext>
          </c:extLst>
        </c:ser>
        <c:gapWidth val="80"/>
        <c:overlap val="100"/>
        <c:axId val="162874496"/>
        <c:axId val="162868608"/>
      </c:barChart>
      <c:lineChart>
        <c:grouping val="standard"/>
        <c:ser>
          <c:idx val="0"/>
          <c:order val="0"/>
          <c:tx>
            <c:strRef>
              <c:f>'Graf-dopravní výkony'!$B$89</c:f>
              <c:strCache>
                <c:ptCount val="1"/>
                <c:pt idx="0">
                  <c:v>Železniční nákladní dopr. (2010=100)</c:v>
                </c:pt>
              </c:strCache>
            </c:strRef>
          </c:tx>
          <c:spPr>
            <a:ln w="22225">
              <a:solidFill>
                <a:srgbClr val="0071BC"/>
              </a:solidFill>
            </a:ln>
          </c:spPr>
          <c:marker>
            <c:symbol val="none"/>
          </c:marker>
          <c:cat>
            <c:numRef>
              <c:f>'Graf-dopravní výkony'!$A$95:$A$107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'Graf-dopravní výkony'!$B$95:$B$107</c:f>
              <c:numCache>
                <c:formatCode>#,##0</c:formatCode>
                <c:ptCount val="13"/>
                <c:pt idx="0">
                  <c:v>107.95661000052138</c:v>
                </c:pt>
                <c:pt idx="1">
                  <c:v>114.58318960678011</c:v>
                </c:pt>
                <c:pt idx="2">
                  <c:v>118.39928391134546</c:v>
                </c:pt>
                <c:pt idx="3">
                  <c:v>112.10415528654947</c:v>
                </c:pt>
                <c:pt idx="4">
                  <c:v>92.891160014529689</c:v>
                </c:pt>
                <c:pt idx="5">
                  <c:v>100</c:v>
                </c:pt>
                <c:pt idx="6">
                  <c:v>103.96104328992968</c:v>
                </c:pt>
                <c:pt idx="7">
                  <c:v>103.60098013400062</c:v>
                </c:pt>
                <c:pt idx="8">
                  <c:v>101.41287498469542</c:v>
                </c:pt>
                <c:pt idx="9">
                  <c:v>105.84071791286235</c:v>
                </c:pt>
                <c:pt idx="10">
                  <c:v>110.82571404440914</c:v>
                </c:pt>
                <c:pt idx="11">
                  <c:v>113.42251019254248</c:v>
                </c:pt>
                <c:pt idx="12">
                  <c:v>114.23454437871727</c:v>
                </c:pt>
              </c:numCache>
            </c:numRef>
          </c:val>
          <c:extLst xmlns:c16r2="http://schemas.microsoft.com/office/drawing/2015/06/chart">
            <c:ext xmlns:c16="http://schemas.microsoft.com/office/drawing/2014/chart" uri="{C3380CC4-5D6E-409C-BE32-E72D297353CC}">
              <c16:uniqueId val="{00000004-BE86-470B-B3ED-93DDD423D69E}"/>
            </c:ext>
          </c:extLst>
        </c:ser>
        <c:ser>
          <c:idx val="1"/>
          <c:order val="1"/>
          <c:tx>
            <c:strRef>
              <c:f>'Graf-dopravní výkony'!$C$89</c:f>
              <c:strCache>
                <c:ptCount val="1"/>
                <c:pt idx="0">
                  <c:v>Silniční nákladní dopr. (2010=100)**</c:v>
                </c:pt>
              </c:strCache>
            </c:strRef>
          </c:tx>
          <c:spPr>
            <a:ln w="22225">
              <a:solidFill>
                <a:srgbClr val="C00000"/>
              </a:solidFill>
              <a:prstDash val="solid"/>
            </a:ln>
          </c:spPr>
          <c:marker>
            <c:symbol val="none"/>
          </c:marker>
          <c:cat>
            <c:numRef>
              <c:f>'Graf-dopravní výkony'!$A$95:$A$107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'Graf-dopravní výkony'!$C$95:$C$107</c:f>
              <c:numCache>
                <c:formatCode>#,##0</c:formatCode>
                <c:ptCount val="13"/>
                <c:pt idx="0">
                  <c:v>83.822502976808664</c:v>
                </c:pt>
                <c:pt idx="1">
                  <c:v>97.1768750512352</c:v>
                </c:pt>
                <c:pt idx="2">
                  <c:v>92.879294430189049</c:v>
                </c:pt>
                <c:pt idx="3">
                  <c:v>98.157285646674111</c:v>
                </c:pt>
                <c:pt idx="4">
                  <c:v>86.731195628977986</c:v>
                </c:pt>
                <c:pt idx="5">
                  <c:v>100</c:v>
                </c:pt>
                <c:pt idx="6">
                  <c:v>105.7844017890522</c:v>
                </c:pt>
                <c:pt idx="7">
                  <c:v>98.833947235582997</c:v>
                </c:pt>
                <c:pt idx="8">
                  <c:v>105.90519098841749</c:v>
                </c:pt>
                <c:pt idx="9">
                  <c:v>104.3602807194318</c:v>
                </c:pt>
                <c:pt idx="10">
                  <c:v>113.27668796505917</c:v>
                </c:pt>
                <c:pt idx="11">
                  <c:v>97.072503667857717</c:v>
                </c:pt>
                <c:pt idx="12">
                  <c:v>85.417496548502896</c:v>
                </c:pt>
              </c:numCache>
            </c:numRef>
          </c:val>
          <c:extLst xmlns:c16r2="http://schemas.microsoft.com/office/drawing/2015/06/chart">
            <c:ext xmlns:c16="http://schemas.microsoft.com/office/drawing/2014/chart" uri="{C3380CC4-5D6E-409C-BE32-E72D297353CC}">
              <c16:uniqueId val="{00000005-BE86-470B-B3ED-93DDD423D69E}"/>
            </c:ext>
          </c:extLst>
        </c:ser>
        <c:ser>
          <c:idx val="2"/>
          <c:order val="2"/>
          <c:tx>
            <c:strRef>
              <c:f>'Graf-dopravní výkony'!$D$89</c:f>
              <c:strCache>
                <c:ptCount val="1"/>
                <c:pt idx="0">
                  <c:v>Vnitrozem.vodní nákl.dopr. (2010=100)</c:v>
                </c:pt>
              </c:strCache>
            </c:strRef>
          </c:tx>
          <c:spPr>
            <a:ln w="22225">
              <a:solidFill>
                <a:srgbClr val="48AEE7"/>
              </a:solidFill>
            </a:ln>
          </c:spPr>
          <c:marker>
            <c:symbol val="none"/>
          </c:marker>
          <c:cat>
            <c:numRef>
              <c:f>'Graf-dopravní výkony'!$A$95:$A$107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'Graf-dopravní výkony'!$D$95:$D$107</c:f>
              <c:numCache>
                <c:formatCode>#,##0</c:formatCode>
                <c:ptCount val="13"/>
                <c:pt idx="0">
                  <c:v>114.88172416482823</c:v>
                </c:pt>
                <c:pt idx="1">
                  <c:v>120.39262897165588</c:v>
                </c:pt>
                <c:pt idx="2">
                  <c:v>132.20078561115886</c:v>
                </c:pt>
                <c:pt idx="3">
                  <c:v>126.97318943707678</c:v>
                </c:pt>
                <c:pt idx="4">
                  <c:v>94.297181189484149</c:v>
                </c:pt>
                <c:pt idx="5">
                  <c:v>100</c:v>
                </c:pt>
                <c:pt idx="6">
                  <c:v>102.28722049947693</c:v>
                </c:pt>
                <c:pt idx="7">
                  <c:v>98.511194738259633</c:v>
                </c:pt>
                <c:pt idx="8">
                  <c:v>102.05924903343913</c:v>
                </c:pt>
                <c:pt idx="9">
                  <c:v>96.614866565313491</c:v>
                </c:pt>
                <c:pt idx="10">
                  <c:v>86.078396723333171</c:v>
                </c:pt>
                <c:pt idx="11">
                  <c:v>91.305455126119938</c:v>
                </c:pt>
                <c:pt idx="12">
                  <c:v>91.641671388477235</c:v>
                </c:pt>
              </c:numCache>
            </c:numRef>
          </c:val>
          <c:extLst xmlns:c16r2="http://schemas.microsoft.com/office/drawing/2015/06/chart">
            <c:ext xmlns:c16="http://schemas.microsoft.com/office/drawing/2014/chart" uri="{C3380CC4-5D6E-409C-BE32-E72D297353CC}">
              <c16:uniqueId val="{00000006-BE86-470B-B3ED-93DDD423D69E}"/>
            </c:ext>
          </c:extLst>
        </c:ser>
        <c:ser>
          <c:idx val="3"/>
          <c:order val="3"/>
          <c:tx>
            <c:strRef>
              <c:f>'Graf-dopravní výkony'!$E$89</c:f>
              <c:strCache>
                <c:ptCount val="1"/>
                <c:pt idx="0">
                  <c:v>Letecká nákladní dopr. (2010=100)*</c:v>
                </c:pt>
              </c:strCache>
            </c:strRef>
          </c:tx>
          <c:spPr>
            <a:ln w="22225">
              <a:solidFill>
                <a:srgbClr val="7DBB2D"/>
              </a:solidFill>
              <a:prstDash val="solid"/>
            </a:ln>
          </c:spPr>
          <c:marker>
            <c:symbol val="none"/>
          </c:marker>
          <c:cat>
            <c:numRef>
              <c:f>'Graf-dopravní výkony'!$A$95:$A$107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'Graf-dopravní výkony'!$E$95:$E$107</c:f>
              <c:numCache>
                <c:formatCode>#,##0</c:formatCode>
                <c:ptCount val="13"/>
                <c:pt idx="0">
                  <c:v>200.22342374547563</c:v>
                </c:pt>
                <c:pt idx="1">
                  <c:v>212.06528441842801</c:v>
                </c:pt>
                <c:pt idx="2">
                  <c:v>182.13383082353994</c:v>
                </c:pt>
                <c:pt idx="3">
                  <c:v>165.71920103668612</c:v>
                </c:pt>
                <c:pt idx="4">
                  <c:v>128.3243219089328</c:v>
                </c:pt>
                <c:pt idx="5">
                  <c:v>100</c:v>
                </c:pt>
                <c:pt idx="6">
                  <c:v>98.153179319898058</c:v>
                </c:pt>
                <c:pt idx="7">
                  <c:v>74.060503150274812</c:v>
                </c:pt>
                <c:pt idx="8">
                  <c:v>108.69118369900366</c:v>
                </c:pt>
                <c:pt idx="9">
                  <c:v>156.56195540462039</c:v>
                </c:pt>
                <c:pt idx="10">
                  <c:v>138.88913713749548</c:v>
                </c:pt>
                <c:pt idx="11">
                  <c:v>138.26355065016256</c:v>
                </c:pt>
                <c:pt idx="12">
                  <c:v>142.93989901246707</c:v>
                </c:pt>
              </c:numCache>
            </c:numRef>
          </c:val>
          <c:extLst xmlns:c16r2="http://schemas.microsoft.com/office/drawing/2015/06/chart">
            <c:ext xmlns:c16="http://schemas.microsoft.com/office/drawing/2014/chart" uri="{C3380CC4-5D6E-409C-BE32-E72D297353CC}">
              <c16:uniqueId val="{00000007-BE86-470B-B3ED-93DDD423D69E}"/>
            </c:ext>
          </c:extLst>
        </c:ser>
        <c:marker val="1"/>
        <c:axId val="162865536"/>
        <c:axId val="162867072"/>
      </c:lineChart>
      <c:catAx>
        <c:axId val="162865536"/>
        <c:scaling>
          <c:orientation val="minMax"/>
        </c:scaling>
        <c:axPos val="b"/>
        <c:numFmt formatCode="General" sourceLinked="1"/>
        <c:tickLblPos val="nextTo"/>
        <c:txPr>
          <a:bodyPr rot="0"/>
          <a:lstStyle/>
          <a:p>
            <a:pPr>
              <a:defRPr sz="800">
                <a:latin typeface="Arial" pitchFamily="34" charset="0"/>
                <a:cs typeface="Arial" pitchFamily="34" charset="0"/>
              </a:defRPr>
            </a:pPr>
            <a:endParaRPr lang="cs-CZ"/>
          </a:p>
        </c:txPr>
        <c:crossAx val="162867072"/>
        <c:crosses val="autoZero"/>
        <c:auto val="1"/>
        <c:lblAlgn val="ctr"/>
        <c:lblOffset val="0"/>
      </c:catAx>
      <c:valAx>
        <c:axId val="162867072"/>
        <c:scaling>
          <c:orientation val="minMax"/>
          <c:max val="220"/>
          <c:min val="0"/>
        </c:scaling>
        <c:axPos val="l"/>
        <c:majorGridlines/>
        <c:numFmt formatCode="#,##0" sourceLinked="1"/>
        <c:tickLblPos val="nextTo"/>
        <c:txPr>
          <a:bodyPr/>
          <a:lstStyle/>
          <a:p>
            <a:pPr>
              <a:defRPr sz="800">
                <a:latin typeface="Arial" pitchFamily="34" charset="0"/>
                <a:cs typeface="Arial" pitchFamily="34" charset="0"/>
              </a:defRPr>
            </a:pPr>
            <a:endParaRPr lang="cs-CZ"/>
          </a:p>
        </c:txPr>
        <c:crossAx val="162865536"/>
        <c:crosses val="autoZero"/>
        <c:crossBetween val="between"/>
        <c:majorUnit val="20"/>
      </c:valAx>
      <c:valAx>
        <c:axId val="162868608"/>
        <c:scaling>
          <c:orientation val="minMax"/>
          <c:max val="55"/>
          <c:min val="0"/>
        </c:scaling>
        <c:axPos val="r"/>
        <c:numFmt formatCode="#,##0" sourceLinked="0"/>
        <c:tickLblPos val="nextTo"/>
        <c:txPr>
          <a:bodyPr/>
          <a:lstStyle/>
          <a:p>
            <a:pPr>
              <a:defRPr sz="800">
                <a:latin typeface="Arial" pitchFamily="34" charset="0"/>
                <a:cs typeface="Arial" pitchFamily="34" charset="0"/>
              </a:defRPr>
            </a:pPr>
            <a:endParaRPr lang="cs-CZ"/>
          </a:p>
        </c:txPr>
        <c:crossAx val="162874496"/>
        <c:crosses val="max"/>
        <c:crossBetween val="between"/>
      </c:valAx>
      <c:catAx>
        <c:axId val="162874496"/>
        <c:scaling>
          <c:orientation val="minMax"/>
        </c:scaling>
        <c:delete val="1"/>
        <c:axPos val="b"/>
        <c:numFmt formatCode="General" sourceLinked="1"/>
        <c:tickLblPos val="none"/>
        <c:crossAx val="162868608"/>
        <c:crosses val="autoZero"/>
        <c:auto val="1"/>
        <c:lblAlgn val="ctr"/>
        <c:lblOffset val="100"/>
      </c:catAx>
    </c:plotArea>
    <c:legend>
      <c:legendPos val="r"/>
      <c:layout>
        <c:manualLayout>
          <c:xMode val="edge"/>
          <c:yMode val="edge"/>
          <c:x val="4.9056426081549545E-2"/>
          <c:y val="0.8572699906842427"/>
          <c:w val="0.91126569290457726"/>
          <c:h val="0.13558352064730309"/>
        </c:manualLayout>
      </c:layout>
      <c:spPr>
        <a:ln>
          <a:solidFill>
            <a:sysClr val="windowText" lastClr="000000">
              <a:lumMod val="95000"/>
              <a:lumOff val="5000"/>
            </a:sysClr>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51.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493E-2"/>
          <c:y val="1.9513175616352796E-2"/>
          <c:w val="0.87721032836745738"/>
          <c:h val="0.73334616138578512"/>
        </c:manualLayout>
      </c:layout>
      <c:barChart>
        <c:barDir val="col"/>
        <c:grouping val="clustered"/>
        <c:ser>
          <c:idx val="0"/>
          <c:order val="0"/>
          <c:tx>
            <c:strRef>
              <c:f>'Graf-letiště'!$U$12</c:f>
              <c:strCache>
                <c:ptCount val="1"/>
                <c:pt idx="0">
                  <c:v> Přepravované osoby  (y/y, %, rok 2016)</c:v>
                </c:pt>
              </c:strCache>
            </c:strRef>
          </c:tx>
          <c:spPr>
            <a:solidFill>
              <a:schemeClr val="bg1">
                <a:lumMod val="50000"/>
              </a:schemeClr>
            </a:solidFill>
            <a:ln w="12700">
              <a:noFill/>
              <a:prstDash val="solid"/>
            </a:ln>
          </c:spPr>
          <c:cat>
            <c:strRef>
              <c:f>'Graf-letiště'!$T$13:$T$43</c:f>
              <c:strCache>
                <c:ptCount val="31"/>
                <c:pt idx="0">
                  <c:v>Island</c:v>
                </c:pt>
                <c:pt idx="1">
                  <c:v>Bulharsko</c:v>
                </c:pt>
                <c:pt idx="2">
                  <c:v>Rumunsko</c:v>
                </c:pt>
                <c:pt idx="3">
                  <c:v>Kypr</c:v>
                </c:pt>
                <c:pt idx="4">
                  <c:v>Maďarsko</c:v>
                </c:pt>
                <c:pt idx="5">
                  <c:v>Chorvatsko</c:v>
                </c:pt>
                <c:pt idx="6">
                  <c:v>Litva</c:v>
                </c:pt>
                <c:pt idx="7">
                  <c:v>Slovensko</c:v>
                </c:pt>
                <c:pt idx="8">
                  <c:v>Portugalsko</c:v>
                </c:pt>
                <c:pt idx="9">
                  <c:v>Lucemburs.</c:v>
                </c:pt>
                <c:pt idx="10">
                  <c:v>Polsko</c:v>
                </c:pt>
                <c:pt idx="11">
                  <c:v>Španělsko</c:v>
                </c:pt>
                <c:pt idx="12">
                  <c:v>Irsko</c:v>
                </c:pt>
                <c:pt idx="13">
                  <c:v>Malta</c:v>
                </c:pt>
                <c:pt idx="14">
                  <c:v>Nizozemsko</c:v>
                </c:pt>
                <c:pt idx="15">
                  <c:v>Dánsko</c:v>
                </c:pt>
                <c:pt idx="16">
                  <c:v>Česko</c:v>
                </c:pt>
                <c:pt idx="17">
                  <c:v>Řecko</c:v>
                </c:pt>
                <c:pt idx="18">
                  <c:v>Vel.Británie</c:v>
                </c:pt>
                <c:pt idx="19">
                  <c:v>Švédsko</c:v>
                </c:pt>
                <c:pt idx="20">
                  <c:v>Itálie</c:v>
                </c:pt>
                <c:pt idx="21">
                  <c:v>Lotyšsko</c:v>
                </c:pt>
                <c:pt idx="22">
                  <c:v>Německo</c:v>
                </c:pt>
                <c:pt idx="23">
                  <c:v>Francie</c:v>
                </c:pt>
                <c:pt idx="24">
                  <c:v>Finsko</c:v>
                </c:pt>
                <c:pt idx="25">
                  <c:v>Švýcarsko</c:v>
                </c:pt>
                <c:pt idx="26">
                  <c:v>Estonsko</c:v>
                </c:pt>
                <c:pt idx="27">
                  <c:v>Rakousko</c:v>
                </c:pt>
                <c:pt idx="28">
                  <c:v>Norsko</c:v>
                </c:pt>
                <c:pt idx="29">
                  <c:v>Slovinsko</c:v>
                </c:pt>
                <c:pt idx="30">
                  <c:v>Belgie</c:v>
                </c:pt>
              </c:strCache>
            </c:strRef>
          </c:cat>
          <c:val>
            <c:numRef>
              <c:f>'Graf-letiště'!$U$13:$U$43</c:f>
              <c:numCache>
                <c:formatCode>0.0</c:formatCode>
                <c:ptCount val="31"/>
                <c:pt idx="0">
                  <c:v>40.603137259432494</c:v>
                </c:pt>
                <c:pt idx="1">
                  <c:v>23.233534256166834</c:v>
                </c:pt>
                <c:pt idx="2">
                  <c:v>20.942457067808025</c:v>
                </c:pt>
                <c:pt idx="3">
                  <c:v>20.006845140036191</c:v>
                </c:pt>
                <c:pt idx="4">
                  <c:v>14.334205549437469</c:v>
                </c:pt>
                <c:pt idx="5">
                  <c:v>14.285257782691748</c:v>
                </c:pt>
                <c:pt idx="6">
                  <c:v>13.392474645697376</c:v>
                </c:pt>
                <c:pt idx="7">
                  <c:v>13.290623443654585</c:v>
                </c:pt>
                <c:pt idx="8">
                  <c:v>12.77629993174159</c:v>
                </c:pt>
                <c:pt idx="9">
                  <c:v>12.538545285737612</c:v>
                </c:pt>
                <c:pt idx="10">
                  <c:v>11.88320694473542</c:v>
                </c:pt>
                <c:pt idx="11">
                  <c:v>11.221476167450048</c:v>
                </c:pt>
                <c:pt idx="12">
                  <c:v>10.635526155250957</c:v>
                </c:pt>
                <c:pt idx="13">
                  <c:v>9.9769090412782226</c:v>
                </c:pt>
                <c:pt idx="14">
                  <c:v>9.3725926646122844</c:v>
                </c:pt>
                <c:pt idx="15">
                  <c:v>9.2378219073413419</c:v>
                </c:pt>
                <c:pt idx="16">
                  <c:v>9.1392253348404839</c:v>
                </c:pt>
                <c:pt idx="17">
                  <c:v>8.1838799429936984</c:v>
                </c:pt>
                <c:pt idx="18">
                  <c:v>7.2357085977795403</c:v>
                </c:pt>
                <c:pt idx="19">
                  <c:v>6.0751910852736994</c:v>
                </c:pt>
                <c:pt idx="20">
                  <c:v>5.8531378885683845</c:v>
                </c:pt>
                <c:pt idx="21">
                  <c:v>5.155177292174514</c:v>
                </c:pt>
                <c:pt idx="22">
                  <c:v>3.8767889644579157</c:v>
                </c:pt>
                <c:pt idx="23">
                  <c:v>3.6628506035494377</c:v>
                </c:pt>
                <c:pt idx="24">
                  <c:v>3.5348321088907397</c:v>
                </c:pt>
                <c:pt idx="25">
                  <c:v>3.0058301235393827</c:v>
                </c:pt>
                <c:pt idx="26">
                  <c:v>2.5364904223920774</c:v>
                </c:pt>
                <c:pt idx="27">
                  <c:v>2.3482688032487697</c:v>
                </c:pt>
                <c:pt idx="28">
                  <c:v>2.2357160504246592</c:v>
                </c:pt>
                <c:pt idx="29">
                  <c:v>-2.1234635303686673</c:v>
                </c:pt>
                <c:pt idx="30">
                  <c:v>-2.4226732941124283</c:v>
                </c:pt>
              </c:numCache>
            </c:numRef>
          </c:val>
          <c:extLst xmlns:c16r2="http://schemas.microsoft.com/office/drawing/2015/06/chart">
            <c:ext xmlns:c16="http://schemas.microsoft.com/office/drawing/2014/chart" uri="{C3380CC4-5D6E-409C-BE32-E72D297353CC}">
              <c16:uniqueId val="{00000000-9E93-41E0-AC64-93A10F145CE9}"/>
            </c:ext>
          </c:extLst>
        </c:ser>
        <c:ser>
          <c:idx val="3"/>
          <c:order val="1"/>
          <c:tx>
            <c:strRef>
              <c:f>'Graf-letiště'!$V$12</c:f>
              <c:strCache>
                <c:ptCount val="1"/>
                <c:pt idx="0">
                  <c:v> Přepravované osoby  (y/y, %, rok 2015)</c:v>
                </c:pt>
              </c:strCache>
            </c:strRef>
          </c:tx>
          <c:spPr>
            <a:solidFill>
              <a:schemeClr val="bg1">
                <a:lumMod val="75000"/>
              </a:schemeClr>
            </a:solidFill>
            <a:ln w="19050">
              <a:noFill/>
              <a:prstDash val="solid"/>
            </a:ln>
          </c:spPr>
          <c:cat>
            <c:strRef>
              <c:f>'Graf-letiště'!$T$13:$T$43</c:f>
              <c:strCache>
                <c:ptCount val="31"/>
                <c:pt idx="0">
                  <c:v>Island</c:v>
                </c:pt>
                <c:pt idx="1">
                  <c:v>Bulharsko</c:v>
                </c:pt>
                <c:pt idx="2">
                  <c:v>Rumunsko</c:v>
                </c:pt>
                <c:pt idx="3">
                  <c:v>Kypr</c:v>
                </c:pt>
                <c:pt idx="4">
                  <c:v>Maďarsko</c:v>
                </c:pt>
                <c:pt idx="5">
                  <c:v>Chorvatsko</c:v>
                </c:pt>
                <c:pt idx="6">
                  <c:v>Litva</c:v>
                </c:pt>
                <c:pt idx="7">
                  <c:v>Slovensko</c:v>
                </c:pt>
                <c:pt idx="8">
                  <c:v>Portugalsko</c:v>
                </c:pt>
                <c:pt idx="9">
                  <c:v>Lucemburs.</c:v>
                </c:pt>
                <c:pt idx="10">
                  <c:v>Polsko</c:v>
                </c:pt>
                <c:pt idx="11">
                  <c:v>Španělsko</c:v>
                </c:pt>
                <c:pt idx="12">
                  <c:v>Irsko</c:v>
                </c:pt>
                <c:pt idx="13">
                  <c:v>Malta</c:v>
                </c:pt>
                <c:pt idx="14">
                  <c:v>Nizozemsko</c:v>
                </c:pt>
                <c:pt idx="15">
                  <c:v>Dánsko</c:v>
                </c:pt>
                <c:pt idx="16">
                  <c:v>Česko</c:v>
                </c:pt>
                <c:pt idx="17">
                  <c:v>Řecko</c:v>
                </c:pt>
                <c:pt idx="18">
                  <c:v>Vel.Británie</c:v>
                </c:pt>
                <c:pt idx="19">
                  <c:v>Švédsko</c:v>
                </c:pt>
                <c:pt idx="20">
                  <c:v>Itálie</c:v>
                </c:pt>
                <c:pt idx="21">
                  <c:v>Lotyšsko</c:v>
                </c:pt>
                <c:pt idx="22">
                  <c:v>Německo</c:v>
                </c:pt>
                <c:pt idx="23">
                  <c:v>Francie</c:v>
                </c:pt>
                <c:pt idx="24">
                  <c:v>Finsko</c:v>
                </c:pt>
                <c:pt idx="25">
                  <c:v>Švýcarsko</c:v>
                </c:pt>
                <c:pt idx="26">
                  <c:v>Estonsko</c:v>
                </c:pt>
                <c:pt idx="27">
                  <c:v>Rakousko</c:v>
                </c:pt>
                <c:pt idx="28">
                  <c:v>Norsko</c:v>
                </c:pt>
                <c:pt idx="29">
                  <c:v>Slovinsko</c:v>
                </c:pt>
                <c:pt idx="30">
                  <c:v>Belgie</c:v>
                </c:pt>
              </c:strCache>
            </c:strRef>
          </c:cat>
          <c:val>
            <c:numRef>
              <c:f>'Graf-letiště'!$V$13:$V$43</c:f>
              <c:numCache>
                <c:formatCode>0.0</c:formatCode>
                <c:ptCount val="31"/>
                <c:pt idx="0">
                  <c:v>25.785509394557746</c:v>
                </c:pt>
                <c:pt idx="1">
                  <c:v>1.2021681612364021</c:v>
                </c:pt>
                <c:pt idx="2">
                  <c:v>15.340142051051714</c:v>
                </c:pt>
                <c:pt idx="3">
                  <c:v>3.5783496480747914</c:v>
                </c:pt>
                <c:pt idx="4">
                  <c:v>12.959952502791896</c:v>
                </c:pt>
                <c:pt idx="5">
                  <c:v>7.0203146007691686</c:v>
                </c:pt>
                <c:pt idx="6">
                  <c:v>11.302437264850191</c:v>
                </c:pt>
                <c:pt idx="7">
                  <c:v>16.296752807711279</c:v>
                </c:pt>
                <c:pt idx="8">
                  <c:v>10.585011227321926</c:v>
                </c:pt>
                <c:pt idx="9">
                  <c:v>8.9489506515980999</c:v>
                </c:pt>
                <c:pt idx="10">
                  <c:v>12.417257085158013</c:v>
                </c:pt>
                <c:pt idx="11">
                  <c:v>5.6231476224198218</c:v>
                </c:pt>
                <c:pt idx="12">
                  <c:v>12.299534039714375</c:v>
                </c:pt>
                <c:pt idx="13">
                  <c:v>7.6811781357341999</c:v>
                </c:pt>
                <c:pt idx="14">
                  <c:v>5.9185229387020541</c:v>
                </c:pt>
                <c:pt idx="15">
                  <c:v>3.7437427587564374</c:v>
                </c:pt>
                <c:pt idx="16">
                  <c:v>4.9017982225475594</c:v>
                </c:pt>
                <c:pt idx="17">
                  <c:v>7.6143507233644669</c:v>
                </c:pt>
                <c:pt idx="18">
                  <c:v>5.5668836403089275</c:v>
                </c:pt>
                <c:pt idx="19">
                  <c:v>3.8003154057699637</c:v>
                </c:pt>
                <c:pt idx="20">
                  <c:v>5.3619254134262615</c:v>
                </c:pt>
                <c:pt idx="21">
                  <c:v>7.1543903502543165</c:v>
                </c:pt>
                <c:pt idx="22">
                  <c:v>4.0175945832963285</c:v>
                </c:pt>
                <c:pt idx="23">
                  <c:v>3.3135136961361269</c:v>
                </c:pt>
                <c:pt idx="24">
                  <c:v>1.7896356560016358</c:v>
                </c:pt>
                <c:pt idx="25">
                  <c:v>6.4245336386209617</c:v>
                </c:pt>
                <c:pt idx="26">
                  <c:v>6.9893841289708121</c:v>
                </c:pt>
                <c:pt idx="27">
                  <c:v>1.4228576142335783</c:v>
                </c:pt>
                <c:pt idx="28">
                  <c:v>-0.26736872843011383</c:v>
                </c:pt>
                <c:pt idx="29">
                  <c:v>9.8594016806311231</c:v>
                </c:pt>
                <c:pt idx="30">
                  <c:v>7.5831814077885555</c:v>
                </c:pt>
              </c:numCache>
            </c:numRef>
          </c:val>
          <c:extLst xmlns:c16r2="http://schemas.microsoft.com/office/drawing/2015/06/chart">
            <c:ext xmlns:c16="http://schemas.microsoft.com/office/drawing/2014/chart" uri="{C3380CC4-5D6E-409C-BE32-E72D297353CC}">
              <c16:uniqueId val="{00000001-9E93-41E0-AC64-93A10F145CE9}"/>
            </c:ext>
          </c:extLst>
        </c:ser>
        <c:axId val="162915456"/>
        <c:axId val="162917376"/>
      </c:barChart>
      <c:lineChart>
        <c:grouping val="standard"/>
        <c:ser>
          <c:idx val="1"/>
          <c:order val="2"/>
          <c:tx>
            <c:strRef>
              <c:f>'Graf-letiště'!$W$12</c:f>
              <c:strCache>
                <c:ptCount val="1"/>
                <c:pt idx="0">
                  <c:v> Přepravované os. v r. 2016 (v mil., pr.osa)*</c:v>
                </c:pt>
              </c:strCache>
            </c:strRef>
          </c:tx>
          <c:spPr>
            <a:ln w="19050">
              <a:noFill/>
            </a:ln>
          </c:spPr>
          <c:marker>
            <c:symbol val="diamond"/>
            <c:size val="5"/>
            <c:spPr>
              <a:solidFill>
                <a:srgbClr val="48AEE7"/>
              </a:solidFill>
              <a:ln>
                <a:noFill/>
              </a:ln>
            </c:spPr>
          </c:marker>
          <c:cat>
            <c:strRef>
              <c:f>'Graf-letiště'!$T$13:$T$43</c:f>
              <c:strCache>
                <c:ptCount val="31"/>
                <c:pt idx="0">
                  <c:v>Island</c:v>
                </c:pt>
                <c:pt idx="1">
                  <c:v>Bulharsko</c:v>
                </c:pt>
                <c:pt idx="2">
                  <c:v>Rumunsko</c:v>
                </c:pt>
                <c:pt idx="3">
                  <c:v>Kypr</c:v>
                </c:pt>
                <c:pt idx="4">
                  <c:v>Maďarsko</c:v>
                </c:pt>
                <c:pt idx="5">
                  <c:v>Chorvatsko</c:v>
                </c:pt>
                <c:pt idx="6">
                  <c:v>Litva</c:v>
                </c:pt>
                <c:pt idx="7">
                  <c:v>Slovensko</c:v>
                </c:pt>
                <c:pt idx="8">
                  <c:v>Portugalsko</c:v>
                </c:pt>
                <c:pt idx="9">
                  <c:v>Lucemburs.</c:v>
                </c:pt>
                <c:pt idx="10">
                  <c:v>Polsko</c:v>
                </c:pt>
                <c:pt idx="11">
                  <c:v>Španělsko</c:v>
                </c:pt>
                <c:pt idx="12">
                  <c:v>Irsko</c:v>
                </c:pt>
                <c:pt idx="13">
                  <c:v>Malta</c:v>
                </c:pt>
                <c:pt idx="14">
                  <c:v>Nizozemsko</c:v>
                </c:pt>
                <c:pt idx="15">
                  <c:v>Dánsko</c:v>
                </c:pt>
                <c:pt idx="16">
                  <c:v>Česko</c:v>
                </c:pt>
                <c:pt idx="17">
                  <c:v>Řecko</c:v>
                </c:pt>
                <c:pt idx="18">
                  <c:v>Vel.Británie</c:v>
                </c:pt>
                <c:pt idx="19">
                  <c:v>Švédsko</c:v>
                </c:pt>
                <c:pt idx="20">
                  <c:v>Itálie</c:v>
                </c:pt>
                <c:pt idx="21">
                  <c:v>Lotyšsko</c:v>
                </c:pt>
                <c:pt idx="22">
                  <c:v>Německo</c:v>
                </c:pt>
                <c:pt idx="23">
                  <c:v>Francie</c:v>
                </c:pt>
                <c:pt idx="24">
                  <c:v>Finsko</c:v>
                </c:pt>
                <c:pt idx="25">
                  <c:v>Švýcarsko</c:v>
                </c:pt>
                <c:pt idx="26">
                  <c:v>Estonsko</c:v>
                </c:pt>
                <c:pt idx="27">
                  <c:v>Rakousko</c:v>
                </c:pt>
                <c:pt idx="28">
                  <c:v>Norsko</c:v>
                </c:pt>
                <c:pt idx="29">
                  <c:v>Slovinsko</c:v>
                </c:pt>
                <c:pt idx="30">
                  <c:v>Belgie</c:v>
                </c:pt>
              </c:strCache>
            </c:strRef>
          </c:cat>
          <c:val>
            <c:numRef>
              <c:f>'Graf-letiště'!$W$13:$W$43</c:f>
              <c:numCache>
                <c:formatCode>0_ ;\-0\ </c:formatCode>
                <c:ptCount val="31"/>
                <c:pt idx="0">
                  <c:v>6.8154390000000005</c:v>
                </c:pt>
                <c:pt idx="1">
                  <c:v>9.377319</c:v>
                </c:pt>
                <c:pt idx="2">
                  <c:v>15.215421000000001</c:v>
                </c:pt>
                <c:pt idx="3">
                  <c:v>9.1094640000000027</c:v>
                </c:pt>
                <c:pt idx="4">
                  <c:v>11.694505000000001</c:v>
                </c:pt>
                <c:pt idx="5">
                  <c:v>7.5104819999999846</c:v>
                </c:pt>
                <c:pt idx="6">
                  <c:v>4.7935410000000003</c:v>
                </c:pt>
                <c:pt idx="7">
                  <c:v>2.2019799999999998</c:v>
                </c:pt>
                <c:pt idx="8">
                  <c:v>40.604376000000009</c:v>
                </c:pt>
                <c:pt idx="9">
                  <c:v>2.9842419999999987</c:v>
                </c:pt>
                <c:pt idx="10">
                  <c:v>32.341648999999997</c:v>
                </c:pt>
                <c:pt idx="11">
                  <c:v>194.251092</c:v>
                </c:pt>
                <c:pt idx="12">
                  <c:v>32.689406999999996</c:v>
                </c:pt>
                <c:pt idx="13">
                  <c:v>5.0804460000000002</c:v>
                </c:pt>
                <c:pt idx="14">
                  <c:v>70.622838999999416</c:v>
                </c:pt>
                <c:pt idx="15">
                  <c:v>32.869476000000006</c:v>
                </c:pt>
                <c:pt idx="16">
                  <c:v>13.830127000000001</c:v>
                </c:pt>
                <c:pt idx="17">
                  <c:v>45.541520999999996</c:v>
                </c:pt>
                <c:pt idx="18">
                  <c:v>249.076212</c:v>
                </c:pt>
                <c:pt idx="19">
                  <c:v>36.076810000000002</c:v>
                </c:pt>
                <c:pt idx="20">
                  <c:v>135.12403499999999</c:v>
                </c:pt>
                <c:pt idx="21">
                  <c:v>5.4111339999999997</c:v>
                </c:pt>
                <c:pt idx="22">
                  <c:v>201.45493300000001</c:v>
                </c:pt>
                <c:pt idx="23">
                  <c:v>146.04014100000001</c:v>
                </c:pt>
                <c:pt idx="24">
                  <c:v>18.097107999999999</c:v>
                </c:pt>
                <c:pt idx="25">
                  <c:v>50.566486999999995</c:v>
                </c:pt>
                <c:pt idx="26">
                  <c:v>2.2157910000000012</c:v>
                </c:pt>
                <c:pt idx="27">
                  <c:v>27.382262999999899</c:v>
                </c:pt>
                <c:pt idx="28">
                  <c:v>38.339513000000011</c:v>
                </c:pt>
                <c:pt idx="29">
                  <c:v>1.4055099999999929</c:v>
                </c:pt>
                <c:pt idx="30">
                  <c:v>30.207134999999987</c:v>
                </c:pt>
              </c:numCache>
            </c:numRef>
          </c:val>
          <c:extLst xmlns:c16r2="http://schemas.microsoft.com/office/drawing/2015/06/chart">
            <c:ext xmlns:c16="http://schemas.microsoft.com/office/drawing/2014/chart" uri="{C3380CC4-5D6E-409C-BE32-E72D297353CC}">
              <c16:uniqueId val="{00000002-9E93-41E0-AC64-93A10F145CE9}"/>
            </c:ext>
          </c:extLst>
        </c:ser>
        <c:marker val="1"/>
        <c:axId val="162941184"/>
        <c:axId val="162939648"/>
      </c:lineChart>
      <c:catAx>
        <c:axId val="162915456"/>
        <c:scaling>
          <c:orientation val="minMax"/>
        </c:scaling>
        <c:axPos val="b"/>
        <c:numFmt formatCode="General" sourceLinked="1"/>
        <c:tickLblPos val="low"/>
        <c:spPr>
          <a:ln w="9525">
            <a:solidFill>
              <a:schemeClr val="tx1"/>
            </a:solidFill>
            <a:prstDash val="solid"/>
          </a:ln>
        </c:spPr>
        <c:txPr>
          <a:bodyPr rot="-5400000" vert="horz"/>
          <a:lstStyle/>
          <a:p>
            <a:pPr>
              <a:defRPr/>
            </a:pPr>
            <a:endParaRPr lang="cs-CZ"/>
          </a:p>
        </c:txPr>
        <c:crossAx val="162917376"/>
        <c:crossesAt val="0"/>
        <c:lblAlgn val="ctr"/>
        <c:lblOffset val="0"/>
        <c:tickLblSkip val="1"/>
        <c:tickMarkSkip val="4"/>
      </c:catAx>
      <c:valAx>
        <c:axId val="162917376"/>
        <c:scaling>
          <c:orientation val="minMax"/>
          <c:max val="45"/>
          <c:min val="-5"/>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62915456"/>
        <c:crosses val="autoZero"/>
        <c:crossBetween val="between"/>
        <c:majorUnit val="5"/>
      </c:valAx>
      <c:valAx>
        <c:axId val="162939648"/>
        <c:scaling>
          <c:logBase val="10"/>
          <c:orientation val="minMax"/>
        </c:scaling>
        <c:axPos val="r"/>
        <c:numFmt formatCode="0_ ;\-0\ " sourceLinked="1"/>
        <c:tickLblPos val="nextTo"/>
        <c:crossAx val="162941184"/>
        <c:crosses val="max"/>
        <c:crossBetween val="between"/>
      </c:valAx>
      <c:catAx>
        <c:axId val="162941184"/>
        <c:scaling>
          <c:orientation val="minMax"/>
        </c:scaling>
        <c:delete val="1"/>
        <c:axPos val="b"/>
        <c:numFmt formatCode="General" sourceLinked="1"/>
        <c:tickLblPos val="none"/>
        <c:crossAx val="162939648"/>
        <c:crosses val="autoZero"/>
        <c:auto val="1"/>
        <c:lblAlgn val="ctr"/>
        <c:lblOffset val="100"/>
      </c:catAx>
      <c:spPr>
        <a:noFill/>
        <a:ln w="9525">
          <a:solidFill>
            <a:schemeClr val="tx1"/>
          </a:solidFill>
        </a:ln>
      </c:spPr>
    </c:plotArea>
    <c:legend>
      <c:legendPos val="b"/>
      <c:layout>
        <c:manualLayout>
          <c:xMode val="edge"/>
          <c:yMode val="edge"/>
          <c:x val="5.2762185640071534E-2"/>
          <c:y val="0.91035357111322457"/>
          <c:w val="0.9085830450280995"/>
          <c:h val="7.2718397592990924E-2"/>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52.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534E-2"/>
          <c:y val="1.9513175616352893E-2"/>
          <c:w val="0.88956025070613831"/>
          <c:h val="0.76155690645052365"/>
        </c:manualLayout>
      </c:layout>
      <c:barChart>
        <c:barDir val="col"/>
        <c:grouping val="clustered"/>
        <c:ser>
          <c:idx val="0"/>
          <c:order val="0"/>
          <c:tx>
            <c:strRef>
              <c:f>'Graf-Národní účty-souhrnné'!$A$39</c:f>
              <c:strCache>
                <c:ptCount val="1"/>
                <c:pt idx="0">
                  <c:v>Hrubá přidaná hodnota (2010=100)</c:v>
                </c:pt>
              </c:strCache>
            </c:strRef>
          </c:tx>
          <c:spPr>
            <a:solidFill>
              <a:schemeClr val="bg1">
                <a:lumMod val="65000"/>
              </a:schemeClr>
            </a:solidFill>
            <a:ln w="12700">
              <a:noFill/>
              <a:prstDash val="solid"/>
            </a:ln>
          </c:spPr>
          <c:cat>
            <c:strRef>
              <c:f>'Graf-Národní účty-souhrnné'!$G$38:$S$38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účty-souhrnné'!$G$39:$S$39</c:f>
              <c:numCache>
                <c:formatCode>#,##0.0</c:formatCode>
                <c:ptCount val="13"/>
                <c:pt idx="0">
                  <c:v>109.5</c:v>
                </c:pt>
                <c:pt idx="1">
                  <c:v>109.7</c:v>
                </c:pt>
                <c:pt idx="2">
                  <c:v>122.6</c:v>
                </c:pt>
                <c:pt idx="3">
                  <c:v>118.3</c:v>
                </c:pt>
                <c:pt idx="4">
                  <c:v>105.2</c:v>
                </c:pt>
                <c:pt idx="5">
                  <c:v>100</c:v>
                </c:pt>
                <c:pt idx="6">
                  <c:v>104.8</c:v>
                </c:pt>
                <c:pt idx="7">
                  <c:v>98.8</c:v>
                </c:pt>
                <c:pt idx="8">
                  <c:v>97.6</c:v>
                </c:pt>
                <c:pt idx="9">
                  <c:v>94.6</c:v>
                </c:pt>
                <c:pt idx="10">
                  <c:v>102.8</c:v>
                </c:pt>
                <c:pt idx="11">
                  <c:v>103.7</c:v>
                </c:pt>
                <c:pt idx="12">
                  <c:v>107.4</c:v>
                </c:pt>
              </c:numCache>
            </c:numRef>
          </c:val>
          <c:extLst xmlns:c16r2="http://schemas.microsoft.com/office/drawing/2015/06/chart">
            <c:ext xmlns:c16="http://schemas.microsoft.com/office/drawing/2014/chart" uri="{C3380CC4-5D6E-409C-BE32-E72D297353CC}">
              <c16:uniqueId val="{00000000-863A-45D5-90C6-79E1CB478DF9}"/>
            </c:ext>
          </c:extLst>
        </c:ser>
        <c:gapWidth val="30"/>
        <c:axId val="163004800"/>
        <c:axId val="163006336"/>
      </c:barChart>
      <c:lineChart>
        <c:grouping val="standard"/>
        <c:ser>
          <c:idx val="3"/>
          <c:order val="1"/>
          <c:tx>
            <c:strRef>
              <c:f>'Graf-Národní účty-souhrnné'!$A$40</c:f>
              <c:strCache>
                <c:ptCount val="1"/>
                <c:pt idx="0">
                  <c:v>Objem reálných vyplacených mezd a platů (2010=100)*</c:v>
                </c:pt>
              </c:strCache>
            </c:strRef>
          </c:tx>
          <c:spPr>
            <a:ln w="19050">
              <a:solidFill>
                <a:srgbClr val="F8A124"/>
              </a:solidFill>
              <a:prstDash val="solid"/>
            </a:ln>
          </c:spPr>
          <c:marker>
            <c:symbol val="none"/>
          </c:marker>
          <c:cat>
            <c:strRef>
              <c:f>'Graf-Národní účty-souhrnné'!$G$38:$S$38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účty-souhrnné'!$G$40:$S$40</c:f>
              <c:numCache>
                <c:formatCode>0.0</c:formatCode>
                <c:ptCount val="13"/>
                <c:pt idx="0">
                  <c:v>90.313979338620442</c:v>
                </c:pt>
                <c:pt idx="1">
                  <c:v>97.598816178167709</c:v>
                </c:pt>
                <c:pt idx="2">
                  <c:v>101.49201731535717</c:v>
                </c:pt>
                <c:pt idx="3">
                  <c:v>98.620823646580419</c:v>
                </c:pt>
                <c:pt idx="4">
                  <c:v>100.77850400570757</c:v>
                </c:pt>
                <c:pt idx="5">
                  <c:v>100</c:v>
                </c:pt>
                <c:pt idx="6">
                  <c:v>99.37625007974691</c:v>
                </c:pt>
                <c:pt idx="7">
                  <c:v>104.11842740190184</c:v>
                </c:pt>
                <c:pt idx="8">
                  <c:v>105.67473665245332</c:v>
                </c:pt>
                <c:pt idx="9">
                  <c:v>106.33569751403881</c:v>
                </c:pt>
                <c:pt idx="10">
                  <c:v>114.59279083198282</c:v>
                </c:pt>
                <c:pt idx="11">
                  <c:v>121.78485108779056</c:v>
                </c:pt>
                <c:pt idx="12">
                  <c:v>130.27499298709481</c:v>
                </c:pt>
              </c:numCache>
            </c:numRef>
          </c:val>
          <c:extLst xmlns:c16r2="http://schemas.microsoft.com/office/drawing/2015/06/chart">
            <c:ext xmlns:c16="http://schemas.microsoft.com/office/drawing/2014/chart" uri="{C3380CC4-5D6E-409C-BE32-E72D297353CC}">
              <c16:uniqueId val="{00000001-863A-45D5-90C6-79E1CB478DF9}"/>
            </c:ext>
          </c:extLst>
        </c:ser>
        <c:ser>
          <c:idx val="1"/>
          <c:order val="2"/>
          <c:tx>
            <c:strRef>
              <c:f>'Graf-Národní účty-souhrnné'!$A$41</c:f>
              <c:strCache>
                <c:ptCount val="1"/>
                <c:pt idx="0">
                  <c:v>Reálná hodinová produktivita práce (2010=100)</c:v>
                </c:pt>
              </c:strCache>
            </c:strRef>
          </c:tx>
          <c:spPr>
            <a:ln w="19050">
              <a:solidFill>
                <a:srgbClr val="7DBB2D"/>
              </a:solidFill>
            </a:ln>
          </c:spPr>
          <c:marker>
            <c:symbol val="none"/>
          </c:marker>
          <c:cat>
            <c:strRef>
              <c:f>'Graf-Národní účty-souhrnné'!$G$38:$S$38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účty-souhrnné'!$G$41:$S$41</c:f>
              <c:numCache>
                <c:formatCode>0.0</c:formatCode>
                <c:ptCount val="13"/>
                <c:pt idx="0">
                  <c:v>118.91058464364143</c:v>
                </c:pt>
                <c:pt idx="1">
                  <c:v>118.02955132972905</c:v>
                </c:pt>
                <c:pt idx="2">
                  <c:v>129.03568706844752</c:v>
                </c:pt>
                <c:pt idx="3">
                  <c:v>119.02958965124382</c:v>
                </c:pt>
                <c:pt idx="4">
                  <c:v>101.34581767154427</c:v>
                </c:pt>
                <c:pt idx="5">
                  <c:v>100</c:v>
                </c:pt>
                <c:pt idx="6">
                  <c:v>103.42815986690719</c:v>
                </c:pt>
                <c:pt idx="7">
                  <c:v>102.15025255596781</c:v>
                </c:pt>
                <c:pt idx="8">
                  <c:v>102.4517089294352</c:v>
                </c:pt>
                <c:pt idx="9">
                  <c:v>103.00526706890498</c:v>
                </c:pt>
                <c:pt idx="10">
                  <c:v>111.43367046111712</c:v>
                </c:pt>
                <c:pt idx="11">
                  <c:v>109.0737089264198</c:v>
                </c:pt>
                <c:pt idx="12">
                  <c:v>109.48740937256743</c:v>
                </c:pt>
              </c:numCache>
            </c:numRef>
          </c:val>
          <c:extLst xmlns:c16r2="http://schemas.microsoft.com/office/drawing/2015/06/chart">
            <c:ext xmlns:c16="http://schemas.microsoft.com/office/drawing/2014/chart" uri="{C3380CC4-5D6E-409C-BE32-E72D297353CC}">
              <c16:uniqueId val="{00000002-863A-45D5-90C6-79E1CB478DF9}"/>
            </c:ext>
          </c:extLst>
        </c:ser>
        <c:ser>
          <c:idx val="7"/>
          <c:order val="3"/>
          <c:tx>
            <c:strRef>
              <c:f>'Graf-Národní účty-souhrnné'!$A$42</c:f>
              <c:strCache>
                <c:ptCount val="1"/>
                <c:pt idx="0">
                  <c:v>Zaměstnanost (úvazky na plnou pracovní dobu, 2010=100)</c:v>
                </c:pt>
              </c:strCache>
            </c:strRef>
          </c:tx>
          <c:spPr>
            <a:ln w="19050">
              <a:noFill/>
            </a:ln>
          </c:spPr>
          <c:marker>
            <c:symbol val="circle"/>
            <c:size val="5"/>
            <c:spPr>
              <a:solidFill>
                <a:srgbClr val="FFFF00"/>
              </a:solidFill>
              <a:ln w="6350">
                <a:solidFill>
                  <a:sysClr val="windowText" lastClr="000000">
                    <a:lumMod val="65000"/>
                    <a:lumOff val="35000"/>
                  </a:sysClr>
                </a:solidFill>
              </a:ln>
            </c:spPr>
          </c:marker>
          <c:cat>
            <c:strRef>
              <c:f>'Graf-Národní účty-souhrnné'!$G$38:$S$38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účty-souhrnné'!$G$42:$S$42</c:f>
              <c:numCache>
                <c:formatCode>0.0</c:formatCode>
                <c:ptCount val="13"/>
                <c:pt idx="0">
                  <c:v>88.627149950823949</c:v>
                </c:pt>
                <c:pt idx="1">
                  <c:v>90.245400244680582</c:v>
                </c:pt>
                <c:pt idx="2">
                  <c:v>93.372034447188938</c:v>
                </c:pt>
                <c:pt idx="3">
                  <c:v>96.523136709285879</c:v>
                </c:pt>
                <c:pt idx="4">
                  <c:v>101.88547988581573</c:v>
                </c:pt>
                <c:pt idx="5">
                  <c:v>100</c:v>
                </c:pt>
                <c:pt idx="6">
                  <c:v>99.902607527526158</c:v>
                </c:pt>
                <c:pt idx="7">
                  <c:v>98.660013913210364</c:v>
                </c:pt>
                <c:pt idx="8">
                  <c:v>97.627557751817122</c:v>
                </c:pt>
                <c:pt idx="9">
                  <c:v>93.767841293448782</c:v>
                </c:pt>
                <c:pt idx="10">
                  <c:v>95.261352459999515</c:v>
                </c:pt>
                <c:pt idx="11">
                  <c:v>96.644037709597711</c:v>
                </c:pt>
                <c:pt idx="12">
                  <c:v>99.751001511262501</c:v>
                </c:pt>
              </c:numCache>
            </c:numRef>
          </c:val>
          <c:extLst xmlns:c16r2="http://schemas.microsoft.com/office/drawing/2015/06/chart">
            <c:ext xmlns:c16="http://schemas.microsoft.com/office/drawing/2014/chart" uri="{C3380CC4-5D6E-409C-BE32-E72D297353CC}">
              <c16:uniqueId val="{00000003-863A-45D5-90C6-79E1CB478DF9}"/>
            </c:ext>
          </c:extLst>
        </c:ser>
        <c:marker val="1"/>
        <c:axId val="163004800"/>
        <c:axId val="163006336"/>
      </c:lineChart>
      <c:lineChart>
        <c:grouping val="standard"/>
        <c:ser>
          <c:idx val="2"/>
          <c:order val="4"/>
          <c:tx>
            <c:strRef>
              <c:f>'Graf-Národní účty-souhrnné'!$A$43</c:f>
              <c:strCache>
                <c:ptCount val="1"/>
                <c:pt idx="0">
                  <c:v>Míra investic (v %, pravá osa)</c:v>
                </c:pt>
              </c:strCache>
            </c:strRef>
          </c:tx>
          <c:spPr>
            <a:ln w="19050">
              <a:solidFill>
                <a:srgbClr val="BD1B21"/>
              </a:solidFill>
              <a:prstDash val="sysDash"/>
            </a:ln>
          </c:spPr>
          <c:marker>
            <c:symbol val="none"/>
          </c:marker>
          <c:cat>
            <c:strRef>
              <c:f>'Graf-Národní účty-souhrnné'!$G$38:$S$38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účty-souhrnné'!$G$43:$S$43</c:f>
              <c:numCache>
                <c:formatCode>0.0</c:formatCode>
                <c:ptCount val="13"/>
                <c:pt idx="0">
                  <c:v>19.39668597769889</c:v>
                </c:pt>
                <c:pt idx="1">
                  <c:v>20.038855685239291</c:v>
                </c:pt>
                <c:pt idx="2">
                  <c:v>16.870995074935127</c:v>
                </c:pt>
                <c:pt idx="3">
                  <c:v>13.42695083771075</c:v>
                </c:pt>
                <c:pt idx="4">
                  <c:v>12.955935350005541</c:v>
                </c:pt>
                <c:pt idx="5">
                  <c:v>10.354344358921104</c:v>
                </c:pt>
                <c:pt idx="6">
                  <c:v>14.762119534763027</c:v>
                </c:pt>
                <c:pt idx="7">
                  <c:v>14.477387354752416</c:v>
                </c:pt>
                <c:pt idx="8">
                  <c:v>14.167036502829362</c:v>
                </c:pt>
                <c:pt idx="9">
                  <c:v>12.648167180541195</c:v>
                </c:pt>
                <c:pt idx="10">
                  <c:v>11.499852739053606</c:v>
                </c:pt>
                <c:pt idx="11">
                  <c:v>13.598414179104479</c:v>
                </c:pt>
                <c:pt idx="12">
                  <c:v>13.005021565645</c:v>
                </c:pt>
              </c:numCache>
            </c:numRef>
          </c:val>
          <c:extLst xmlns:c16r2="http://schemas.microsoft.com/office/drawing/2015/06/chart">
            <c:ext xmlns:c16="http://schemas.microsoft.com/office/drawing/2014/chart" uri="{C3380CC4-5D6E-409C-BE32-E72D297353CC}">
              <c16:uniqueId val="{00000004-863A-45D5-90C6-79E1CB478DF9}"/>
            </c:ext>
          </c:extLst>
        </c:ser>
        <c:ser>
          <c:idx val="5"/>
          <c:order val="5"/>
          <c:tx>
            <c:strRef>
              <c:f>'Graf-Národní účty-souhrnné'!$A$44</c:f>
              <c:strCache>
                <c:ptCount val="1"/>
                <c:pt idx="0">
                  <c:v>Míra zisku nefinančních podniků (v %, pravá osa)</c:v>
                </c:pt>
              </c:strCache>
            </c:strRef>
          </c:tx>
          <c:spPr>
            <a:ln w="19050">
              <a:solidFill>
                <a:srgbClr val="0071BC"/>
              </a:solidFill>
              <a:prstDash val="sysDash"/>
            </a:ln>
          </c:spPr>
          <c:marker>
            <c:symbol val="none"/>
          </c:marker>
          <c:cat>
            <c:strRef>
              <c:f>'Graf-Národní účty-souhrnné'!$G$38:$S$38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účty-souhrnné'!$G$44:$S$44</c:f>
              <c:numCache>
                <c:formatCode>0.0</c:formatCode>
                <c:ptCount val="13"/>
                <c:pt idx="0">
                  <c:v>37.302725968436157</c:v>
                </c:pt>
                <c:pt idx="1">
                  <c:v>39.786349740665685</c:v>
                </c:pt>
                <c:pt idx="2">
                  <c:v>43.865160906852338</c:v>
                </c:pt>
                <c:pt idx="3">
                  <c:v>42.944768171299117</c:v>
                </c:pt>
                <c:pt idx="4">
                  <c:v>28.839479392624728</c:v>
                </c:pt>
                <c:pt idx="5">
                  <c:v>38.250117389262797</c:v>
                </c:pt>
                <c:pt idx="6">
                  <c:v>34.450238890797245</c:v>
                </c:pt>
                <c:pt idx="7">
                  <c:v>31.209850107066391</c:v>
                </c:pt>
                <c:pt idx="8">
                  <c:v>33.512208210356853</c:v>
                </c:pt>
                <c:pt idx="9">
                  <c:v>37.914604611982178</c:v>
                </c:pt>
                <c:pt idx="10">
                  <c:v>39.012510743959865</c:v>
                </c:pt>
                <c:pt idx="11">
                  <c:v>39.421659585536922</c:v>
                </c:pt>
                <c:pt idx="12">
                  <c:v>38.62383963904</c:v>
                </c:pt>
              </c:numCache>
            </c:numRef>
          </c:val>
          <c:extLst xmlns:c16r2="http://schemas.microsoft.com/office/drawing/2015/06/chart">
            <c:ext xmlns:c16="http://schemas.microsoft.com/office/drawing/2014/chart" uri="{C3380CC4-5D6E-409C-BE32-E72D297353CC}">
              <c16:uniqueId val="{00000005-863A-45D5-90C6-79E1CB478DF9}"/>
            </c:ext>
          </c:extLst>
        </c:ser>
        <c:marker val="1"/>
        <c:axId val="163030144"/>
        <c:axId val="163007872"/>
      </c:lineChart>
      <c:catAx>
        <c:axId val="163004800"/>
        <c:scaling>
          <c:orientation val="minMax"/>
        </c:scaling>
        <c:axPos val="b"/>
        <c:numFmt formatCode="General" sourceLinked="1"/>
        <c:tickLblPos val="low"/>
        <c:spPr>
          <a:ln w="9525">
            <a:solidFill>
              <a:schemeClr val="tx1"/>
            </a:solidFill>
            <a:prstDash val="solid"/>
          </a:ln>
        </c:spPr>
        <c:txPr>
          <a:bodyPr rot="0" vert="horz"/>
          <a:lstStyle/>
          <a:p>
            <a:pPr>
              <a:defRPr/>
            </a:pPr>
            <a:endParaRPr lang="cs-CZ"/>
          </a:p>
        </c:txPr>
        <c:crossAx val="163006336"/>
        <c:crossesAt val="100"/>
        <c:lblAlgn val="ctr"/>
        <c:lblOffset val="0"/>
        <c:tickLblSkip val="1"/>
        <c:tickMarkSkip val="4"/>
      </c:catAx>
      <c:valAx>
        <c:axId val="163006336"/>
        <c:scaling>
          <c:orientation val="minMax"/>
          <c:max val="130"/>
          <c:min val="8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63004800"/>
        <c:crosses val="autoZero"/>
        <c:crossBetween val="between"/>
        <c:majorUnit val="5"/>
      </c:valAx>
      <c:valAx>
        <c:axId val="163007872"/>
        <c:scaling>
          <c:orientation val="minMax"/>
          <c:max val="50"/>
          <c:min val="0"/>
        </c:scaling>
        <c:axPos val="r"/>
        <c:numFmt formatCode="0" sourceLinked="0"/>
        <c:tickLblPos val="nextTo"/>
        <c:crossAx val="163030144"/>
        <c:crosses val="max"/>
        <c:crossBetween val="between"/>
      </c:valAx>
      <c:catAx>
        <c:axId val="163030144"/>
        <c:scaling>
          <c:orientation val="minMax"/>
        </c:scaling>
        <c:delete val="1"/>
        <c:axPos val="b"/>
        <c:numFmt formatCode="General" sourceLinked="1"/>
        <c:tickLblPos val="none"/>
        <c:crossAx val="163007872"/>
        <c:crosses val="autoZero"/>
        <c:auto val="1"/>
        <c:lblAlgn val="ctr"/>
        <c:lblOffset val="100"/>
      </c:catAx>
      <c:spPr>
        <a:noFill/>
        <a:ln w="9525">
          <a:solidFill>
            <a:schemeClr val="tx1"/>
          </a:solidFill>
        </a:ln>
      </c:spPr>
    </c:plotArea>
    <c:legend>
      <c:legendPos val="b"/>
      <c:layout>
        <c:manualLayout>
          <c:xMode val="edge"/>
          <c:yMode val="edge"/>
          <c:x val="6.0825149028219005E-2"/>
          <c:y val="0.82924800180119362"/>
          <c:w val="0.88531755998340778"/>
          <c:h val="0.16717775526286172"/>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53.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5.3402259241214903E-2"/>
          <c:y val="1.6434241361665363E-2"/>
          <c:w val="0.87833403286788514"/>
          <c:h val="0.68734901278840976"/>
        </c:manualLayout>
      </c:layout>
      <c:barChart>
        <c:barDir val="col"/>
        <c:grouping val="stacked"/>
        <c:ser>
          <c:idx val="0"/>
          <c:order val="0"/>
          <c:tx>
            <c:strRef>
              <c:f>'GRAF-přenocování-zahr.'!$B$26</c:f>
              <c:strCache>
                <c:ptCount val="1"/>
                <c:pt idx="0">
                  <c:v>Ostatní státy světa (v p. b.)</c:v>
                </c:pt>
              </c:strCache>
            </c:strRef>
          </c:tx>
          <c:spPr>
            <a:solidFill>
              <a:schemeClr val="tx1">
                <a:lumMod val="95000"/>
                <a:lumOff val="5000"/>
              </a:schemeClr>
            </a:solidFill>
            <a:ln>
              <a:noFill/>
            </a:ln>
          </c:spP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'GRAF-přenocování-zahr.'!$B$27:$B$38</c:f>
              <c:numCache>
                <c:formatCode>#,##0.0</c:formatCode>
                <c:ptCount val="12"/>
                <c:pt idx="0">
                  <c:v>0.24928253509115941</c:v>
                </c:pt>
                <c:pt idx="1">
                  <c:v>0.18082314950443054</c:v>
                </c:pt>
                <c:pt idx="2">
                  <c:v>0.21313732927980325</c:v>
                </c:pt>
                <c:pt idx="3">
                  <c:v>-0.22483089276631604</c:v>
                </c:pt>
                <c:pt idx="4">
                  <c:v>0.46321347629694981</c:v>
                </c:pt>
                <c:pt idx="5">
                  <c:v>0.36844819382306088</c:v>
                </c:pt>
                <c:pt idx="6">
                  <c:v>0.51985501655895883</c:v>
                </c:pt>
                <c:pt idx="7">
                  <c:v>0.26327906530173428</c:v>
                </c:pt>
                <c:pt idx="8">
                  <c:v>0.21379192749426354</c:v>
                </c:pt>
                <c:pt idx="9">
                  <c:v>4.8968544347491323E-2</c:v>
                </c:pt>
                <c:pt idx="10">
                  <c:v>5.4207338453177774E-2</c:v>
                </c:pt>
                <c:pt idx="11">
                  <c:v>0.22527470059624224</c:v>
                </c:pt>
              </c:numCache>
            </c:numRef>
          </c:val>
          <c:extLst xmlns:c16r2="http://schemas.microsoft.com/office/drawing/2015/06/chart">
            <c:ext xmlns:c16="http://schemas.microsoft.com/office/drawing/2014/chart" uri="{C3380CC4-5D6E-409C-BE32-E72D297353CC}">
              <c16:uniqueId val="{00000000-468F-4269-98FF-4E3C040CBB7E}"/>
            </c:ext>
          </c:extLst>
        </c:ser>
        <c:ser>
          <c:idx val="1"/>
          <c:order val="1"/>
          <c:tx>
            <c:strRef>
              <c:f>'GRAF-přenocování-zahr.'!$C$26</c:f>
              <c:strCache>
                <c:ptCount val="1"/>
                <c:pt idx="0">
                  <c:v>Ost. asijské státy (v p. b.)</c:v>
                </c:pt>
              </c:strCache>
            </c:strRef>
          </c:tx>
          <c:spPr>
            <a:solidFill>
              <a:srgbClr val="808080"/>
            </a:solidFill>
          </c:spP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'GRAF-přenocování-zahr.'!$C$27:$C$38</c:f>
              <c:numCache>
                <c:formatCode>#,##0.0</c:formatCode>
                <c:ptCount val="12"/>
                <c:pt idx="0">
                  <c:v>0.46805734207670369</c:v>
                </c:pt>
                <c:pt idx="1">
                  <c:v>8.1526711234668717E-2</c:v>
                </c:pt>
                <c:pt idx="2">
                  <c:v>6.9286128713249113E-3</c:v>
                </c:pt>
                <c:pt idx="3">
                  <c:v>-2.6797388825608951E-2</c:v>
                </c:pt>
                <c:pt idx="4">
                  <c:v>0.38538013386343639</c:v>
                </c:pt>
                <c:pt idx="5">
                  <c:v>0.38984104658474888</c:v>
                </c:pt>
                <c:pt idx="6">
                  <c:v>0.41193134213364685</c:v>
                </c:pt>
                <c:pt idx="7">
                  <c:v>0.23952021624315217</c:v>
                </c:pt>
                <c:pt idx="8">
                  <c:v>0.262588724733682</c:v>
                </c:pt>
                <c:pt idx="9">
                  <c:v>1.1224230795393517</c:v>
                </c:pt>
                <c:pt idx="10">
                  <c:v>0.41477224050056472</c:v>
                </c:pt>
                <c:pt idx="11">
                  <c:v>0.70615191953865075</c:v>
                </c:pt>
              </c:numCache>
            </c:numRef>
          </c:val>
          <c:extLst xmlns:c16r2="http://schemas.microsoft.com/office/drawing/2015/06/chart">
            <c:ext xmlns:c16="http://schemas.microsoft.com/office/drawing/2014/chart" uri="{C3380CC4-5D6E-409C-BE32-E72D297353CC}">
              <c16:uniqueId val="{00000001-468F-4269-98FF-4E3C040CBB7E}"/>
            </c:ext>
          </c:extLst>
        </c:ser>
        <c:ser>
          <c:idx val="2"/>
          <c:order val="2"/>
          <c:tx>
            <c:strRef>
              <c:f>'GRAF-přenocování-zahr.'!$D$26</c:f>
              <c:strCache>
                <c:ptCount val="1"/>
                <c:pt idx="0">
                  <c:v>Čína Japonsko, J. Korea  (v p. b.)</c:v>
                </c:pt>
              </c:strCache>
            </c:strRef>
          </c:tx>
          <c:spPr>
            <a:solidFill>
              <a:srgbClr val="0071BC"/>
            </a:solidFill>
          </c:spP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'GRAF-přenocování-zahr.'!$D$27:$D$38</c:f>
              <c:numCache>
                <c:formatCode>#,##0.0</c:formatCode>
                <c:ptCount val="12"/>
                <c:pt idx="0">
                  <c:v>0.1494715370500739</c:v>
                </c:pt>
                <c:pt idx="1">
                  <c:v>3.7391089492327459E-2</c:v>
                </c:pt>
                <c:pt idx="2">
                  <c:v>-0.19743635501397191</c:v>
                </c:pt>
                <c:pt idx="3">
                  <c:v>-0.16325593677737646</c:v>
                </c:pt>
                <c:pt idx="4">
                  <c:v>0.47751457114211843</c:v>
                </c:pt>
                <c:pt idx="5">
                  <c:v>0.33006737959115517</c:v>
                </c:pt>
                <c:pt idx="6">
                  <c:v>0.64363982630693251</c:v>
                </c:pt>
                <c:pt idx="7">
                  <c:v>0.27128586167238633</c:v>
                </c:pt>
                <c:pt idx="8">
                  <c:v>0.54117210575293428</c:v>
                </c:pt>
                <c:pt idx="9">
                  <c:v>1.0839293803667738</c:v>
                </c:pt>
                <c:pt idx="10">
                  <c:v>0.69688830638676569</c:v>
                </c:pt>
                <c:pt idx="11">
                  <c:v>1.3605446381592579</c:v>
                </c:pt>
              </c:numCache>
            </c:numRef>
          </c:val>
          <c:extLst xmlns:c16r2="http://schemas.microsoft.com/office/drawing/2015/06/chart">
            <c:ext xmlns:c16="http://schemas.microsoft.com/office/drawing/2014/chart" uri="{C3380CC4-5D6E-409C-BE32-E72D297353CC}">
              <c16:uniqueId val="{00000002-468F-4269-98FF-4E3C040CBB7E}"/>
            </c:ext>
          </c:extLst>
        </c:ser>
        <c:ser>
          <c:idx val="3"/>
          <c:order val="3"/>
          <c:tx>
            <c:strRef>
              <c:f>'GRAF-přenocování-zahr.'!$E$26</c:f>
              <c:strCache>
                <c:ptCount val="1"/>
                <c:pt idx="0">
                  <c:v>Izrael  (v p. b.)</c:v>
                </c:pt>
              </c:strCache>
            </c:strRef>
          </c:tx>
          <c:spPr>
            <a:solidFill>
              <a:srgbClr val="D2E7B6"/>
            </a:solidFill>
          </c:spP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'GRAF-přenocování-zahr.'!$E$27:$E$38</c:f>
              <c:numCache>
                <c:formatCode>#,##0.0</c:formatCode>
                <c:ptCount val="12"/>
                <c:pt idx="0">
                  <c:v>0.11550374878126109</c:v>
                </c:pt>
                <c:pt idx="1">
                  <c:v>-6.9849462040179874E-2</c:v>
                </c:pt>
                <c:pt idx="2">
                  <c:v>0.12456947258991315</c:v>
                </c:pt>
                <c:pt idx="3">
                  <c:v>0.37598397600203137</c:v>
                </c:pt>
                <c:pt idx="4">
                  <c:v>0.10012456828358728</c:v>
                </c:pt>
                <c:pt idx="5">
                  <c:v>-3.5195571456239076E-2</c:v>
                </c:pt>
                <c:pt idx="6">
                  <c:v>6.1931015232610222E-2</c:v>
                </c:pt>
                <c:pt idx="7">
                  <c:v>0.13621189516281837</c:v>
                </c:pt>
                <c:pt idx="8">
                  <c:v>0.24333823920419401</c:v>
                </c:pt>
                <c:pt idx="9">
                  <c:v>0.48741498912353187</c:v>
                </c:pt>
                <c:pt idx="10">
                  <c:v>0.37894034379983838</c:v>
                </c:pt>
                <c:pt idx="11">
                  <c:v>0.23494993375885509</c:v>
                </c:pt>
              </c:numCache>
            </c:numRef>
          </c:val>
          <c:extLst xmlns:c16r2="http://schemas.microsoft.com/office/drawing/2015/06/chart">
            <c:ext xmlns:c16="http://schemas.microsoft.com/office/drawing/2014/chart" uri="{C3380CC4-5D6E-409C-BE32-E72D297353CC}">
              <c16:uniqueId val="{00000003-468F-4269-98FF-4E3C040CBB7E}"/>
            </c:ext>
          </c:extLst>
        </c:ser>
        <c:ser>
          <c:idx val="4"/>
          <c:order val="4"/>
          <c:tx>
            <c:strRef>
              <c:f>'GRAF-přenocování-zahr.'!$F$26</c:f>
              <c:strCache>
                <c:ptCount val="1"/>
                <c:pt idx="0">
                  <c:v>USA a Kanada  (v p. b.)</c:v>
                </c:pt>
              </c:strCache>
            </c:strRef>
          </c:tx>
          <c:spPr>
            <a:solidFill>
              <a:srgbClr val="80BB2D"/>
            </a:solidFill>
          </c:spP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'GRAF-přenocování-zahr.'!$F$27:$F$38</c:f>
              <c:numCache>
                <c:formatCode>#,##0.0</c:formatCode>
                <c:ptCount val="12"/>
                <c:pt idx="0">
                  <c:v>0.42943021025479278</c:v>
                </c:pt>
                <c:pt idx="1">
                  <c:v>-0.12309891297054719</c:v>
                </c:pt>
                <c:pt idx="2">
                  <c:v>-0.48136392364435987</c:v>
                </c:pt>
                <c:pt idx="3">
                  <c:v>-0.55633100318796858</c:v>
                </c:pt>
                <c:pt idx="4">
                  <c:v>0.61106470862251772</c:v>
                </c:pt>
                <c:pt idx="5">
                  <c:v>3.8990638489809416E-2</c:v>
                </c:pt>
                <c:pt idx="6">
                  <c:v>0.52271218309711187</c:v>
                </c:pt>
                <c:pt idx="7">
                  <c:v>0.16752328681514744</c:v>
                </c:pt>
                <c:pt idx="8">
                  <c:v>0.34500952273607244</c:v>
                </c:pt>
                <c:pt idx="9">
                  <c:v>0.97063280366920368</c:v>
                </c:pt>
                <c:pt idx="10">
                  <c:v>-4.8435757776550056E-2</c:v>
                </c:pt>
                <c:pt idx="11">
                  <c:v>0.31742841203093275</c:v>
                </c:pt>
              </c:numCache>
            </c:numRef>
          </c:val>
          <c:extLst xmlns:c16r2="http://schemas.microsoft.com/office/drawing/2015/06/chart">
            <c:ext xmlns:c16="http://schemas.microsoft.com/office/drawing/2014/chart" uri="{C3380CC4-5D6E-409C-BE32-E72D297353CC}">
              <c16:uniqueId val="{00000004-468F-4269-98FF-4E3C040CBB7E}"/>
            </c:ext>
          </c:extLst>
        </c:ser>
        <c:ser>
          <c:idx val="5"/>
          <c:order val="5"/>
          <c:tx>
            <c:strRef>
              <c:f>'GRAF-přenocování-zahr.'!$G$26</c:f>
              <c:strCache>
                <c:ptCount val="1"/>
                <c:pt idx="0">
                  <c:v>Ost. evrops. státy  (v p. b.)</c:v>
                </c:pt>
              </c:strCache>
            </c:strRef>
          </c:tx>
          <c:spPr>
            <a:solidFill>
              <a:srgbClr val="A6A6A6"/>
            </a:solidFill>
          </c:spP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'GRAF-přenocování-zahr.'!$G$27:$G$38</c:f>
              <c:numCache>
                <c:formatCode>#,##0.0</c:formatCode>
                <c:ptCount val="12"/>
                <c:pt idx="0">
                  <c:v>0.83600769276502773</c:v>
                </c:pt>
                <c:pt idx="1">
                  <c:v>1.4060134747292621</c:v>
                </c:pt>
                <c:pt idx="2">
                  <c:v>-0.58606457991208083</c:v>
                </c:pt>
                <c:pt idx="3">
                  <c:v>-0.80427189203074323</c:v>
                </c:pt>
                <c:pt idx="4">
                  <c:v>0.42963576779327173</c:v>
                </c:pt>
                <c:pt idx="5">
                  <c:v>0.12672910359591041</c:v>
                </c:pt>
                <c:pt idx="6">
                  <c:v>7.4147332701187438E-2</c:v>
                </c:pt>
                <c:pt idx="7">
                  <c:v>0.23365162451933483</c:v>
                </c:pt>
                <c:pt idx="8">
                  <c:v>-0.19577874739172321</c:v>
                </c:pt>
                <c:pt idx="9">
                  <c:v>0.39782249859250346</c:v>
                </c:pt>
                <c:pt idx="10">
                  <c:v>-7.0384082805005924E-2</c:v>
                </c:pt>
                <c:pt idx="11">
                  <c:v>0.19388788160151788</c:v>
                </c:pt>
              </c:numCache>
            </c:numRef>
          </c:val>
          <c:extLst xmlns:c16r2="http://schemas.microsoft.com/office/drawing/2015/06/chart">
            <c:ext xmlns:c16="http://schemas.microsoft.com/office/drawing/2014/chart" uri="{C3380CC4-5D6E-409C-BE32-E72D297353CC}">
              <c16:uniqueId val="{00000005-468F-4269-98FF-4E3C040CBB7E}"/>
            </c:ext>
          </c:extLst>
        </c:ser>
        <c:ser>
          <c:idx val="6"/>
          <c:order val="6"/>
          <c:tx>
            <c:strRef>
              <c:f>'GRAF-přenocování-zahr.'!$H$26</c:f>
              <c:strCache>
                <c:ptCount val="1"/>
                <c:pt idx="0">
                  <c:v>Rusko  (v p. b.)</c:v>
                </c:pt>
              </c:strCache>
            </c:strRef>
          </c:tx>
          <c:spPr>
            <a:solidFill>
              <a:srgbClr val="BD1B21"/>
            </a:solidFill>
          </c:spP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'GRAF-přenocování-zahr.'!$H$27:$H$38</c:f>
              <c:numCache>
                <c:formatCode>#,##0.0</c:formatCode>
                <c:ptCount val="12"/>
                <c:pt idx="0">
                  <c:v>1.5865498581655979</c:v>
                </c:pt>
                <c:pt idx="1">
                  <c:v>1.7418911807799342</c:v>
                </c:pt>
                <c:pt idx="2">
                  <c:v>1.9626605989873123</c:v>
                </c:pt>
                <c:pt idx="3">
                  <c:v>-2.2452319310000255</c:v>
                </c:pt>
                <c:pt idx="4">
                  <c:v>2.4219619738508587</c:v>
                </c:pt>
                <c:pt idx="5">
                  <c:v>4.2061266974145113</c:v>
                </c:pt>
                <c:pt idx="6">
                  <c:v>3.0032063586215805</c:v>
                </c:pt>
                <c:pt idx="7">
                  <c:v>1.6559477305320762</c:v>
                </c:pt>
                <c:pt idx="8">
                  <c:v>-2.5847987725930208</c:v>
                </c:pt>
                <c:pt idx="9">
                  <c:v>-5.8197489004126597</c:v>
                </c:pt>
                <c:pt idx="10">
                  <c:v>-0.96962555367345582</c:v>
                </c:pt>
                <c:pt idx="11">
                  <c:v>2.7462786716860834</c:v>
                </c:pt>
              </c:numCache>
            </c:numRef>
          </c:val>
          <c:extLst xmlns:c16r2="http://schemas.microsoft.com/office/drawing/2015/06/chart">
            <c:ext xmlns:c16="http://schemas.microsoft.com/office/drawing/2014/chart" uri="{C3380CC4-5D6E-409C-BE32-E72D297353CC}">
              <c16:uniqueId val="{00000006-468F-4269-98FF-4E3C040CBB7E}"/>
            </c:ext>
          </c:extLst>
        </c:ser>
        <c:ser>
          <c:idx val="7"/>
          <c:order val="7"/>
          <c:tx>
            <c:strRef>
              <c:f>'GRAF-přenocování-zahr.'!$I$26</c:f>
              <c:strCache>
                <c:ptCount val="1"/>
                <c:pt idx="0">
                  <c:v>Ost. státy EU  (v p. b.)</c:v>
                </c:pt>
              </c:strCache>
            </c:strRef>
          </c:tx>
          <c:spPr>
            <a:solidFill>
              <a:srgbClr val="E8AFB2"/>
            </a:solidFill>
          </c:spP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'GRAF-přenocování-zahr.'!$I$27:$I$38</c:f>
              <c:numCache>
                <c:formatCode>#,##0.0</c:formatCode>
                <c:ptCount val="12"/>
                <c:pt idx="0">
                  <c:v>-0.81740093855408125</c:v>
                </c:pt>
                <c:pt idx="1">
                  <c:v>-0.11362670273307494</c:v>
                </c:pt>
                <c:pt idx="2">
                  <c:v>0.27298637673624415</c:v>
                </c:pt>
                <c:pt idx="3">
                  <c:v>-1.6222276635308661</c:v>
                </c:pt>
                <c:pt idx="4">
                  <c:v>-0.16318912837306218</c:v>
                </c:pt>
                <c:pt idx="5">
                  <c:v>-0.20346350776249303</c:v>
                </c:pt>
                <c:pt idx="6">
                  <c:v>0.21531195187769858</c:v>
                </c:pt>
                <c:pt idx="7">
                  <c:v>9.0667218500885046E-3</c:v>
                </c:pt>
                <c:pt idx="8">
                  <c:v>9.7548437346465233E-2</c:v>
                </c:pt>
                <c:pt idx="9">
                  <c:v>1.4027246899518178</c:v>
                </c:pt>
                <c:pt idx="10">
                  <c:v>0.94025662491789841</c:v>
                </c:pt>
                <c:pt idx="11">
                  <c:v>0.79209584546394474</c:v>
                </c:pt>
              </c:numCache>
            </c:numRef>
          </c:val>
          <c:extLst xmlns:c16r2="http://schemas.microsoft.com/office/drawing/2015/06/chart">
            <c:ext xmlns:c16="http://schemas.microsoft.com/office/drawing/2014/chart" uri="{C3380CC4-5D6E-409C-BE32-E72D297353CC}">
              <c16:uniqueId val="{00000007-468F-4269-98FF-4E3C040CBB7E}"/>
            </c:ext>
          </c:extLst>
        </c:ser>
        <c:ser>
          <c:idx val="8"/>
          <c:order val="8"/>
          <c:tx>
            <c:strRef>
              <c:f>'GRAF-přenocování-zahr.'!$J$26</c:f>
              <c:strCache>
                <c:ptCount val="1"/>
                <c:pt idx="0">
                  <c:v>Velká Británie a Irsko  (v p. b.)</c:v>
                </c:pt>
              </c:strCache>
            </c:strRef>
          </c:tx>
          <c:spPr>
            <a:solidFill>
              <a:srgbClr val="7030A0"/>
            </a:solidFill>
          </c:spP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'GRAF-přenocování-zahr.'!$J$27:$J$38</c:f>
              <c:numCache>
                <c:formatCode>#,##0.0</c:formatCode>
                <c:ptCount val="12"/>
                <c:pt idx="0">
                  <c:v>-1.39117383561703</c:v>
                </c:pt>
                <c:pt idx="1">
                  <c:v>7.8365989479127193E-2</c:v>
                </c:pt>
                <c:pt idx="2">
                  <c:v>-1.2402896315443224</c:v>
                </c:pt>
                <c:pt idx="3">
                  <c:v>-1.7723400714723783</c:v>
                </c:pt>
                <c:pt idx="4">
                  <c:v>-0.251655317919593</c:v>
                </c:pt>
                <c:pt idx="5">
                  <c:v>-0.76642386041950861</c:v>
                </c:pt>
                <c:pt idx="6">
                  <c:v>0.18364630975834734</c:v>
                </c:pt>
                <c:pt idx="7">
                  <c:v>0.15937883778483078</c:v>
                </c:pt>
                <c:pt idx="8">
                  <c:v>0.3070278586993595</c:v>
                </c:pt>
                <c:pt idx="9">
                  <c:v>0.94286270463035049</c:v>
                </c:pt>
                <c:pt idx="10">
                  <c:v>0.33041011074435589</c:v>
                </c:pt>
                <c:pt idx="11">
                  <c:v>-5.0152156227489753E-2</c:v>
                </c:pt>
              </c:numCache>
            </c:numRef>
          </c:val>
          <c:extLst xmlns:c16r2="http://schemas.microsoft.com/office/drawing/2015/06/chart">
            <c:ext xmlns:c16="http://schemas.microsoft.com/office/drawing/2014/chart" uri="{C3380CC4-5D6E-409C-BE32-E72D297353CC}">
              <c16:uniqueId val="{00000008-468F-4269-98FF-4E3C040CBB7E}"/>
            </c:ext>
          </c:extLst>
        </c:ser>
        <c:ser>
          <c:idx val="9"/>
          <c:order val="9"/>
          <c:tx>
            <c:strRef>
              <c:f>'GRAF-přenocování-zahr.'!$K$26</c:f>
              <c:strCache>
                <c:ptCount val="1"/>
                <c:pt idx="0">
                  <c:v>Francie, Itálie, Španělsko  (v p. b.)</c:v>
                </c:pt>
              </c:strCache>
            </c:strRef>
          </c:tx>
          <c:spPr>
            <a:solidFill>
              <a:srgbClr val="BCA6E8"/>
            </a:solidFill>
          </c:spP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'GRAF-přenocování-zahr.'!$K$27:$K$38</c:f>
              <c:numCache>
                <c:formatCode>#,##0.0</c:formatCode>
                <c:ptCount val="12"/>
                <c:pt idx="0">
                  <c:v>-0.45912650832213281</c:v>
                </c:pt>
                <c:pt idx="1">
                  <c:v>0.93094455108493124</c:v>
                </c:pt>
                <c:pt idx="2">
                  <c:v>-1.0424068953089478</c:v>
                </c:pt>
                <c:pt idx="3">
                  <c:v>-1.2626693461387093</c:v>
                </c:pt>
                <c:pt idx="4">
                  <c:v>4.4858556368148492E-2</c:v>
                </c:pt>
                <c:pt idx="5">
                  <c:v>0.93642326202944992</c:v>
                </c:pt>
                <c:pt idx="6">
                  <c:v>-0.5237366446126015</c:v>
                </c:pt>
                <c:pt idx="7">
                  <c:v>-0.80267101220820092</c:v>
                </c:pt>
                <c:pt idx="8">
                  <c:v>-0.11235997676394538</c:v>
                </c:pt>
                <c:pt idx="9">
                  <c:v>0.39038246391515968</c:v>
                </c:pt>
                <c:pt idx="10">
                  <c:v>0.25998308463074032</c:v>
                </c:pt>
                <c:pt idx="11">
                  <c:v>0.60717856973763695</c:v>
                </c:pt>
              </c:numCache>
            </c:numRef>
          </c:val>
          <c:extLst xmlns:c16r2="http://schemas.microsoft.com/office/drawing/2015/06/chart">
            <c:ext xmlns:c16="http://schemas.microsoft.com/office/drawing/2014/chart" uri="{C3380CC4-5D6E-409C-BE32-E72D297353CC}">
              <c16:uniqueId val="{00000009-468F-4269-98FF-4E3C040CBB7E}"/>
            </c:ext>
          </c:extLst>
        </c:ser>
        <c:ser>
          <c:idx val="10"/>
          <c:order val="10"/>
          <c:tx>
            <c:strRef>
              <c:f>'GRAF-přenocování-zahr.'!$L$26</c:f>
              <c:strCache>
                <c:ptCount val="1"/>
                <c:pt idx="0">
                  <c:v>Polsko a Slovensko  (v p. b.)</c:v>
                </c:pt>
              </c:strCache>
            </c:strRef>
          </c:tx>
          <c:spPr>
            <a:solidFill>
              <a:srgbClr val="F8A12E"/>
            </a:solidFill>
          </c:spP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'GRAF-přenocování-zahr.'!$L$27:$L$38</c:f>
              <c:numCache>
                <c:formatCode>#,##0.0</c:formatCode>
                <c:ptCount val="12"/>
                <c:pt idx="0">
                  <c:v>0.5072917705939276</c:v>
                </c:pt>
                <c:pt idx="1">
                  <c:v>0.53007543721990902</c:v>
                </c:pt>
                <c:pt idx="2">
                  <c:v>-0.38961802673687812</c:v>
                </c:pt>
                <c:pt idx="3">
                  <c:v>-0.70801443056399804</c:v>
                </c:pt>
                <c:pt idx="4">
                  <c:v>0.33481917088248037</c:v>
                </c:pt>
                <c:pt idx="5">
                  <c:v>0.54464929034152876</c:v>
                </c:pt>
                <c:pt idx="6">
                  <c:v>0.41766626740123852</c:v>
                </c:pt>
                <c:pt idx="7">
                  <c:v>0.24015800689961089</c:v>
                </c:pt>
                <c:pt idx="8">
                  <c:v>0.51741945412613088</c:v>
                </c:pt>
                <c:pt idx="9">
                  <c:v>1.5303495522772552</c:v>
                </c:pt>
                <c:pt idx="10">
                  <c:v>0.92489580342959454</c:v>
                </c:pt>
                <c:pt idx="11">
                  <c:v>0.49730616043275827</c:v>
                </c:pt>
              </c:numCache>
            </c:numRef>
          </c:val>
          <c:extLst xmlns:c16r2="http://schemas.microsoft.com/office/drawing/2015/06/chart">
            <c:ext xmlns:c16="http://schemas.microsoft.com/office/drawing/2014/chart" uri="{C3380CC4-5D6E-409C-BE32-E72D297353CC}">
              <c16:uniqueId val="{0000000A-468F-4269-98FF-4E3C040CBB7E}"/>
            </c:ext>
          </c:extLst>
        </c:ser>
        <c:ser>
          <c:idx val="11"/>
          <c:order val="11"/>
          <c:tx>
            <c:strRef>
              <c:f>'GRAF-přenocování-zahr.'!$M$26</c:f>
              <c:strCache>
                <c:ptCount val="1"/>
                <c:pt idx="0">
                  <c:v>Německo  (v p. b.)</c:v>
                </c:pt>
              </c:strCache>
            </c:strRef>
          </c:tx>
          <c:spPr>
            <a:solidFill>
              <a:srgbClr val="FDDEB3"/>
            </a:solidFill>
          </c:spP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'GRAF-přenocování-zahr.'!$M$27:$M$38</c:f>
              <c:numCache>
                <c:formatCode>#,##0.0</c:formatCode>
                <c:ptCount val="12"/>
                <c:pt idx="0">
                  <c:v>0.85385405027345385</c:v>
                </c:pt>
                <c:pt idx="1">
                  <c:v>-2.0929552838009577</c:v>
                </c:pt>
                <c:pt idx="2">
                  <c:v>-1.6666758854092791</c:v>
                </c:pt>
                <c:pt idx="3">
                  <c:v>-2.1979312375800895</c:v>
                </c:pt>
                <c:pt idx="4">
                  <c:v>-1.3654897226235601</c:v>
                </c:pt>
                <c:pt idx="5">
                  <c:v>-0.17067456418119895</c:v>
                </c:pt>
                <c:pt idx="6">
                  <c:v>0.11697394248673164</c:v>
                </c:pt>
                <c:pt idx="7">
                  <c:v>-0.9632244860221838</c:v>
                </c:pt>
                <c:pt idx="8">
                  <c:v>0.20796665741848491</c:v>
                </c:pt>
                <c:pt idx="9">
                  <c:v>2.7628941906761915</c:v>
                </c:pt>
                <c:pt idx="10">
                  <c:v>1.3035527213926181</c:v>
                </c:pt>
                <c:pt idx="11">
                  <c:v>0.56442293971410751</c:v>
                </c:pt>
              </c:numCache>
            </c:numRef>
          </c:val>
          <c:extLst xmlns:c16r2="http://schemas.microsoft.com/office/drawing/2015/06/chart">
            <c:ext xmlns:c16="http://schemas.microsoft.com/office/drawing/2014/chart" uri="{C3380CC4-5D6E-409C-BE32-E72D297353CC}">
              <c16:uniqueId val="{0000000B-468F-4269-98FF-4E3C040CBB7E}"/>
            </c:ext>
          </c:extLst>
        </c:ser>
        <c:ser>
          <c:idx val="12"/>
          <c:order val="12"/>
          <c:tx>
            <c:strRef>
              <c:f>'GRAF-přenocování-zahr.'!$N$26</c:f>
              <c:strCache>
                <c:ptCount val="1"/>
                <c:pt idx="0">
                  <c:v>Přenocování (přísp. v meziroč. změně)</c:v>
                </c:pt>
              </c:strCache>
            </c:strRef>
          </c:tx>
          <c:spPr>
            <a:noFill/>
            <a:ln>
              <a:noFill/>
            </a:ln>
          </c:spP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'GRAF-přenocování-zahr.'!$N$27:$N$38</c:f>
              <c:numCache>
                <c:formatCode>General</c:formatCode>
                <c:ptCount val="12"/>
              </c:numCache>
            </c:numRef>
          </c:val>
          <c:extLst xmlns:c16r2="http://schemas.microsoft.com/office/drawing/2015/06/chart">
            <c:ext xmlns:c16="http://schemas.microsoft.com/office/drawing/2014/chart" uri="{C3380CC4-5D6E-409C-BE32-E72D297353CC}">
              <c16:uniqueId val="{0000000C-468F-4269-98FF-4E3C040CBB7E}"/>
            </c:ext>
          </c:extLst>
        </c:ser>
        <c:gapWidth val="42"/>
        <c:overlap val="100"/>
        <c:axId val="164212736"/>
        <c:axId val="164214656"/>
      </c:barChart>
      <c:lineChart>
        <c:grouping val="standard"/>
        <c:ser>
          <c:idx val="13"/>
          <c:order val="13"/>
          <c:tx>
            <c:strRef>
              <c:f>'GRAF-přenocování-zahr.'!$O$26</c:f>
              <c:strCache>
                <c:ptCount val="1"/>
                <c:pt idx="0">
                  <c:v>Nerezidenti celkem (příspěvek v  p. b.)</c:v>
                </c:pt>
              </c:strCache>
            </c:strRef>
          </c:tx>
          <c:spPr>
            <a:ln>
              <a:noFill/>
            </a:ln>
          </c:spPr>
          <c:marker>
            <c:symbol val="diamond"/>
            <c:size val="7"/>
            <c:spPr>
              <a:solidFill>
                <a:srgbClr val="FFFFFF"/>
              </a:solidFill>
              <a:ln>
                <a:solidFill>
                  <a:schemeClr val="tx1">
                    <a:lumMod val="95000"/>
                    <a:lumOff val="5000"/>
                  </a:schemeClr>
                </a:solidFill>
              </a:ln>
            </c:spPr>
          </c:marke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'GRAF-přenocování-zahr.'!$O$27:$O$38</c:f>
              <c:numCache>
                <c:formatCode>#,##0.0</c:formatCode>
                <c:ptCount val="12"/>
                <c:pt idx="0">
                  <c:v>2.5277474625587502</c:v>
                </c:pt>
                <c:pt idx="1">
                  <c:v>2.5875012219798412</c:v>
                </c:pt>
                <c:pt idx="2">
                  <c:v>-3.0235729071052475</c:v>
                </c:pt>
                <c:pt idx="3">
                  <c:v>-11.207917817872017</c:v>
                </c:pt>
                <c:pt idx="4">
                  <c:v>3.4882387581871614</c:v>
                </c:pt>
                <c:pt idx="5">
                  <c:v>5.7655181080507285</c:v>
                </c:pt>
                <c:pt idx="6">
                  <c:v>5.6472849015633955</c:v>
                </c:pt>
                <c:pt idx="7">
                  <c:v>1.6101277485508101</c:v>
                </c:pt>
                <c:pt idx="8">
                  <c:v>-0.15707456923708138</c:v>
                </c:pt>
                <c:pt idx="9">
                  <c:v>5.3206559966769484</c:v>
                </c:pt>
                <c:pt idx="10">
                  <c:v>4.2154611800005712</c:v>
                </c:pt>
                <c:pt idx="11">
                  <c:v>8.195367516492496</c:v>
                </c:pt>
              </c:numCache>
            </c:numRef>
          </c:val>
          <c:extLst xmlns:c16r2="http://schemas.microsoft.com/office/drawing/2015/06/chart">
            <c:ext xmlns:c16="http://schemas.microsoft.com/office/drawing/2014/chart" uri="{C3380CC4-5D6E-409C-BE32-E72D297353CC}">
              <c16:uniqueId val="{0000000D-468F-4269-98FF-4E3C040CBB7E}"/>
            </c:ext>
          </c:extLst>
        </c:ser>
        <c:marker val="1"/>
        <c:axId val="164212736"/>
        <c:axId val="164214656"/>
      </c:lineChart>
      <c:lineChart>
        <c:grouping val="standard"/>
        <c:ser>
          <c:idx val="14"/>
          <c:order val="14"/>
          <c:tx>
            <c:strRef>
              <c:f>'GRAF-přenocování-zahr.'!$P$26</c:f>
              <c:strCache>
                <c:ptCount val="1"/>
                <c:pt idx="0">
                  <c:v>Prům. doba pobytu nerezid. (pr.osa)</c:v>
                </c:pt>
              </c:strCache>
            </c:strRef>
          </c:tx>
          <c:spPr>
            <a:ln w="22225">
              <a:solidFill>
                <a:schemeClr val="tx1">
                  <a:lumMod val="95000"/>
                  <a:lumOff val="5000"/>
                </a:schemeClr>
              </a:solidFill>
              <a:prstDash val="sysDot"/>
            </a:ln>
          </c:spPr>
          <c:marker>
            <c:symbol val="triangle"/>
            <c:size val="4"/>
            <c:spPr>
              <a:solidFill>
                <a:schemeClr val="tx1">
                  <a:lumMod val="95000"/>
                  <a:lumOff val="5000"/>
                </a:schemeClr>
              </a:solidFill>
              <a:ln>
                <a:noFill/>
              </a:ln>
            </c:spPr>
          </c:marke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'GRAF-přenocování-zahr.'!$P$27:$P$38</c:f>
              <c:numCache>
                <c:formatCode>0.0</c:formatCode>
                <c:ptCount val="12"/>
                <c:pt idx="0">
                  <c:v>4.1218132494979614</c:v>
                </c:pt>
                <c:pt idx="1">
                  <c:v>4.0854939081132935</c:v>
                </c:pt>
                <c:pt idx="2">
                  <c:v>4.0058339010528794</c:v>
                </c:pt>
                <c:pt idx="3">
                  <c:v>3.9419437136647777</c:v>
                </c:pt>
                <c:pt idx="4">
                  <c:v>3.8995829804755164</c:v>
                </c:pt>
                <c:pt idx="5">
                  <c:v>3.8927245253100229</c:v>
                </c:pt>
                <c:pt idx="6">
                  <c:v>3.8499881784386227</c:v>
                </c:pt>
                <c:pt idx="7">
                  <c:v>3.8203358055697594</c:v>
                </c:pt>
                <c:pt idx="8">
                  <c:v>3.731030887914045</c:v>
                </c:pt>
                <c:pt idx="9">
                  <c:v>3.6744857792882377</c:v>
                </c:pt>
                <c:pt idx="10">
                  <c:v>3.6034763942051873</c:v>
                </c:pt>
                <c:pt idx="11">
                  <c:v>3.5842326357407948</c:v>
                </c:pt>
              </c:numCache>
            </c:numRef>
          </c:val>
          <c:extLst xmlns:c16r2="http://schemas.microsoft.com/office/drawing/2015/06/chart">
            <c:ext xmlns:c16="http://schemas.microsoft.com/office/drawing/2014/chart" uri="{C3380CC4-5D6E-409C-BE32-E72D297353CC}">
              <c16:uniqueId val="{0000000E-468F-4269-98FF-4E3C040CBB7E}"/>
            </c:ext>
          </c:extLst>
        </c:ser>
        <c:ser>
          <c:idx val="15"/>
          <c:order val="15"/>
          <c:tx>
            <c:strRef>
              <c:f>'GRAF-přenocování-zahr.'!$Q$26</c:f>
              <c:strCache>
                <c:ptCount val="1"/>
                <c:pt idx="0">
                  <c:v>Prům. doba pobytu rezidentů (pr.osa)</c:v>
                </c:pt>
              </c:strCache>
            </c:strRef>
          </c:tx>
          <c:spPr>
            <a:ln w="19050">
              <a:solidFill>
                <a:schemeClr val="bg1">
                  <a:lumMod val="65000"/>
                </a:schemeClr>
              </a:solidFill>
              <a:prstDash val="sysDot"/>
            </a:ln>
          </c:spPr>
          <c:marker>
            <c:symbol val="triangle"/>
            <c:size val="4"/>
            <c:spPr>
              <a:solidFill>
                <a:schemeClr val="bg1">
                  <a:lumMod val="65000"/>
                </a:schemeClr>
              </a:solidFill>
              <a:ln>
                <a:noFill/>
              </a:ln>
            </c:spPr>
          </c:marker>
          <c:cat>
            <c:numRef>
              <c:f>'GRAF-přenocování-zahr.'!$A$27:$A$38</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'GRAF-přenocování-zahr.'!$Q$27:$Q$38</c:f>
              <c:numCache>
                <c:formatCode>0.0</c:formatCode>
                <c:ptCount val="12"/>
                <c:pt idx="0">
                  <c:v>4.3957567368349375</c:v>
                </c:pt>
                <c:pt idx="1">
                  <c:v>4.2192624454783925</c:v>
                </c:pt>
                <c:pt idx="2">
                  <c:v>4.1191347060911445</c:v>
                </c:pt>
                <c:pt idx="3">
                  <c:v>4.1771521107025587</c:v>
                </c:pt>
                <c:pt idx="4">
                  <c:v>4.1546846295995215</c:v>
                </c:pt>
                <c:pt idx="5">
                  <c:v>4.0419354603959246</c:v>
                </c:pt>
                <c:pt idx="6">
                  <c:v>3.8831355973940802</c:v>
                </c:pt>
                <c:pt idx="7">
                  <c:v>3.8009431422670201</c:v>
                </c:pt>
                <c:pt idx="8">
                  <c:v>3.7815092419883887</c:v>
                </c:pt>
                <c:pt idx="9">
                  <c:v>3.8046188098277733</c:v>
                </c:pt>
                <c:pt idx="10">
                  <c:v>3.8044170922842047</c:v>
                </c:pt>
                <c:pt idx="11">
                  <c:v>3.7400535746969092</c:v>
                </c:pt>
              </c:numCache>
            </c:numRef>
          </c:val>
          <c:extLst xmlns:c16r2="http://schemas.microsoft.com/office/drawing/2015/06/chart">
            <c:ext xmlns:c16="http://schemas.microsoft.com/office/drawing/2014/chart" uri="{C3380CC4-5D6E-409C-BE32-E72D297353CC}">
              <c16:uniqueId val="{0000000F-468F-4269-98FF-4E3C040CBB7E}"/>
            </c:ext>
          </c:extLst>
        </c:ser>
        <c:marker val="1"/>
        <c:axId val="164230272"/>
        <c:axId val="164216192"/>
      </c:lineChart>
      <c:catAx>
        <c:axId val="164212736"/>
        <c:scaling>
          <c:orientation val="minMax"/>
        </c:scaling>
        <c:axPos val="b"/>
        <c:numFmt formatCode="General" sourceLinked="1"/>
        <c:tickLblPos val="low"/>
        <c:txPr>
          <a:bodyPr/>
          <a:lstStyle/>
          <a:p>
            <a:pPr>
              <a:defRPr sz="800">
                <a:latin typeface="Arial" pitchFamily="34" charset="0"/>
                <a:cs typeface="Arial" pitchFamily="34" charset="0"/>
              </a:defRPr>
            </a:pPr>
            <a:endParaRPr lang="cs-CZ"/>
          </a:p>
        </c:txPr>
        <c:crossAx val="164214656"/>
        <c:crosses val="autoZero"/>
        <c:auto val="1"/>
        <c:lblAlgn val="ctr"/>
        <c:lblOffset val="0"/>
      </c:catAx>
      <c:valAx>
        <c:axId val="164214656"/>
        <c:scaling>
          <c:orientation val="minMax"/>
          <c:max val="15"/>
          <c:min val="-12"/>
        </c:scaling>
        <c:axPos val="l"/>
        <c:majorGridlines>
          <c:spPr>
            <a:ln w="6350">
              <a:solidFill>
                <a:srgbClr val="BFBFBF"/>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64212736"/>
        <c:crosses val="autoZero"/>
        <c:crossBetween val="between"/>
        <c:majorUnit val="3"/>
      </c:valAx>
      <c:valAx>
        <c:axId val="164216192"/>
        <c:scaling>
          <c:orientation val="minMax"/>
          <c:max val="4.5"/>
          <c:min val="0"/>
        </c:scaling>
        <c:axPos val="r"/>
        <c:numFmt formatCode="0.0" sourceLinked="1"/>
        <c:tickLblPos val="nextTo"/>
        <c:txPr>
          <a:bodyPr/>
          <a:lstStyle/>
          <a:p>
            <a:pPr>
              <a:defRPr sz="800">
                <a:latin typeface="Arial" pitchFamily="34" charset="0"/>
                <a:cs typeface="Arial" pitchFamily="34" charset="0"/>
              </a:defRPr>
            </a:pPr>
            <a:endParaRPr lang="cs-CZ"/>
          </a:p>
        </c:txPr>
        <c:crossAx val="164230272"/>
        <c:crosses val="max"/>
        <c:crossBetween val="between"/>
      </c:valAx>
      <c:catAx>
        <c:axId val="164230272"/>
        <c:scaling>
          <c:orientation val="minMax"/>
        </c:scaling>
        <c:delete val="1"/>
        <c:axPos val="b"/>
        <c:numFmt formatCode="General" sourceLinked="1"/>
        <c:tickLblPos val="none"/>
        <c:crossAx val="164216192"/>
        <c:crosses val="autoZero"/>
        <c:auto val="1"/>
        <c:lblAlgn val="ctr"/>
        <c:lblOffset val="100"/>
      </c:catAx>
      <c:spPr>
        <a:ln w="6350">
          <a:solidFill>
            <a:sysClr val="windowText" lastClr="000000">
              <a:lumMod val="95000"/>
              <a:lumOff val="5000"/>
            </a:sysClr>
          </a:solidFill>
        </a:ln>
      </c:spPr>
    </c:plotArea>
    <c:legend>
      <c:legendPos val="r"/>
      <c:layout>
        <c:manualLayout>
          <c:xMode val="edge"/>
          <c:yMode val="edge"/>
          <c:x val="3.1086066324294691E-2"/>
          <c:y val="0.74733929423707646"/>
          <c:w val="0.92692186416624811"/>
          <c:h val="0.2420478746797132"/>
        </c:manualLayout>
      </c:layout>
      <c:spPr>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54.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493E-2"/>
          <c:y val="1.643251153889452E-2"/>
          <c:w val="0.92433548575002356"/>
          <c:h val="0.70436901947540265"/>
        </c:manualLayout>
      </c:layout>
      <c:barChart>
        <c:barDir val="col"/>
        <c:grouping val="clustered"/>
        <c:ser>
          <c:idx val="0"/>
          <c:order val="0"/>
          <c:tx>
            <c:strRef>
              <c:f>'Platební bilance-graf'!$N$99</c:f>
              <c:strCache>
                <c:ptCount val="1"/>
                <c:pt idx="0">
                  <c:v>Bilance příjmů a výdajů z cestovního ruchu k HDP (rok 2017, v %)</c:v>
                </c:pt>
              </c:strCache>
            </c:strRef>
          </c:tx>
          <c:spPr>
            <a:solidFill>
              <a:srgbClr val="A6A6A6"/>
            </a:solidFill>
            <a:ln w="12700">
              <a:noFill/>
              <a:prstDash val="solid"/>
            </a:ln>
          </c:spPr>
          <c:cat>
            <c:strRef>
              <c:f>'Platební bilance-graf'!$M$100:$M$137</c:f>
              <c:strCache>
                <c:ptCount val="38"/>
                <c:pt idx="0">
                  <c:v>Chorvatsko</c:v>
                </c:pt>
                <c:pt idx="1">
                  <c:v>Malta</c:v>
                </c:pt>
                <c:pt idx="2">
                  <c:v>Kypr</c:v>
                </c:pt>
                <c:pt idx="3">
                  <c:v>Řecko</c:v>
                </c:pt>
                <c:pt idx="4">
                  <c:v>Portugalsko</c:v>
                </c:pt>
                <c:pt idx="5">
                  <c:v>Bulharsko</c:v>
                </c:pt>
                <c:pt idx="6">
                  <c:v>Slovinsko</c:v>
                </c:pt>
                <c:pt idx="7">
                  <c:v>Španělsko</c:v>
                </c:pt>
                <c:pt idx="8">
                  <c:v>Maďarsko</c:v>
                </c:pt>
                <c:pt idx="9">
                  <c:v>Lucembursko</c:v>
                </c:pt>
                <c:pt idx="10">
                  <c:v>Rakousko</c:v>
                </c:pt>
                <c:pt idx="11">
                  <c:v>Estonsko</c:v>
                </c:pt>
                <c:pt idx="12">
                  <c:v>Itálie</c:v>
                </c:pt>
                <c:pt idx="13">
                  <c:v>Francie</c:v>
                </c:pt>
                <c:pt idx="14">
                  <c:v>Polsko</c:v>
                </c:pt>
                <c:pt idx="15">
                  <c:v>ČR</c:v>
                </c:pt>
                <c:pt idx="16">
                  <c:v>Slovensko</c:v>
                </c:pt>
                <c:pt idx="17">
                  <c:v>Lotyšsko</c:v>
                </c:pt>
                <c:pt idx="18">
                  <c:v>Litva</c:v>
                </c:pt>
                <c:pt idx="19">
                  <c:v>Irsko</c:v>
                </c:pt>
                <c:pt idx="20">
                  <c:v>Rumunsko</c:v>
                </c:pt>
                <c:pt idx="21">
                  <c:v>Švédsko</c:v>
                </c:pt>
                <c:pt idx="22">
                  <c:v>Nizozemsko</c:v>
                </c:pt>
                <c:pt idx="23">
                  <c:v>Dánsko</c:v>
                </c:pt>
                <c:pt idx="24">
                  <c:v>V. Británie</c:v>
                </c:pt>
                <c:pt idx="25">
                  <c:v>Finsko</c:v>
                </c:pt>
                <c:pt idx="26">
                  <c:v>Německo</c:v>
                </c:pt>
                <c:pt idx="27">
                  <c:v>Belgie</c:v>
                </c:pt>
                <c:pt idx="29">
                  <c:v>Černá Hora</c:v>
                </c:pt>
                <c:pt idx="30">
                  <c:v>Kosovo</c:v>
                </c:pt>
                <c:pt idx="31">
                  <c:v>Island</c:v>
                </c:pt>
                <c:pt idx="32">
                  <c:v>Albánie</c:v>
                </c:pt>
                <c:pt idx="33">
                  <c:v>Bosna a Herz.</c:v>
                </c:pt>
                <c:pt idx="34">
                  <c:v>Turecko</c:v>
                </c:pt>
                <c:pt idx="35">
                  <c:v>Makedonie</c:v>
                </c:pt>
                <c:pt idx="36">
                  <c:v>Švýcarsko</c:v>
                </c:pt>
                <c:pt idx="37">
                  <c:v>Srbsko</c:v>
                </c:pt>
              </c:strCache>
            </c:strRef>
          </c:cat>
          <c:val>
            <c:numRef>
              <c:f>'Platební bilance-graf'!$N$100:$N$137</c:f>
              <c:numCache>
                <c:formatCode>#,##0.0</c:formatCode>
                <c:ptCount val="38"/>
                <c:pt idx="0">
                  <c:v>16.995478622970229</c:v>
                </c:pt>
                <c:pt idx="1">
                  <c:v>9.9847204745640852</c:v>
                </c:pt>
                <c:pt idx="2">
                  <c:v>8.4626674577648231</c:v>
                </c:pt>
                <c:pt idx="3">
                  <c:v>7.1595231785694775</c:v>
                </c:pt>
                <c:pt idx="4">
                  <c:v>5.6253625590453256</c:v>
                </c:pt>
                <c:pt idx="5">
                  <c:v>4.1542650123636484</c:v>
                </c:pt>
                <c:pt idx="6">
                  <c:v>3.5861093717145622</c:v>
                </c:pt>
                <c:pt idx="7">
                  <c:v>3.4742906445342379</c:v>
                </c:pt>
                <c:pt idx="8">
                  <c:v>2.6759874520829494</c:v>
                </c:pt>
                <c:pt idx="9">
                  <c:v>2.4684982068626802</c:v>
                </c:pt>
                <c:pt idx="10">
                  <c:v>2.3744481463858587</c:v>
                </c:pt>
                <c:pt idx="11">
                  <c:v>1.4763741017202641</c:v>
                </c:pt>
                <c:pt idx="12">
                  <c:v>0.86106943962400684</c:v>
                </c:pt>
                <c:pt idx="13">
                  <c:v>0.74372574131488334</c:v>
                </c:pt>
                <c:pt idx="14">
                  <c:v>0.74307637226326462</c:v>
                </c:pt>
                <c:pt idx="15">
                  <c:v>0.69812171393864064</c:v>
                </c:pt>
                <c:pt idx="16">
                  <c:v>0.54433007158893554</c:v>
                </c:pt>
                <c:pt idx="17">
                  <c:v>0.53245757095089996</c:v>
                </c:pt>
                <c:pt idx="18">
                  <c:v>0.40280000955634682</c:v>
                </c:pt>
                <c:pt idx="19">
                  <c:v>-0.34365619448525131</c:v>
                </c:pt>
                <c:pt idx="20">
                  <c:v>-0.44663214144521729</c:v>
                </c:pt>
                <c:pt idx="21">
                  <c:v>-0.53554483506953565</c:v>
                </c:pt>
                <c:pt idx="22">
                  <c:v>-0.66690007722314026</c:v>
                </c:pt>
                <c:pt idx="23">
                  <c:v>-0.68097926195122238</c:v>
                </c:pt>
                <c:pt idx="24">
                  <c:v>-0.76854707240733244</c:v>
                </c:pt>
                <c:pt idx="25">
                  <c:v>-1.028846110890222</c:v>
                </c:pt>
                <c:pt idx="26">
                  <c:v>-1.1899428501386611</c:v>
                </c:pt>
                <c:pt idx="27">
                  <c:v>-1.7268822501893184</c:v>
                </c:pt>
                <c:pt idx="29">
                  <c:v>19.624702847605079</c:v>
                </c:pt>
                <c:pt idx="30">
                  <c:v>10.32602428296075</c:v>
                </c:pt>
                <c:pt idx="31">
                  <c:v>5.6981885271814638</c:v>
                </c:pt>
                <c:pt idx="32">
                  <c:v>3.8494764850201881</c:v>
                </c:pt>
                <c:pt idx="33">
                  <c:v>3.4020369050033037</c:v>
                </c:pt>
                <c:pt idx="34">
                  <c:v>1.6163544639500846</c:v>
                </c:pt>
                <c:pt idx="35">
                  <c:v>1.0292481322524238</c:v>
                </c:pt>
                <c:pt idx="36">
                  <c:v>-1.9955880873369315E-3</c:v>
                </c:pt>
                <c:pt idx="37">
                  <c:v>-9.7838316746114998E-2</c:v>
                </c:pt>
              </c:numCache>
            </c:numRef>
          </c:val>
          <c:extLst xmlns:c16r2="http://schemas.microsoft.com/office/drawing/2015/06/chart">
            <c:ext xmlns:c16="http://schemas.microsoft.com/office/drawing/2014/chart" uri="{C3380CC4-5D6E-409C-BE32-E72D297353CC}">
              <c16:uniqueId val="{00000000-8D8E-4243-8414-77DCB2943247}"/>
            </c:ext>
          </c:extLst>
        </c:ser>
        <c:gapWidth val="30"/>
        <c:axId val="164256384"/>
        <c:axId val="164258560"/>
      </c:barChart>
      <c:lineChart>
        <c:grouping val="standard"/>
        <c:ser>
          <c:idx val="3"/>
          <c:order val="1"/>
          <c:tx>
            <c:strRef>
              <c:f>'Platební bilance-graf'!$O$99</c:f>
              <c:strCache>
                <c:ptCount val="1"/>
                <c:pt idx="0">
                  <c:v>Příjmy z cestovního ruchu k HDP (2017-2013, v p. b., pravá osa)</c:v>
                </c:pt>
              </c:strCache>
            </c:strRef>
          </c:tx>
          <c:spPr>
            <a:ln w="19050">
              <a:noFill/>
              <a:prstDash val="solid"/>
            </a:ln>
          </c:spPr>
          <c:marker>
            <c:symbol val="diamond"/>
            <c:size val="5"/>
            <c:spPr>
              <a:solidFill>
                <a:srgbClr val="0071BC"/>
              </a:solidFill>
              <a:ln>
                <a:noFill/>
              </a:ln>
            </c:spPr>
          </c:marker>
          <c:cat>
            <c:strRef>
              <c:f>'Platební bilance-graf'!$M$100:$M$137</c:f>
              <c:strCache>
                <c:ptCount val="38"/>
                <c:pt idx="0">
                  <c:v>Chorvatsko</c:v>
                </c:pt>
                <c:pt idx="1">
                  <c:v>Malta</c:v>
                </c:pt>
                <c:pt idx="2">
                  <c:v>Kypr</c:v>
                </c:pt>
                <c:pt idx="3">
                  <c:v>Řecko</c:v>
                </c:pt>
                <c:pt idx="4">
                  <c:v>Portugalsko</c:v>
                </c:pt>
                <c:pt idx="5">
                  <c:v>Bulharsko</c:v>
                </c:pt>
                <c:pt idx="6">
                  <c:v>Slovinsko</c:v>
                </c:pt>
                <c:pt idx="7">
                  <c:v>Španělsko</c:v>
                </c:pt>
                <c:pt idx="8">
                  <c:v>Maďarsko</c:v>
                </c:pt>
                <c:pt idx="9">
                  <c:v>Lucembursko</c:v>
                </c:pt>
                <c:pt idx="10">
                  <c:v>Rakousko</c:v>
                </c:pt>
                <c:pt idx="11">
                  <c:v>Estonsko</c:v>
                </c:pt>
                <c:pt idx="12">
                  <c:v>Itálie</c:v>
                </c:pt>
                <c:pt idx="13">
                  <c:v>Francie</c:v>
                </c:pt>
                <c:pt idx="14">
                  <c:v>Polsko</c:v>
                </c:pt>
                <c:pt idx="15">
                  <c:v>ČR</c:v>
                </c:pt>
                <c:pt idx="16">
                  <c:v>Slovensko</c:v>
                </c:pt>
                <c:pt idx="17">
                  <c:v>Lotyšsko</c:v>
                </c:pt>
                <c:pt idx="18">
                  <c:v>Litva</c:v>
                </c:pt>
                <c:pt idx="19">
                  <c:v>Irsko</c:v>
                </c:pt>
                <c:pt idx="20">
                  <c:v>Rumunsko</c:v>
                </c:pt>
                <c:pt idx="21">
                  <c:v>Švédsko</c:v>
                </c:pt>
                <c:pt idx="22">
                  <c:v>Nizozemsko</c:v>
                </c:pt>
                <c:pt idx="23">
                  <c:v>Dánsko</c:v>
                </c:pt>
                <c:pt idx="24">
                  <c:v>V. Británie</c:v>
                </c:pt>
                <c:pt idx="25">
                  <c:v>Finsko</c:v>
                </c:pt>
                <c:pt idx="26">
                  <c:v>Německo</c:v>
                </c:pt>
                <c:pt idx="27">
                  <c:v>Belgie</c:v>
                </c:pt>
                <c:pt idx="29">
                  <c:v>Černá Hora</c:v>
                </c:pt>
                <c:pt idx="30">
                  <c:v>Kosovo</c:v>
                </c:pt>
                <c:pt idx="31">
                  <c:v>Island</c:v>
                </c:pt>
                <c:pt idx="32">
                  <c:v>Albánie</c:v>
                </c:pt>
                <c:pt idx="33">
                  <c:v>Bosna a Herz.</c:v>
                </c:pt>
                <c:pt idx="34">
                  <c:v>Turecko</c:v>
                </c:pt>
                <c:pt idx="35">
                  <c:v>Makedonie</c:v>
                </c:pt>
                <c:pt idx="36">
                  <c:v>Švýcarsko</c:v>
                </c:pt>
                <c:pt idx="37">
                  <c:v>Srbsko</c:v>
                </c:pt>
              </c:strCache>
            </c:strRef>
          </c:cat>
          <c:val>
            <c:numRef>
              <c:f>'Platební bilance-graf'!$O$100:$O$137</c:f>
              <c:numCache>
                <c:formatCode>#,##0.0</c:formatCode>
                <c:ptCount val="38"/>
                <c:pt idx="0">
                  <c:v>3.0481933151649652</c:v>
                </c:pt>
                <c:pt idx="1">
                  <c:v>-0.12429409527827294</c:v>
                </c:pt>
                <c:pt idx="2">
                  <c:v>2.3997199141090424</c:v>
                </c:pt>
                <c:pt idx="3">
                  <c:v>1.5045713644502401</c:v>
                </c:pt>
                <c:pt idx="4">
                  <c:v>2.4163147503371611</c:v>
                </c:pt>
                <c:pt idx="5">
                  <c:v>0.23640326192114641</c:v>
                </c:pt>
                <c:pt idx="6">
                  <c:v>-1.3263853731479541E-2</c:v>
                </c:pt>
                <c:pt idx="7">
                  <c:v>0.57171505322620064</c:v>
                </c:pt>
                <c:pt idx="8">
                  <c:v>0.47020687419726342</c:v>
                </c:pt>
                <c:pt idx="9">
                  <c:v>-0.94504590843391789</c:v>
                </c:pt>
                <c:pt idx="10">
                  <c:v>0.18060568060805782</c:v>
                </c:pt>
                <c:pt idx="11">
                  <c:v>-0.21443815812051831</c:v>
                </c:pt>
                <c:pt idx="12">
                  <c:v>0.21815386839807788</c:v>
                </c:pt>
                <c:pt idx="13">
                  <c:v>0.33221126233710185</c:v>
                </c:pt>
                <c:pt idx="14">
                  <c:v>0.25440613808506735</c:v>
                </c:pt>
                <c:pt idx="15">
                  <c:v>-0.14838677732460415</c:v>
                </c:pt>
                <c:pt idx="16">
                  <c:v>0.44758592233204375</c:v>
                </c:pt>
                <c:pt idx="17">
                  <c:v>6.0112414140677452E-2</c:v>
                </c:pt>
                <c:pt idx="18">
                  <c:v>-0.21368262840254937</c:v>
                </c:pt>
                <c:pt idx="19">
                  <c:v>-0.15840854409163069</c:v>
                </c:pt>
                <c:pt idx="20">
                  <c:v>0.35711601622965805</c:v>
                </c:pt>
                <c:pt idx="21">
                  <c:v>0.75107771743300544</c:v>
                </c:pt>
                <c:pt idx="23">
                  <c:v>0.19007788540837733</c:v>
                </c:pt>
                <c:pt idx="24">
                  <c:v>0.32460891643187417</c:v>
                </c:pt>
                <c:pt idx="25">
                  <c:v>-0.32017408071967746</c:v>
                </c:pt>
                <c:pt idx="26">
                  <c:v>-1.9520688480844105E-2</c:v>
                </c:pt>
                <c:pt idx="27">
                  <c:v>-9.7403892406460205E-2</c:v>
                </c:pt>
                <c:pt idx="29">
                  <c:v>1.3353853293068243</c:v>
                </c:pt>
                <c:pt idx="31">
                  <c:v>5.7361308661420845</c:v>
                </c:pt>
                <c:pt idx="32">
                  <c:v>3.2469290212270856</c:v>
                </c:pt>
                <c:pt idx="34">
                  <c:v>-0.7810249239674194</c:v>
                </c:pt>
                <c:pt idx="35">
                  <c:v>0.38439044345387874</c:v>
                </c:pt>
                <c:pt idx="36">
                  <c:v>-1.6723556993594201E-3</c:v>
                </c:pt>
                <c:pt idx="37">
                  <c:v>0.89538446845466058</c:v>
                </c:pt>
              </c:numCache>
            </c:numRef>
          </c:val>
          <c:extLst xmlns:c16r2="http://schemas.microsoft.com/office/drawing/2015/06/chart">
            <c:ext xmlns:c16="http://schemas.microsoft.com/office/drawing/2014/chart" uri="{C3380CC4-5D6E-409C-BE32-E72D297353CC}">
              <c16:uniqueId val="{00000001-8D8E-4243-8414-77DCB2943247}"/>
            </c:ext>
          </c:extLst>
        </c:ser>
        <c:marker val="1"/>
        <c:axId val="164278272"/>
        <c:axId val="164260096"/>
      </c:lineChart>
      <c:catAx>
        <c:axId val="164256384"/>
        <c:scaling>
          <c:orientation val="minMax"/>
        </c:scaling>
        <c:axPos val="b"/>
        <c:numFmt formatCode="General" sourceLinked="1"/>
        <c:majorTickMark val="none"/>
        <c:tickLblPos val="low"/>
        <c:spPr>
          <a:ln w="9525">
            <a:solidFill>
              <a:schemeClr val="tx1"/>
            </a:solidFill>
            <a:prstDash val="solid"/>
          </a:ln>
        </c:spPr>
        <c:txPr>
          <a:bodyPr rot="-5400000" vert="horz"/>
          <a:lstStyle/>
          <a:p>
            <a:pPr>
              <a:defRPr/>
            </a:pPr>
            <a:endParaRPr lang="cs-CZ"/>
          </a:p>
        </c:txPr>
        <c:crossAx val="164258560"/>
        <c:crossesAt val="0"/>
        <c:lblAlgn val="ctr"/>
        <c:lblOffset val="0"/>
        <c:tickLblSkip val="1"/>
        <c:tickMarkSkip val="4"/>
      </c:catAx>
      <c:valAx>
        <c:axId val="164258560"/>
        <c:scaling>
          <c:orientation val="minMax"/>
          <c:max val="21"/>
          <c:min val="-3"/>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64256384"/>
        <c:crosses val="autoZero"/>
        <c:crossBetween val="between"/>
        <c:majorUnit val="3"/>
      </c:valAx>
      <c:valAx>
        <c:axId val="164260096"/>
        <c:scaling>
          <c:orientation val="minMax"/>
          <c:max val="7"/>
          <c:min val="-1"/>
        </c:scaling>
        <c:axPos val="r"/>
        <c:numFmt formatCode="#,##0" sourceLinked="0"/>
        <c:tickLblPos val="nextTo"/>
        <c:crossAx val="164278272"/>
        <c:crosses val="max"/>
        <c:crossBetween val="between"/>
      </c:valAx>
      <c:catAx>
        <c:axId val="164278272"/>
        <c:scaling>
          <c:orientation val="minMax"/>
        </c:scaling>
        <c:delete val="1"/>
        <c:axPos val="b"/>
        <c:numFmt formatCode="General" sourceLinked="1"/>
        <c:tickLblPos val="none"/>
        <c:crossAx val="164260096"/>
        <c:crosses val="autoZero"/>
        <c:auto val="1"/>
        <c:lblAlgn val="ctr"/>
        <c:lblOffset val="100"/>
      </c:catAx>
      <c:spPr>
        <a:noFill/>
        <a:ln w="9525">
          <a:solidFill>
            <a:schemeClr val="tx1"/>
          </a:solidFill>
        </a:ln>
      </c:spPr>
    </c:plotArea>
    <c:legend>
      <c:legendPos val="b"/>
      <c:layout>
        <c:manualLayout>
          <c:xMode val="edge"/>
          <c:yMode val="edge"/>
          <c:x val="6.0825127544755463E-2"/>
          <c:y val="0.9078813463919847"/>
          <c:w val="0.89188411739456364"/>
          <c:h val="8.2890915231340734E-2"/>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55.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534E-2"/>
          <c:y val="1.9513175616352848E-2"/>
          <c:w val="0.92433548575002533"/>
          <c:h val="0.76155690645052365"/>
        </c:manualLayout>
      </c:layout>
      <c:barChart>
        <c:barDir val="col"/>
        <c:grouping val="clustered"/>
        <c:ser>
          <c:idx val="0"/>
          <c:order val="0"/>
          <c:tx>
            <c:strRef>
              <c:f>'Graf-Národní účty-souhrnné'!$A$29</c:f>
              <c:strCache>
                <c:ptCount val="1"/>
                <c:pt idx="0">
                  <c:v>Hrubá přidaná hodnota (2010=100)</c:v>
                </c:pt>
              </c:strCache>
            </c:strRef>
          </c:tx>
          <c:spPr>
            <a:solidFill>
              <a:schemeClr val="bg1">
                <a:lumMod val="65000"/>
              </a:schemeClr>
            </a:solidFill>
            <a:ln w="12700">
              <a:noFill/>
              <a:prstDash val="solid"/>
            </a:ln>
          </c:spP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účty-souhrnné'!$G$29:$S$29</c:f>
              <c:numCache>
                <c:formatCode>0.0</c:formatCode>
                <c:ptCount val="13"/>
                <c:pt idx="0">
                  <c:v>78.951977416494145</c:v>
                </c:pt>
                <c:pt idx="1">
                  <c:v>87.370751314922629</c:v>
                </c:pt>
                <c:pt idx="2">
                  <c:v>98.058210181070535</c:v>
                </c:pt>
                <c:pt idx="3">
                  <c:v>101.28691168391858</c:v>
                </c:pt>
                <c:pt idx="4">
                  <c:v>100.2996992129496</c:v>
                </c:pt>
                <c:pt idx="5">
                  <c:v>100</c:v>
                </c:pt>
                <c:pt idx="6">
                  <c:v>101.85585066167712</c:v>
                </c:pt>
                <c:pt idx="7">
                  <c:v>99.451729933478745</c:v>
                </c:pt>
                <c:pt idx="8">
                  <c:v>102.77017802459545</c:v>
                </c:pt>
                <c:pt idx="9">
                  <c:v>111.50279302261065</c:v>
                </c:pt>
                <c:pt idx="10">
                  <c:v>122.30828225030051</c:v>
                </c:pt>
                <c:pt idx="11">
                  <c:v>126.73523668622961</c:v>
                </c:pt>
                <c:pt idx="12">
                  <c:v>133.93563265905539</c:v>
                </c:pt>
              </c:numCache>
            </c:numRef>
          </c:val>
          <c:extLst xmlns:c16r2="http://schemas.microsoft.com/office/drawing/2015/06/chart">
            <c:ext xmlns:c16="http://schemas.microsoft.com/office/drawing/2014/chart" uri="{C3380CC4-5D6E-409C-BE32-E72D297353CC}">
              <c16:uniqueId val="{00000000-5B15-4557-A6F7-68197F74EFBA}"/>
            </c:ext>
          </c:extLst>
        </c:ser>
        <c:gapWidth val="30"/>
        <c:axId val="164305920"/>
        <c:axId val="164324096"/>
      </c:barChart>
      <c:lineChart>
        <c:grouping val="standard"/>
        <c:ser>
          <c:idx val="3"/>
          <c:order val="1"/>
          <c:tx>
            <c:strRef>
              <c:f>'Graf-Národní účty-souhrnné'!$A$30</c:f>
              <c:strCache>
                <c:ptCount val="1"/>
                <c:pt idx="0">
                  <c:v>Objem reálných vyplacených mezd a platů (2010=100)*</c:v>
                </c:pt>
              </c:strCache>
            </c:strRef>
          </c:tx>
          <c:spPr>
            <a:ln w="19050">
              <a:solidFill>
                <a:srgbClr val="F8A124"/>
              </a:solidFill>
              <a:prstDash val="solid"/>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účty-souhrnné'!$G$30:$S$30</c:f>
              <c:numCache>
                <c:formatCode>0.0</c:formatCode>
                <c:ptCount val="13"/>
                <c:pt idx="0">
                  <c:v>75.44833374383289</c:v>
                </c:pt>
                <c:pt idx="1">
                  <c:v>82.604096269533272</c:v>
                </c:pt>
                <c:pt idx="2">
                  <c:v>91.478257253495926</c:v>
                </c:pt>
                <c:pt idx="3">
                  <c:v>98.96293571620788</c:v>
                </c:pt>
                <c:pt idx="4">
                  <c:v>101.49828777051573</c:v>
                </c:pt>
                <c:pt idx="5">
                  <c:v>100</c:v>
                </c:pt>
                <c:pt idx="6">
                  <c:v>98.827215622748696</c:v>
                </c:pt>
                <c:pt idx="7">
                  <c:v>100.72305812406022</c:v>
                </c:pt>
                <c:pt idx="8">
                  <c:v>102.66100305117079</c:v>
                </c:pt>
                <c:pt idx="9">
                  <c:v>107.97530595598327</c:v>
                </c:pt>
                <c:pt idx="10">
                  <c:v>113.62504157118593</c:v>
                </c:pt>
                <c:pt idx="11">
                  <c:v>122.25328922461314</c:v>
                </c:pt>
                <c:pt idx="12">
                  <c:v>129.6120837086095</c:v>
                </c:pt>
              </c:numCache>
            </c:numRef>
          </c:val>
          <c:extLst xmlns:c16r2="http://schemas.microsoft.com/office/drawing/2015/06/chart">
            <c:ext xmlns:c16="http://schemas.microsoft.com/office/drawing/2014/chart" uri="{C3380CC4-5D6E-409C-BE32-E72D297353CC}">
              <c16:uniqueId val="{00000001-5B15-4557-A6F7-68197F74EFBA}"/>
            </c:ext>
          </c:extLst>
        </c:ser>
        <c:ser>
          <c:idx val="1"/>
          <c:order val="2"/>
          <c:tx>
            <c:strRef>
              <c:f>'Graf-Národní účty-souhrnné'!$A$31</c:f>
              <c:strCache>
                <c:ptCount val="1"/>
                <c:pt idx="0">
                  <c:v>Reálná hodinová produktivita práce (2010=100)</c:v>
                </c:pt>
              </c:strCache>
            </c:strRef>
          </c:tx>
          <c:spPr>
            <a:ln w="19050">
              <a:solidFill>
                <a:srgbClr val="7DBB2D"/>
              </a:solidFill>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účty-souhrnné'!$G$31:$S$31</c:f>
              <c:numCache>
                <c:formatCode>0.0</c:formatCode>
                <c:ptCount val="13"/>
                <c:pt idx="0">
                  <c:v>97.035228217348532</c:v>
                </c:pt>
                <c:pt idx="1">
                  <c:v>101.71280988718688</c:v>
                </c:pt>
                <c:pt idx="2">
                  <c:v>108.58363901924852</c:v>
                </c:pt>
                <c:pt idx="3">
                  <c:v>103.31910367730075</c:v>
                </c:pt>
                <c:pt idx="4">
                  <c:v>97.090102272864058</c:v>
                </c:pt>
                <c:pt idx="5">
                  <c:v>100</c:v>
                </c:pt>
                <c:pt idx="6">
                  <c:v>106.71121901940155</c:v>
                </c:pt>
                <c:pt idx="7">
                  <c:v>103.25616869993932</c:v>
                </c:pt>
                <c:pt idx="8">
                  <c:v>104.75716169721694</c:v>
                </c:pt>
                <c:pt idx="9">
                  <c:v>109.83814959573451</c:v>
                </c:pt>
                <c:pt idx="10">
                  <c:v>121.79457439052098</c:v>
                </c:pt>
                <c:pt idx="11">
                  <c:v>117.93363862806349</c:v>
                </c:pt>
                <c:pt idx="12">
                  <c:v>121.35240176765184</c:v>
                </c:pt>
              </c:numCache>
            </c:numRef>
          </c:val>
          <c:extLst xmlns:c16r2="http://schemas.microsoft.com/office/drawing/2015/06/chart">
            <c:ext xmlns:c16="http://schemas.microsoft.com/office/drawing/2014/chart" uri="{C3380CC4-5D6E-409C-BE32-E72D297353CC}">
              <c16:uniqueId val="{00000002-5B15-4557-A6F7-68197F74EFBA}"/>
            </c:ext>
          </c:extLst>
        </c:ser>
        <c:ser>
          <c:idx val="7"/>
          <c:order val="3"/>
          <c:tx>
            <c:strRef>
              <c:f>'Graf-Národní účty-souhrnné'!$A$32</c:f>
              <c:strCache>
                <c:ptCount val="1"/>
                <c:pt idx="0">
                  <c:v>Zaměstnanost (úvazky na plnou pracovní dobu, 2010=100)</c:v>
                </c:pt>
              </c:strCache>
            </c:strRef>
          </c:tx>
          <c:spPr>
            <a:ln w="19050">
              <a:noFill/>
            </a:ln>
          </c:spPr>
          <c:marker>
            <c:symbol val="circle"/>
            <c:size val="5"/>
            <c:spPr>
              <a:solidFill>
                <a:srgbClr val="FFFF00"/>
              </a:solidFill>
              <a:ln w="6350">
                <a:solidFill>
                  <a:sysClr val="windowText" lastClr="000000">
                    <a:lumMod val="65000"/>
                    <a:lumOff val="35000"/>
                  </a:sysClr>
                </a:solidFill>
              </a:ln>
            </c:spPr>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účty-souhrnné'!$G$32:$S$32</c:f>
              <c:numCache>
                <c:formatCode>0.0</c:formatCode>
                <c:ptCount val="13"/>
                <c:pt idx="0">
                  <c:v>81.218546132338858</c:v>
                </c:pt>
                <c:pt idx="1">
                  <c:v>85.745573159366273</c:v>
                </c:pt>
                <c:pt idx="2">
                  <c:v>90.806150978564759</c:v>
                </c:pt>
                <c:pt idx="3">
                  <c:v>98.607486797141959</c:v>
                </c:pt>
                <c:pt idx="4">
                  <c:v>102.77260018639328</c:v>
                </c:pt>
                <c:pt idx="5">
                  <c:v>100</c:v>
                </c:pt>
                <c:pt idx="6">
                  <c:v>95.939732836283625</c:v>
                </c:pt>
                <c:pt idx="7">
                  <c:v>97.323703013357786</c:v>
                </c:pt>
                <c:pt idx="8">
                  <c:v>98.779123951537827</c:v>
                </c:pt>
                <c:pt idx="9">
                  <c:v>102.03013358185792</c:v>
                </c:pt>
                <c:pt idx="10">
                  <c:v>104.20782851817334</c:v>
                </c:pt>
                <c:pt idx="11">
                  <c:v>109.54255980118049</c:v>
                </c:pt>
                <c:pt idx="12">
                  <c:v>111.9850885368123</c:v>
                </c:pt>
              </c:numCache>
            </c:numRef>
          </c:val>
          <c:extLst xmlns:c16r2="http://schemas.microsoft.com/office/drawing/2015/06/chart">
            <c:ext xmlns:c16="http://schemas.microsoft.com/office/drawing/2014/chart" uri="{C3380CC4-5D6E-409C-BE32-E72D297353CC}">
              <c16:uniqueId val="{00000003-5B15-4557-A6F7-68197F74EFBA}"/>
            </c:ext>
          </c:extLst>
        </c:ser>
        <c:marker val="1"/>
        <c:axId val="164305920"/>
        <c:axId val="164324096"/>
      </c:lineChart>
      <c:lineChart>
        <c:grouping val="standard"/>
        <c:ser>
          <c:idx val="2"/>
          <c:order val="4"/>
          <c:tx>
            <c:strRef>
              <c:f>'Graf-Národní účty-souhrnné'!$A$33</c:f>
              <c:strCache>
                <c:ptCount val="1"/>
                <c:pt idx="0">
                  <c:v>Míra investic (v %, pravá osa)</c:v>
                </c:pt>
              </c:strCache>
            </c:strRef>
          </c:tx>
          <c:spPr>
            <a:ln w="19050">
              <a:solidFill>
                <a:srgbClr val="BD1B21"/>
              </a:solidFill>
              <a:prstDash val="sysDash"/>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účty-souhrnné'!$G$33:$S$33</c:f>
              <c:numCache>
                <c:formatCode>0.0</c:formatCode>
                <c:ptCount val="13"/>
                <c:pt idx="0">
                  <c:v>31.260726719952824</c:v>
                </c:pt>
                <c:pt idx="1">
                  <c:v>31.962522441651544</c:v>
                </c:pt>
                <c:pt idx="2">
                  <c:v>31.264028058875109</c:v>
                </c:pt>
                <c:pt idx="3">
                  <c:v>26.395228628230615</c:v>
                </c:pt>
                <c:pt idx="4">
                  <c:v>29.966173115302563</c:v>
                </c:pt>
                <c:pt idx="5">
                  <c:v>29.259563450837906</c:v>
                </c:pt>
                <c:pt idx="6">
                  <c:v>27.782036540181121</c:v>
                </c:pt>
                <c:pt idx="7">
                  <c:v>27.754898223269848</c:v>
                </c:pt>
                <c:pt idx="8">
                  <c:v>31.297664410031818</c:v>
                </c:pt>
                <c:pt idx="9">
                  <c:v>31.690738298937863</c:v>
                </c:pt>
                <c:pt idx="10">
                  <c:v>34.736341057651977</c:v>
                </c:pt>
                <c:pt idx="11">
                  <c:v>32.994679571157178</c:v>
                </c:pt>
                <c:pt idx="12">
                  <c:v>31.615016630222602</c:v>
                </c:pt>
              </c:numCache>
            </c:numRef>
          </c:val>
          <c:extLst xmlns:c16r2="http://schemas.microsoft.com/office/drawing/2015/06/chart">
            <c:ext xmlns:c16="http://schemas.microsoft.com/office/drawing/2014/chart" uri="{C3380CC4-5D6E-409C-BE32-E72D297353CC}">
              <c16:uniqueId val="{00000004-5B15-4557-A6F7-68197F74EFBA}"/>
            </c:ext>
          </c:extLst>
        </c:ser>
        <c:ser>
          <c:idx val="5"/>
          <c:order val="5"/>
          <c:tx>
            <c:strRef>
              <c:f>'Graf-Národní účty-souhrnné'!$A$34</c:f>
              <c:strCache>
                <c:ptCount val="1"/>
                <c:pt idx="0">
                  <c:v>Míra zisku nefinančních podniků (v %, pravá osa)</c:v>
                </c:pt>
              </c:strCache>
            </c:strRef>
          </c:tx>
          <c:spPr>
            <a:ln w="19050">
              <a:solidFill>
                <a:srgbClr val="0071BC"/>
              </a:solidFill>
              <a:prstDash val="sysDash"/>
            </a:ln>
          </c:spPr>
          <c:marker>
            <c:symbol val="none"/>
          </c:marker>
          <c:cat>
            <c:strRef>
              <c:f>'Graf-Národní účty-souhrnné'!$G$28:$S$28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účty-souhrnné'!$G$34:$S$34</c:f>
              <c:numCache>
                <c:formatCode>0.0</c:formatCode>
                <c:ptCount val="13"/>
                <c:pt idx="0">
                  <c:v>64.69023767733826</c:v>
                </c:pt>
                <c:pt idx="1">
                  <c:v>65.262737019015688</c:v>
                </c:pt>
                <c:pt idx="2">
                  <c:v>64.458994375891848</c:v>
                </c:pt>
                <c:pt idx="3">
                  <c:v>61.460200011561355</c:v>
                </c:pt>
                <c:pt idx="4">
                  <c:v>60.452884894172144</c:v>
                </c:pt>
                <c:pt idx="5">
                  <c:v>59.430130233726956</c:v>
                </c:pt>
                <c:pt idx="6">
                  <c:v>60.47726754685884</c:v>
                </c:pt>
                <c:pt idx="7">
                  <c:v>58.407835611308748</c:v>
                </c:pt>
                <c:pt idx="8">
                  <c:v>56.768426858996811</c:v>
                </c:pt>
                <c:pt idx="9">
                  <c:v>56.307244429514824</c:v>
                </c:pt>
                <c:pt idx="10">
                  <c:v>57.721558200170726</c:v>
                </c:pt>
                <c:pt idx="11">
                  <c:v>56.515606913926099</c:v>
                </c:pt>
                <c:pt idx="12">
                  <c:v>55.57079894076201</c:v>
                </c:pt>
              </c:numCache>
            </c:numRef>
          </c:val>
          <c:extLst xmlns:c16r2="http://schemas.microsoft.com/office/drawing/2015/06/chart">
            <c:ext xmlns:c16="http://schemas.microsoft.com/office/drawing/2014/chart" uri="{C3380CC4-5D6E-409C-BE32-E72D297353CC}">
              <c16:uniqueId val="{00000005-5B15-4557-A6F7-68197F74EFBA}"/>
            </c:ext>
          </c:extLst>
        </c:ser>
        <c:marker val="1"/>
        <c:axId val="164339712"/>
        <c:axId val="164325632"/>
      </c:lineChart>
      <c:catAx>
        <c:axId val="164305920"/>
        <c:scaling>
          <c:orientation val="minMax"/>
        </c:scaling>
        <c:axPos val="b"/>
        <c:numFmt formatCode="General" sourceLinked="1"/>
        <c:tickLblPos val="low"/>
        <c:spPr>
          <a:ln w="9525">
            <a:solidFill>
              <a:schemeClr val="tx1"/>
            </a:solidFill>
            <a:prstDash val="solid"/>
          </a:ln>
        </c:spPr>
        <c:txPr>
          <a:bodyPr rot="0" vert="horz"/>
          <a:lstStyle/>
          <a:p>
            <a:pPr>
              <a:defRPr/>
            </a:pPr>
            <a:endParaRPr lang="cs-CZ"/>
          </a:p>
        </c:txPr>
        <c:crossAx val="164324096"/>
        <c:crossesAt val="100"/>
        <c:lblAlgn val="ctr"/>
        <c:lblOffset val="0"/>
        <c:tickLblSkip val="1"/>
        <c:tickMarkSkip val="4"/>
      </c:catAx>
      <c:valAx>
        <c:axId val="164324096"/>
        <c:scaling>
          <c:orientation val="minMax"/>
          <c:max val="141"/>
          <c:min val="75"/>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64305920"/>
        <c:crosses val="autoZero"/>
        <c:crossBetween val="between"/>
        <c:majorUnit val="5"/>
      </c:valAx>
      <c:valAx>
        <c:axId val="164325632"/>
        <c:scaling>
          <c:orientation val="minMax"/>
          <c:max val="66"/>
          <c:min val="0"/>
        </c:scaling>
        <c:axPos val="r"/>
        <c:numFmt formatCode="0" sourceLinked="0"/>
        <c:tickLblPos val="nextTo"/>
        <c:crossAx val="164339712"/>
        <c:crosses val="max"/>
        <c:crossBetween val="between"/>
        <c:majorUnit val="5"/>
      </c:valAx>
      <c:catAx>
        <c:axId val="164339712"/>
        <c:scaling>
          <c:orientation val="minMax"/>
        </c:scaling>
        <c:delete val="1"/>
        <c:axPos val="b"/>
        <c:numFmt formatCode="General" sourceLinked="1"/>
        <c:tickLblPos val="none"/>
        <c:crossAx val="164325632"/>
        <c:crosses val="autoZero"/>
        <c:auto val="1"/>
        <c:lblAlgn val="ctr"/>
        <c:lblOffset val="100"/>
      </c:catAx>
      <c:spPr>
        <a:noFill/>
        <a:ln w="9525">
          <a:solidFill>
            <a:schemeClr val="tx1"/>
          </a:solidFill>
        </a:ln>
      </c:spPr>
    </c:plotArea>
    <c:legend>
      <c:legendPos val="b"/>
      <c:layout>
        <c:manualLayout>
          <c:xMode val="edge"/>
          <c:yMode val="edge"/>
          <c:x val="6.0825149028219005E-2"/>
          <c:y val="0.82924800180119362"/>
          <c:w val="0.88531755998340833"/>
          <c:h val="0.16717775526286172"/>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56.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5.340225924121491E-2"/>
          <c:y val="1.6434241361665363E-2"/>
          <c:w val="0.93179896008611662"/>
          <c:h val="0.74114409205517884"/>
        </c:manualLayout>
      </c:layout>
      <c:barChart>
        <c:barDir val="col"/>
        <c:grouping val="stacked"/>
        <c:ser>
          <c:idx val="0"/>
          <c:order val="0"/>
          <c:tx>
            <c:strRef>
              <c:f>'GRAF-příspěvky'!$A$3</c:f>
              <c:strCache>
                <c:ptCount val="1"/>
                <c:pt idx="0">
                  <c:v>Vydavatelské činnosti (NACE 58)</c:v>
                </c:pt>
              </c:strCache>
            </c:strRef>
          </c:tx>
          <c:spPr>
            <a:solidFill>
              <a:srgbClr val="808080"/>
            </a:solidFill>
            <a:ln>
              <a:noFill/>
            </a:ln>
          </c:spPr>
          <c:cat>
            <c:numRef>
              <c:f>'GRAF-příspěvky'!$B$2:$N$2</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'GRAF-příspěvky'!$B$3:$N$3</c:f>
              <c:numCache>
                <c:formatCode>0.0</c:formatCode>
                <c:ptCount val="13"/>
                <c:pt idx="0">
                  <c:v>2.2158411524361687</c:v>
                </c:pt>
                <c:pt idx="1">
                  <c:v>0.88525474427499606</c:v>
                </c:pt>
                <c:pt idx="2">
                  <c:v>0.91793836026331532</c:v>
                </c:pt>
                <c:pt idx="3">
                  <c:v>1.2739606138981796</c:v>
                </c:pt>
                <c:pt idx="4">
                  <c:v>-0.36112286282306377</c:v>
                </c:pt>
                <c:pt idx="5">
                  <c:v>5.6214035774974656E-2</c:v>
                </c:pt>
                <c:pt idx="6">
                  <c:v>-0.66708312709748674</c:v>
                </c:pt>
                <c:pt idx="7">
                  <c:v>0.21422639580937902</c:v>
                </c:pt>
                <c:pt idx="8">
                  <c:v>-0.18907329750162569</c:v>
                </c:pt>
                <c:pt idx="9">
                  <c:v>2.0415733930284587</c:v>
                </c:pt>
                <c:pt idx="10">
                  <c:v>2.1743752108184382</c:v>
                </c:pt>
                <c:pt idx="11">
                  <c:v>-1.1348480349880159</c:v>
                </c:pt>
                <c:pt idx="12">
                  <c:v>1.872933543655144</c:v>
                </c:pt>
              </c:numCache>
            </c:numRef>
          </c:val>
          <c:extLst xmlns:c16r2="http://schemas.microsoft.com/office/drawing/2015/06/chart">
            <c:ext xmlns:c16="http://schemas.microsoft.com/office/drawing/2014/chart" uri="{C3380CC4-5D6E-409C-BE32-E72D297353CC}">
              <c16:uniqueId val="{00000000-CDAE-44B1-8102-7FE5B880C233}"/>
            </c:ext>
          </c:extLst>
        </c:ser>
        <c:ser>
          <c:idx val="1"/>
          <c:order val="1"/>
          <c:tx>
            <c:strRef>
              <c:f>'GRAF-příspěvky'!$A$4</c:f>
              <c:strCache>
                <c:ptCount val="1"/>
                <c:pt idx="0">
                  <c:v>Filmový a hudební průmysl (59)</c:v>
                </c:pt>
              </c:strCache>
            </c:strRef>
          </c:tx>
          <c:spPr>
            <a:solidFill>
              <a:srgbClr val="B8B8B8"/>
            </a:solidFill>
          </c:spPr>
          <c:cat>
            <c:numRef>
              <c:f>'GRAF-příspěvky'!$B$2:$N$2</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'GRAF-příspěvky'!$B$4:$N$4</c:f>
              <c:numCache>
                <c:formatCode>0.0</c:formatCode>
                <c:ptCount val="13"/>
                <c:pt idx="0">
                  <c:v>-0.97386347119717065</c:v>
                </c:pt>
                <c:pt idx="1">
                  <c:v>1.074927671259746</c:v>
                </c:pt>
                <c:pt idx="2">
                  <c:v>-1.0405788699381664</c:v>
                </c:pt>
                <c:pt idx="3">
                  <c:v>-0.73293884731406078</c:v>
                </c:pt>
                <c:pt idx="4">
                  <c:v>-0.21487077534791255</c:v>
                </c:pt>
                <c:pt idx="5">
                  <c:v>0.21334282674176691</c:v>
                </c:pt>
                <c:pt idx="6">
                  <c:v>-0.22713066559333384</c:v>
                </c:pt>
                <c:pt idx="7">
                  <c:v>0.24857544397598091</c:v>
                </c:pt>
                <c:pt idx="8">
                  <c:v>-0.76139947702171284</c:v>
                </c:pt>
                <c:pt idx="9">
                  <c:v>0.37205205617557296</c:v>
                </c:pt>
                <c:pt idx="10">
                  <c:v>0.71217789498430994</c:v>
                </c:pt>
                <c:pt idx="11">
                  <c:v>0.47293283754424342</c:v>
                </c:pt>
                <c:pt idx="12">
                  <c:v>-0.22706200037430141</c:v>
                </c:pt>
              </c:numCache>
            </c:numRef>
          </c:val>
          <c:extLst xmlns:c16r2="http://schemas.microsoft.com/office/drawing/2015/06/chart">
            <c:ext xmlns:c16="http://schemas.microsoft.com/office/drawing/2014/chart" uri="{C3380CC4-5D6E-409C-BE32-E72D297353CC}">
              <c16:uniqueId val="{00000001-CDAE-44B1-8102-7FE5B880C233}"/>
            </c:ext>
          </c:extLst>
        </c:ser>
        <c:ser>
          <c:idx val="2"/>
          <c:order val="2"/>
          <c:tx>
            <c:strRef>
              <c:f>'GRAF-příspěvky'!$A$5</c:f>
              <c:strCache>
                <c:ptCount val="1"/>
                <c:pt idx="0">
                  <c:v>Tvorba programů a vysílání (60)</c:v>
                </c:pt>
              </c:strCache>
            </c:strRef>
          </c:tx>
          <c:spPr>
            <a:solidFill>
              <a:srgbClr val="0071BC"/>
            </a:solidFill>
          </c:spPr>
          <c:cat>
            <c:numRef>
              <c:f>'GRAF-příspěvky'!$B$2:$N$2</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'GRAF-příspěvky'!$B$5:$N$5</c:f>
              <c:numCache>
                <c:formatCode>0.0</c:formatCode>
                <c:ptCount val="13"/>
                <c:pt idx="0">
                  <c:v>1.6478416046252484</c:v>
                </c:pt>
                <c:pt idx="1">
                  <c:v>6.6669935762270885E-2</c:v>
                </c:pt>
                <c:pt idx="2">
                  <c:v>1.9666292639138241</c:v>
                </c:pt>
                <c:pt idx="3">
                  <c:v>0.43449234281680682</c:v>
                </c:pt>
                <c:pt idx="4">
                  <c:v>-0.78658926441351873</c:v>
                </c:pt>
                <c:pt idx="5">
                  <c:v>-4.5149097685055456E-2</c:v>
                </c:pt>
                <c:pt idx="6">
                  <c:v>0.58145998661959963</c:v>
                </c:pt>
                <c:pt idx="7">
                  <c:v>-0.43344193177462825</c:v>
                </c:pt>
                <c:pt idx="8">
                  <c:v>-0.68531848518854577</c:v>
                </c:pt>
                <c:pt idx="9">
                  <c:v>0.24352035036559624</c:v>
                </c:pt>
                <c:pt idx="10">
                  <c:v>0.41967894268805195</c:v>
                </c:pt>
                <c:pt idx="11">
                  <c:v>-0.16334601083006994</c:v>
                </c:pt>
                <c:pt idx="12">
                  <c:v>6.5264372733024642E-2</c:v>
                </c:pt>
              </c:numCache>
            </c:numRef>
          </c:val>
          <c:extLst xmlns:c16r2="http://schemas.microsoft.com/office/drawing/2015/06/chart">
            <c:ext xmlns:c16="http://schemas.microsoft.com/office/drawing/2014/chart" uri="{C3380CC4-5D6E-409C-BE32-E72D297353CC}">
              <c16:uniqueId val="{00000002-CDAE-44B1-8102-7FE5B880C233}"/>
            </c:ext>
          </c:extLst>
        </c:ser>
        <c:ser>
          <c:idx val="3"/>
          <c:order val="3"/>
          <c:tx>
            <c:strRef>
              <c:f>'GRAF-příspěvky'!$A$6</c:f>
              <c:strCache>
                <c:ptCount val="1"/>
                <c:pt idx="0">
                  <c:v>Telekomunikační činnosti (61)</c:v>
                </c:pt>
              </c:strCache>
            </c:strRef>
          </c:tx>
          <c:spPr>
            <a:solidFill>
              <a:srgbClr val="A6CDE8"/>
            </a:solidFill>
          </c:spPr>
          <c:cat>
            <c:numRef>
              <c:f>'GRAF-příspěvky'!$B$2:$N$2</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'GRAF-příspěvky'!$B$6:$N$6</c:f>
              <c:numCache>
                <c:formatCode>0.0</c:formatCode>
                <c:ptCount val="13"/>
                <c:pt idx="0">
                  <c:v>1.863640768075451</c:v>
                </c:pt>
                <c:pt idx="1">
                  <c:v>3.2306680863881767</c:v>
                </c:pt>
                <c:pt idx="2">
                  <c:v>3.8637879014562202</c:v>
                </c:pt>
                <c:pt idx="3">
                  <c:v>-1.2138855034660003</c:v>
                </c:pt>
                <c:pt idx="4">
                  <c:v>0.42413253810470508</c:v>
                </c:pt>
                <c:pt idx="5">
                  <c:v>-1.1900864464831242</c:v>
                </c:pt>
                <c:pt idx="6">
                  <c:v>-3.2722661285497385</c:v>
                </c:pt>
                <c:pt idx="7">
                  <c:v>-2.6166805076444781</c:v>
                </c:pt>
                <c:pt idx="8">
                  <c:v>4.3595771070816864</c:v>
                </c:pt>
                <c:pt idx="9">
                  <c:v>3.3908115755069299</c:v>
                </c:pt>
                <c:pt idx="10">
                  <c:v>0.71743430130937413</c:v>
                </c:pt>
                <c:pt idx="11">
                  <c:v>0.699114460358082</c:v>
                </c:pt>
                <c:pt idx="12">
                  <c:v>0.47104242975162358</c:v>
                </c:pt>
              </c:numCache>
            </c:numRef>
          </c:val>
          <c:extLst xmlns:c16r2="http://schemas.microsoft.com/office/drawing/2015/06/chart">
            <c:ext xmlns:c16="http://schemas.microsoft.com/office/drawing/2014/chart" uri="{C3380CC4-5D6E-409C-BE32-E72D297353CC}">
              <c16:uniqueId val="{00000003-CDAE-44B1-8102-7FE5B880C233}"/>
            </c:ext>
          </c:extLst>
        </c:ser>
        <c:ser>
          <c:idx val="4"/>
          <c:order val="4"/>
          <c:tx>
            <c:strRef>
              <c:f>'GRAF-příspěvky'!$A$7</c:f>
              <c:strCache>
                <c:ptCount val="1"/>
                <c:pt idx="0">
                  <c:v>Činnosti v oblasti informač. technol. (62)</c:v>
                </c:pt>
              </c:strCache>
            </c:strRef>
          </c:tx>
          <c:spPr>
            <a:solidFill>
              <a:srgbClr val="80BB2D"/>
            </a:solidFill>
          </c:spPr>
          <c:cat>
            <c:numRef>
              <c:f>'GRAF-příspěvky'!$B$2:$N$2</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'GRAF-příspěvky'!$B$7:$N$7</c:f>
              <c:numCache>
                <c:formatCode>0.0</c:formatCode>
                <c:ptCount val="13"/>
                <c:pt idx="0">
                  <c:v>10.138833352174498</c:v>
                </c:pt>
                <c:pt idx="1">
                  <c:v>4.8734397657459505</c:v>
                </c:pt>
                <c:pt idx="2">
                  <c:v>3.3410570017953312</c:v>
                </c:pt>
                <c:pt idx="3">
                  <c:v>1.854225099678493</c:v>
                </c:pt>
                <c:pt idx="4">
                  <c:v>0.15720344599072375</c:v>
                </c:pt>
                <c:pt idx="5">
                  <c:v>0.78029517794847358</c:v>
                </c:pt>
                <c:pt idx="6">
                  <c:v>5.1528030851069602</c:v>
                </c:pt>
                <c:pt idx="7">
                  <c:v>0.23385396703717679</c:v>
                </c:pt>
                <c:pt idx="8">
                  <c:v>0.6051433357853534</c:v>
                </c:pt>
                <c:pt idx="9">
                  <c:v>1.5984292086962637</c:v>
                </c:pt>
                <c:pt idx="10">
                  <c:v>4.5621528523095245</c:v>
                </c:pt>
                <c:pt idx="11">
                  <c:v>2.7639751728428212</c:v>
                </c:pt>
                <c:pt idx="12">
                  <c:v>2.5070466718355902</c:v>
                </c:pt>
              </c:numCache>
            </c:numRef>
          </c:val>
          <c:extLst xmlns:c16r2="http://schemas.microsoft.com/office/drawing/2015/06/chart">
            <c:ext xmlns:c16="http://schemas.microsoft.com/office/drawing/2014/chart" uri="{C3380CC4-5D6E-409C-BE32-E72D297353CC}">
              <c16:uniqueId val="{00000004-CDAE-44B1-8102-7FE5B880C233}"/>
            </c:ext>
          </c:extLst>
        </c:ser>
        <c:ser>
          <c:idx val="5"/>
          <c:order val="5"/>
          <c:tx>
            <c:strRef>
              <c:f>'GRAF-příspěvky'!$A$8</c:f>
              <c:strCache>
                <c:ptCount val="1"/>
                <c:pt idx="0">
                  <c:v>Informační činnosti (63)</c:v>
                </c:pt>
              </c:strCache>
            </c:strRef>
          </c:tx>
          <c:spPr>
            <a:solidFill>
              <a:srgbClr val="D2E7B6"/>
            </a:solidFill>
          </c:spPr>
          <c:cat>
            <c:numRef>
              <c:f>'GRAF-příspěvky'!$B$2:$N$2</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'GRAF-příspěvky'!$B$8:$N$8</c:f>
              <c:numCache>
                <c:formatCode>0.0</c:formatCode>
                <c:ptCount val="13"/>
                <c:pt idx="0">
                  <c:v>0.57429628074482009</c:v>
                </c:pt>
                <c:pt idx="1">
                  <c:v>0.52719140321259095</c:v>
                </c:pt>
                <c:pt idx="2">
                  <c:v>3.1732719928186719</c:v>
                </c:pt>
                <c:pt idx="3">
                  <c:v>1.6618287901264457</c:v>
                </c:pt>
                <c:pt idx="4">
                  <c:v>-0.20807210072895935</c:v>
                </c:pt>
                <c:pt idx="5">
                  <c:v>-9.3207625077420767E-2</c:v>
                </c:pt>
                <c:pt idx="6">
                  <c:v>0.2722715677369173</c:v>
                </c:pt>
                <c:pt idx="7">
                  <c:v>-3.6372492653634854E-2</c:v>
                </c:pt>
                <c:pt idx="8">
                  <c:v>7.4366009632676599E-3</c:v>
                </c:pt>
                <c:pt idx="9">
                  <c:v>0.84302439658958006</c:v>
                </c:pt>
                <c:pt idx="10">
                  <c:v>1.1089734547647521</c:v>
                </c:pt>
                <c:pt idx="11">
                  <c:v>0.99693949205182175</c:v>
                </c:pt>
                <c:pt idx="12">
                  <c:v>1.0027778520439532</c:v>
                </c:pt>
              </c:numCache>
            </c:numRef>
          </c:val>
          <c:extLst xmlns:c16r2="http://schemas.microsoft.com/office/drawing/2015/06/chart">
            <c:ext xmlns:c16="http://schemas.microsoft.com/office/drawing/2014/chart" uri="{C3380CC4-5D6E-409C-BE32-E72D297353CC}">
              <c16:uniqueId val="{00000005-CDAE-44B1-8102-7FE5B880C233}"/>
            </c:ext>
          </c:extLst>
        </c:ser>
        <c:gapWidth val="42"/>
        <c:overlap val="100"/>
        <c:axId val="164383360"/>
        <c:axId val="164406016"/>
      </c:barChart>
      <c:lineChart>
        <c:grouping val="standard"/>
        <c:ser>
          <c:idx val="6"/>
          <c:order val="6"/>
          <c:tx>
            <c:strRef>
              <c:f>'GRAF-příspěvky'!$A$9</c:f>
              <c:strCache>
                <c:ptCount val="1"/>
                <c:pt idx="0">
                  <c:v>Informační a komunikační čin. celkem (J)</c:v>
                </c:pt>
              </c:strCache>
            </c:strRef>
          </c:tx>
          <c:spPr>
            <a:ln>
              <a:noFill/>
            </a:ln>
          </c:spPr>
          <c:marker>
            <c:symbol val="diamond"/>
            <c:size val="7"/>
            <c:spPr>
              <a:solidFill>
                <a:schemeClr val="bg1"/>
              </a:solidFill>
              <a:ln>
                <a:solidFill>
                  <a:sysClr val="windowText" lastClr="000000">
                    <a:lumMod val="95000"/>
                    <a:lumOff val="5000"/>
                  </a:sysClr>
                </a:solidFill>
              </a:ln>
            </c:spPr>
          </c:marker>
          <c:cat>
            <c:numRef>
              <c:f>'GRAF-příspěvky'!$B$2:$N$2</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'GRAF-příspěvky'!$B$9:$N$9</c:f>
              <c:numCache>
                <c:formatCode>0.0</c:formatCode>
                <c:ptCount val="13"/>
                <c:pt idx="0">
                  <c:v>15.466589686859125</c:v>
                </c:pt>
                <c:pt idx="1">
                  <c:v>10.658151606643738</c:v>
                </c:pt>
                <c:pt idx="2">
                  <c:v>12.222105650309196</c:v>
                </c:pt>
                <c:pt idx="3">
                  <c:v>3.2776824957398767</c:v>
                </c:pt>
                <c:pt idx="4">
                  <c:v>-0.98931901921802434</c:v>
                </c:pt>
                <c:pt idx="5">
                  <c:v>-0.27859112878038123</c:v>
                </c:pt>
                <c:pt idx="6">
                  <c:v>1.8400547182229052</c:v>
                </c:pt>
                <c:pt idx="7">
                  <c:v>-2.3898391252501967</c:v>
                </c:pt>
                <c:pt idx="8">
                  <c:v>3.3363657841184167</c:v>
                </c:pt>
                <c:pt idx="9">
                  <c:v>8.4894109803624005</c:v>
                </c:pt>
                <c:pt idx="10">
                  <c:v>9.6947926568744709</c:v>
                </c:pt>
                <c:pt idx="11">
                  <c:v>3.6347679169788867</c:v>
                </c:pt>
                <c:pt idx="12">
                  <c:v>5.6920028696449947</c:v>
                </c:pt>
              </c:numCache>
            </c:numRef>
          </c:val>
          <c:extLst xmlns:c16r2="http://schemas.microsoft.com/office/drawing/2015/06/chart">
            <c:ext xmlns:c16="http://schemas.microsoft.com/office/drawing/2014/chart" uri="{C3380CC4-5D6E-409C-BE32-E72D297353CC}">
              <c16:uniqueId val="{00000006-CDAE-44B1-8102-7FE5B880C233}"/>
            </c:ext>
          </c:extLst>
        </c:ser>
        <c:marker val="1"/>
        <c:axId val="164383360"/>
        <c:axId val="164406016"/>
      </c:lineChart>
      <c:catAx>
        <c:axId val="164383360"/>
        <c:scaling>
          <c:orientation val="minMax"/>
        </c:scaling>
        <c:axPos val="b"/>
        <c:numFmt formatCode="General" sourceLinked="1"/>
        <c:tickLblPos val="low"/>
        <c:spPr>
          <a:noFill/>
        </c:spPr>
        <c:txPr>
          <a:bodyPr/>
          <a:lstStyle/>
          <a:p>
            <a:pPr>
              <a:defRPr sz="800">
                <a:latin typeface="Arial" pitchFamily="34" charset="0"/>
                <a:cs typeface="Arial" pitchFamily="34" charset="0"/>
              </a:defRPr>
            </a:pPr>
            <a:endParaRPr lang="cs-CZ"/>
          </a:p>
        </c:txPr>
        <c:crossAx val="164406016"/>
        <c:crosses val="autoZero"/>
        <c:auto val="1"/>
        <c:lblAlgn val="ctr"/>
        <c:lblOffset val="0"/>
      </c:catAx>
      <c:valAx>
        <c:axId val="164406016"/>
        <c:scaling>
          <c:orientation val="minMax"/>
          <c:max val="18"/>
          <c:min val="-6"/>
        </c:scaling>
        <c:axPos val="l"/>
        <c:majorGridlines>
          <c:spPr>
            <a:ln w="6350">
              <a:solidFill>
                <a:srgbClr val="BFBFBF"/>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64383360"/>
        <c:crosses val="autoZero"/>
        <c:crossBetween val="between"/>
        <c:majorUnit val="2"/>
      </c:valAx>
      <c:spPr>
        <a:ln w="6350">
          <a:solidFill>
            <a:sysClr val="windowText" lastClr="000000">
              <a:lumMod val="95000"/>
              <a:lumOff val="5000"/>
            </a:sysClr>
          </a:solidFill>
        </a:ln>
      </c:spPr>
    </c:plotArea>
    <c:legend>
      <c:legendPos val="r"/>
      <c:layout>
        <c:manualLayout>
          <c:xMode val="edge"/>
          <c:yMode val="edge"/>
          <c:x val="4.1648251457136902E-2"/>
          <c:y val="0.81918309537252876"/>
          <c:w val="0.93778925070883823"/>
          <c:h val="0.17020394469078981"/>
        </c:manualLayout>
      </c:layout>
      <c:spPr>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57.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4.7022469019128488E-2"/>
          <c:y val="1.6390304153157325E-2"/>
          <c:w val="0.93027287368946054"/>
          <c:h val="0.70153662610355561"/>
        </c:manualLayout>
      </c:layout>
      <c:barChart>
        <c:barDir val="col"/>
        <c:grouping val="clustered"/>
        <c:ser>
          <c:idx val="0"/>
          <c:order val="0"/>
          <c:tx>
            <c:strRef>
              <c:f>'Graf-evropské srovnání'!$C$3</c:f>
              <c:strCache>
                <c:ptCount val="1"/>
                <c:pt idx="0">
                  <c:v>% z HPH v celé ekonomice (rok 2017)</c:v>
                </c:pt>
              </c:strCache>
            </c:strRef>
          </c:tx>
          <c:spPr>
            <a:solidFill>
              <a:srgbClr val="48AEE7"/>
            </a:solidFill>
            <a:ln>
              <a:noFill/>
            </a:ln>
          </c:spPr>
          <c:cat>
            <c:strRef>
              <c:f>'Graf-evropské srovnání'!$B$4:$B$41</c:f>
              <c:strCache>
                <c:ptCount val="38"/>
                <c:pt idx="0">
                  <c:v>Irsko</c:v>
                </c:pt>
                <c:pt idx="1">
                  <c:v>Švédsko</c:v>
                </c:pt>
                <c:pt idx="2">
                  <c:v>Lucemburs.</c:v>
                </c:pt>
                <c:pt idx="3">
                  <c:v>Malta</c:v>
                </c:pt>
                <c:pt idx="4">
                  <c:v>V. Británie</c:v>
                </c:pt>
                <c:pt idx="5">
                  <c:v>Estonsko</c:v>
                </c:pt>
                <c:pt idx="6">
                  <c:v>Finsko</c:v>
                </c:pt>
                <c:pt idx="7">
                  <c:v>Rumunsko</c:v>
                </c:pt>
                <c:pt idx="8">
                  <c:v>Bulharsko</c:v>
                </c:pt>
                <c:pt idx="9">
                  <c:v>ČR</c:v>
                </c:pt>
                <c:pt idx="10">
                  <c:v>Francie</c:v>
                </c:pt>
                <c:pt idx="11">
                  <c:v>EU15</c:v>
                </c:pt>
                <c:pt idx="12">
                  <c:v>EU28</c:v>
                </c:pt>
                <c:pt idx="13">
                  <c:v>Lotyšsko</c:v>
                </c:pt>
                <c:pt idx="14">
                  <c:v>Maďarsko</c:v>
                </c:pt>
                <c:pt idx="15">
                  <c:v>Nizozemsko</c:v>
                </c:pt>
                <c:pt idx="16">
                  <c:v>Německo</c:v>
                </c:pt>
                <c:pt idx="17">
                  <c:v>Kypr</c:v>
                </c:pt>
                <c:pt idx="18">
                  <c:v>Chorvatsko</c:v>
                </c:pt>
                <c:pt idx="19">
                  <c:v>Dánsko</c:v>
                </c:pt>
                <c:pt idx="20">
                  <c:v>Slovensko</c:v>
                </c:pt>
                <c:pt idx="21">
                  <c:v>Španělsko</c:v>
                </c:pt>
                <c:pt idx="22">
                  <c:v>Belgie</c:v>
                </c:pt>
                <c:pt idx="23">
                  <c:v>Slovinsko</c:v>
                </c:pt>
                <c:pt idx="24">
                  <c:v>Polsko</c:v>
                </c:pt>
                <c:pt idx="25">
                  <c:v>Litva</c:v>
                </c:pt>
                <c:pt idx="26">
                  <c:v>Itálie</c:v>
                </c:pt>
                <c:pt idx="27">
                  <c:v>Rakousko</c:v>
                </c:pt>
                <c:pt idx="28">
                  <c:v>Portugalsko</c:v>
                </c:pt>
                <c:pt idx="29">
                  <c:v>Řecko</c:v>
                </c:pt>
                <c:pt idx="31">
                  <c:v>Srbsko</c:v>
                </c:pt>
                <c:pt idx="32">
                  <c:v>Island</c:v>
                </c:pt>
                <c:pt idx="33">
                  <c:v>Černá Hora</c:v>
                </c:pt>
                <c:pt idx="34">
                  <c:v>Norsko</c:v>
                </c:pt>
                <c:pt idx="35">
                  <c:v>Švýcarsko</c:v>
                </c:pt>
                <c:pt idx="36">
                  <c:v>Makedonie</c:v>
                </c:pt>
                <c:pt idx="37">
                  <c:v>Albánie</c:v>
                </c:pt>
              </c:strCache>
            </c:strRef>
          </c:cat>
          <c:val>
            <c:numRef>
              <c:f>'Graf-evropské srovnání'!$C$4:$C$41</c:f>
              <c:numCache>
                <c:formatCode>#,##0.0</c:formatCode>
                <c:ptCount val="38"/>
                <c:pt idx="0">
                  <c:v>10.313151054170969</c:v>
                </c:pt>
                <c:pt idx="1">
                  <c:v>7.182141533111527</c:v>
                </c:pt>
                <c:pt idx="2">
                  <c:v>6.9341512218602155</c:v>
                </c:pt>
                <c:pt idx="3">
                  <c:v>6.7582579981043134</c:v>
                </c:pt>
                <c:pt idx="4">
                  <c:v>6.4078981110073094</c:v>
                </c:pt>
                <c:pt idx="5">
                  <c:v>6.1678045636718704</c:v>
                </c:pt>
                <c:pt idx="6">
                  <c:v>5.7904050334250865</c:v>
                </c:pt>
                <c:pt idx="7">
                  <c:v>5.6533479287814155</c:v>
                </c:pt>
                <c:pt idx="8">
                  <c:v>5.5049127699962561</c:v>
                </c:pt>
                <c:pt idx="9">
                  <c:v>5.2726295872906723</c:v>
                </c:pt>
                <c:pt idx="10">
                  <c:v>5.2369591426788933</c:v>
                </c:pt>
                <c:pt idx="11">
                  <c:v>5.0387932377718503</c:v>
                </c:pt>
                <c:pt idx="12">
                  <c:v>5.0058716622090165</c:v>
                </c:pt>
                <c:pt idx="13">
                  <c:v>4.9856498914679834</c:v>
                </c:pt>
                <c:pt idx="14">
                  <c:v>4.8893500168934905</c:v>
                </c:pt>
                <c:pt idx="15">
                  <c:v>4.8268228161110045</c:v>
                </c:pt>
                <c:pt idx="16">
                  <c:v>4.7075390934973314</c:v>
                </c:pt>
                <c:pt idx="17">
                  <c:v>4.6555180734462454</c:v>
                </c:pt>
                <c:pt idx="18">
                  <c:v>4.5610361581165755</c:v>
                </c:pt>
                <c:pt idx="19">
                  <c:v>4.2990687736195135</c:v>
                </c:pt>
                <c:pt idx="20">
                  <c:v>4.2574433154368414</c:v>
                </c:pt>
                <c:pt idx="21">
                  <c:v>4.1904967754106464</c:v>
                </c:pt>
                <c:pt idx="22">
                  <c:v>4.1521030013864655</c:v>
                </c:pt>
                <c:pt idx="23">
                  <c:v>4.0683666231892905</c:v>
                </c:pt>
                <c:pt idx="24">
                  <c:v>3.8950544990666875</c:v>
                </c:pt>
                <c:pt idx="25">
                  <c:v>3.7499634208307064</c:v>
                </c:pt>
                <c:pt idx="26">
                  <c:v>3.5825360123396752</c:v>
                </c:pt>
                <c:pt idx="27">
                  <c:v>3.4688087153925142</c:v>
                </c:pt>
                <c:pt idx="28">
                  <c:v>3.341175568641924</c:v>
                </c:pt>
                <c:pt idx="29">
                  <c:v>3.3205167829275615</c:v>
                </c:pt>
                <c:pt idx="31">
                  <c:v>5.6058856520734937</c:v>
                </c:pt>
                <c:pt idx="32">
                  <c:v>4.9852571464042974</c:v>
                </c:pt>
                <c:pt idx="33">
                  <c:v>4.7294405380617546</c:v>
                </c:pt>
                <c:pt idx="34">
                  <c:v>4.1892829937443414</c:v>
                </c:pt>
                <c:pt idx="35">
                  <c:v>4.1522299758841834</c:v>
                </c:pt>
                <c:pt idx="36">
                  <c:v>3.6980639547530987</c:v>
                </c:pt>
                <c:pt idx="37">
                  <c:v>3.4261474874918427</c:v>
                </c:pt>
              </c:numCache>
            </c:numRef>
          </c:val>
          <c:extLst xmlns:c16r2="http://schemas.microsoft.com/office/drawing/2015/06/chart">
            <c:ext xmlns:c16="http://schemas.microsoft.com/office/drawing/2014/chart" uri="{C3380CC4-5D6E-409C-BE32-E72D297353CC}">
              <c16:uniqueId val="{00000000-72F8-43E2-87E6-C8DF3707A048}"/>
            </c:ext>
          </c:extLst>
        </c:ser>
        <c:gapWidth val="41"/>
        <c:axId val="164436608"/>
        <c:axId val="164455168"/>
      </c:barChart>
      <c:lineChart>
        <c:grouping val="standard"/>
        <c:ser>
          <c:idx val="1"/>
          <c:order val="1"/>
          <c:tx>
            <c:strRef>
              <c:f>'Graf-evropské srovnání'!$D$3</c:f>
              <c:strCache>
                <c:ptCount val="1"/>
                <c:pt idx="0">
                  <c:v>% z HPH v celé ekonomice (rok 2006)</c:v>
                </c:pt>
              </c:strCache>
            </c:strRef>
          </c:tx>
          <c:spPr>
            <a:ln>
              <a:noFill/>
            </a:ln>
          </c:spPr>
          <c:marker>
            <c:symbol val="dash"/>
            <c:size val="6"/>
          </c:marker>
          <c:cat>
            <c:strRef>
              <c:f>'Graf-evropské srovnání'!$B$4:$B$41</c:f>
              <c:strCache>
                <c:ptCount val="38"/>
                <c:pt idx="0">
                  <c:v>Irsko</c:v>
                </c:pt>
                <c:pt idx="1">
                  <c:v>Švédsko</c:v>
                </c:pt>
                <c:pt idx="2">
                  <c:v>Lucemburs.</c:v>
                </c:pt>
                <c:pt idx="3">
                  <c:v>Malta</c:v>
                </c:pt>
                <c:pt idx="4">
                  <c:v>V. Británie</c:v>
                </c:pt>
                <c:pt idx="5">
                  <c:v>Estonsko</c:v>
                </c:pt>
                <c:pt idx="6">
                  <c:v>Finsko</c:v>
                </c:pt>
                <c:pt idx="7">
                  <c:v>Rumunsko</c:v>
                </c:pt>
                <c:pt idx="8">
                  <c:v>Bulharsko</c:v>
                </c:pt>
                <c:pt idx="9">
                  <c:v>ČR</c:v>
                </c:pt>
                <c:pt idx="10">
                  <c:v>Francie</c:v>
                </c:pt>
                <c:pt idx="11">
                  <c:v>EU15</c:v>
                </c:pt>
                <c:pt idx="12">
                  <c:v>EU28</c:v>
                </c:pt>
                <c:pt idx="13">
                  <c:v>Lotyšsko</c:v>
                </c:pt>
                <c:pt idx="14">
                  <c:v>Maďarsko</c:v>
                </c:pt>
                <c:pt idx="15">
                  <c:v>Nizozemsko</c:v>
                </c:pt>
                <c:pt idx="16">
                  <c:v>Německo</c:v>
                </c:pt>
                <c:pt idx="17">
                  <c:v>Kypr</c:v>
                </c:pt>
                <c:pt idx="18">
                  <c:v>Chorvatsko</c:v>
                </c:pt>
                <c:pt idx="19">
                  <c:v>Dánsko</c:v>
                </c:pt>
                <c:pt idx="20">
                  <c:v>Slovensko</c:v>
                </c:pt>
                <c:pt idx="21">
                  <c:v>Španělsko</c:v>
                </c:pt>
                <c:pt idx="22">
                  <c:v>Belgie</c:v>
                </c:pt>
                <c:pt idx="23">
                  <c:v>Slovinsko</c:v>
                </c:pt>
                <c:pt idx="24">
                  <c:v>Polsko</c:v>
                </c:pt>
                <c:pt idx="25">
                  <c:v>Litva</c:v>
                </c:pt>
                <c:pt idx="26">
                  <c:v>Itálie</c:v>
                </c:pt>
                <c:pt idx="27">
                  <c:v>Rakousko</c:v>
                </c:pt>
                <c:pt idx="28">
                  <c:v>Portugalsko</c:v>
                </c:pt>
                <c:pt idx="29">
                  <c:v>Řecko</c:v>
                </c:pt>
                <c:pt idx="31">
                  <c:v>Srbsko</c:v>
                </c:pt>
                <c:pt idx="32">
                  <c:v>Island</c:v>
                </c:pt>
                <c:pt idx="33">
                  <c:v>Černá Hora</c:v>
                </c:pt>
                <c:pt idx="34">
                  <c:v>Norsko</c:v>
                </c:pt>
                <c:pt idx="35">
                  <c:v>Švýcarsko</c:v>
                </c:pt>
                <c:pt idx="36">
                  <c:v>Makedonie</c:v>
                </c:pt>
                <c:pt idx="37">
                  <c:v>Albánie</c:v>
                </c:pt>
              </c:strCache>
            </c:strRef>
          </c:cat>
          <c:val>
            <c:numRef>
              <c:f>'Graf-evropské srovnání'!$D$4:$D$41</c:f>
              <c:numCache>
                <c:formatCode>#,##0.0</c:formatCode>
                <c:ptCount val="38"/>
                <c:pt idx="0">
                  <c:v>6.3429375627398814</c:v>
                </c:pt>
                <c:pt idx="1">
                  <c:v>5.2708553521307664</c:v>
                </c:pt>
                <c:pt idx="2">
                  <c:v>5.7065351743141726</c:v>
                </c:pt>
                <c:pt idx="3">
                  <c:v>5.686090225563909</c:v>
                </c:pt>
                <c:pt idx="4">
                  <c:v>6.0785137183864766</c:v>
                </c:pt>
                <c:pt idx="5">
                  <c:v>4.5243502397173749</c:v>
                </c:pt>
                <c:pt idx="6">
                  <c:v>4.7443096859943639</c:v>
                </c:pt>
                <c:pt idx="7">
                  <c:v>4.5974447397077149</c:v>
                </c:pt>
                <c:pt idx="8">
                  <c:v>3.7926118404129676</c:v>
                </c:pt>
                <c:pt idx="9">
                  <c:v>5.0269376357761644</c:v>
                </c:pt>
                <c:pt idx="10">
                  <c:v>5.346746740938455</c:v>
                </c:pt>
                <c:pt idx="11">
                  <c:v>4.9829237227982714</c:v>
                </c:pt>
                <c:pt idx="12">
                  <c:v>4.9494798693006734</c:v>
                </c:pt>
                <c:pt idx="13">
                  <c:v>4.0970244525188964</c:v>
                </c:pt>
                <c:pt idx="14">
                  <c:v>5.1552522299865755</c:v>
                </c:pt>
                <c:pt idx="15">
                  <c:v>4.9868801696549694</c:v>
                </c:pt>
                <c:pt idx="16">
                  <c:v>4.6996450762411701</c:v>
                </c:pt>
                <c:pt idx="17">
                  <c:v>3.3863726209973453</c:v>
                </c:pt>
                <c:pt idx="18">
                  <c:v>4.7911697886239963</c:v>
                </c:pt>
                <c:pt idx="19">
                  <c:v>4.3264378690315866</c:v>
                </c:pt>
                <c:pt idx="20">
                  <c:v>3.9173443748796677</c:v>
                </c:pt>
                <c:pt idx="21">
                  <c:v>4.4468787635041895</c:v>
                </c:pt>
                <c:pt idx="22">
                  <c:v>4.0197611040559131</c:v>
                </c:pt>
                <c:pt idx="23">
                  <c:v>4.0065321542770826</c:v>
                </c:pt>
                <c:pt idx="24">
                  <c:v>4.209245681434612</c:v>
                </c:pt>
                <c:pt idx="25">
                  <c:v>3.917878686095781</c:v>
                </c:pt>
                <c:pt idx="26">
                  <c:v>4.3894480751663334</c:v>
                </c:pt>
                <c:pt idx="27">
                  <c:v>3.5046596061503448</c:v>
                </c:pt>
                <c:pt idx="28">
                  <c:v>3.8912963837430663</c:v>
                </c:pt>
                <c:pt idx="29">
                  <c:v>4.0377710931684554</c:v>
                </c:pt>
                <c:pt idx="31">
                  <c:v>4.0569370470188773</c:v>
                </c:pt>
                <c:pt idx="32">
                  <c:v>5.3911847915179365</c:v>
                </c:pt>
                <c:pt idx="33">
                  <c:v>7.1553425429940791</c:v>
                </c:pt>
                <c:pt idx="34">
                  <c:v>3.7088309745549992</c:v>
                </c:pt>
                <c:pt idx="35">
                  <c:v>4.1112627475822023</c:v>
                </c:pt>
                <c:pt idx="36">
                  <c:v>4.2859545129692656</c:v>
                </c:pt>
                <c:pt idx="37">
                  <c:v>5.2473763118440804</c:v>
                </c:pt>
              </c:numCache>
            </c:numRef>
          </c:val>
          <c:extLst xmlns:c16r2="http://schemas.microsoft.com/office/drawing/2015/06/chart">
            <c:ext xmlns:c16="http://schemas.microsoft.com/office/drawing/2014/chart" uri="{C3380CC4-5D6E-409C-BE32-E72D297353CC}">
              <c16:uniqueId val="{00000001-72F8-43E2-87E6-C8DF3707A048}"/>
            </c:ext>
          </c:extLst>
        </c:ser>
        <c:ser>
          <c:idx val="2"/>
          <c:order val="2"/>
          <c:tx>
            <c:strRef>
              <c:f>'Graf-evropské srovnání'!$E$3</c:f>
              <c:strCache>
                <c:ptCount val="1"/>
                <c:pt idx="0">
                  <c:v>% ze zaměstnanosti v celé ekonomice (rok 2017)</c:v>
                </c:pt>
              </c:strCache>
            </c:strRef>
          </c:tx>
          <c:spPr>
            <a:ln>
              <a:noFill/>
            </a:ln>
          </c:spPr>
          <c:marker>
            <c:symbol val="diamond"/>
            <c:size val="6"/>
            <c:spPr>
              <a:solidFill>
                <a:schemeClr val="bg1"/>
              </a:solidFill>
              <a:ln>
                <a:solidFill>
                  <a:schemeClr val="tx1">
                    <a:lumMod val="95000"/>
                    <a:lumOff val="5000"/>
                  </a:schemeClr>
                </a:solidFill>
              </a:ln>
            </c:spPr>
          </c:marker>
          <c:cat>
            <c:strRef>
              <c:f>'Graf-evropské srovnání'!$B$4:$B$41</c:f>
              <c:strCache>
                <c:ptCount val="38"/>
                <c:pt idx="0">
                  <c:v>Irsko</c:v>
                </c:pt>
                <c:pt idx="1">
                  <c:v>Švédsko</c:v>
                </c:pt>
                <c:pt idx="2">
                  <c:v>Lucemburs.</c:v>
                </c:pt>
                <c:pt idx="3">
                  <c:v>Malta</c:v>
                </c:pt>
                <c:pt idx="4">
                  <c:v>V. Británie</c:v>
                </c:pt>
                <c:pt idx="5">
                  <c:v>Estonsko</c:v>
                </c:pt>
                <c:pt idx="6">
                  <c:v>Finsko</c:v>
                </c:pt>
                <c:pt idx="7">
                  <c:v>Rumunsko</c:v>
                </c:pt>
                <c:pt idx="8">
                  <c:v>Bulharsko</c:v>
                </c:pt>
                <c:pt idx="9">
                  <c:v>ČR</c:v>
                </c:pt>
                <c:pt idx="10">
                  <c:v>Francie</c:v>
                </c:pt>
                <c:pt idx="11">
                  <c:v>EU15</c:v>
                </c:pt>
                <c:pt idx="12">
                  <c:v>EU28</c:v>
                </c:pt>
                <c:pt idx="13">
                  <c:v>Lotyšsko</c:v>
                </c:pt>
                <c:pt idx="14">
                  <c:v>Maďarsko</c:v>
                </c:pt>
                <c:pt idx="15">
                  <c:v>Nizozemsko</c:v>
                </c:pt>
                <c:pt idx="16">
                  <c:v>Německo</c:v>
                </c:pt>
                <c:pt idx="17">
                  <c:v>Kypr</c:v>
                </c:pt>
                <c:pt idx="18">
                  <c:v>Chorvatsko</c:v>
                </c:pt>
                <c:pt idx="19">
                  <c:v>Dánsko</c:v>
                </c:pt>
                <c:pt idx="20">
                  <c:v>Slovensko</c:v>
                </c:pt>
                <c:pt idx="21">
                  <c:v>Španělsko</c:v>
                </c:pt>
                <c:pt idx="22">
                  <c:v>Belgie</c:v>
                </c:pt>
                <c:pt idx="23">
                  <c:v>Slovinsko</c:v>
                </c:pt>
                <c:pt idx="24">
                  <c:v>Polsko</c:v>
                </c:pt>
                <c:pt idx="25">
                  <c:v>Litva</c:v>
                </c:pt>
                <c:pt idx="26">
                  <c:v>Itálie</c:v>
                </c:pt>
                <c:pt idx="27">
                  <c:v>Rakousko</c:v>
                </c:pt>
                <c:pt idx="28">
                  <c:v>Portugalsko</c:v>
                </c:pt>
                <c:pt idx="29">
                  <c:v>Řecko</c:v>
                </c:pt>
                <c:pt idx="31">
                  <c:v>Srbsko</c:v>
                </c:pt>
                <c:pt idx="32">
                  <c:v>Island</c:v>
                </c:pt>
                <c:pt idx="33">
                  <c:v>Černá Hora</c:v>
                </c:pt>
                <c:pt idx="34">
                  <c:v>Norsko</c:v>
                </c:pt>
                <c:pt idx="35">
                  <c:v>Švýcarsko</c:v>
                </c:pt>
                <c:pt idx="36">
                  <c:v>Makedonie</c:v>
                </c:pt>
                <c:pt idx="37">
                  <c:v>Albánie</c:v>
                </c:pt>
              </c:strCache>
            </c:strRef>
          </c:cat>
          <c:val>
            <c:numRef>
              <c:f>'Graf-evropské srovnání'!$E$4:$E$41</c:f>
              <c:numCache>
                <c:formatCode>#,##0.0</c:formatCode>
                <c:ptCount val="38"/>
                <c:pt idx="0">
                  <c:v>3.9810005147643781</c:v>
                </c:pt>
                <c:pt idx="1">
                  <c:v>4.0031977615668985</c:v>
                </c:pt>
                <c:pt idx="2">
                  <c:v>4.2329387830589971</c:v>
                </c:pt>
                <c:pt idx="3">
                  <c:v>4.2751796882292554</c:v>
                </c:pt>
                <c:pt idx="4">
                  <c:v>4.2484679512813814</c:v>
                </c:pt>
                <c:pt idx="5">
                  <c:v>4.8324240062353763</c:v>
                </c:pt>
                <c:pt idx="6">
                  <c:v>4.1529152915291414</c:v>
                </c:pt>
                <c:pt idx="7">
                  <c:v>2.1873053229044133</c:v>
                </c:pt>
                <c:pt idx="8">
                  <c:v>2.6732097522231832</c:v>
                </c:pt>
                <c:pt idx="9">
                  <c:v>2.7564070189615215</c:v>
                </c:pt>
                <c:pt idx="10">
                  <c:v>3.0845378573222018</c:v>
                </c:pt>
                <c:pt idx="11">
                  <c:v>3.0961714866491166</c:v>
                </c:pt>
                <c:pt idx="12">
                  <c:v>2.9922515514772887</c:v>
                </c:pt>
                <c:pt idx="13">
                  <c:v>3.3399878872165272</c:v>
                </c:pt>
                <c:pt idx="14">
                  <c:v>3.0573457103070849</c:v>
                </c:pt>
                <c:pt idx="15">
                  <c:v>3.220488019344911</c:v>
                </c:pt>
                <c:pt idx="16">
                  <c:v>2.8799891576878771</c:v>
                </c:pt>
                <c:pt idx="17">
                  <c:v>2.7898357576219217</c:v>
                </c:pt>
                <c:pt idx="18">
                  <c:v>2.7251590797846301</c:v>
                </c:pt>
                <c:pt idx="19">
                  <c:v>3.5946593632317647</c:v>
                </c:pt>
                <c:pt idx="20">
                  <c:v>2.852132565570384</c:v>
                </c:pt>
                <c:pt idx="21">
                  <c:v>2.7265082582258842</c:v>
                </c:pt>
                <c:pt idx="22">
                  <c:v>2.4791463776093488</c:v>
                </c:pt>
                <c:pt idx="23">
                  <c:v>3.0128543043672167</c:v>
                </c:pt>
                <c:pt idx="24">
                  <c:v>2.3481070191386384</c:v>
                </c:pt>
                <c:pt idx="25">
                  <c:v>2.0722097909327877</c:v>
                </c:pt>
                <c:pt idx="26">
                  <c:v>2.4082372388520494</c:v>
                </c:pt>
                <c:pt idx="27">
                  <c:v>2.6340419842224887</c:v>
                </c:pt>
                <c:pt idx="28">
                  <c:v>1.879209166142582</c:v>
                </c:pt>
                <c:pt idx="29">
                  <c:v>2.1616165006989592</c:v>
                </c:pt>
                <c:pt idx="32">
                  <c:v>4</c:v>
                </c:pt>
                <c:pt idx="34">
                  <c:v>3.3297529538130974</c:v>
                </c:pt>
                <c:pt idx="35">
                  <c:v>3.1540159178741547</c:v>
                </c:pt>
              </c:numCache>
            </c:numRef>
          </c:val>
          <c:extLst xmlns:c16r2="http://schemas.microsoft.com/office/drawing/2015/06/chart">
            <c:ext xmlns:c16="http://schemas.microsoft.com/office/drawing/2014/chart" uri="{C3380CC4-5D6E-409C-BE32-E72D297353CC}">
              <c16:uniqueId val="{00000002-72F8-43E2-87E6-C8DF3707A048}"/>
            </c:ext>
          </c:extLst>
        </c:ser>
        <c:marker val="1"/>
        <c:axId val="164436608"/>
        <c:axId val="164455168"/>
      </c:lineChart>
      <c:catAx>
        <c:axId val="164436608"/>
        <c:scaling>
          <c:orientation val="minMax"/>
        </c:scaling>
        <c:axPos val="b"/>
        <c:numFmt formatCode="General" sourceLinked="0"/>
        <c:tickLblPos val="nextTo"/>
        <c:txPr>
          <a:bodyPr rot="-5400000" vert="horz"/>
          <a:lstStyle/>
          <a:p>
            <a:pPr>
              <a:defRPr sz="800">
                <a:latin typeface="Arial" pitchFamily="34" charset="0"/>
                <a:cs typeface="Arial" pitchFamily="34" charset="0"/>
              </a:defRPr>
            </a:pPr>
            <a:endParaRPr lang="cs-CZ"/>
          </a:p>
        </c:txPr>
        <c:crossAx val="164455168"/>
        <c:crosses val="autoZero"/>
        <c:auto val="1"/>
        <c:lblAlgn val="ctr"/>
        <c:lblOffset val="20"/>
      </c:catAx>
      <c:valAx>
        <c:axId val="164455168"/>
        <c:scaling>
          <c:orientation val="minMax"/>
          <c:max val="11"/>
          <c:min val="0"/>
        </c:scaling>
        <c:axPos val="l"/>
        <c:majorGridlines>
          <c:spPr>
            <a:ln w="6350">
              <a:solidFill>
                <a:schemeClr val="bg1">
                  <a:lumMod val="65000"/>
                </a:schemeClr>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64436608"/>
        <c:crosses val="autoZero"/>
        <c:crossBetween val="between"/>
        <c:majorUnit val="1"/>
      </c:valAx>
      <c:spPr>
        <a:ln>
          <a:solidFill>
            <a:sysClr val="windowText" lastClr="000000"/>
          </a:solidFill>
        </a:ln>
      </c:spPr>
    </c:plotArea>
    <c:legend>
      <c:legendPos val="r"/>
      <c:layout>
        <c:manualLayout>
          <c:xMode val="edge"/>
          <c:yMode val="edge"/>
          <c:x val="4.8955370088302468E-2"/>
          <c:y val="0.88186983311578271"/>
          <c:w val="0.91818074493958002"/>
          <c:h val="0.11077912052437294"/>
        </c:manualLayout>
      </c:layout>
      <c:spPr>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58.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534E-2"/>
          <c:y val="1.9513175616352921E-2"/>
          <c:w val="0.92433548575002433"/>
          <c:h val="0.76155690645052365"/>
        </c:manualLayout>
      </c:layout>
      <c:barChart>
        <c:barDir val="col"/>
        <c:grouping val="clustered"/>
        <c:ser>
          <c:idx val="0"/>
          <c:order val="0"/>
          <c:tx>
            <c:strRef>
              <c:f>'Graf-Národní účty-souhrnné'!$A$39</c:f>
              <c:strCache>
                <c:ptCount val="1"/>
                <c:pt idx="0">
                  <c:v>Hrubá přidaná hodnota (2010=100)</c:v>
                </c:pt>
              </c:strCache>
            </c:strRef>
          </c:tx>
          <c:spPr>
            <a:solidFill>
              <a:schemeClr val="bg1">
                <a:lumMod val="65000"/>
              </a:schemeClr>
            </a:solidFill>
            <a:ln w="12700">
              <a:noFill/>
              <a:prstDash val="solid"/>
            </a:ln>
          </c:spPr>
          <c:cat>
            <c:strRef>
              <c:f>'Graf-Národní účty-souhrnné'!$G$38:$S$38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účty-souhrnné'!$G$39:$S$39</c:f>
              <c:numCache>
                <c:formatCode>0.0</c:formatCode>
                <c:ptCount val="13"/>
                <c:pt idx="0">
                  <c:v>95.9</c:v>
                </c:pt>
                <c:pt idx="1">
                  <c:v>94.6</c:v>
                </c:pt>
                <c:pt idx="2">
                  <c:v>105.1</c:v>
                </c:pt>
                <c:pt idx="3">
                  <c:v>108.5</c:v>
                </c:pt>
                <c:pt idx="4">
                  <c:v>100.7</c:v>
                </c:pt>
                <c:pt idx="5">
                  <c:v>100</c:v>
                </c:pt>
                <c:pt idx="6">
                  <c:v>101.9</c:v>
                </c:pt>
                <c:pt idx="7">
                  <c:v>103</c:v>
                </c:pt>
                <c:pt idx="8">
                  <c:v>106.1</c:v>
                </c:pt>
                <c:pt idx="9">
                  <c:v>107.4</c:v>
                </c:pt>
                <c:pt idx="10">
                  <c:v>115.3</c:v>
                </c:pt>
                <c:pt idx="11">
                  <c:v>121.6</c:v>
                </c:pt>
                <c:pt idx="12">
                  <c:v>125.6</c:v>
                </c:pt>
              </c:numCache>
            </c:numRef>
          </c:val>
          <c:extLst xmlns:c16r2="http://schemas.microsoft.com/office/drawing/2015/06/chart">
            <c:ext xmlns:c16="http://schemas.microsoft.com/office/drawing/2014/chart" uri="{C3380CC4-5D6E-409C-BE32-E72D297353CC}">
              <c16:uniqueId val="{00000000-554F-4998-8E74-FA74952B57FB}"/>
            </c:ext>
          </c:extLst>
        </c:ser>
        <c:gapWidth val="30"/>
        <c:axId val="164593664"/>
        <c:axId val="164595200"/>
      </c:barChart>
      <c:lineChart>
        <c:grouping val="standard"/>
        <c:ser>
          <c:idx val="3"/>
          <c:order val="1"/>
          <c:tx>
            <c:strRef>
              <c:f>'Graf-Národní účty-souhrnné'!$A$40</c:f>
              <c:strCache>
                <c:ptCount val="1"/>
                <c:pt idx="0">
                  <c:v>Objem reálných vyplacených mezd a platů (2010=100)*</c:v>
                </c:pt>
              </c:strCache>
            </c:strRef>
          </c:tx>
          <c:spPr>
            <a:ln w="19050">
              <a:solidFill>
                <a:srgbClr val="F8A124"/>
              </a:solidFill>
              <a:prstDash val="solid"/>
            </a:ln>
          </c:spPr>
          <c:marker>
            <c:symbol val="none"/>
          </c:marker>
          <c:cat>
            <c:strRef>
              <c:f>'Graf-Národní účty-souhrnné'!$G$38:$S$38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účty-souhrnné'!$G$40:$S$40</c:f>
              <c:numCache>
                <c:formatCode>0.0</c:formatCode>
                <c:ptCount val="13"/>
                <c:pt idx="0">
                  <c:v>79.984339791534651</c:v>
                </c:pt>
                <c:pt idx="1">
                  <c:v>83.080404195087283</c:v>
                </c:pt>
                <c:pt idx="2">
                  <c:v>88.864730425622128</c:v>
                </c:pt>
                <c:pt idx="3">
                  <c:v>94.943835629099937</c:v>
                </c:pt>
                <c:pt idx="4">
                  <c:v>96.607579093525459</c:v>
                </c:pt>
                <c:pt idx="5">
                  <c:v>100</c:v>
                </c:pt>
                <c:pt idx="6">
                  <c:v>96.600620809361374</c:v>
                </c:pt>
                <c:pt idx="7">
                  <c:v>98.350599523630279</c:v>
                </c:pt>
                <c:pt idx="8">
                  <c:v>98.358049562797078</c:v>
                </c:pt>
                <c:pt idx="9">
                  <c:v>100.60903167662526</c:v>
                </c:pt>
                <c:pt idx="10">
                  <c:v>106.68129570046581</c:v>
                </c:pt>
                <c:pt idx="11">
                  <c:v>113.91471921893297</c:v>
                </c:pt>
                <c:pt idx="12">
                  <c:v>119.95277563565615</c:v>
                </c:pt>
              </c:numCache>
            </c:numRef>
          </c:val>
          <c:extLst xmlns:c16r2="http://schemas.microsoft.com/office/drawing/2015/06/chart">
            <c:ext xmlns:c16="http://schemas.microsoft.com/office/drawing/2014/chart" uri="{C3380CC4-5D6E-409C-BE32-E72D297353CC}">
              <c16:uniqueId val="{00000001-554F-4998-8E74-FA74952B57FB}"/>
            </c:ext>
          </c:extLst>
        </c:ser>
        <c:ser>
          <c:idx val="1"/>
          <c:order val="2"/>
          <c:tx>
            <c:strRef>
              <c:f>'Graf-Národní účty-souhrnné'!$A$41</c:f>
              <c:strCache>
                <c:ptCount val="1"/>
                <c:pt idx="0">
                  <c:v>Reálná hodinová produktivita práce (2010=100)</c:v>
                </c:pt>
              </c:strCache>
            </c:strRef>
          </c:tx>
          <c:spPr>
            <a:ln w="19050">
              <a:solidFill>
                <a:srgbClr val="7DBB2D"/>
              </a:solidFill>
            </a:ln>
          </c:spPr>
          <c:marker>
            <c:symbol val="none"/>
          </c:marker>
          <c:cat>
            <c:strRef>
              <c:f>'Graf-Národní účty-souhrnné'!$G$38:$S$38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účty-souhrnné'!$G$41:$S$41</c:f>
              <c:numCache>
                <c:formatCode>0.0</c:formatCode>
                <c:ptCount val="13"/>
                <c:pt idx="0">
                  <c:v>102.864887589408</c:v>
                </c:pt>
                <c:pt idx="1">
                  <c:v>100.12233310037236</c:v>
                </c:pt>
                <c:pt idx="2">
                  <c:v>106.0019207219066</c:v>
                </c:pt>
                <c:pt idx="3">
                  <c:v>106.83093636825731</c:v>
                </c:pt>
                <c:pt idx="4">
                  <c:v>99.670583231097638</c:v>
                </c:pt>
                <c:pt idx="5">
                  <c:v>100</c:v>
                </c:pt>
                <c:pt idx="6">
                  <c:v>105.93554071728605</c:v>
                </c:pt>
                <c:pt idx="7">
                  <c:v>106.17450590947055</c:v>
                </c:pt>
                <c:pt idx="8">
                  <c:v>107.98031642789296</c:v>
                </c:pt>
                <c:pt idx="9">
                  <c:v>106.6297958387072</c:v>
                </c:pt>
                <c:pt idx="10">
                  <c:v>114.73707204493773</c:v>
                </c:pt>
                <c:pt idx="11">
                  <c:v>113.15519971999065</c:v>
                </c:pt>
                <c:pt idx="12">
                  <c:v>115.85520920332678</c:v>
                </c:pt>
              </c:numCache>
            </c:numRef>
          </c:val>
          <c:extLst xmlns:c16r2="http://schemas.microsoft.com/office/drawing/2015/06/chart">
            <c:ext xmlns:c16="http://schemas.microsoft.com/office/drawing/2014/chart" uri="{C3380CC4-5D6E-409C-BE32-E72D297353CC}">
              <c16:uniqueId val="{00000002-554F-4998-8E74-FA74952B57FB}"/>
            </c:ext>
          </c:extLst>
        </c:ser>
        <c:ser>
          <c:idx val="7"/>
          <c:order val="3"/>
          <c:tx>
            <c:strRef>
              <c:f>'Graf-Národní účty-souhrnné'!$A$42</c:f>
              <c:strCache>
                <c:ptCount val="1"/>
                <c:pt idx="0">
                  <c:v>Zaměstnanost (úvazky na plnou pracovní dobu, 2010=100)</c:v>
                </c:pt>
              </c:strCache>
            </c:strRef>
          </c:tx>
          <c:spPr>
            <a:ln w="19050">
              <a:noFill/>
            </a:ln>
          </c:spPr>
          <c:marker>
            <c:symbol val="circle"/>
            <c:size val="5"/>
            <c:spPr>
              <a:solidFill>
                <a:srgbClr val="FFFF00"/>
              </a:solidFill>
              <a:ln w="6350">
                <a:solidFill>
                  <a:sysClr val="windowText" lastClr="000000">
                    <a:lumMod val="65000"/>
                    <a:lumOff val="35000"/>
                  </a:sysClr>
                </a:solidFill>
              </a:ln>
            </c:spPr>
          </c:marker>
          <c:cat>
            <c:strRef>
              <c:f>'Graf-Národní účty-souhrnné'!$G$38:$S$38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účty-souhrnné'!$G$42:$S$42</c:f>
              <c:numCache>
                <c:formatCode>0.0</c:formatCode>
                <c:ptCount val="13"/>
                <c:pt idx="0">
                  <c:v>91.640034544505312</c:v>
                </c:pt>
                <c:pt idx="1">
                  <c:v>93.049869970188297</c:v>
                </c:pt>
                <c:pt idx="2">
                  <c:v>98.508926436792819</c:v>
                </c:pt>
                <c:pt idx="3">
                  <c:v>101.14294496787069</c:v>
                </c:pt>
                <c:pt idx="4">
                  <c:v>100.72040906939642</c:v>
                </c:pt>
                <c:pt idx="5">
                  <c:v>100</c:v>
                </c:pt>
                <c:pt idx="6">
                  <c:v>96.817075134298989</c:v>
                </c:pt>
                <c:pt idx="7">
                  <c:v>98.579186447623826</c:v>
                </c:pt>
                <c:pt idx="8">
                  <c:v>100.1444233555986</c:v>
                </c:pt>
                <c:pt idx="9">
                  <c:v>102.68134645504091</c:v>
                </c:pt>
                <c:pt idx="10">
                  <c:v>105.00017077085917</c:v>
                </c:pt>
                <c:pt idx="11">
                  <c:v>107.90205559323358</c:v>
                </c:pt>
                <c:pt idx="12">
                  <c:v>108.97815596746571</c:v>
                </c:pt>
              </c:numCache>
            </c:numRef>
          </c:val>
          <c:extLst xmlns:c16r2="http://schemas.microsoft.com/office/drawing/2015/06/chart">
            <c:ext xmlns:c16="http://schemas.microsoft.com/office/drawing/2014/chart" uri="{C3380CC4-5D6E-409C-BE32-E72D297353CC}">
              <c16:uniqueId val="{00000003-554F-4998-8E74-FA74952B57FB}"/>
            </c:ext>
          </c:extLst>
        </c:ser>
        <c:marker val="1"/>
        <c:axId val="164593664"/>
        <c:axId val="164595200"/>
      </c:lineChart>
      <c:lineChart>
        <c:grouping val="standard"/>
        <c:ser>
          <c:idx val="2"/>
          <c:order val="4"/>
          <c:tx>
            <c:strRef>
              <c:f>'Graf-Národní účty-souhrnné'!$A$43</c:f>
              <c:strCache>
                <c:ptCount val="1"/>
                <c:pt idx="0">
                  <c:v>Míra investic (v %, pravá osa)</c:v>
                </c:pt>
              </c:strCache>
            </c:strRef>
          </c:tx>
          <c:spPr>
            <a:ln w="19050">
              <a:solidFill>
                <a:srgbClr val="BD1B21"/>
              </a:solidFill>
              <a:prstDash val="sysDash"/>
            </a:ln>
          </c:spPr>
          <c:marker>
            <c:symbol val="none"/>
          </c:marker>
          <c:cat>
            <c:strRef>
              <c:f>'Graf-Národní účty-souhrnné'!$G$38:$S$38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účty-souhrnné'!$G$43:$S$43</c:f>
              <c:numCache>
                <c:formatCode>0.0</c:formatCode>
                <c:ptCount val="13"/>
                <c:pt idx="0">
                  <c:v>24.149354029624735</c:v>
                </c:pt>
                <c:pt idx="1">
                  <c:v>24.850780872327441</c:v>
                </c:pt>
                <c:pt idx="2">
                  <c:v>23.963135633535778</c:v>
                </c:pt>
                <c:pt idx="3">
                  <c:v>27.087343409800887</c:v>
                </c:pt>
                <c:pt idx="4">
                  <c:v>23.362101498022874</c:v>
                </c:pt>
                <c:pt idx="5">
                  <c:v>25.090889153191455</c:v>
                </c:pt>
                <c:pt idx="6">
                  <c:v>25.741884880438565</c:v>
                </c:pt>
                <c:pt idx="7">
                  <c:v>27.650696952310227</c:v>
                </c:pt>
                <c:pt idx="8">
                  <c:v>23.941685190894194</c:v>
                </c:pt>
                <c:pt idx="9">
                  <c:v>22.649716020097646</c:v>
                </c:pt>
                <c:pt idx="10">
                  <c:v>26.551750792301153</c:v>
                </c:pt>
                <c:pt idx="11">
                  <c:v>25.033848931194353</c:v>
                </c:pt>
                <c:pt idx="12">
                  <c:v>25.468685402146562</c:v>
                </c:pt>
              </c:numCache>
            </c:numRef>
          </c:val>
          <c:extLst xmlns:c16r2="http://schemas.microsoft.com/office/drawing/2015/06/chart">
            <c:ext xmlns:c16="http://schemas.microsoft.com/office/drawing/2014/chart" uri="{C3380CC4-5D6E-409C-BE32-E72D297353CC}">
              <c16:uniqueId val="{00000004-554F-4998-8E74-FA74952B57FB}"/>
            </c:ext>
          </c:extLst>
        </c:ser>
        <c:ser>
          <c:idx val="5"/>
          <c:order val="5"/>
          <c:tx>
            <c:strRef>
              <c:f>'Graf-Národní účty-souhrnné'!$A$44</c:f>
              <c:strCache>
                <c:ptCount val="1"/>
                <c:pt idx="0">
                  <c:v>Míra zisku nefinančních podniků (v %, pravá osa)</c:v>
                </c:pt>
              </c:strCache>
            </c:strRef>
          </c:tx>
          <c:spPr>
            <a:ln w="19050">
              <a:solidFill>
                <a:srgbClr val="0071BC"/>
              </a:solidFill>
              <a:prstDash val="sysDash"/>
            </a:ln>
          </c:spPr>
          <c:marker>
            <c:symbol val="none"/>
          </c:marker>
          <c:cat>
            <c:strRef>
              <c:f>'Graf-Národní účty-souhrnné'!$G$38:$S$38</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účty-souhrnné'!$G$44:$S$44</c:f>
              <c:numCache>
                <c:formatCode>0.0</c:formatCode>
                <c:ptCount val="13"/>
                <c:pt idx="0">
                  <c:v>40.847552972060761</c:v>
                </c:pt>
                <c:pt idx="1">
                  <c:v>40.922024193970763</c:v>
                </c:pt>
                <c:pt idx="2">
                  <c:v>39.845199400388857</c:v>
                </c:pt>
                <c:pt idx="3">
                  <c:v>40.454847382571494</c:v>
                </c:pt>
                <c:pt idx="4">
                  <c:v>35.693275043178311</c:v>
                </c:pt>
                <c:pt idx="5">
                  <c:v>30.664077453662138</c:v>
                </c:pt>
                <c:pt idx="6">
                  <c:v>35.523111117026232</c:v>
                </c:pt>
                <c:pt idx="7">
                  <c:v>33.767521433987206</c:v>
                </c:pt>
                <c:pt idx="8">
                  <c:v>36.942047610305345</c:v>
                </c:pt>
                <c:pt idx="9">
                  <c:v>37.476246119707746</c:v>
                </c:pt>
                <c:pt idx="10">
                  <c:v>38.808608133540595</c:v>
                </c:pt>
                <c:pt idx="11">
                  <c:v>38.420232289205089</c:v>
                </c:pt>
                <c:pt idx="12">
                  <c:v>37.899160057965851</c:v>
                </c:pt>
              </c:numCache>
            </c:numRef>
          </c:val>
          <c:extLst xmlns:c16r2="http://schemas.microsoft.com/office/drawing/2015/06/chart">
            <c:ext xmlns:c16="http://schemas.microsoft.com/office/drawing/2014/chart" uri="{C3380CC4-5D6E-409C-BE32-E72D297353CC}">
              <c16:uniqueId val="{00000005-554F-4998-8E74-FA74952B57FB}"/>
            </c:ext>
          </c:extLst>
        </c:ser>
        <c:marker val="1"/>
        <c:axId val="164598528"/>
        <c:axId val="164596736"/>
      </c:lineChart>
      <c:catAx>
        <c:axId val="164593664"/>
        <c:scaling>
          <c:orientation val="minMax"/>
        </c:scaling>
        <c:axPos val="b"/>
        <c:numFmt formatCode="General" sourceLinked="1"/>
        <c:tickLblPos val="low"/>
        <c:spPr>
          <a:ln w="9525">
            <a:solidFill>
              <a:schemeClr val="tx1"/>
            </a:solidFill>
            <a:prstDash val="solid"/>
          </a:ln>
        </c:spPr>
        <c:txPr>
          <a:bodyPr rot="0" vert="horz"/>
          <a:lstStyle/>
          <a:p>
            <a:pPr>
              <a:defRPr/>
            </a:pPr>
            <a:endParaRPr lang="cs-CZ"/>
          </a:p>
        </c:txPr>
        <c:crossAx val="164595200"/>
        <c:crossesAt val="100"/>
        <c:lblAlgn val="ctr"/>
        <c:lblOffset val="0"/>
        <c:tickLblSkip val="1"/>
        <c:tickMarkSkip val="4"/>
      </c:catAx>
      <c:valAx>
        <c:axId val="164595200"/>
        <c:scaling>
          <c:orientation val="minMax"/>
          <c:max val="130"/>
          <c:min val="8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64593664"/>
        <c:crosses val="autoZero"/>
        <c:crossBetween val="between"/>
        <c:majorUnit val="5"/>
      </c:valAx>
      <c:valAx>
        <c:axId val="164596736"/>
        <c:scaling>
          <c:orientation val="minMax"/>
          <c:max val="50"/>
          <c:min val="0"/>
        </c:scaling>
        <c:axPos val="r"/>
        <c:numFmt formatCode="0" sourceLinked="0"/>
        <c:tickLblPos val="nextTo"/>
        <c:crossAx val="164598528"/>
        <c:crosses val="max"/>
        <c:crossBetween val="between"/>
      </c:valAx>
      <c:catAx>
        <c:axId val="164598528"/>
        <c:scaling>
          <c:orientation val="minMax"/>
        </c:scaling>
        <c:delete val="1"/>
        <c:axPos val="b"/>
        <c:numFmt formatCode="General" sourceLinked="1"/>
        <c:tickLblPos val="none"/>
        <c:crossAx val="164596736"/>
        <c:crosses val="autoZero"/>
        <c:auto val="1"/>
        <c:lblAlgn val="ctr"/>
        <c:lblOffset val="100"/>
      </c:catAx>
      <c:spPr>
        <a:noFill/>
        <a:ln w="9525">
          <a:solidFill>
            <a:schemeClr val="tx1"/>
          </a:solidFill>
        </a:ln>
      </c:spPr>
    </c:plotArea>
    <c:legend>
      <c:legendPos val="b"/>
      <c:layout>
        <c:manualLayout>
          <c:xMode val="edge"/>
          <c:yMode val="edge"/>
          <c:x val="6.0825149028219005E-2"/>
          <c:y val="0.82202069383885679"/>
          <c:w val="0.88531755998340755"/>
          <c:h val="0.17440494685409819"/>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59.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5.3402259241214903E-2"/>
          <c:y val="1.6434241361665363E-2"/>
          <c:w val="0.93179896008611662"/>
          <c:h val="0.74114409205517884"/>
        </c:manualLayout>
      </c:layout>
      <c:barChart>
        <c:barDir val="col"/>
        <c:grouping val="stacked"/>
        <c:ser>
          <c:idx val="0"/>
          <c:order val="0"/>
          <c:tx>
            <c:strRef>
              <c:f>'GRAF-příspěvky'!$A$36</c:f>
              <c:strCache>
                <c:ptCount val="1"/>
                <c:pt idx="0">
                  <c:v>Právní a účetnické čin. (NACE 69)</c:v>
                </c:pt>
              </c:strCache>
            </c:strRef>
          </c:tx>
          <c:spPr>
            <a:solidFill>
              <a:srgbClr val="A6CDE8"/>
            </a:solidFill>
            <a:ln>
              <a:noFill/>
            </a:ln>
          </c:spPr>
          <c:cat>
            <c:numRef>
              <c:f>'GRAF-příspěvky'!$B$35:$N$35</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'GRAF-příspěvky'!$B$36:$N$36</c:f>
              <c:numCache>
                <c:formatCode>0.0</c:formatCode>
                <c:ptCount val="13"/>
                <c:pt idx="0">
                  <c:v>1.2008930681354817</c:v>
                </c:pt>
                <c:pt idx="1">
                  <c:v>-0.23942738296540864</c:v>
                </c:pt>
                <c:pt idx="2">
                  <c:v>1.70857607095022</c:v>
                </c:pt>
                <c:pt idx="3">
                  <c:v>-0.30059258217322032</c:v>
                </c:pt>
                <c:pt idx="4">
                  <c:v>-1.3499904037509138</c:v>
                </c:pt>
                <c:pt idx="5">
                  <c:v>-0.97692394973245256</c:v>
                </c:pt>
                <c:pt idx="6">
                  <c:v>5.1032888798912213E-2</c:v>
                </c:pt>
                <c:pt idx="7">
                  <c:v>0.68272883921550875</c:v>
                </c:pt>
                <c:pt idx="8">
                  <c:v>2.601872836721774E-2</c:v>
                </c:pt>
                <c:pt idx="9">
                  <c:v>6.7582153388131394E-2</c:v>
                </c:pt>
                <c:pt idx="10">
                  <c:v>0.94725508422449478</c:v>
                </c:pt>
                <c:pt idx="11">
                  <c:v>1.161380165502826</c:v>
                </c:pt>
                <c:pt idx="12">
                  <c:v>0.38133238825532101</c:v>
                </c:pt>
              </c:numCache>
            </c:numRef>
          </c:val>
          <c:extLst xmlns:c16r2="http://schemas.microsoft.com/office/drawing/2015/06/chart">
            <c:ext xmlns:c16="http://schemas.microsoft.com/office/drawing/2014/chart" uri="{C3380CC4-5D6E-409C-BE32-E72D297353CC}">
              <c16:uniqueId val="{00000000-4BB5-4047-A2B8-9E8C70C9A1E7}"/>
            </c:ext>
          </c:extLst>
        </c:ser>
        <c:ser>
          <c:idx val="1"/>
          <c:order val="1"/>
          <c:tx>
            <c:strRef>
              <c:f>'GRAF-příspěvky'!$A$37</c:f>
              <c:strCache>
                <c:ptCount val="1"/>
                <c:pt idx="0">
                  <c:v>Poradenství v oblasti řízení (70)</c:v>
                </c:pt>
              </c:strCache>
            </c:strRef>
          </c:tx>
          <c:spPr>
            <a:solidFill>
              <a:srgbClr val="0085BC"/>
            </a:solidFill>
            <a:ln>
              <a:noFill/>
            </a:ln>
          </c:spPr>
          <c:cat>
            <c:numRef>
              <c:f>'GRAF-příspěvky'!$B$35:$N$35</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'GRAF-příspěvky'!$B$37:$N$37</c:f>
              <c:numCache>
                <c:formatCode>0.0</c:formatCode>
                <c:ptCount val="13"/>
                <c:pt idx="0">
                  <c:v>0.98564240139338444</c:v>
                </c:pt>
                <c:pt idx="1">
                  <c:v>-5.2836230550903814E-2</c:v>
                </c:pt>
                <c:pt idx="2">
                  <c:v>1.5621529708537834</c:v>
                </c:pt>
                <c:pt idx="3">
                  <c:v>0.80334273059208361</c:v>
                </c:pt>
                <c:pt idx="4">
                  <c:v>1.4180766686993878</c:v>
                </c:pt>
                <c:pt idx="5">
                  <c:v>0.52658832026808278</c:v>
                </c:pt>
                <c:pt idx="6">
                  <c:v>0.4706835033023784</c:v>
                </c:pt>
                <c:pt idx="7">
                  <c:v>-0.67783291522875255</c:v>
                </c:pt>
                <c:pt idx="8">
                  <c:v>0.9659797309053676</c:v>
                </c:pt>
                <c:pt idx="9">
                  <c:v>-0.31725774799127138</c:v>
                </c:pt>
                <c:pt idx="10">
                  <c:v>1.046487718064256</c:v>
                </c:pt>
                <c:pt idx="11">
                  <c:v>-0.36700307242163899</c:v>
                </c:pt>
                <c:pt idx="12">
                  <c:v>0.28675256077754741</c:v>
                </c:pt>
              </c:numCache>
            </c:numRef>
          </c:val>
          <c:extLst xmlns:c16r2="http://schemas.microsoft.com/office/drawing/2015/06/chart">
            <c:ext xmlns:c16="http://schemas.microsoft.com/office/drawing/2014/chart" uri="{C3380CC4-5D6E-409C-BE32-E72D297353CC}">
              <c16:uniqueId val="{00000001-4BB5-4047-A2B8-9E8C70C9A1E7}"/>
            </c:ext>
          </c:extLst>
        </c:ser>
        <c:ser>
          <c:idx val="2"/>
          <c:order val="2"/>
          <c:tx>
            <c:strRef>
              <c:f>'GRAF-příspěvky'!$A$38</c:f>
              <c:strCache>
                <c:ptCount val="1"/>
                <c:pt idx="0">
                  <c:v>Architektonické a inženýrské čin. (71)</c:v>
                </c:pt>
              </c:strCache>
            </c:strRef>
          </c:tx>
          <c:spPr>
            <a:solidFill>
              <a:srgbClr val="48AEE7"/>
            </a:solidFill>
            <a:ln>
              <a:noFill/>
            </a:ln>
          </c:spPr>
          <c:cat>
            <c:numRef>
              <c:f>'GRAF-příspěvky'!$B$35:$N$35</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'GRAF-příspěvky'!$B$38:$N$38</c:f>
              <c:numCache>
                <c:formatCode>0.0</c:formatCode>
                <c:ptCount val="13"/>
                <c:pt idx="0">
                  <c:v>2.4109266570658243</c:v>
                </c:pt>
                <c:pt idx="1">
                  <c:v>-1.8196852738246376</c:v>
                </c:pt>
                <c:pt idx="2">
                  <c:v>3.7127655381712978</c:v>
                </c:pt>
                <c:pt idx="3">
                  <c:v>0.38237265390043945</c:v>
                </c:pt>
                <c:pt idx="4">
                  <c:v>-0.8797603838888971</c:v>
                </c:pt>
                <c:pt idx="5">
                  <c:v>0.24508686554183623</c:v>
                </c:pt>
                <c:pt idx="6">
                  <c:v>-1.406145878145272</c:v>
                </c:pt>
                <c:pt idx="7">
                  <c:v>0.26325675398283538</c:v>
                </c:pt>
                <c:pt idx="8">
                  <c:v>-0.73570766712172164</c:v>
                </c:pt>
                <c:pt idx="9">
                  <c:v>-0.34636100597760916</c:v>
                </c:pt>
                <c:pt idx="10">
                  <c:v>0.81028130606193727</c:v>
                </c:pt>
                <c:pt idx="11">
                  <c:v>1.1238323252586477</c:v>
                </c:pt>
                <c:pt idx="12">
                  <c:v>0.7582478817228977</c:v>
                </c:pt>
              </c:numCache>
            </c:numRef>
          </c:val>
          <c:extLst xmlns:c16r2="http://schemas.microsoft.com/office/drawing/2015/06/chart">
            <c:ext xmlns:c16="http://schemas.microsoft.com/office/drawing/2014/chart" uri="{C3380CC4-5D6E-409C-BE32-E72D297353CC}">
              <c16:uniqueId val="{00000002-4BB5-4047-A2B8-9E8C70C9A1E7}"/>
            </c:ext>
          </c:extLst>
        </c:ser>
        <c:ser>
          <c:idx val="3"/>
          <c:order val="3"/>
          <c:tx>
            <c:strRef>
              <c:f>'GRAF-příspěvky'!$A$39</c:f>
              <c:strCache>
                <c:ptCount val="1"/>
                <c:pt idx="0">
                  <c:v>Výzkum a vývoj (72)</c:v>
                </c:pt>
              </c:strCache>
            </c:strRef>
          </c:tx>
          <c:spPr>
            <a:solidFill>
              <a:srgbClr val="7DBB2D"/>
            </a:solidFill>
            <a:ln>
              <a:noFill/>
            </a:ln>
          </c:spPr>
          <c:cat>
            <c:numRef>
              <c:f>'GRAF-příspěvky'!$B$35:$N$35</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'GRAF-příspěvky'!$B$39:$N$39</c:f>
              <c:numCache>
                <c:formatCode>0.0</c:formatCode>
                <c:ptCount val="13"/>
                <c:pt idx="0">
                  <c:v>-0.45705420320730838</c:v>
                </c:pt>
                <c:pt idx="1">
                  <c:v>-0.550835889867898</c:v>
                </c:pt>
                <c:pt idx="2">
                  <c:v>0.74674855594720424</c:v>
                </c:pt>
                <c:pt idx="3">
                  <c:v>0.11864788362850805</c:v>
                </c:pt>
                <c:pt idx="4">
                  <c:v>0.1748598507901537</c:v>
                </c:pt>
                <c:pt idx="5">
                  <c:v>-0.27854283390559681</c:v>
                </c:pt>
                <c:pt idx="6">
                  <c:v>1.0506026941991218</c:v>
                </c:pt>
                <c:pt idx="7">
                  <c:v>0.60027308807229907</c:v>
                </c:pt>
                <c:pt idx="8">
                  <c:v>0.24955830740587817</c:v>
                </c:pt>
                <c:pt idx="9">
                  <c:v>1.4887504645007676</c:v>
                </c:pt>
                <c:pt idx="10">
                  <c:v>1.5842582647007966</c:v>
                </c:pt>
                <c:pt idx="11">
                  <c:v>0.85695912633353666</c:v>
                </c:pt>
                <c:pt idx="12">
                  <c:v>4.2811808035925714E-2</c:v>
                </c:pt>
              </c:numCache>
            </c:numRef>
          </c:val>
          <c:extLst xmlns:c16r2="http://schemas.microsoft.com/office/drawing/2015/06/chart">
            <c:ext xmlns:c16="http://schemas.microsoft.com/office/drawing/2014/chart" uri="{C3380CC4-5D6E-409C-BE32-E72D297353CC}">
              <c16:uniqueId val="{00000003-4BB5-4047-A2B8-9E8C70C9A1E7}"/>
            </c:ext>
          </c:extLst>
        </c:ser>
        <c:ser>
          <c:idx val="4"/>
          <c:order val="4"/>
          <c:tx>
            <c:strRef>
              <c:f>'GRAF-příspěvky'!$A$40</c:f>
              <c:strCache>
                <c:ptCount val="1"/>
                <c:pt idx="0">
                  <c:v>Reklama a průzkum trhu (73)</c:v>
                </c:pt>
              </c:strCache>
            </c:strRef>
          </c:tx>
          <c:spPr>
            <a:solidFill>
              <a:srgbClr val="D2E7B6"/>
            </a:solidFill>
            <a:ln>
              <a:noFill/>
            </a:ln>
          </c:spPr>
          <c:cat>
            <c:numRef>
              <c:f>'GRAF-příspěvky'!$B$35:$N$35</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'GRAF-příspěvky'!$B$40:$N$40</c:f>
              <c:numCache>
                <c:formatCode>0.0</c:formatCode>
                <c:ptCount val="13"/>
                <c:pt idx="0">
                  <c:v>-1.1229392296885703</c:v>
                </c:pt>
                <c:pt idx="1">
                  <c:v>-0.47405060572234803</c:v>
                </c:pt>
                <c:pt idx="2">
                  <c:v>-1.419999720094818</c:v>
                </c:pt>
                <c:pt idx="3">
                  <c:v>0.90648032566752856</c:v>
                </c:pt>
                <c:pt idx="4">
                  <c:v>-1.6703376280358768</c:v>
                </c:pt>
                <c:pt idx="5">
                  <c:v>0.50810554629124216</c:v>
                </c:pt>
                <c:pt idx="6">
                  <c:v>-0.59763308618231759</c:v>
                </c:pt>
                <c:pt idx="7">
                  <c:v>0.912843731969461</c:v>
                </c:pt>
                <c:pt idx="8">
                  <c:v>-1.3655765336971979</c:v>
                </c:pt>
                <c:pt idx="9">
                  <c:v>0.2411284266308274</c:v>
                </c:pt>
                <c:pt idx="10">
                  <c:v>0.64806917228632765</c:v>
                </c:pt>
                <c:pt idx="11">
                  <c:v>-2.5989755619744651E-2</c:v>
                </c:pt>
                <c:pt idx="12">
                  <c:v>3.7017287181030999E-2</c:v>
                </c:pt>
              </c:numCache>
            </c:numRef>
          </c:val>
          <c:extLst xmlns:c16r2="http://schemas.microsoft.com/office/drawing/2015/06/chart">
            <c:ext xmlns:c16="http://schemas.microsoft.com/office/drawing/2014/chart" uri="{C3380CC4-5D6E-409C-BE32-E72D297353CC}">
              <c16:uniqueId val="{00000004-4BB5-4047-A2B8-9E8C70C9A1E7}"/>
            </c:ext>
          </c:extLst>
        </c:ser>
        <c:ser>
          <c:idx val="5"/>
          <c:order val="5"/>
          <c:tx>
            <c:strRef>
              <c:f>'GRAF-příspěvky'!$A$41</c:f>
              <c:strCache>
                <c:ptCount val="1"/>
                <c:pt idx="0">
                  <c:v>Ost. profesní, věd., technic. čin. (74+75)</c:v>
                </c:pt>
              </c:strCache>
            </c:strRef>
          </c:tx>
          <c:spPr>
            <a:solidFill>
              <a:srgbClr val="808080"/>
            </a:solidFill>
            <a:ln>
              <a:noFill/>
            </a:ln>
          </c:spPr>
          <c:cat>
            <c:numRef>
              <c:f>'GRAF-příspěvky'!$B$35:$N$35</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'GRAF-příspěvky'!$B$41:$N$41</c:f>
              <c:numCache>
                <c:formatCode>0.0</c:formatCode>
                <c:ptCount val="13"/>
                <c:pt idx="0">
                  <c:v>0.19748406504091151</c:v>
                </c:pt>
                <c:pt idx="1">
                  <c:v>0.42628222668475974</c:v>
                </c:pt>
                <c:pt idx="2">
                  <c:v>6.955258235342497E-3</c:v>
                </c:pt>
                <c:pt idx="3">
                  <c:v>-0.52396500967678661</c:v>
                </c:pt>
                <c:pt idx="4">
                  <c:v>-1.3885130170822013</c:v>
                </c:pt>
                <c:pt idx="5">
                  <c:v>0.53526453781920136</c:v>
                </c:pt>
                <c:pt idx="6">
                  <c:v>0.1467722752233227</c:v>
                </c:pt>
                <c:pt idx="7">
                  <c:v>-0.56720137840763252</c:v>
                </c:pt>
                <c:pt idx="8">
                  <c:v>1.8258252557537598</c:v>
                </c:pt>
                <c:pt idx="9">
                  <c:v>0.16877163992873515</c:v>
                </c:pt>
                <c:pt idx="10">
                  <c:v>0.55966474483473549</c:v>
                </c:pt>
                <c:pt idx="11">
                  <c:v>1.0782977526125239</c:v>
                </c:pt>
                <c:pt idx="12">
                  <c:v>0.49511499833377887</c:v>
                </c:pt>
              </c:numCache>
            </c:numRef>
          </c:val>
          <c:extLst xmlns:c16r2="http://schemas.microsoft.com/office/drawing/2015/06/chart">
            <c:ext xmlns:c16="http://schemas.microsoft.com/office/drawing/2014/chart" uri="{C3380CC4-5D6E-409C-BE32-E72D297353CC}">
              <c16:uniqueId val="{00000005-4BB5-4047-A2B8-9E8C70C9A1E7}"/>
            </c:ext>
          </c:extLst>
        </c:ser>
        <c:ser>
          <c:idx val="6"/>
          <c:order val="6"/>
          <c:tx>
            <c:strRef>
              <c:f>'GRAF-příspěvky'!$A$42</c:f>
              <c:strCache>
                <c:ptCount val="1"/>
                <c:pt idx="0">
                  <c:v>Pronájem, operativní leasing (77)</c:v>
                </c:pt>
              </c:strCache>
            </c:strRef>
          </c:tx>
          <c:spPr>
            <a:solidFill>
              <a:srgbClr val="FDDEB3"/>
            </a:solidFill>
            <a:ln>
              <a:noFill/>
            </a:ln>
          </c:spPr>
          <c:cat>
            <c:numRef>
              <c:f>'GRAF-příspěvky'!$B$35:$N$35</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'GRAF-příspěvky'!$B$42:$N$42</c:f>
              <c:numCache>
                <c:formatCode>0.0</c:formatCode>
                <c:ptCount val="13"/>
                <c:pt idx="0">
                  <c:v>0.55880944206565364</c:v>
                </c:pt>
                <c:pt idx="1">
                  <c:v>1.0820268908243198</c:v>
                </c:pt>
                <c:pt idx="2">
                  <c:v>0.97262667030880934</c:v>
                </c:pt>
                <c:pt idx="3">
                  <c:v>1.2840901216756315</c:v>
                </c:pt>
                <c:pt idx="4">
                  <c:v>-0.36263262774805038</c:v>
                </c:pt>
                <c:pt idx="5">
                  <c:v>8.5793180757170864E-2</c:v>
                </c:pt>
                <c:pt idx="6">
                  <c:v>0.47996221035672482</c:v>
                </c:pt>
                <c:pt idx="7">
                  <c:v>0.25585408243731234</c:v>
                </c:pt>
                <c:pt idx="8">
                  <c:v>1.6718876168025005</c:v>
                </c:pt>
                <c:pt idx="9">
                  <c:v>-6.4557879548727631E-2</c:v>
                </c:pt>
                <c:pt idx="10">
                  <c:v>0.49298426828612346</c:v>
                </c:pt>
                <c:pt idx="11">
                  <c:v>1.0926568052578123</c:v>
                </c:pt>
                <c:pt idx="12">
                  <c:v>0.97136865413598994</c:v>
                </c:pt>
              </c:numCache>
            </c:numRef>
          </c:val>
          <c:extLst xmlns:c16r2="http://schemas.microsoft.com/office/drawing/2015/06/chart">
            <c:ext xmlns:c16="http://schemas.microsoft.com/office/drawing/2014/chart" uri="{C3380CC4-5D6E-409C-BE32-E72D297353CC}">
              <c16:uniqueId val="{00000006-4BB5-4047-A2B8-9E8C70C9A1E7}"/>
            </c:ext>
          </c:extLst>
        </c:ser>
        <c:ser>
          <c:idx val="7"/>
          <c:order val="7"/>
          <c:tx>
            <c:strRef>
              <c:f>'GRAF-příspěvky'!$A$43</c:f>
              <c:strCache>
                <c:ptCount val="1"/>
                <c:pt idx="0">
                  <c:v>Pracovní agentury (78)</c:v>
                </c:pt>
              </c:strCache>
            </c:strRef>
          </c:tx>
          <c:spPr>
            <a:solidFill>
              <a:srgbClr val="F8A124"/>
            </a:solidFill>
            <a:ln w="28575">
              <a:noFill/>
            </a:ln>
          </c:spPr>
          <c:cat>
            <c:numRef>
              <c:f>'GRAF-příspěvky'!$B$35:$N$35</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'GRAF-příspěvky'!$B$43:$N$43</c:f>
              <c:numCache>
                <c:formatCode>0.0</c:formatCode>
                <c:ptCount val="13"/>
                <c:pt idx="0">
                  <c:v>0.18170894228249451</c:v>
                </c:pt>
                <c:pt idx="1">
                  <c:v>3.4077713362822212E-2</c:v>
                </c:pt>
                <c:pt idx="2">
                  <c:v>0.51251749862182316</c:v>
                </c:pt>
                <c:pt idx="3">
                  <c:v>0.75835177826689104</c:v>
                </c:pt>
                <c:pt idx="4">
                  <c:v>-0.32859718002976507</c:v>
                </c:pt>
                <c:pt idx="5">
                  <c:v>-1.1415760773649852</c:v>
                </c:pt>
                <c:pt idx="6">
                  <c:v>0.96372025541750372</c:v>
                </c:pt>
                <c:pt idx="7">
                  <c:v>-0.65140997445908799</c:v>
                </c:pt>
                <c:pt idx="8">
                  <c:v>0.27583319257543476</c:v>
                </c:pt>
                <c:pt idx="9">
                  <c:v>-0.31989800941553898</c:v>
                </c:pt>
                <c:pt idx="10">
                  <c:v>0.5749965079221766</c:v>
                </c:pt>
                <c:pt idx="11">
                  <c:v>0.13532824653503425</c:v>
                </c:pt>
                <c:pt idx="12">
                  <c:v>0.46019478637268973</c:v>
                </c:pt>
              </c:numCache>
            </c:numRef>
          </c:val>
          <c:extLst xmlns:c16r2="http://schemas.microsoft.com/office/drawing/2015/06/chart">
            <c:ext xmlns:c16="http://schemas.microsoft.com/office/drawing/2014/chart" uri="{C3380CC4-5D6E-409C-BE32-E72D297353CC}">
              <c16:uniqueId val="{00000007-4BB5-4047-A2B8-9E8C70C9A1E7}"/>
            </c:ext>
          </c:extLst>
        </c:ser>
        <c:ser>
          <c:idx val="8"/>
          <c:order val="8"/>
          <c:tx>
            <c:strRef>
              <c:f>'GRAF-příspěvky'!$A$44</c:f>
              <c:strCache>
                <c:ptCount val="1"/>
                <c:pt idx="0">
                  <c:v>Cestovní agentury, kanceláře (79)</c:v>
                </c:pt>
              </c:strCache>
            </c:strRef>
          </c:tx>
          <c:spPr>
            <a:solidFill>
              <a:srgbClr val="E8AFB2"/>
            </a:solidFill>
            <a:ln w="28575">
              <a:noFill/>
            </a:ln>
          </c:spPr>
          <c:cat>
            <c:numRef>
              <c:f>'GRAF-příspěvky'!$B$35:$N$35</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'GRAF-příspěvky'!$B$44:$N$44</c:f>
              <c:numCache>
                <c:formatCode>0.0</c:formatCode>
                <c:ptCount val="13"/>
                <c:pt idx="0">
                  <c:v>-0.84498905606620234</c:v>
                </c:pt>
                <c:pt idx="1">
                  <c:v>0.15206701559911354</c:v>
                </c:pt>
                <c:pt idx="2">
                  <c:v>-0.22242793655133514</c:v>
                </c:pt>
                <c:pt idx="3">
                  <c:v>0.14391904212810497</c:v>
                </c:pt>
                <c:pt idx="4">
                  <c:v>-0.31064052365861311</c:v>
                </c:pt>
                <c:pt idx="5">
                  <c:v>0.38559901258336926</c:v>
                </c:pt>
                <c:pt idx="6">
                  <c:v>0.3875968992248105</c:v>
                </c:pt>
                <c:pt idx="7">
                  <c:v>1.2277314181592298E-2</c:v>
                </c:pt>
                <c:pt idx="8">
                  <c:v>-0.25947965087043218</c:v>
                </c:pt>
                <c:pt idx="9">
                  <c:v>-0.19723943782348499</c:v>
                </c:pt>
                <c:pt idx="10">
                  <c:v>-0.39171042704799175</c:v>
                </c:pt>
                <c:pt idx="11">
                  <c:v>-0.17522231359719662</c:v>
                </c:pt>
                <c:pt idx="12">
                  <c:v>3.3861289329143642E-3</c:v>
                </c:pt>
              </c:numCache>
            </c:numRef>
          </c:val>
          <c:extLst xmlns:c16r2="http://schemas.microsoft.com/office/drawing/2015/06/chart">
            <c:ext xmlns:c16="http://schemas.microsoft.com/office/drawing/2014/chart" uri="{C3380CC4-5D6E-409C-BE32-E72D297353CC}">
              <c16:uniqueId val="{00000008-4BB5-4047-A2B8-9E8C70C9A1E7}"/>
            </c:ext>
          </c:extLst>
        </c:ser>
        <c:ser>
          <c:idx val="9"/>
          <c:order val="9"/>
          <c:tx>
            <c:strRef>
              <c:f>'GRAF-příspěvky'!$A$45</c:f>
              <c:strCache>
                <c:ptCount val="1"/>
                <c:pt idx="0">
                  <c:v>Bezpečnostní a pátrací čin. (80)</c:v>
                </c:pt>
              </c:strCache>
            </c:strRef>
          </c:tx>
          <c:spPr>
            <a:solidFill>
              <a:srgbClr val="BD1B21"/>
            </a:solidFill>
            <a:ln w="28575">
              <a:noFill/>
            </a:ln>
          </c:spPr>
          <c:cat>
            <c:numRef>
              <c:f>'GRAF-příspěvky'!$B$35:$N$35</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'GRAF-příspěvky'!$B$45:$N$45</c:f>
              <c:numCache>
                <c:formatCode>0.0</c:formatCode>
                <c:ptCount val="13"/>
                <c:pt idx="0">
                  <c:v>-0.77708494605809453</c:v>
                </c:pt>
                <c:pt idx="1">
                  <c:v>-0.38854212710914343</c:v>
                </c:pt>
                <c:pt idx="2">
                  <c:v>1.7419008119295298</c:v>
                </c:pt>
                <c:pt idx="3">
                  <c:v>-0.20545666702683701</c:v>
                </c:pt>
                <c:pt idx="4">
                  <c:v>-0.48853058676929056</c:v>
                </c:pt>
                <c:pt idx="5">
                  <c:v>-0.61004938597624259</c:v>
                </c:pt>
                <c:pt idx="6">
                  <c:v>-5.1876407622035894E-2</c:v>
                </c:pt>
                <c:pt idx="7">
                  <c:v>-0.23987049974013774</c:v>
                </c:pt>
                <c:pt idx="8">
                  <c:v>-0.11092566896929566</c:v>
                </c:pt>
                <c:pt idx="9">
                  <c:v>6.4519196538268334E-2</c:v>
                </c:pt>
                <c:pt idx="10">
                  <c:v>3.8266444974988725E-2</c:v>
                </c:pt>
                <c:pt idx="11">
                  <c:v>-5.2209376445428474E-2</c:v>
                </c:pt>
                <c:pt idx="12">
                  <c:v>-0.11184046823409793</c:v>
                </c:pt>
              </c:numCache>
            </c:numRef>
          </c:val>
          <c:extLst xmlns:c16r2="http://schemas.microsoft.com/office/drawing/2015/06/chart">
            <c:ext xmlns:c16="http://schemas.microsoft.com/office/drawing/2014/chart" uri="{C3380CC4-5D6E-409C-BE32-E72D297353CC}">
              <c16:uniqueId val="{00000009-4BB5-4047-A2B8-9E8C70C9A1E7}"/>
            </c:ext>
          </c:extLst>
        </c:ser>
        <c:ser>
          <c:idx val="10"/>
          <c:order val="10"/>
          <c:tx>
            <c:strRef>
              <c:f>'GRAF-příspěvky'!$A$46</c:f>
              <c:strCache>
                <c:ptCount val="1"/>
                <c:pt idx="0">
                  <c:v>Ost. administr. a  podpůrné čin. (81+82)</c:v>
                </c:pt>
              </c:strCache>
            </c:strRef>
          </c:tx>
          <c:spPr>
            <a:solidFill>
              <a:srgbClr val="A6A6A6"/>
            </a:solidFill>
            <a:ln w="28575">
              <a:noFill/>
            </a:ln>
          </c:spPr>
          <c:cat>
            <c:numRef>
              <c:f>'GRAF-příspěvky'!$B$35:$N$35</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'GRAF-příspěvky'!$B$46:$N$46</c:f>
              <c:numCache>
                <c:formatCode>0.0</c:formatCode>
                <c:ptCount val="13"/>
                <c:pt idx="0">
                  <c:v>1.1149879687013623E-2</c:v>
                </c:pt>
                <c:pt idx="1">
                  <c:v>0.50031356854213638</c:v>
                </c:pt>
                <c:pt idx="2">
                  <c:v>1.7076159829888835</c:v>
                </c:pt>
                <c:pt idx="3">
                  <c:v>-7.5249411343452227E-2</c:v>
                </c:pt>
                <c:pt idx="4">
                  <c:v>-2.0319212760271612</c:v>
                </c:pt>
                <c:pt idx="5">
                  <c:v>4.0345740562930686E-2</c:v>
                </c:pt>
                <c:pt idx="6">
                  <c:v>0.44200386331621205</c:v>
                </c:pt>
                <c:pt idx="7">
                  <c:v>0.49694489143326565</c:v>
                </c:pt>
                <c:pt idx="8">
                  <c:v>0.44003448716134441</c:v>
                </c:pt>
                <c:pt idx="9">
                  <c:v>0.46103501616149073</c:v>
                </c:pt>
                <c:pt idx="10">
                  <c:v>0.97056635653731849</c:v>
                </c:pt>
                <c:pt idx="11">
                  <c:v>0.70167543033531399</c:v>
                </c:pt>
                <c:pt idx="12">
                  <c:v>-8.4351977960553506E-2</c:v>
                </c:pt>
              </c:numCache>
            </c:numRef>
          </c:val>
          <c:extLst xmlns:c16r2="http://schemas.microsoft.com/office/drawing/2015/06/chart">
            <c:ext xmlns:c16="http://schemas.microsoft.com/office/drawing/2014/chart" uri="{C3380CC4-5D6E-409C-BE32-E72D297353CC}">
              <c16:uniqueId val="{0000000A-4BB5-4047-A2B8-9E8C70C9A1E7}"/>
            </c:ext>
          </c:extLst>
        </c:ser>
        <c:gapWidth val="43"/>
        <c:overlap val="100"/>
        <c:axId val="164722176"/>
        <c:axId val="164724096"/>
      </c:barChart>
      <c:lineChart>
        <c:grouping val="standard"/>
        <c:ser>
          <c:idx val="11"/>
          <c:order val="11"/>
          <c:tx>
            <c:strRef>
              <c:f>'GRAF-příspěvky'!$A$47</c:f>
              <c:strCache>
                <c:ptCount val="1"/>
                <c:pt idx="0">
                  <c:v>Všechna zahrnutá odvětvíi (sekce M+N)</c:v>
                </c:pt>
              </c:strCache>
            </c:strRef>
          </c:tx>
          <c:spPr>
            <a:ln>
              <a:noFill/>
            </a:ln>
          </c:spPr>
          <c:marker>
            <c:symbol val="diamond"/>
            <c:size val="7"/>
            <c:spPr>
              <a:solidFill>
                <a:schemeClr val="bg1"/>
              </a:solidFill>
              <a:ln w="9525">
                <a:solidFill>
                  <a:sysClr val="windowText" lastClr="000000"/>
                </a:solidFill>
              </a:ln>
            </c:spPr>
          </c:marker>
          <c:cat>
            <c:numRef>
              <c:f>'GRAF-příspěvky'!$B$35:$N$35</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'GRAF-příspěvky'!$B$47:$N$47</c:f>
              <c:numCache>
                <c:formatCode>0.0</c:formatCode>
                <c:ptCount val="13"/>
                <c:pt idx="0">
                  <c:v>2.3450721976162177</c:v>
                </c:pt>
                <c:pt idx="1">
                  <c:v>-1.3290643773803834</c:v>
                </c:pt>
                <c:pt idx="2">
                  <c:v>11.027563336839677</c:v>
                </c:pt>
                <c:pt idx="3">
                  <c:v>3.2918903077917352</c:v>
                </c:pt>
                <c:pt idx="4">
                  <c:v>-7.2177289280481318</c:v>
                </c:pt>
                <c:pt idx="5">
                  <c:v>-0.68027780803096449</c:v>
                </c:pt>
                <c:pt idx="6">
                  <c:v>1.9367192178893318</c:v>
                </c:pt>
                <c:pt idx="7">
                  <c:v>1.0881527882363768</c:v>
                </c:pt>
                <c:pt idx="8">
                  <c:v>2.9833336061950591</c:v>
                </c:pt>
                <c:pt idx="9">
                  <c:v>1.2467559307348921</c:v>
                </c:pt>
                <c:pt idx="10">
                  <c:v>7.2812561334642192</c:v>
                </c:pt>
                <c:pt idx="11">
                  <c:v>5.5291091441973794</c:v>
                </c:pt>
                <c:pt idx="12">
                  <c:v>3.2401789119656002</c:v>
                </c:pt>
              </c:numCache>
            </c:numRef>
          </c:val>
          <c:extLst xmlns:c16r2="http://schemas.microsoft.com/office/drawing/2015/06/chart">
            <c:ext xmlns:c16="http://schemas.microsoft.com/office/drawing/2014/chart" uri="{C3380CC4-5D6E-409C-BE32-E72D297353CC}">
              <c16:uniqueId val="{0000000B-4BB5-4047-A2B8-9E8C70C9A1E7}"/>
            </c:ext>
          </c:extLst>
        </c:ser>
        <c:marker val="1"/>
        <c:axId val="164722176"/>
        <c:axId val="164724096"/>
      </c:lineChart>
      <c:catAx>
        <c:axId val="164722176"/>
        <c:scaling>
          <c:orientation val="minMax"/>
        </c:scaling>
        <c:axPos val="b"/>
        <c:numFmt formatCode="General" sourceLinked="1"/>
        <c:tickLblPos val="low"/>
        <c:spPr>
          <a:noFill/>
        </c:spPr>
        <c:txPr>
          <a:bodyPr/>
          <a:lstStyle/>
          <a:p>
            <a:pPr>
              <a:defRPr sz="800">
                <a:latin typeface="Arial" pitchFamily="34" charset="0"/>
                <a:cs typeface="Arial" pitchFamily="34" charset="0"/>
              </a:defRPr>
            </a:pPr>
            <a:endParaRPr lang="cs-CZ"/>
          </a:p>
        </c:txPr>
        <c:crossAx val="164724096"/>
        <c:crosses val="autoZero"/>
        <c:auto val="1"/>
        <c:lblAlgn val="ctr"/>
        <c:lblOffset val="0"/>
      </c:catAx>
      <c:valAx>
        <c:axId val="164724096"/>
        <c:scaling>
          <c:orientation val="minMax"/>
          <c:max val="14"/>
          <c:min val="-10"/>
        </c:scaling>
        <c:axPos val="l"/>
        <c:majorGridlines>
          <c:spPr>
            <a:ln w="6350">
              <a:solidFill>
                <a:srgbClr val="BFBFBF"/>
              </a:solidFill>
            </a:ln>
          </c:spPr>
        </c:majorGridlines>
        <c:numFmt formatCode="#,##0" sourceLinked="0"/>
        <c:tickLblPos val="nextTo"/>
        <c:txPr>
          <a:bodyPr/>
          <a:lstStyle/>
          <a:p>
            <a:pPr>
              <a:defRPr sz="800">
                <a:latin typeface="Arial" pitchFamily="34" charset="0"/>
                <a:cs typeface="Arial" pitchFamily="34" charset="0"/>
              </a:defRPr>
            </a:pPr>
            <a:endParaRPr lang="cs-CZ"/>
          </a:p>
        </c:txPr>
        <c:crossAx val="164722176"/>
        <c:crosses val="autoZero"/>
        <c:crossBetween val="between"/>
        <c:majorUnit val="2"/>
      </c:valAx>
      <c:spPr>
        <a:ln w="6350">
          <a:solidFill>
            <a:sysClr val="windowText" lastClr="000000">
              <a:lumMod val="95000"/>
              <a:lumOff val="5000"/>
            </a:sysClr>
          </a:solidFill>
        </a:ln>
      </c:spPr>
    </c:plotArea>
    <c:legend>
      <c:legendPos val="r"/>
      <c:layout>
        <c:manualLayout>
          <c:xMode val="edge"/>
          <c:yMode val="edge"/>
          <c:x val="5.2491709953499124E-2"/>
          <c:y val="0.80845923780111961"/>
          <c:w val="0.9312430427112155"/>
          <c:h val="0.18092780226220032"/>
        </c:manualLayout>
      </c:layout>
      <c:spPr>
        <a:ln w="6350">
          <a:solidFill>
            <a:sysClr val="windowText" lastClr="000000"/>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chartSpace>
</file>

<file path=word/charts/chart60.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493E-2"/>
          <c:y val="1.643251153889452E-2"/>
          <c:w val="0.92638384981032296"/>
          <c:h val="0.59446977372509258"/>
        </c:manualLayout>
      </c:layout>
      <c:barChart>
        <c:barDir val="col"/>
        <c:grouping val="clustered"/>
        <c:ser>
          <c:idx val="0"/>
          <c:order val="0"/>
          <c:tx>
            <c:strRef>
              <c:f>'Graf-porovnání oddílů M+N'!$B$63</c:f>
              <c:strCache>
                <c:ptCount val="1"/>
                <c:pt idx="0">
                  <c:v>Průměrná mzda zaměstnance</c:v>
                </c:pt>
              </c:strCache>
            </c:strRef>
          </c:tx>
          <c:spPr>
            <a:solidFill>
              <a:srgbClr val="0085BC"/>
            </a:solidFill>
            <a:ln w="12700">
              <a:noFill/>
              <a:prstDash val="solid"/>
            </a:ln>
          </c:spPr>
          <c:cat>
            <c:strRef>
              <c:f>'Graf-porovnání oddílů M+N'!$A$64:$A$75</c:f>
              <c:strCache>
                <c:ptCount val="12"/>
                <c:pt idx="0">
                  <c:v>Právní a účetnické
činnosti (NACE 69)</c:v>
                </c:pt>
                <c:pt idx="1">
                  <c:v>Poradenství 
v oblasti řízení (70)</c:v>
                </c:pt>
                <c:pt idx="2">
                  <c:v>Architektonic. 
a inženýrské čin. (71)</c:v>
                </c:pt>
                <c:pt idx="3">
                  <c:v>Výzkum a vývoj (72)</c:v>
                </c:pt>
                <c:pt idx="4">
                  <c:v>Reklama 
a průzkum trhu (73)</c:v>
                </c:pt>
                <c:pt idx="5">
                  <c:v>74 Ostatní profesní, 
vědec. a techn. čin. (74)*</c:v>
                </c:pt>
                <c:pt idx="6">
                  <c:v>Pronájem, 
operativ. leasing (77)</c:v>
                </c:pt>
                <c:pt idx="7">
                  <c:v>Činnosti související 
se zaměstnáním(78)</c:v>
                </c:pt>
                <c:pt idx="8">
                  <c:v>Cestovní agentury 
a kanceláře (79)</c:v>
                </c:pt>
                <c:pt idx="9">
                  <c:v>Bezpečnostní 
a pátrací čin. (80)</c:v>
                </c:pt>
                <c:pt idx="10">
                  <c:v>Čin. souvis. se stavbami 
a úpravou krajiny (81)</c:v>
                </c:pt>
                <c:pt idx="11">
                  <c:v>Admin.,kancel.a jiné 
podp.čin.pro podnik. (82)</c:v>
                </c:pt>
              </c:strCache>
            </c:strRef>
          </c:cat>
          <c:val>
            <c:numRef>
              <c:f>'Graf-porovnání oddílů M+N'!$B$64:$B$75</c:f>
              <c:numCache>
                <c:formatCode>0</c:formatCode>
                <c:ptCount val="12"/>
                <c:pt idx="0">
                  <c:v>100.28175940114799</c:v>
                </c:pt>
                <c:pt idx="1">
                  <c:v>160.751035042821</c:v>
                </c:pt>
                <c:pt idx="2">
                  <c:v>114.49925173083534</c:v>
                </c:pt>
                <c:pt idx="3">
                  <c:v>128.38928303435713</c:v>
                </c:pt>
                <c:pt idx="4">
                  <c:v>112.14562641189715</c:v>
                </c:pt>
                <c:pt idx="5">
                  <c:v>67.484633121034747</c:v>
                </c:pt>
                <c:pt idx="6">
                  <c:v>110.84727096491761</c:v>
                </c:pt>
                <c:pt idx="7">
                  <c:v>85.358649065298891</c:v>
                </c:pt>
                <c:pt idx="8">
                  <c:v>80.392050449241296</c:v>
                </c:pt>
                <c:pt idx="9">
                  <c:v>53.988079571147047</c:v>
                </c:pt>
                <c:pt idx="10">
                  <c:v>68.980326078065104</c:v>
                </c:pt>
                <c:pt idx="11">
                  <c:v>93.804116227122904</c:v>
                </c:pt>
              </c:numCache>
            </c:numRef>
          </c:val>
          <c:extLst xmlns:c16r2="http://schemas.microsoft.com/office/drawing/2015/06/chart">
            <c:ext xmlns:c16="http://schemas.microsoft.com/office/drawing/2014/chart" uri="{C3380CC4-5D6E-409C-BE32-E72D297353CC}">
              <c16:uniqueId val="{00000000-BAFA-479C-8EBE-2B78388BACFB}"/>
            </c:ext>
          </c:extLst>
        </c:ser>
        <c:ser>
          <c:idx val="3"/>
          <c:order val="1"/>
          <c:tx>
            <c:strRef>
              <c:f>'Graf-porovnání oddílů M+N'!$C$63</c:f>
              <c:strCache>
                <c:ptCount val="1"/>
                <c:pt idx="0">
                  <c:v>Hodinová produktivita práce</c:v>
                </c:pt>
              </c:strCache>
            </c:strRef>
          </c:tx>
          <c:spPr>
            <a:solidFill>
              <a:srgbClr val="48AEE7"/>
            </a:solidFill>
            <a:ln w="19050">
              <a:noFill/>
              <a:prstDash val="solid"/>
            </a:ln>
          </c:spPr>
          <c:cat>
            <c:strRef>
              <c:f>'Graf-porovnání oddílů M+N'!$A$64:$A$75</c:f>
              <c:strCache>
                <c:ptCount val="12"/>
                <c:pt idx="0">
                  <c:v>Právní a účetnické
činnosti (NACE 69)</c:v>
                </c:pt>
                <c:pt idx="1">
                  <c:v>Poradenství 
v oblasti řízení (70)</c:v>
                </c:pt>
                <c:pt idx="2">
                  <c:v>Architektonic. 
a inženýrské čin. (71)</c:v>
                </c:pt>
                <c:pt idx="3">
                  <c:v>Výzkum a vývoj (72)</c:v>
                </c:pt>
                <c:pt idx="4">
                  <c:v>Reklama 
a průzkum trhu (73)</c:v>
                </c:pt>
                <c:pt idx="5">
                  <c:v>74 Ostatní profesní, 
vědec. a techn. čin. (74)*</c:v>
                </c:pt>
                <c:pt idx="6">
                  <c:v>Pronájem, 
operativ. leasing (77)</c:v>
                </c:pt>
                <c:pt idx="7">
                  <c:v>Činnosti související 
se zaměstnáním(78)</c:v>
                </c:pt>
                <c:pt idx="8">
                  <c:v>Cestovní agentury 
a kanceláře (79)</c:v>
                </c:pt>
                <c:pt idx="9">
                  <c:v>Bezpečnostní 
a pátrací čin. (80)</c:v>
                </c:pt>
                <c:pt idx="10">
                  <c:v>Čin. souvis. se stavbami 
a úpravou krajiny (81)</c:v>
                </c:pt>
                <c:pt idx="11">
                  <c:v>Admin.,kancel.a jiné 
podp.čin.pro podnik. (82)</c:v>
                </c:pt>
              </c:strCache>
            </c:strRef>
          </c:cat>
          <c:val>
            <c:numRef>
              <c:f>'Graf-porovnání oddílů M+N'!$C$64:$C$75</c:f>
              <c:numCache>
                <c:formatCode>0</c:formatCode>
                <c:ptCount val="12"/>
                <c:pt idx="0">
                  <c:v>74.360044245249597</c:v>
                </c:pt>
                <c:pt idx="1">
                  <c:v>118.14244335375381</c:v>
                </c:pt>
                <c:pt idx="2">
                  <c:v>90.598045284510093</c:v>
                </c:pt>
                <c:pt idx="3">
                  <c:v>153.71281832823854</c:v>
                </c:pt>
                <c:pt idx="4">
                  <c:v>89.898551984679514</c:v>
                </c:pt>
                <c:pt idx="5">
                  <c:v>61.64826743864009</c:v>
                </c:pt>
                <c:pt idx="6">
                  <c:v>254.48652442357158</c:v>
                </c:pt>
                <c:pt idx="7">
                  <c:v>114.60167231043734</c:v>
                </c:pt>
                <c:pt idx="8">
                  <c:v>64.705418342207778</c:v>
                </c:pt>
                <c:pt idx="9">
                  <c:v>31.19985873164293</c:v>
                </c:pt>
                <c:pt idx="10">
                  <c:v>47.382994733777394</c:v>
                </c:pt>
                <c:pt idx="11">
                  <c:v>64.045266372508848</c:v>
                </c:pt>
              </c:numCache>
            </c:numRef>
          </c:val>
          <c:extLst xmlns:c16r2="http://schemas.microsoft.com/office/drawing/2015/06/chart">
            <c:ext xmlns:c16="http://schemas.microsoft.com/office/drawing/2014/chart" uri="{C3380CC4-5D6E-409C-BE32-E72D297353CC}">
              <c16:uniqueId val="{00000001-BAFA-479C-8EBE-2B78388BACFB}"/>
            </c:ext>
          </c:extLst>
        </c:ser>
        <c:ser>
          <c:idx val="1"/>
          <c:order val="2"/>
          <c:tx>
            <c:strRef>
              <c:f>'Graf-porovnání oddílů M+N'!$D$63</c:f>
              <c:strCache>
                <c:ptCount val="1"/>
                <c:pt idx="0">
                  <c:v>Mira zisku**</c:v>
                </c:pt>
              </c:strCache>
            </c:strRef>
          </c:tx>
          <c:spPr>
            <a:solidFill>
              <a:srgbClr val="7DBB2D"/>
            </a:solidFill>
            <a:ln w="19050">
              <a:noFill/>
            </a:ln>
          </c:spPr>
          <c:cat>
            <c:strRef>
              <c:f>'Graf-porovnání oddílů M+N'!$A$64:$A$75</c:f>
              <c:strCache>
                <c:ptCount val="12"/>
                <c:pt idx="0">
                  <c:v>Právní a účetnické
činnosti (NACE 69)</c:v>
                </c:pt>
                <c:pt idx="1">
                  <c:v>Poradenství 
v oblasti řízení (70)</c:v>
                </c:pt>
                <c:pt idx="2">
                  <c:v>Architektonic. 
a inženýrské čin. (71)</c:v>
                </c:pt>
                <c:pt idx="3">
                  <c:v>Výzkum a vývoj (72)</c:v>
                </c:pt>
                <c:pt idx="4">
                  <c:v>Reklama 
a průzkum trhu (73)</c:v>
                </c:pt>
                <c:pt idx="5">
                  <c:v>74 Ostatní profesní, 
vědec. a techn. čin. (74)*</c:v>
                </c:pt>
                <c:pt idx="6">
                  <c:v>Pronájem, 
operativ. leasing (77)</c:v>
                </c:pt>
                <c:pt idx="7">
                  <c:v>Činnosti související 
se zaměstnáním(78)</c:v>
                </c:pt>
                <c:pt idx="8">
                  <c:v>Cestovní agentury 
a kanceláře (79)</c:v>
                </c:pt>
                <c:pt idx="9">
                  <c:v>Bezpečnostní 
a pátrací čin. (80)</c:v>
                </c:pt>
                <c:pt idx="10">
                  <c:v>Čin. souvis. se stavbami 
a úpravou krajiny (81)</c:v>
                </c:pt>
                <c:pt idx="11">
                  <c:v>Admin.,kancel.a jiné 
podp.čin.pro podnik. (82)</c:v>
                </c:pt>
              </c:strCache>
            </c:strRef>
          </c:cat>
          <c:val>
            <c:numRef>
              <c:f>'Graf-porovnání oddílů M+N'!$D$64:$D$75</c:f>
              <c:numCache>
                <c:formatCode>0</c:formatCode>
                <c:ptCount val="12"/>
                <c:pt idx="0">
                  <c:v>68.350533751354988</c:v>
                </c:pt>
                <c:pt idx="1">
                  <c:v>56.555429435726538</c:v>
                </c:pt>
                <c:pt idx="2">
                  <c:v>68.712117306885048</c:v>
                </c:pt>
                <c:pt idx="3">
                  <c:v>117.95905793454567</c:v>
                </c:pt>
                <c:pt idx="4">
                  <c:v>77.748203818603074</c:v>
                </c:pt>
                <c:pt idx="5">
                  <c:v>86.245121811566918</c:v>
                </c:pt>
                <c:pt idx="6">
                  <c:v>153.40820503107929</c:v>
                </c:pt>
                <c:pt idx="7">
                  <c:v>144.64659112213937</c:v>
                </c:pt>
                <c:pt idx="8">
                  <c:v>71.766649971639126</c:v>
                </c:pt>
                <c:pt idx="9">
                  <c:v>34.387189562993242</c:v>
                </c:pt>
                <c:pt idx="10">
                  <c:v>51.618262863584732</c:v>
                </c:pt>
                <c:pt idx="11">
                  <c:v>36.608430203098678</c:v>
                </c:pt>
              </c:numCache>
            </c:numRef>
          </c:val>
          <c:extLst xmlns:c16r2="http://schemas.microsoft.com/office/drawing/2015/06/chart">
            <c:ext xmlns:c16="http://schemas.microsoft.com/office/drawing/2014/chart" uri="{C3380CC4-5D6E-409C-BE32-E72D297353CC}">
              <c16:uniqueId val="{00000002-BAFA-479C-8EBE-2B78388BACFB}"/>
            </c:ext>
          </c:extLst>
        </c:ser>
        <c:ser>
          <c:idx val="7"/>
          <c:order val="3"/>
          <c:tx>
            <c:strRef>
              <c:f>'Graf-porovnání oddílů M+N'!$E$63</c:f>
              <c:strCache>
                <c:ptCount val="1"/>
                <c:pt idx="0">
                  <c:v>Míra investic</c:v>
                </c:pt>
              </c:strCache>
            </c:strRef>
          </c:tx>
          <c:spPr>
            <a:solidFill>
              <a:srgbClr val="D2E7B6"/>
            </a:solidFill>
            <a:ln w="19050">
              <a:noFill/>
            </a:ln>
          </c:spPr>
          <c:cat>
            <c:strRef>
              <c:f>'Graf-porovnání oddílů M+N'!$A$64:$A$75</c:f>
              <c:strCache>
                <c:ptCount val="12"/>
                <c:pt idx="0">
                  <c:v>Právní a účetnické
činnosti (NACE 69)</c:v>
                </c:pt>
                <c:pt idx="1">
                  <c:v>Poradenství 
v oblasti řízení (70)</c:v>
                </c:pt>
                <c:pt idx="2">
                  <c:v>Architektonic. 
a inženýrské čin. (71)</c:v>
                </c:pt>
                <c:pt idx="3">
                  <c:v>Výzkum a vývoj (72)</c:v>
                </c:pt>
                <c:pt idx="4">
                  <c:v>Reklama 
a průzkum trhu (73)</c:v>
                </c:pt>
                <c:pt idx="5">
                  <c:v>74 Ostatní profesní, 
vědec. a techn. čin. (74)*</c:v>
                </c:pt>
                <c:pt idx="6">
                  <c:v>Pronájem, 
operativ. leasing (77)</c:v>
                </c:pt>
                <c:pt idx="7">
                  <c:v>Činnosti související 
se zaměstnáním(78)</c:v>
                </c:pt>
                <c:pt idx="8">
                  <c:v>Cestovní agentury 
a kanceláře (79)</c:v>
                </c:pt>
                <c:pt idx="9">
                  <c:v>Bezpečnostní 
a pátrací čin. (80)</c:v>
                </c:pt>
                <c:pt idx="10">
                  <c:v>Čin. souvis. se stavbami 
a úpravou krajiny (81)</c:v>
                </c:pt>
                <c:pt idx="11">
                  <c:v>Admin.,kancel.a jiné 
podp.čin.pro podnik. (82)</c:v>
                </c:pt>
              </c:strCache>
            </c:strRef>
          </c:cat>
          <c:val>
            <c:numRef>
              <c:f>'Graf-porovnání oddílů M+N'!$E$64:$E$75</c:f>
              <c:numCache>
                <c:formatCode>0</c:formatCode>
                <c:ptCount val="12"/>
                <c:pt idx="0">
                  <c:v>41.414743712330477</c:v>
                </c:pt>
                <c:pt idx="1">
                  <c:v>76.22196855502861</c:v>
                </c:pt>
                <c:pt idx="2">
                  <c:v>70.243428753629757</c:v>
                </c:pt>
                <c:pt idx="3">
                  <c:v>198.73556751990066</c:v>
                </c:pt>
                <c:pt idx="4">
                  <c:v>53.431057594808394</c:v>
                </c:pt>
                <c:pt idx="5">
                  <c:v>90.235676379911439</c:v>
                </c:pt>
                <c:pt idx="6">
                  <c:v>281.77801448576844</c:v>
                </c:pt>
                <c:pt idx="7">
                  <c:v>96.452864974285347</c:v>
                </c:pt>
                <c:pt idx="8">
                  <c:v>39.10235023467537</c:v>
                </c:pt>
                <c:pt idx="9">
                  <c:v>22.605822892657592</c:v>
                </c:pt>
                <c:pt idx="10">
                  <c:v>43.581531549003145</c:v>
                </c:pt>
                <c:pt idx="11">
                  <c:v>57.500991399227544</c:v>
                </c:pt>
              </c:numCache>
            </c:numRef>
          </c:val>
          <c:extLst xmlns:c16r2="http://schemas.microsoft.com/office/drawing/2015/06/chart">
            <c:ext xmlns:c16="http://schemas.microsoft.com/office/drawing/2014/chart" uri="{C3380CC4-5D6E-409C-BE32-E72D297353CC}">
              <c16:uniqueId val="{00000003-BAFA-479C-8EBE-2B78388BACFB}"/>
            </c:ext>
          </c:extLst>
        </c:ser>
        <c:gapWidth val="153"/>
        <c:axId val="164838016"/>
        <c:axId val="164852096"/>
      </c:barChart>
      <c:catAx>
        <c:axId val="164838016"/>
        <c:scaling>
          <c:orientation val="minMax"/>
        </c:scaling>
        <c:axPos val="b"/>
        <c:numFmt formatCode="General" sourceLinked="1"/>
        <c:majorTickMark val="cross"/>
        <c:tickLblPos val="low"/>
        <c:spPr>
          <a:ln w="9525">
            <a:solidFill>
              <a:schemeClr val="tx1"/>
            </a:solidFill>
            <a:prstDash val="solid"/>
          </a:ln>
        </c:spPr>
        <c:txPr>
          <a:bodyPr rot="-5400000" vert="horz"/>
          <a:lstStyle/>
          <a:p>
            <a:pPr>
              <a:defRPr/>
            </a:pPr>
            <a:endParaRPr lang="cs-CZ"/>
          </a:p>
        </c:txPr>
        <c:crossAx val="164852096"/>
        <c:crossesAt val="100"/>
        <c:lblAlgn val="ctr"/>
        <c:lblOffset val="0"/>
        <c:tickLblSkip val="1"/>
        <c:tickMarkSkip val="1"/>
      </c:catAx>
      <c:valAx>
        <c:axId val="164852096"/>
        <c:scaling>
          <c:orientation val="minMax"/>
          <c:max val="200"/>
          <c:min val="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64838016"/>
        <c:crossesAt val="1"/>
        <c:crossBetween val="between"/>
        <c:majorUnit val="20"/>
      </c:valAx>
      <c:spPr>
        <a:noFill/>
        <a:ln w="9525">
          <a:solidFill>
            <a:schemeClr val="tx1"/>
          </a:solidFill>
        </a:ln>
      </c:spPr>
    </c:plotArea>
    <c:legend>
      <c:legendPos val="b"/>
      <c:layout>
        <c:manualLayout>
          <c:xMode val="edge"/>
          <c:yMode val="edge"/>
          <c:x val="5.8134314301508304E-2"/>
          <c:y val="0.93290104694360065"/>
          <c:w val="0.89999983040147324"/>
          <c:h val="5.3061747157491922E-2"/>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userShapes r:id="rId2"/>
</c:chartSpace>
</file>

<file path=word/charts/chart61.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6.2040029038385534E-2"/>
          <c:y val="1.9513175616353028E-2"/>
          <c:w val="0.92433548575002356"/>
          <c:h val="0.72581447709107794"/>
        </c:manualLayout>
      </c:layout>
      <c:barChart>
        <c:barDir val="col"/>
        <c:grouping val="clustered"/>
        <c:ser>
          <c:idx val="0"/>
          <c:order val="0"/>
          <c:tx>
            <c:strRef>
              <c:f>'Graf-Národní účty-souhrnné'!$A$62</c:f>
              <c:strCache>
                <c:ptCount val="1"/>
                <c:pt idx="0">
                  <c:v>Hrubá přidaná hodnota (2010=100)</c:v>
                </c:pt>
              </c:strCache>
            </c:strRef>
          </c:tx>
          <c:spPr>
            <a:solidFill>
              <a:schemeClr val="bg1">
                <a:lumMod val="65000"/>
              </a:schemeClr>
            </a:solidFill>
            <a:ln w="12700">
              <a:noFill/>
              <a:prstDash val="solid"/>
            </a:ln>
          </c:spPr>
          <c:cat>
            <c:strRef>
              <c:f>'Graf-Národní účty-souhrnné'!$G$61:$S$61</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účty-souhrnné'!$G$62:$S$62</c:f>
              <c:numCache>
                <c:formatCode>0.0</c:formatCode>
                <c:ptCount val="13"/>
                <c:pt idx="0">
                  <c:v>97.499013682771377</c:v>
                </c:pt>
                <c:pt idx="1">
                  <c:v>96.541126373301694</c:v>
                </c:pt>
                <c:pt idx="2">
                  <c:v>97.145189464925707</c:v>
                </c:pt>
                <c:pt idx="3">
                  <c:v>98.744504477064922</c:v>
                </c:pt>
                <c:pt idx="4">
                  <c:v>99.073460842404188</c:v>
                </c:pt>
                <c:pt idx="5">
                  <c:v>100</c:v>
                </c:pt>
                <c:pt idx="6">
                  <c:v>98.268169702314694</c:v>
                </c:pt>
                <c:pt idx="7">
                  <c:v>98.555791732063781</c:v>
                </c:pt>
                <c:pt idx="8">
                  <c:v>99.076013891970604</c:v>
                </c:pt>
                <c:pt idx="9">
                  <c:v>99.902317081388176</c:v>
                </c:pt>
                <c:pt idx="10">
                  <c:v>100.53754013215122</c:v>
                </c:pt>
                <c:pt idx="11">
                  <c:v>102.83966657596753</c:v>
                </c:pt>
                <c:pt idx="12">
                  <c:v>104.49737358065232</c:v>
                </c:pt>
              </c:numCache>
            </c:numRef>
          </c:val>
          <c:extLst xmlns:c16r2="http://schemas.microsoft.com/office/drawing/2015/06/chart">
            <c:ext xmlns:c16="http://schemas.microsoft.com/office/drawing/2014/chart" uri="{C3380CC4-5D6E-409C-BE32-E72D297353CC}">
              <c16:uniqueId val="{00000000-05A4-42C0-9C19-152672C5C025}"/>
            </c:ext>
          </c:extLst>
        </c:ser>
        <c:gapWidth val="30"/>
        <c:axId val="168416000"/>
        <c:axId val="168417536"/>
      </c:barChart>
      <c:lineChart>
        <c:grouping val="standard"/>
        <c:ser>
          <c:idx val="3"/>
          <c:order val="1"/>
          <c:tx>
            <c:strRef>
              <c:f>'Graf-Národní účty-souhrnné'!$A$63</c:f>
              <c:strCache>
                <c:ptCount val="1"/>
                <c:pt idx="0">
                  <c:v>Objem reálných vyplacených mezd a platů (2010=100)*</c:v>
                </c:pt>
              </c:strCache>
            </c:strRef>
          </c:tx>
          <c:spPr>
            <a:ln w="19050">
              <a:solidFill>
                <a:srgbClr val="7DBB2D"/>
              </a:solidFill>
              <a:prstDash val="solid"/>
            </a:ln>
          </c:spPr>
          <c:marker>
            <c:symbol val="none"/>
          </c:marker>
          <c:cat>
            <c:strRef>
              <c:f>'Graf-Národní účty-souhrnné'!$G$61:$S$61</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účty-souhrnné'!$G$63:$S$63</c:f>
              <c:numCache>
                <c:formatCode>0</c:formatCode>
                <c:ptCount val="13"/>
                <c:pt idx="0">
                  <c:v>88.165442825475424</c:v>
                </c:pt>
                <c:pt idx="1">
                  <c:v>92.550089812570235</c:v>
                </c:pt>
                <c:pt idx="2">
                  <c:v>95.65980141534321</c:v>
                </c:pt>
                <c:pt idx="3">
                  <c:v>96.227544035561849</c:v>
                </c:pt>
                <c:pt idx="4">
                  <c:v>99.584315104247864</c:v>
                </c:pt>
                <c:pt idx="5">
                  <c:v>100</c:v>
                </c:pt>
                <c:pt idx="6">
                  <c:v>97.483065810290455</c:v>
                </c:pt>
                <c:pt idx="7">
                  <c:v>97.175792697185244</c:v>
                </c:pt>
                <c:pt idx="8">
                  <c:v>98.428499257893478</c:v>
                </c:pt>
                <c:pt idx="9">
                  <c:v>101.95760321402852</c:v>
                </c:pt>
                <c:pt idx="10">
                  <c:v>106.45174280779614</c:v>
                </c:pt>
                <c:pt idx="11">
                  <c:v>112.32063483805028</c:v>
                </c:pt>
                <c:pt idx="12">
                  <c:v>120.68533140832545</c:v>
                </c:pt>
              </c:numCache>
            </c:numRef>
          </c:val>
          <c:extLst xmlns:c16r2="http://schemas.microsoft.com/office/drawing/2015/06/chart">
            <c:ext xmlns:c16="http://schemas.microsoft.com/office/drawing/2014/chart" uri="{C3380CC4-5D6E-409C-BE32-E72D297353CC}">
              <c16:uniqueId val="{00000001-05A4-42C0-9C19-152672C5C025}"/>
            </c:ext>
          </c:extLst>
        </c:ser>
        <c:ser>
          <c:idx val="1"/>
          <c:order val="2"/>
          <c:tx>
            <c:strRef>
              <c:f>'Graf-Národní účty-souhrnné'!$A$64</c:f>
              <c:strCache>
                <c:ptCount val="1"/>
                <c:pt idx="0">
                  <c:v>Reálná hodinová produktivita práce (2010=100)</c:v>
                </c:pt>
              </c:strCache>
            </c:strRef>
          </c:tx>
          <c:spPr>
            <a:ln w="19050">
              <a:solidFill>
                <a:srgbClr val="0071BC"/>
              </a:solidFill>
            </a:ln>
          </c:spPr>
          <c:marker>
            <c:symbol val="none"/>
          </c:marker>
          <c:cat>
            <c:strRef>
              <c:f>'Graf-Národní účty-souhrnné'!$G$61:$S$61</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účty-souhrnné'!$G$64:$S$64</c:f>
              <c:numCache>
                <c:formatCode>0</c:formatCode>
                <c:ptCount val="13"/>
                <c:pt idx="0">
                  <c:v>100.32568682518738</c:v>
                </c:pt>
                <c:pt idx="1">
                  <c:v>98.584060256507783</c:v>
                </c:pt>
                <c:pt idx="2">
                  <c:v>98.525366918973418</c:v>
                </c:pt>
                <c:pt idx="3">
                  <c:v>98.798940454532953</c:v>
                </c:pt>
                <c:pt idx="4">
                  <c:v>99.596554931979327</c:v>
                </c:pt>
                <c:pt idx="5">
                  <c:v>100</c:v>
                </c:pt>
                <c:pt idx="6">
                  <c:v>98.221037930274278</c:v>
                </c:pt>
                <c:pt idx="7">
                  <c:v>100.76013582037636</c:v>
                </c:pt>
                <c:pt idx="8">
                  <c:v>101.14656020309407</c:v>
                </c:pt>
                <c:pt idx="9">
                  <c:v>98.174638853600342</c:v>
                </c:pt>
                <c:pt idx="10">
                  <c:v>98.757736613122319</c:v>
                </c:pt>
                <c:pt idx="11">
                  <c:v>97.233575733795959</c:v>
                </c:pt>
                <c:pt idx="12">
                  <c:v>95.145985922973779</c:v>
                </c:pt>
              </c:numCache>
            </c:numRef>
          </c:val>
          <c:extLst xmlns:c16r2="http://schemas.microsoft.com/office/drawing/2015/06/chart">
            <c:ext xmlns:c16="http://schemas.microsoft.com/office/drawing/2014/chart" uri="{C3380CC4-5D6E-409C-BE32-E72D297353CC}">
              <c16:uniqueId val="{00000002-05A4-42C0-9C19-152672C5C025}"/>
            </c:ext>
          </c:extLst>
        </c:ser>
        <c:ser>
          <c:idx val="7"/>
          <c:order val="3"/>
          <c:tx>
            <c:strRef>
              <c:f>'Graf-Národní účty-souhrnné'!$A$65</c:f>
              <c:strCache>
                <c:ptCount val="1"/>
                <c:pt idx="0">
                  <c:v>Zaměstnanost (úvazky na plnou pracovní dobu, 2010=100)</c:v>
                </c:pt>
              </c:strCache>
            </c:strRef>
          </c:tx>
          <c:spPr>
            <a:ln w="19050">
              <a:noFill/>
            </a:ln>
          </c:spPr>
          <c:marker>
            <c:symbol val="circle"/>
            <c:size val="5"/>
            <c:spPr>
              <a:solidFill>
                <a:srgbClr val="FFFF00"/>
              </a:solidFill>
              <a:ln w="6350">
                <a:solidFill>
                  <a:sysClr val="windowText" lastClr="000000">
                    <a:lumMod val="65000"/>
                    <a:lumOff val="35000"/>
                  </a:sysClr>
                </a:solidFill>
              </a:ln>
            </c:spPr>
          </c:marker>
          <c:cat>
            <c:strRef>
              <c:f>'Graf-Národní účty-souhrnné'!$G$61:$S$61</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účty-souhrnné'!$G$65:$S$65</c:f>
              <c:numCache>
                <c:formatCode>0.0</c:formatCode>
                <c:ptCount val="13"/>
                <c:pt idx="0">
                  <c:v>98.279530876528852</c:v>
                </c:pt>
                <c:pt idx="1">
                  <c:v>98.807409536570589</c:v>
                </c:pt>
                <c:pt idx="2">
                  <c:v>99.752017250593127</c:v>
                </c:pt>
                <c:pt idx="3">
                  <c:v>100.75116149698957</c:v>
                </c:pt>
                <c:pt idx="4">
                  <c:v>100.26929462077486</c:v>
                </c:pt>
                <c:pt idx="5">
                  <c:v>100</c:v>
                </c:pt>
                <c:pt idx="6">
                  <c:v>99.446000636077727</c:v>
                </c:pt>
                <c:pt idx="7">
                  <c:v>98.217890387034515</c:v>
                </c:pt>
                <c:pt idx="8">
                  <c:v>99.29255516222706</c:v>
                </c:pt>
                <c:pt idx="9">
                  <c:v>100.8742238926839</c:v>
                </c:pt>
                <c:pt idx="10">
                  <c:v>101.7358792458439</c:v>
                </c:pt>
                <c:pt idx="11">
                  <c:v>104.10980313295352</c:v>
                </c:pt>
                <c:pt idx="12">
                  <c:v>107.28625559163393</c:v>
                </c:pt>
              </c:numCache>
            </c:numRef>
          </c:val>
          <c:extLst xmlns:c16r2="http://schemas.microsoft.com/office/drawing/2015/06/chart">
            <c:ext xmlns:c16="http://schemas.microsoft.com/office/drawing/2014/chart" uri="{C3380CC4-5D6E-409C-BE32-E72D297353CC}">
              <c16:uniqueId val="{00000003-05A4-42C0-9C19-152672C5C025}"/>
            </c:ext>
          </c:extLst>
        </c:ser>
        <c:marker val="1"/>
        <c:axId val="168416000"/>
        <c:axId val="168417536"/>
      </c:lineChart>
      <c:lineChart>
        <c:grouping val="standard"/>
        <c:ser>
          <c:idx val="2"/>
          <c:order val="4"/>
          <c:tx>
            <c:strRef>
              <c:f>'Graf-Národní účty-souhrnné'!$A$66</c:f>
              <c:strCache>
                <c:ptCount val="1"/>
                <c:pt idx="0">
                  <c:v>Míra investic celkem (v %, pravá osa)</c:v>
                </c:pt>
              </c:strCache>
            </c:strRef>
          </c:tx>
          <c:spPr>
            <a:ln w="19050">
              <a:solidFill>
                <a:srgbClr val="BD1B21"/>
              </a:solidFill>
              <a:prstDash val="sysDash"/>
            </a:ln>
          </c:spPr>
          <c:marker>
            <c:symbol val="none"/>
          </c:marker>
          <c:cat>
            <c:strRef>
              <c:f>'Graf-Národní účty-souhrnné'!$G$61:$S$61</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účty-souhrnné'!$G$66:$S$66</c:f>
              <c:numCache>
                <c:formatCode>0</c:formatCode>
                <c:ptCount val="13"/>
                <c:pt idx="0">
                  <c:v>24.491683484824289</c:v>
                </c:pt>
                <c:pt idx="1">
                  <c:v>24.88039472862409</c:v>
                </c:pt>
                <c:pt idx="2">
                  <c:v>23.770089378138689</c:v>
                </c:pt>
                <c:pt idx="3">
                  <c:v>23.884443846791569</c:v>
                </c:pt>
                <c:pt idx="4">
                  <c:v>27.960894205757789</c:v>
                </c:pt>
                <c:pt idx="5">
                  <c:v>26.103704978391029</c:v>
                </c:pt>
                <c:pt idx="6">
                  <c:v>24.521542445157429</c:v>
                </c:pt>
                <c:pt idx="7">
                  <c:v>24.215917683724019</c:v>
                </c:pt>
                <c:pt idx="8">
                  <c:v>21.88296316138269</c:v>
                </c:pt>
                <c:pt idx="9">
                  <c:v>24.282350825546196</c:v>
                </c:pt>
                <c:pt idx="10">
                  <c:v>29.496812386156652</c:v>
                </c:pt>
                <c:pt idx="11">
                  <c:v>17.215038516077087</c:v>
                </c:pt>
                <c:pt idx="12">
                  <c:v>19.25513806581769</c:v>
                </c:pt>
              </c:numCache>
            </c:numRef>
          </c:val>
          <c:extLst xmlns:c16r2="http://schemas.microsoft.com/office/drawing/2015/06/chart">
            <c:ext xmlns:c16="http://schemas.microsoft.com/office/drawing/2014/chart" uri="{C3380CC4-5D6E-409C-BE32-E72D297353CC}">
              <c16:uniqueId val="{00000004-05A4-42C0-9C19-152672C5C025}"/>
            </c:ext>
          </c:extLst>
        </c:ser>
        <c:ser>
          <c:idx val="4"/>
          <c:order val="5"/>
          <c:tx>
            <c:strRef>
              <c:f>'Graf-Národní účty-souhrnné'!$A$67</c:f>
              <c:strCache>
                <c:ptCount val="1"/>
                <c:pt idx="0">
                  <c:v>Míra investic do budov a staveb, mimo obydlí (v %, pravá osa)</c:v>
                </c:pt>
              </c:strCache>
            </c:strRef>
          </c:tx>
          <c:spPr>
            <a:ln w="19050">
              <a:solidFill>
                <a:srgbClr val="F8A124"/>
              </a:solidFill>
              <a:prstDash val="sysDash"/>
            </a:ln>
          </c:spPr>
          <c:marker>
            <c:symbol val="none"/>
          </c:marker>
          <c:cat>
            <c:strRef>
              <c:f>'Graf-Národní účty-souhrnné'!$G$61:$S$61</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účty-souhrnné'!$G$67:$S$67</c:f>
              <c:numCache>
                <c:formatCode>#,##0.0</c:formatCode>
                <c:ptCount val="13"/>
                <c:pt idx="0">
                  <c:v>14.475123791537046</c:v>
                </c:pt>
                <c:pt idx="1">
                  <c:v>16.959757388239176</c:v>
                </c:pt>
                <c:pt idx="2">
                  <c:v>14.802845655759725</c:v>
                </c:pt>
                <c:pt idx="3">
                  <c:v>15.21719002897466</c:v>
                </c:pt>
                <c:pt idx="4">
                  <c:v>17.477684862507289</c:v>
                </c:pt>
                <c:pt idx="5">
                  <c:v>17.154887604101631</c:v>
                </c:pt>
                <c:pt idx="6">
                  <c:v>14.304701525281727</c:v>
                </c:pt>
                <c:pt idx="7">
                  <c:v>13.850574064317327</c:v>
                </c:pt>
                <c:pt idx="8">
                  <c:v>11.839711361994498</c:v>
                </c:pt>
                <c:pt idx="9">
                  <c:v>14.218878967208129</c:v>
                </c:pt>
                <c:pt idx="10">
                  <c:v>15.409849943151327</c:v>
                </c:pt>
                <c:pt idx="11">
                  <c:v>8.4984060181214804</c:v>
                </c:pt>
                <c:pt idx="12">
                  <c:v>10.132824243916657</c:v>
                </c:pt>
              </c:numCache>
            </c:numRef>
          </c:val>
          <c:extLst xmlns:c16r2="http://schemas.microsoft.com/office/drawing/2015/06/chart">
            <c:ext xmlns:c16="http://schemas.microsoft.com/office/drawing/2014/chart" uri="{C3380CC4-5D6E-409C-BE32-E72D297353CC}">
              <c16:uniqueId val="{00000005-05A4-42C0-9C19-152672C5C025}"/>
            </c:ext>
          </c:extLst>
        </c:ser>
        <c:ser>
          <c:idx val="5"/>
          <c:order val="6"/>
          <c:tx>
            <c:strRef>
              <c:f>'Graf-Národní účty-souhrnné'!$A$68</c:f>
              <c:strCache>
                <c:ptCount val="1"/>
                <c:pt idx="0">
                  <c:v>Míra investic do produktů duševního vlastnictví (v %, pravá osa)</c:v>
                </c:pt>
              </c:strCache>
            </c:strRef>
          </c:tx>
          <c:spPr>
            <a:ln w="19050">
              <a:solidFill>
                <a:srgbClr val="7030A0"/>
              </a:solidFill>
              <a:prstDash val="sysDash"/>
            </a:ln>
          </c:spPr>
          <c:marker>
            <c:symbol val="none"/>
          </c:marker>
          <c:cat>
            <c:strRef>
              <c:f>'Graf-Národní účty-souhrnné'!$G$61:$S$61</c:f>
              <c:strCach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strCache>
            </c:strRef>
          </c:cat>
          <c:val>
            <c:numRef>
              <c:f>'Graf-Národní účty-souhrnné'!$G$68:$S$68</c:f>
              <c:numCache>
                <c:formatCode>#,##0.0</c:formatCode>
                <c:ptCount val="13"/>
                <c:pt idx="0">
                  <c:v>2.7431644263310444</c:v>
                </c:pt>
                <c:pt idx="1">
                  <c:v>2.7442636340984388</c:v>
                </c:pt>
                <c:pt idx="2">
                  <c:v>3.0477706586705384</c:v>
                </c:pt>
                <c:pt idx="3">
                  <c:v>3.1359946577401412</c:v>
                </c:pt>
                <c:pt idx="4">
                  <c:v>3.9113061592558767</c:v>
                </c:pt>
                <c:pt idx="5">
                  <c:v>3.3847109147240877</c:v>
                </c:pt>
                <c:pt idx="6">
                  <c:v>3.7051900722464759</c:v>
                </c:pt>
                <c:pt idx="7">
                  <c:v>4.2640676000168058</c:v>
                </c:pt>
                <c:pt idx="8">
                  <c:v>4.2379211169370885</c:v>
                </c:pt>
                <c:pt idx="9">
                  <c:v>4.2547492911320424</c:v>
                </c:pt>
                <c:pt idx="10">
                  <c:v>4.3712483964929927</c:v>
                </c:pt>
                <c:pt idx="11">
                  <c:v>3.7604525055763602</c:v>
                </c:pt>
                <c:pt idx="12">
                  <c:v>3.6672149910317446</c:v>
                </c:pt>
              </c:numCache>
            </c:numRef>
          </c:val>
          <c:extLst xmlns:c16r2="http://schemas.microsoft.com/office/drawing/2015/06/chart">
            <c:ext xmlns:c16="http://schemas.microsoft.com/office/drawing/2014/chart" uri="{C3380CC4-5D6E-409C-BE32-E72D297353CC}">
              <c16:uniqueId val="{00000006-05A4-42C0-9C19-152672C5C025}"/>
            </c:ext>
          </c:extLst>
        </c:ser>
        <c:marker val="1"/>
        <c:axId val="175412736"/>
        <c:axId val="175411200"/>
      </c:lineChart>
      <c:catAx>
        <c:axId val="168416000"/>
        <c:scaling>
          <c:orientation val="minMax"/>
        </c:scaling>
        <c:axPos val="b"/>
        <c:numFmt formatCode="General" sourceLinked="1"/>
        <c:tickLblPos val="low"/>
        <c:spPr>
          <a:ln w="9525">
            <a:solidFill>
              <a:schemeClr val="tx1"/>
            </a:solidFill>
            <a:prstDash val="solid"/>
          </a:ln>
        </c:spPr>
        <c:txPr>
          <a:bodyPr rot="0" vert="horz"/>
          <a:lstStyle/>
          <a:p>
            <a:pPr>
              <a:defRPr/>
            </a:pPr>
            <a:endParaRPr lang="cs-CZ"/>
          </a:p>
        </c:txPr>
        <c:crossAx val="168417536"/>
        <c:crossesAt val="100"/>
        <c:lblAlgn val="ctr"/>
        <c:lblOffset val="0"/>
        <c:tickLblSkip val="1"/>
        <c:tickMarkSkip val="4"/>
      </c:catAx>
      <c:valAx>
        <c:axId val="168417536"/>
        <c:scaling>
          <c:orientation val="minMax"/>
          <c:max val="121"/>
          <c:min val="8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68416000"/>
        <c:crosses val="autoZero"/>
        <c:crossBetween val="between"/>
        <c:majorUnit val="5"/>
      </c:valAx>
      <c:valAx>
        <c:axId val="175411200"/>
        <c:scaling>
          <c:orientation val="minMax"/>
          <c:max val="41"/>
          <c:min val="0"/>
        </c:scaling>
        <c:axPos val="r"/>
        <c:numFmt formatCode="0" sourceLinked="0"/>
        <c:tickLblPos val="nextTo"/>
        <c:crossAx val="175412736"/>
        <c:crosses val="max"/>
        <c:crossBetween val="between"/>
        <c:majorUnit val="5"/>
      </c:valAx>
      <c:catAx>
        <c:axId val="175412736"/>
        <c:scaling>
          <c:orientation val="minMax"/>
        </c:scaling>
        <c:delete val="1"/>
        <c:axPos val="b"/>
        <c:numFmt formatCode="General" sourceLinked="1"/>
        <c:tickLblPos val="none"/>
        <c:crossAx val="175411200"/>
        <c:crosses val="autoZero"/>
        <c:auto val="1"/>
        <c:lblAlgn val="ctr"/>
        <c:lblOffset val="100"/>
      </c:catAx>
      <c:spPr>
        <a:noFill/>
        <a:ln w="9525">
          <a:solidFill>
            <a:schemeClr val="tx1"/>
          </a:solidFill>
        </a:ln>
      </c:spPr>
    </c:plotArea>
    <c:legend>
      <c:legendPos val="b"/>
      <c:layout>
        <c:manualLayout>
          <c:xMode val="edge"/>
          <c:yMode val="edge"/>
          <c:x val="5.8118780233128588E-2"/>
          <c:y val="0.7863570865698527"/>
          <c:w val="0.89005817546401911"/>
          <c:h val="0.20292018462231368"/>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62.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6.2040029038385493E-2"/>
          <c:y val="1.643251153889452E-2"/>
          <c:w val="0.91748516470091346"/>
          <c:h val="0.71866599121918895"/>
        </c:manualLayout>
      </c:layout>
      <c:barChart>
        <c:barDir val="col"/>
        <c:grouping val="stacked"/>
        <c:ser>
          <c:idx val="0"/>
          <c:order val="0"/>
          <c:tx>
            <c:strRef>
              <c:f>'Graf-skladba investic'!$C$93</c:f>
              <c:strCache>
                <c:ptCount val="1"/>
                <c:pt idx="0">
                  <c:v>Budovy a stavby (vč. obydlí)</c:v>
                </c:pt>
              </c:strCache>
            </c:strRef>
          </c:tx>
          <c:spPr>
            <a:solidFill>
              <a:srgbClr val="C4C4C4"/>
            </a:solidFill>
            <a:ln w="12700">
              <a:noFill/>
              <a:prstDash val="solid"/>
            </a:ln>
          </c:spPr>
          <c:cat>
            <c:multiLvlStrRef>
              <c:f>'Graf-skladba investic'!$A$94:$B$123</c:f>
              <c:multiLvlStrCache>
                <c:ptCount val="30"/>
                <c:lvl>
                  <c:pt idx="0">
                    <c:v>2008</c:v>
                  </c:pt>
                  <c:pt idx="1">
                    <c:v>2009</c:v>
                  </c:pt>
                  <c:pt idx="2">
                    <c:v>2010</c:v>
                  </c:pt>
                  <c:pt idx="3">
                    <c:v>2011</c:v>
                  </c:pt>
                  <c:pt idx="4">
                    <c:v>2012</c:v>
                  </c:pt>
                  <c:pt idx="5">
                    <c:v>2013</c:v>
                  </c:pt>
                  <c:pt idx="6">
                    <c:v>2014</c:v>
                  </c:pt>
                  <c:pt idx="7">
                    <c:v>2015</c:v>
                  </c:pt>
                  <c:pt idx="8">
                    <c:v>2016</c:v>
                  </c:pt>
                  <c:pt idx="9">
                    <c:v>2017</c:v>
                  </c:pt>
                  <c:pt idx="10">
                    <c:v>2008</c:v>
                  </c:pt>
                  <c:pt idx="11">
                    <c:v>2009</c:v>
                  </c:pt>
                  <c:pt idx="12">
                    <c:v>2010</c:v>
                  </c:pt>
                  <c:pt idx="13">
                    <c:v>2011</c:v>
                  </c:pt>
                  <c:pt idx="14">
                    <c:v>2012</c:v>
                  </c:pt>
                  <c:pt idx="15">
                    <c:v>2013</c:v>
                  </c:pt>
                  <c:pt idx="16">
                    <c:v>2014</c:v>
                  </c:pt>
                  <c:pt idx="17">
                    <c:v>2015</c:v>
                  </c:pt>
                  <c:pt idx="18">
                    <c:v>2016</c:v>
                  </c:pt>
                  <c:pt idx="19">
                    <c:v>2017</c:v>
                  </c:pt>
                  <c:pt idx="20">
                    <c:v>2008</c:v>
                  </c:pt>
                  <c:pt idx="21">
                    <c:v>2009</c:v>
                  </c:pt>
                  <c:pt idx="22">
                    <c:v>2010</c:v>
                  </c:pt>
                  <c:pt idx="23">
                    <c:v>2011</c:v>
                  </c:pt>
                  <c:pt idx="24">
                    <c:v>2012</c:v>
                  </c:pt>
                  <c:pt idx="25">
                    <c:v>2013</c:v>
                  </c:pt>
                  <c:pt idx="26">
                    <c:v>2014</c:v>
                  </c:pt>
                  <c:pt idx="27">
                    <c:v>2015</c:v>
                  </c:pt>
                  <c:pt idx="28">
                    <c:v>2016</c:v>
                  </c:pt>
                  <c:pt idx="29">
                    <c:v>2017</c:v>
                  </c:pt>
                </c:lvl>
                <c:lvl>
                  <c:pt idx="0">
                    <c:v>Veř. správa a obrana (sekce O)</c:v>
                  </c:pt>
                  <c:pt idx="10">
                    <c:v>Vzdělávání (P)</c:v>
                  </c:pt>
                  <c:pt idx="20">
                    <c:v>Zdravotnictví (Q)</c:v>
                  </c:pt>
                </c:lvl>
              </c:multiLvlStrCache>
            </c:multiLvlStrRef>
          </c:cat>
          <c:val>
            <c:numRef>
              <c:f>'Graf-skladba investic'!$C$94:$C$123</c:f>
              <c:numCache>
                <c:formatCode>#,##0.0</c:formatCode>
                <c:ptCount val="30"/>
                <c:pt idx="0">
                  <c:v>50.795000000000279</c:v>
                </c:pt>
                <c:pt idx="1">
                  <c:v>66.144000000000005</c:v>
                </c:pt>
                <c:pt idx="2">
                  <c:v>60.949999999999996</c:v>
                </c:pt>
                <c:pt idx="3">
                  <c:v>54.68</c:v>
                </c:pt>
                <c:pt idx="4">
                  <c:v>52.965000000000003</c:v>
                </c:pt>
                <c:pt idx="5">
                  <c:v>46.290000000000013</c:v>
                </c:pt>
                <c:pt idx="6">
                  <c:v>66.021000000000001</c:v>
                </c:pt>
                <c:pt idx="7">
                  <c:v>73.637</c:v>
                </c:pt>
                <c:pt idx="8">
                  <c:v>40.598000000000013</c:v>
                </c:pt>
                <c:pt idx="9">
                  <c:v>58.898000000000003</c:v>
                </c:pt>
                <c:pt idx="10">
                  <c:v>10.931000000000001</c:v>
                </c:pt>
                <c:pt idx="11">
                  <c:v>10.18</c:v>
                </c:pt>
                <c:pt idx="12">
                  <c:v>11.537000000000001</c:v>
                </c:pt>
                <c:pt idx="13">
                  <c:v>12.584</c:v>
                </c:pt>
                <c:pt idx="14">
                  <c:v>11.008000000000001</c:v>
                </c:pt>
                <c:pt idx="15">
                  <c:v>8.4580000000000002</c:v>
                </c:pt>
                <c:pt idx="16">
                  <c:v>8.9870000000000001</c:v>
                </c:pt>
                <c:pt idx="17">
                  <c:v>11.455000000000071</c:v>
                </c:pt>
                <c:pt idx="18">
                  <c:v>5.5289999999999955</c:v>
                </c:pt>
                <c:pt idx="19">
                  <c:v>4.452</c:v>
                </c:pt>
                <c:pt idx="20">
                  <c:v>8.4910000000000014</c:v>
                </c:pt>
                <c:pt idx="21">
                  <c:v>9.593</c:v>
                </c:pt>
                <c:pt idx="22">
                  <c:v>11.162000000000004</c:v>
                </c:pt>
                <c:pt idx="23">
                  <c:v>8.3990000000000027</c:v>
                </c:pt>
                <c:pt idx="24">
                  <c:v>9.3750000000000266</c:v>
                </c:pt>
                <c:pt idx="25">
                  <c:v>6.593</c:v>
                </c:pt>
                <c:pt idx="26">
                  <c:v>5.806</c:v>
                </c:pt>
                <c:pt idx="27">
                  <c:v>9.0630000000000006</c:v>
                </c:pt>
                <c:pt idx="28">
                  <c:v>6.8159999999999945</c:v>
                </c:pt>
                <c:pt idx="29">
                  <c:v>6.2050000000000001</c:v>
                </c:pt>
              </c:numCache>
            </c:numRef>
          </c:val>
          <c:extLst xmlns:c16r2="http://schemas.microsoft.com/office/drawing/2015/06/chart">
            <c:ext xmlns:c16="http://schemas.microsoft.com/office/drawing/2014/chart" uri="{C3380CC4-5D6E-409C-BE32-E72D297353CC}">
              <c16:uniqueId val="{00000000-8CF0-4095-9929-B59E141CBF13}"/>
            </c:ext>
          </c:extLst>
        </c:ser>
        <c:ser>
          <c:idx val="3"/>
          <c:order val="1"/>
          <c:tx>
            <c:strRef>
              <c:f>'Graf-skladba investic'!$D$93</c:f>
              <c:strCache>
                <c:ptCount val="1"/>
                <c:pt idx="0">
                  <c:v>Dopravní prostředky a zařízení</c:v>
                </c:pt>
              </c:strCache>
            </c:strRef>
          </c:tx>
          <c:spPr>
            <a:solidFill>
              <a:srgbClr val="7DBB2D"/>
            </a:solidFill>
            <a:ln w="19050">
              <a:noFill/>
              <a:prstDash val="solid"/>
            </a:ln>
          </c:spPr>
          <c:cat>
            <c:multiLvlStrRef>
              <c:f>'Graf-skladba investic'!$A$94:$B$123</c:f>
              <c:multiLvlStrCache>
                <c:ptCount val="30"/>
                <c:lvl>
                  <c:pt idx="0">
                    <c:v>2008</c:v>
                  </c:pt>
                  <c:pt idx="1">
                    <c:v>2009</c:v>
                  </c:pt>
                  <c:pt idx="2">
                    <c:v>2010</c:v>
                  </c:pt>
                  <c:pt idx="3">
                    <c:v>2011</c:v>
                  </c:pt>
                  <c:pt idx="4">
                    <c:v>2012</c:v>
                  </c:pt>
                  <c:pt idx="5">
                    <c:v>2013</c:v>
                  </c:pt>
                  <c:pt idx="6">
                    <c:v>2014</c:v>
                  </c:pt>
                  <c:pt idx="7">
                    <c:v>2015</c:v>
                  </c:pt>
                  <c:pt idx="8">
                    <c:v>2016</c:v>
                  </c:pt>
                  <c:pt idx="9">
                    <c:v>2017</c:v>
                  </c:pt>
                  <c:pt idx="10">
                    <c:v>2008</c:v>
                  </c:pt>
                  <c:pt idx="11">
                    <c:v>2009</c:v>
                  </c:pt>
                  <c:pt idx="12">
                    <c:v>2010</c:v>
                  </c:pt>
                  <c:pt idx="13">
                    <c:v>2011</c:v>
                  </c:pt>
                  <c:pt idx="14">
                    <c:v>2012</c:v>
                  </c:pt>
                  <c:pt idx="15">
                    <c:v>2013</c:v>
                  </c:pt>
                  <c:pt idx="16">
                    <c:v>2014</c:v>
                  </c:pt>
                  <c:pt idx="17">
                    <c:v>2015</c:v>
                  </c:pt>
                  <c:pt idx="18">
                    <c:v>2016</c:v>
                  </c:pt>
                  <c:pt idx="19">
                    <c:v>2017</c:v>
                  </c:pt>
                  <c:pt idx="20">
                    <c:v>2008</c:v>
                  </c:pt>
                  <c:pt idx="21">
                    <c:v>2009</c:v>
                  </c:pt>
                  <c:pt idx="22">
                    <c:v>2010</c:v>
                  </c:pt>
                  <c:pt idx="23">
                    <c:v>2011</c:v>
                  </c:pt>
                  <c:pt idx="24">
                    <c:v>2012</c:v>
                  </c:pt>
                  <c:pt idx="25">
                    <c:v>2013</c:v>
                  </c:pt>
                  <c:pt idx="26">
                    <c:v>2014</c:v>
                  </c:pt>
                  <c:pt idx="27">
                    <c:v>2015</c:v>
                  </c:pt>
                  <c:pt idx="28">
                    <c:v>2016</c:v>
                  </c:pt>
                  <c:pt idx="29">
                    <c:v>2017</c:v>
                  </c:pt>
                </c:lvl>
                <c:lvl>
                  <c:pt idx="0">
                    <c:v>Veř. správa a obrana (sekce O)</c:v>
                  </c:pt>
                  <c:pt idx="10">
                    <c:v>Vzdělávání (P)</c:v>
                  </c:pt>
                  <c:pt idx="20">
                    <c:v>Zdravotnictví (Q)</c:v>
                  </c:pt>
                </c:lvl>
              </c:multiLvlStrCache>
            </c:multiLvlStrRef>
          </c:cat>
          <c:val>
            <c:numRef>
              <c:f>'Graf-skladba investic'!$D$94:$D$123</c:f>
              <c:numCache>
                <c:formatCode>#,##0.0</c:formatCode>
                <c:ptCount val="30"/>
                <c:pt idx="0">
                  <c:v>6.0219999999999985</c:v>
                </c:pt>
                <c:pt idx="1">
                  <c:v>4.8649999999999745</c:v>
                </c:pt>
                <c:pt idx="2">
                  <c:v>5.4459999999999997</c:v>
                </c:pt>
                <c:pt idx="3">
                  <c:v>1.7949999999999922</c:v>
                </c:pt>
                <c:pt idx="4">
                  <c:v>2.6219999999999999</c:v>
                </c:pt>
                <c:pt idx="5">
                  <c:v>3.0019999999999998</c:v>
                </c:pt>
                <c:pt idx="6">
                  <c:v>2.0630000000000002</c:v>
                </c:pt>
                <c:pt idx="7">
                  <c:v>5.84</c:v>
                </c:pt>
                <c:pt idx="8">
                  <c:v>2.4089999999999998</c:v>
                </c:pt>
                <c:pt idx="9">
                  <c:v>4.9770000000000003</c:v>
                </c:pt>
                <c:pt idx="10">
                  <c:v>0.46600000000000008</c:v>
                </c:pt>
                <c:pt idx="11">
                  <c:v>0.52</c:v>
                </c:pt>
                <c:pt idx="12">
                  <c:v>0.28500000000000031</c:v>
                </c:pt>
                <c:pt idx="13">
                  <c:v>0.17900000000000021</c:v>
                </c:pt>
                <c:pt idx="14">
                  <c:v>0.32400000000000218</c:v>
                </c:pt>
                <c:pt idx="15">
                  <c:v>0.13200000000000001</c:v>
                </c:pt>
                <c:pt idx="16">
                  <c:v>0.30200000000000032</c:v>
                </c:pt>
                <c:pt idx="17">
                  <c:v>0.33600000000000252</c:v>
                </c:pt>
                <c:pt idx="18">
                  <c:v>0.36600000000000038</c:v>
                </c:pt>
                <c:pt idx="19">
                  <c:v>0.29100000000000031</c:v>
                </c:pt>
                <c:pt idx="20">
                  <c:v>1.6400000000000001</c:v>
                </c:pt>
                <c:pt idx="21">
                  <c:v>1.9470000000000001</c:v>
                </c:pt>
                <c:pt idx="22">
                  <c:v>1.2229999999999905</c:v>
                </c:pt>
                <c:pt idx="23">
                  <c:v>2.0499999999999998</c:v>
                </c:pt>
                <c:pt idx="24">
                  <c:v>2.4249999999999998</c:v>
                </c:pt>
                <c:pt idx="25">
                  <c:v>0.79700000000000004</c:v>
                </c:pt>
                <c:pt idx="26">
                  <c:v>0.95100000000000062</c:v>
                </c:pt>
                <c:pt idx="27">
                  <c:v>1.2949999999999922</c:v>
                </c:pt>
                <c:pt idx="28">
                  <c:v>0.92900000000000005</c:v>
                </c:pt>
                <c:pt idx="29">
                  <c:v>1.0529999999999922</c:v>
                </c:pt>
              </c:numCache>
            </c:numRef>
          </c:val>
          <c:extLst xmlns:c16r2="http://schemas.microsoft.com/office/drawing/2015/06/chart">
            <c:ext xmlns:c16="http://schemas.microsoft.com/office/drawing/2014/chart" uri="{C3380CC4-5D6E-409C-BE32-E72D297353CC}">
              <c16:uniqueId val="{00000001-8CF0-4095-9929-B59E141CBF13}"/>
            </c:ext>
          </c:extLst>
        </c:ser>
        <c:ser>
          <c:idx val="1"/>
          <c:order val="2"/>
          <c:tx>
            <c:strRef>
              <c:f>'Graf-skladba investic'!$E$93</c:f>
              <c:strCache>
                <c:ptCount val="1"/>
                <c:pt idx="0">
                  <c:v>Prostředky ICT</c:v>
                </c:pt>
              </c:strCache>
            </c:strRef>
          </c:tx>
          <c:spPr>
            <a:solidFill>
              <a:srgbClr val="BFE3F7"/>
            </a:solidFill>
            <a:ln w="19050">
              <a:noFill/>
            </a:ln>
          </c:spPr>
          <c:cat>
            <c:multiLvlStrRef>
              <c:f>'Graf-skladba investic'!$A$94:$B$123</c:f>
              <c:multiLvlStrCache>
                <c:ptCount val="30"/>
                <c:lvl>
                  <c:pt idx="0">
                    <c:v>2008</c:v>
                  </c:pt>
                  <c:pt idx="1">
                    <c:v>2009</c:v>
                  </c:pt>
                  <c:pt idx="2">
                    <c:v>2010</c:v>
                  </c:pt>
                  <c:pt idx="3">
                    <c:v>2011</c:v>
                  </c:pt>
                  <c:pt idx="4">
                    <c:v>2012</c:v>
                  </c:pt>
                  <c:pt idx="5">
                    <c:v>2013</c:v>
                  </c:pt>
                  <c:pt idx="6">
                    <c:v>2014</c:v>
                  </c:pt>
                  <c:pt idx="7">
                    <c:v>2015</c:v>
                  </c:pt>
                  <c:pt idx="8">
                    <c:v>2016</c:v>
                  </c:pt>
                  <c:pt idx="9">
                    <c:v>2017</c:v>
                  </c:pt>
                  <c:pt idx="10">
                    <c:v>2008</c:v>
                  </c:pt>
                  <c:pt idx="11">
                    <c:v>2009</c:v>
                  </c:pt>
                  <c:pt idx="12">
                    <c:v>2010</c:v>
                  </c:pt>
                  <c:pt idx="13">
                    <c:v>2011</c:v>
                  </c:pt>
                  <c:pt idx="14">
                    <c:v>2012</c:v>
                  </c:pt>
                  <c:pt idx="15">
                    <c:v>2013</c:v>
                  </c:pt>
                  <c:pt idx="16">
                    <c:v>2014</c:v>
                  </c:pt>
                  <c:pt idx="17">
                    <c:v>2015</c:v>
                  </c:pt>
                  <c:pt idx="18">
                    <c:v>2016</c:v>
                  </c:pt>
                  <c:pt idx="19">
                    <c:v>2017</c:v>
                  </c:pt>
                  <c:pt idx="20">
                    <c:v>2008</c:v>
                  </c:pt>
                  <c:pt idx="21">
                    <c:v>2009</c:v>
                  </c:pt>
                  <c:pt idx="22">
                    <c:v>2010</c:v>
                  </c:pt>
                  <c:pt idx="23">
                    <c:v>2011</c:v>
                  </c:pt>
                  <c:pt idx="24">
                    <c:v>2012</c:v>
                  </c:pt>
                  <c:pt idx="25">
                    <c:v>2013</c:v>
                  </c:pt>
                  <c:pt idx="26">
                    <c:v>2014</c:v>
                  </c:pt>
                  <c:pt idx="27">
                    <c:v>2015</c:v>
                  </c:pt>
                  <c:pt idx="28">
                    <c:v>2016</c:v>
                  </c:pt>
                  <c:pt idx="29">
                    <c:v>2017</c:v>
                  </c:pt>
                </c:lvl>
                <c:lvl>
                  <c:pt idx="0">
                    <c:v>Veř. správa a obrana (sekce O)</c:v>
                  </c:pt>
                  <c:pt idx="10">
                    <c:v>Vzdělávání (P)</c:v>
                  </c:pt>
                  <c:pt idx="20">
                    <c:v>Zdravotnictví (Q)</c:v>
                  </c:pt>
                </c:lvl>
              </c:multiLvlStrCache>
            </c:multiLvlStrRef>
          </c:cat>
          <c:val>
            <c:numRef>
              <c:f>'Graf-skladba investic'!$E$94:$E$123</c:f>
              <c:numCache>
                <c:formatCode>#,##0.0</c:formatCode>
                <c:ptCount val="30"/>
                <c:pt idx="0">
                  <c:v>5.3479999999999945</c:v>
                </c:pt>
                <c:pt idx="1">
                  <c:v>5.1959999999999855</c:v>
                </c:pt>
                <c:pt idx="2">
                  <c:v>4.6819999999999995</c:v>
                </c:pt>
                <c:pt idx="3">
                  <c:v>5.1310000000000002</c:v>
                </c:pt>
                <c:pt idx="4">
                  <c:v>4.6349999999999945</c:v>
                </c:pt>
                <c:pt idx="5">
                  <c:v>5.609</c:v>
                </c:pt>
                <c:pt idx="6">
                  <c:v>4.8369999999999997</c:v>
                </c:pt>
                <c:pt idx="7">
                  <c:v>6.7889999999999997</c:v>
                </c:pt>
                <c:pt idx="8">
                  <c:v>3.0089999999999999</c:v>
                </c:pt>
                <c:pt idx="9">
                  <c:v>3.12</c:v>
                </c:pt>
                <c:pt idx="10">
                  <c:v>3.2389999999999999</c:v>
                </c:pt>
                <c:pt idx="11">
                  <c:v>3.22</c:v>
                </c:pt>
                <c:pt idx="12">
                  <c:v>3.0309999999999997</c:v>
                </c:pt>
                <c:pt idx="13">
                  <c:v>4.7880000000000003</c:v>
                </c:pt>
                <c:pt idx="14">
                  <c:v>5.3209999999999855</c:v>
                </c:pt>
                <c:pt idx="15">
                  <c:v>6.3449999999999855</c:v>
                </c:pt>
                <c:pt idx="16">
                  <c:v>3.8679999999999999</c:v>
                </c:pt>
                <c:pt idx="17">
                  <c:v>4.3849999999999945</c:v>
                </c:pt>
                <c:pt idx="18">
                  <c:v>1.3460000000000001</c:v>
                </c:pt>
                <c:pt idx="19">
                  <c:v>1.73</c:v>
                </c:pt>
                <c:pt idx="20">
                  <c:v>1.044</c:v>
                </c:pt>
                <c:pt idx="21">
                  <c:v>2.74</c:v>
                </c:pt>
                <c:pt idx="22">
                  <c:v>1.8480000000000001</c:v>
                </c:pt>
                <c:pt idx="23">
                  <c:v>0.87100000000000388</c:v>
                </c:pt>
                <c:pt idx="24">
                  <c:v>1.3240000000000001</c:v>
                </c:pt>
                <c:pt idx="25">
                  <c:v>1.8069999999999922</c:v>
                </c:pt>
                <c:pt idx="26">
                  <c:v>2.9859999999999998</c:v>
                </c:pt>
                <c:pt idx="27">
                  <c:v>5.2830000000000004</c:v>
                </c:pt>
                <c:pt idx="28">
                  <c:v>2.573</c:v>
                </c:pt>
                <c:pt idx="29">
                  <c:v>2.5939999999999999</c:v>
                </c:pt>
              </c:numCache>
            </c:numRef>
          </c:val>
          <c:extLst xmlns:c16r2="http://schemas.microsoft.com/office/drawing/2015/06/chart">
            <c:ext xmlns:c16="http://schemas.microsoft.com/office/drawing/2014/chart" uri="{C3380CC4-5D6E-409C-BE32-E72D297353CC}">
              <c16:uniqueId val="{00000002-8CF0-4095-9929-B59E141CBF13}"/>
            </c:ext>
          </c:extLst>
        </c:ser>
        <c:ser>
          <c:idx val="7"/>
          <c:order val="3"/>
          <c:tx>
            <c:strRef>
              <c:f>'Graf-skladba investic'!$F$93</c:f>
              <c:strCache>
                <c:ptCount val="1"/>
                <c:pt idx="0">
                  <c:v>Ost. stroje a zařízení, zbraň. systémy</c:v>
                </c:pt>
              </c:strCache>
            </c:strRef>
          </c:tx>
          <c:spPr>
            <a:solidFill>
              <a:srgbClr val="48AEE7"/>
            </a:solidFill>
            <a:ln w="19050">
              <a:noFill/>
            </a:ln>
          </c:spPr>
          <c:cat>
            <c:multiLvlStrRef>
              <c:f>'Graf-skladba investic'!$A$94:$B$123</c:f>
              <c:multiLvlStrCache>
                <c:ptCount val="30"/>
                <c:lvl>
                  <c:pt idx="0">
                    <c:v>2008</c:v>
                  </c:pt>
                  <c:pt idx="1">
                    <c:v>2009</c:v>
                  </c:pt>
                  <c:pt idx="2">
                    <c:v>2010</c:v>
                  </c:pt>
                  <c:pt idx="3">
                    <c:v>2011</c:v>
                  </c:pt>
                  <c:pt idx="4">
                    <c:v>2012</c:v>
                  </c:pt>
                  <c:pt idx="5">
                    <c:v>2013</c:v>
                  </c:pt>
                  <c:pt idx="6">
                    <c:v>2014</c:v>
                  </c:pt>
                  <c:pt idx="7">
                    <c:v>2015</c:v>
                  </c:pt>
                  <c:pt idx="8">
                    <c:v>2016</c:v>
                  </c:pt>
                  <c:pt idx="9">
                    <c:v>2017</c:v>
                  </c:pt>
                  <c:pt idx="10">
                    <c:v>2008</c:v>
                  </c:pt>
                  <c:pt idx="11">
                    <c:v>2009</c:v>
                  </c:pt>
                  <c:pt idx="12">
                    <c:v>2010</c:v>
                  </c:pt>
                  <c:pt idx="13">
                    <c:v>2011</c:v>
                  </c:pt>
                  <c:pt idx="14">
                    <c:v>2012</c:v>
                  </c:pt>
                  <c:pt idx="15">
                    <c:v>2013</c:v>
                  </c:pt>
                  <c:pt idx="16">
                    <c:v>2014</c:v>
                  </c:pt>
                  <c:pt idx="17">
                    <c:v>2015</c:v>
                  </c:pt>
                  <c:pt idx="18">
                    <c:v>2016</c:v>
                  </c:pt>
                  <c:pt idx="19">
                    <c:v>2017</c:v>
                  </c:pt>
                  <c:pt idx="20">
                    <c:v>2008</c:v>
                  </c:pt>
                  <c:pt idx="21">
                    <c:v>2009</c:v>
                  </c:pt>
                  <c:pt idx="22">
                    <c:v>2010</c:v>
                  </c:pt>
                  <c:pt idx="23">
                    <c:v>2011</c:v>
                  </c:pt>
                  <c:pt idx="24">
                    <c:v>2012</c:v>
                  </c:pt>
                  <c:pt idx="25">
                    <c:v>2013</c:v>
                  </c:pt>
                  <c:pt idx="26">
                    <c:v>2014</c:v>
                  </c:pt>
                  <c:pt idx="27">
                    <c:v>2015</c:v>
                  </c:pt>
                  <c:pt idx="28">
                    <c:v>2016</c:v>
                  </c:pt>
                  <c:pt idx="29">
                    <c:v>2017</c:v>
                  </c:pt>
                </c:lvl>
                <c:lvl>
                  <c:pt idx="0">
                    <c:v>Veř. správa a obrana (sekce O)</c:v>
                  </c:pt>
                  <c:pt idx="10">
                    <c:v>Vzdělávání (P)</c:v>
                  </c:pt>
                  <c:pt idx="20">
                    <c:v>Zdravotnictví (Q)</c:v>
                  </c:pt>
                </c:lvl>
              </c:multiLvlStrCache>
            </c:multiLvlStrRef>
          </c:cat>
          <c:val>
            <c:numRef>
              <c:f>'Graf-skladba investic'!$F$94:$F$123</c:f>
              <c:numCache>
                <c:formatCode>#,##0.0</c:formatCode>
                <c:ptCount val="30"/>
                <c:pt idx="0">
                  <c:v>4.7430000000000003</c:v>
                </c:pt>
                <c:pt idx="1">
                  <c:v>6.6790000000000003</c:v>
                </c:pt>
                <c:pt idx="2">
                  <c:v>7.0060000000000002</c:v>
                </c:pt>
                <c:pt idx="3">
                  <c:v>6.468</c:v>
                </c:pt>
                <c:pt idx="4">
                  <c:v>8.9150000000000027</c:v>
                </c:pt>
                <c:pt idx="5">
                  <c:v>6.5590000000000002</c:v>
                </c:pt>
                <c:pt idx="6">
                  <c:v>7.3569999999999975</c:v>
                </c:pt>
                <c:pt idx="7">
                  <c:v>18.472999999999889</c:v>
                </c:pt>
                <c:pt idx="8">
                  <c:v>7.1569999999999965</c:v>
                </c:pt>
                <c:pt idx="9">
                  <c:v>8.68</c:v>
                </c:pt>
                <c:pt idx="10">
                  <c:v>5.2279999999999855</c:v>
                </c:pt>
                <c:pt idx="11">
                  <c:v>4.4710000000000134</c:v>
                </c:pt>
                <c:pt idx="12">
                  <c:v>3.1779999999999999</c:v>
                </c:pt>
                <c:pt idx="13">
                  <c:v>2.7530000000000001</c:v>
                </c:pt>
                <c:pt idx="14">
                  <c:v>2.9249999999999998</c:v>
                </c:pt>
                <c:pt idx="15">
                  <c:v>3.605</c:v>
                </c:pt>
                <c:pt idx="16">
                  <c:v>6.0780000000000003</c:v>
                </c:pt>
                <c:pt idx="17">
                  <c:v>7.03</c:v>
                </c:pt>
                <c:pt idx="18">
                  <c:v>3.4939999999999998</c:v>
                </c:pt>
                <c:pt idx="19">
                  <c:v>4.2359999999999998</c:v>
                </c:pt>
                <c:pt idx="20">
                  <c:v>8.3020000000000067</c:v>
                </c:pt>
                <c:pt idx="21">
                  <c:v>11.074</c:v>
                </c:pt>
                <c:pt idx="22">
                  <c:v>10.706</c:v>
                </c:pt>
                <c:pt idx="23">
                  <c:v>11.545</c:v>
                </c:pt>
                <c:pt idx="24">
                  <c:v>7.1159999999999846</c:v>
                </c:pt>
                <c:pt idx="25">
                  <c:v>7.2960000000000003</c:v>
                </c:pt>
                <c:pt idx="26">
                  <c:v>7.4619999999999997</c:v>
                </c:pt>
                <c:pt idx="27">
                  <c:v>8.6469999999999985</c:v>
                </c:pt>
                <c:pt idx="28">
                  <c:v>8.793000000000001</c:v>
                </c:pt>
                <c:pt idx="29">
                  <c:v>9.2740000000000009</c:v>
                </c:pt>
              </c:numCache>
            </c:numRef>
          </c:val>
          <c:extLst xmlns:c16r2="http://schemas.microsoft.com/office/drawing/2015/06/chart">
            <c:ext xmlns:c16="http://schemas.microsoft.com/office/drawing/2014/chart" uri="{C3380CC4-5D6E-409C-BE32-E72D297353CC}">
              <c16:uniqueId val="{00000003-8CF0-4095-9929-B59E141CBF13}"/>
            </c:ext>
          </c:extLst>
        </c:ser>
        <c:ser>
          <c:idx val="2"/>
          <c:order val="4"/>
          <c:tx>
            <c:strRef>
              <c:f>'Graf-skladba investic'!$G$93</c:f>
              <c:strCache>
                <c:ptCount val="1"/>
                <c:pt idx="0">
                  <c:v>Výzkum a vývoj</c:v>
                </c:pt>
              </c:strCache>
            </c:strRef>
          </c:tx>
          <c:spPr>
            <a:solidFill>
              <a:srgbClr val="FDDEB3"/>
            </a:solidFill>
            <a:ln w="19050">
              <a:noFill/>
              <a:prstDash val="sysDash"/>
            </a:ln>
          </c:spPr>
          <c:cat>
            <c:multiLvlStrRef>
              <c:f>'Graf-skladba investic'!$A$94:$B$123</c:f>
              <c:multiLvlStrCache>
                <c:ptCount val="30"/>
                <c:lvl>
                  <c:pt idx="0">
                    <c:v>2008</c:v>
                  </c:pt>
                  <c:pt idx="1">
                    <c:v>2009</c:v>
                  </c:pt>
                  <c:pt idx="2">
                    <c:v>2010</c:v>
                  </c:pt>
                  <c:pt idx="3">
                    <c:v>2011</c:v>
                  </c:pt>
                  <c:pt idx="4">
                    <c:v>2012</c:v>
                  </c:pt>
                  <c:pt idx="5">
                    <c:v>2013</c:v>
                  </c:pt>
                  <c:pt idx="6">
                    <c:v>2014</c:v>
                  </c:pt>
                  <c:pt idx="7">
                    <c:v>2015</c:v>
                  </c:pt>
                  <c:pt idx="8">
                    <c:v>2016</c:v>
                  </c:pt>
                  <c:pt idx="9">
                    <c:v>2017</c:v>
                  </c:pt>
                  <c:pt idx="10">
                    <c:v>2008</c:v>
                  </c:pt>
                  <c:pt idx="11">
                    <c:v>2009</c:v>
                  </c:pt>
                  <c:pt idx="12">
                    <c:v>2010</c:v>
                  </c:pt>
                  <c:pt idx="13">
                    <c:v>2011</c:v>
                  </c:pt>
                  <c:pt idx="14">
                    <c:v>2012</c:v>
                  </c:pt>
                  <c:pt idx="15">
                    <c:v>2013</c:v>
                  </c:pt>
                  <c:pt idx="16">
                    <c:v>2014</c:v>
                  </c:pt>
                  <c:pt idx="17">
                    <c:v>2015</c:v>
                  </c:pt>
                  <c:pt idx="18">
                    <c:v>2016</c:v>
                  </c:pt>
                  <c:pt idx="19">
                    <c:v>2017</c:v>
                  </c:pt>
                  <c:pt idx="20">
                    <c:v>2008</c:v>
                  </c:pt>
                  <c:pt idx="21">
                    <c:v>2009</c:v>
                  </c:pt>
                  <c:pt idx="22">
                    <c:v>2010</c:v>
                  </c:pt>
                  <c:pt idx="23">
                    <c:v>2011</c:v>
                  </c:pt>
                  <c:pt idx="24">
                    <c:v>2012</c:v>
                  </c:pt>
                  <c:pt idx="25">
                    <c:v>2013</c:v>
                  </c:pt>
                  <c:pt idx="26">
                    <c:v>2014</c:v>
                  </c:pt>
                  <c:pt idx="27">
                    <c:v>2015</c:v>
                  </c:pt>
                  <c:pt idx="28">
                    <c:v>2016</c:v>
                  </c:pt>
                  <c:pt idx="29">
                    <c:v>2017</c:v>
                  </c:pt>
                </c:lvl>
                <c:lvl>
                  <c:pt idx="0">
                    <c:v>Veř. správa a obrana (sekce O)</c:v>
                  </c:pt>
                  <c:pt idx="10">
                    <c:v>Vzdělávání (P)</c:v>
                  </c:pt>
                  <c:pt idx="20">
                    <c:v>Zdravotnictví (Q)</c:v>
                  </c:pt>
                </c:lvl>
              </c:multiLvlStrCache>
            </c:multiLvlStrRef>
          </c:cat>
          <c:val>
            <c:numRef>
              <c:f>'Graf-skladba investic'!$G$94:$G$123</c:f>
              <c:numCache>
                <c:formatCode>#,##0.0</c:formatCode>
                <c:ptCount val="30"/>
                <c:pt idx="0">
                  <c:v>0.27900000000000008</c:v>
                </c:pt>
                <c:pt idx="1">
                  <c:v>0.27900000000000008</c:v>
                </c:pt>
                <c:pt idx="2">
                  <c:v>0.32900000000000235</c:v>
                </c:pt>
                <c:pt idx="3">
                  <c:v>0.32600000000000218</c:v>
                </c:pt>
                <c:pt idx="4">
                  <c:v>0.41600000000000031</c:v>
                </c:pt>
                <c:pt idx="5">
                  <c:v>0.36900000000000038</c:v>
                </c:pt>
                <c:pt idx="6">
                  <c:v>0.40600000000000008</c:v>
                </c:pt>
                <c:pt idx="7">
                  <c:v>1.897</c:v>
                </c:pt>
                <c:pt idx="8">
                  <c:v>0.49100000000000038</c:v>
                </c:pt>
                <c:pt idx="9">
                  <c:v>0.43900000000000194</c:v>
                </c:pt>
                <c:pt idx="10">
                  <c:v>8.3720000000000248</c:v>
                </c:pt>
                <c:pt idx="11">
                  <c:v>9.1449999999999996</c:v>
                </c:pt>
                <c:pt idx="12">
                  <c:v>9.5479999999999983</c:v>
                </c:pt>
                <c:pt idx="13">
                  <c:v>11.146000000000001</c:v>
                </c:pt>
                <c:pt idx="14">
                  <c:v>12.309000000000006</c:v>
                </c:pt>
                <c:pt idx="15">
                  <c:v>14.365000000000077</c:v>
                </c:pt>
                <c:pt idx="16">
                  <c:v>15.729999999999999</c:v>
                </c:pt>
                <c:pt idx="17">
                  <c:v>14.598000000000001</c:v>
                </c:pt>
                <c:pt idx="18">
                  <c:v>15.187000000000001</c:v>
                </c:pt>
                <c:pt idx="19">
                  <c:v>15.220999999999998</c:v>
                </c:pt>
                <c:pt idx="20">
                  <c:v>0.73900000000000265</c:v>
                </c:pt>
                <c:pt idx="21">
                  <c:v>1.038</c:v>
                </c:pt>
                <c:pt idx="22">
                  <c:v>0.84400000000000064</c:v>
                </c:pt>
                <c:pt idx="23">
                  <c:v>0.93500000000000005</c:v>
                </c:pt>
                <c:pt idx="24">
                  <c:v>0.83900000000000063</c:v>
                </c:pt>
                <c:pt idx="25">
                  <c:v>1.2909999999999919</c:v>
                </c:pt>
                <c:pt idx="26">
                  <c:v>1.462</c:v>
                </c:pt>
                <c:pt idx="27">
                  <c:v>1.768</c:v>
                </c:pt>
                <c:pt idx="28">
                  <c:v>1.49</c:v>
                </c:pt>
                <c:pt idx="29">
                  <c:v>1.575</c:v>
                </c:pt>
              </c:numCache>
            </c:numRef>
          </c:val>
          <c:extLst xmlns:c16r2="http://schemas.microsoft.com/office/drawing/2015/06/chart">
            <c:ext xmlns:c16="http://schemas.microsoft.com/office/drawing/2014/chart" uri="{C3380CC4-5D6E-409C-BE32-E72D297353CC}">
              <c16:uniqueId val="{00000004-8CF0-4095-9929-B59E141CBF13}"/>
            </c:ext>
          </c:extLst>
        </c:ser>
        <c:ser>
          <c:idx val="4"/>
          <c:order val="5"/>
          <c:tx>
            <c:strRef>
              <c:f>'Graf-skladba investic'!$H$93</c:f>
              <c:strCache>
                <c:ptCount val="1"/>
                <c:pt idx="0">
                  <c:v>Počítačové vybavení (SW) a databáze</c:v>
                </c:pt>
              </c:strCache>
            </c:strRef>
          </c:tx>
          <c:spPr>
            <a:solidFill>
              <a:srgbClr val="E8AFB2"/>
            </a:solidFill>
            <a:ln w="19050">
              <a:noFill/>
              <a:prstDash val="sysDash"/>
            </a:ln>
          </c:spPr>
          <c:cat>
            <c:multiLvlStrRef>
              <c:f>'Graf-skladba investic'!$A$94:$B$123</c:f>
              <c:multiLvlStrCache>
                <c:ptCount val="30"/>
                <c:lvl>
                  <c:pt idx="0">
                    <c:v>2008</c:v>
                  </c:pt>
                  <c:pt idx="1">
                    <c:v>2009</c:v>
                  </c:pt>
                  <c:pt idx="2">
                    <c:v>2010</c:v>
                  </c:pt>
                  <c:pt idx="3">
                    <c:v>2011</c:v>
                  </c:pt>
                  <c:pt idx="4">
                    <c:v>2012</c:v>
                  </c:pt>
                  <c:pt idx="5">
                    <c:v>2013</c:v>
                  </c:pt>
                  <c:pt idx="6">
                    <c:v>2014</c:v>
                  </c:pt>
                  <c:pt idx="7">
                    <c:v>2015</c:v>
                  </c:pt>
                  <c:pt idx="8">
                    <c:v>2016</c:v>
                  </c:pt>
                  <c:pt idx="9">
                    <c:v>2017</c:v>
                  </c:pt>
                  <c:pt idx="10">
                    <c:v>2008</c:v>
                  </c:pt>
                  <c:pt idx="11">
                    <c:v>2009</c:v>
                  </c:pt>
                  <c:pt idx="12">
                    <c:v>2010</c:v>
                  </c:pt>
                  <c:pt idx="13">
                    <c:v>2011</c:v>
                  </c:pt>
                  <c:pt idx="14">
                    <c:v>2012</c:v>
                  </c:pt>
                  <c:pt idx="15">
                    <c:v>2013</c:v>
                  </c:pt>
                  <c:pt idx="16">
                    <c:v>2014</c:v>
                  </c:pt>
                  <c:pt idx="17">
                    <c:v>2015</c:v>
                  </c:pt>
                  <c:pt idx="18">
                    <c:v>2016</c:v>
                  </c:pt>
                  <c:pt idx="19">
                    <c:v>2017</c:v>
                  </c:pt>
                  <c:pt idx="20">
                    <c:v>2008</c:v>
                  </c:pt>
                  <c:pt idx="21">
                    <c:v>2009</c:v>
                  </c:pt>
                  <c:pt idx="22">
                    <c:v>2010</c:v>
                  </c:pt>
                  <c:pt idx="23">
                    <c:v>2011</c:v>
                  </c:pt>
                  <c:pt idx="24">
                    <c:v>2012</c:v>
                  </c:pt>
                  <c:pt idx="25">
                    <c:v>2013</c:v>
                  </c:pt>
                  <c:pt idx="26">
                    <c:v>2014</c:v>
                  </c:pt>
                  <c:pt idx="27">
                    <c:v>2015</c:v>
                  </c:pt>
                  <c:pt idx="28">
                    <c:v>2016</c:v>
                  </c:pt>
                  <c:pt idx="29">
                    <c:v>2017</c:v>
                  </c:pt>
                </c:lvl>
                <c:lvl>
                  <c:pt idx="0">
                    <c:v>Veř. správa a obrana (sekce O)</c:v>
                  </c:pt>
                  <c:pt idx="10">
                    <c:v>Vzdělávání (P)</c:v>
                  </c:pt>
                  <c:pt idx="20">
                    <c:v>Zdravotnictví (Q)</c:v>
                  </c:pt>
                </c:lvl>
              </c:multiLvlStrCache>
            </c:multiLvlStrRef>
          </c:cat>
          <c:val>
            <c:numRef>
              <c:f>'Graf-skladba investic'!$H$94:$H$123</c:f>
              <c:numCache>
                <c:formatCode>#,##0.0</c:formatCode>
                <c:ptCount val="30"/>
                <c:pt idx="0">
                  <c:v>4.2160000000000002</c:v>
                </c:pt>
                <c:pt idx="1">
                  <c:v>7.9740000000000002</c:v>
                </c:pt>
                <c:pt idx="2">
                  <c:v>5.0780000000000003</c:v>
                </c:pt>
                <c:pt idx="3">
                  <c:v>5.5960000000000001</c:v>
                </c:pt>
                <c:pt idx="4">
                  <c:v>7.391</c:v>
                </c:pt>
                <c:pt idx="5">
                  <c:v>5.298</c:v>
                </c:pt>
                <c:pt idx="6">
                  <c:v>5.0649999999999755</c:v>
                </c:pt>
                <c:pt idx="7">
                  <c:v>5.6949999999999745</c:v>
                </c:pt>
                <c:pt idx="8">
                  <c:v>4.2160000000000002</c:v>
                </c:pt>
                <c:pt idx="9">
                  <c:v>4.633</c:v>
                </c:pt>
                <c:pt idx="10">
                  <c:v>1.069</c:v>
                </c:pt>
                <c:pt idx="11">
                  <c:v>1.05</c:v>
                </c:pt>
                <c:pt idx="12">
                  <c:v>0.85900000000000065</c:v>
                </c:pt>
                <c:pt idx="13">
                  <c:v>0.92900000000000005</c:v>
                </c:pt>
                <c:pt idx="14">
                  <c:v>1.2609999999999912</c:v>
                </c:pt>
                <c:pt idx="15">
                  <c:v>1.278</c:v>
                </c:pt>
                <c:pt idx="16">
                  <c:v>1.1200000000000001</c:v>
                </c:pt>
                <c:pt idx="17">
                  <c:v>1.083</c:v>
                </c:pt>
                <c:pt idx="18">
                  <c:v>0.95100000000000062</c:v>
                </c:pt>
                <c:pt idx="19">
                  <c:v>1.117</c:v>
                </c:pt>
                <c:pt idx="20">
                  <c:v>0.78800000000000003</c:v>
                </c:pt>
                <c:pt idx="21">
                  <c:v>0.80100000000000005</c:v>
                </c:pt>
                <c:pt idx="22">
                  <c:v>0.86200000000000065</c:v>
                </c:pt>
                <c:pt idx="23">
                  <c:v>0.76600000000000434</c:v>
                </c:pt>
                <c:pt idx="24">
                  <c:v>0.79900000000000004</c:v>
                </c:pt>
                <c:pt idx="25">
                  <c:v>0.67300000000000504</c:v>
                </c:pt>
                <c:pt idx="26">
                  <c:v>0.78200000000000003</c:v>
                </c:pt>
                <c:pt idx="27">
                  <c:v>0.99099999999999999</c:v>
                </c:pt>
                <c:pt idx="28">
                  <c:v>1.002</c:v>
                </c:pt>
                <c:pt idx="29">
                  <c:v>1.0269999999999913</c:v>
                </c:pt>
              </c:numCache>
            </c:numRef>
          </c:val>
          <c:extLst xmlns:c16r2="http://schemas.microsoft.com/office/drawing/2015/06/chart">
            <c:ext xmlns:c16="http://schemas.microsoft.com/office/drawing/2014/chart" uri="{C3380CC4-5D6E-409C-BE32-E72D297353CC}">
              <c16:uniqueId val="{00000005-8CF0-4095-9929-B59E141CBF13}"/>
            </c:ext>
          </c:extLst>
        </c:ser>
        <c:gapWidth val="30"/>
        <c:overlap val="100"/>
        <c:axId val="185907456"/>
        <c:axId val="188416000"/>
      </c:barChart>
      <c:lineChart>
        <c:grouping val="standard"/>
        <c:ser>
          <c:idx val="5"/>
          <c:order val="6"/>
          <c:tx>
            <c:strRef>
              <c:f>'Graf-skladba investic'!$I$93</c:f>
              <c:strCache>
                <c:ptCount val="1"/>
                <c:pt idx="0">
                  <c:v>THFK  celkem (stálé ceny, r.2010=100)</c:v>
                </c:pt>
              </c:strCache>
            </c:strRef>
          </c:tx>
          <c:spPr>
            <a:ln w="15875">
              <a:solidFill>
                <a:srgbClr val="808080"/>
              </a:solidFill>
              <a:prstDash val="sysDot"/>
            </a:ln>
          </c:spPr>
          <c:marker>
            <c:symbol val="circle"/>
            <c:size val="4"/>
            <c:spPr>
              <a:solidFill>
                <a:srgbClr val="808080"/>
              </a:solidFill>
              <a:ln>
                <a:noFill/>
              </a:ln>
            </c:spPr>
          </c:marker>
          <c:dPt>
            <c:idx val="10"/>
            <c:spPr>
              <a:ln w="15875">
                <a:noFill/>
                <a:prstDash val="sysDot"/>
              </a:ln>
            </c:spPr>
            <c:extLst xmlns:c16r2="http://schemas.microsoft.com/office/drawing/2015/06/chart">
              <c:ext xmlns:c16="http://schemas.microsoft.com/office/drawing/2014/chart" uri="{C3380CC4-5D6E-409C-BE32-E72D297353CC}">
                <c16:uniqueId val="{00000006-8CF0-4095-9929-B59E141CBF13}"/>
              </c:ext>
            </c:extLst>
          </c:dPt>
          <c:dPt>
            <c:idx val="20"/>
            <c:spPr>
              <a:ln w="15875">
                <a:noFill/>
                <a:prstDash val="sysDot"/>
              </a:ln>
            </c:spPr>
            <c:extLst xmlns:c16r2="http://schemas.microsoft.com/office/drawing/2015/06/chart">
              <c:ext xmlns:c16="http://schemas.microsoft.com/office/drawing/2014/chart" uri="{C3380CC4-5D6E-409C-BE32-E72D297353CC}">
                <c16:uniqueId val="{00000007-8CF0-4095-9929-B59E141CBF13}"/>
              </c:ext>
            </c:extLst>
          </c:dPt>
          <c:cat>
            <c:multiLvlStrRef>
              <c:f>'Graf-skladba investic'!$A$94:$B$123</c:f>
              <c:multiLvlStrCache>
                <c:ptCount val="30"/>
                <c:lvl>
                  <c:pt idx="0">
                    <c:v>2008</c:v>
                  </c:pt>
                  <c:pt idx="1">
                    <c:v>2009</c:v>
                  </c:pt>
                  <c:pt idx="2">
                    <c:v>2010</c:v>
                  </c:pt>
                  <c:pt idx="3">
                    <c:v>2011</c:v>
                  </c:pt>
                  <c:pt idx="4">
                    <c:v>2012</c:v>
                  </c:pt>
                  <c:pt idx="5">
                    <c:v>2013</c:v>
                  </c:pt>
                  <c:pt idx="6">
                    <c:v>2014</c:v>
                  </c:pt>
                  <c:pt idx="7">
                    <c:v>2015</c:v>
                  </c:pt>
                  <c:pt idx="8">
                    <c:v>2016</c:v>
                  </c:pt>
                  <c:pt idx="9">
                    <c:v>2017</c:v>
                  </c:pt>
                  <c:pt idx="10">
                    <c:v>2008</c:v>
                  </c:pt>
                  <c:pt idx="11">
                    <c:v>2009</c:v>
                  </c:pt>
                  <c:pt idx="12">
                    <c:v>2010</c:v>
                  </c:pt>
                  <c:pt idx="13">
                    <c:v>2011</c:v>
                  </c:pt>
                  <c:pt idx="14">
                    <c:v>2012</c:v>
                  </c:pt>
                  <c:pt idx="15">
                    <c:v>2013</c:v>
                  </c:pt>
                  <c:pt idx="16">
                    <c:v>2014</c:v>
                  </c:pt>
                  <c:pt idx="17">
                    <c:v>2015</c:v>
                  </c:pt>
                  <c:pt idx="18">
                    <c:v>2016</c:v>
                  </c:pt>
                  <c:pt idx="19">
                    <c:v>2017</c:v>
                  </c:pt>
                  <c:pt idx="20">
                    <c:v>2008</c:v>
                  </c:pt>
                  <c:pt idx="21">
                    <c:v>2009</c:v>
                  </c:pt>
                  <c:pt idx="22">
                    <c:v>2010</c:v>
                  </c:pt>
                  <c:pt idx="23">
                    <c:v>2011</c:v>
                  </c:pt>
                  <c:pt idx="24">
                    <c:v>2012</c:v>
                  </c:pt>
                  <c:pt idx="25">
                    <c:v>2013</c:v>
                  </c:pt>
                  <c:pt idx="26">
                    <c:v>2014</c:v>
                  </c:pt>
                  <c:pt idx="27">
                    <c:v>2015</c:v>
                  </c:pt>
                  <c:pt idx="28">
                    <c:v>2016</c:v>
                  </c:pt>
                  <c:pt idx="29">
                    <c:v>2017</c:v>
                  </c:pt>
                </c:lvl>
                <c:lvl>
                  <c:pt idx="0">
                    <c:v>Veř. správa a obrana (sekce O)</c:v>
                  </c:pt>
                  <c:pt idx="10">
                    <c:v>Vzdělávání (P)</c:v>
                  </c:pt>
                  <c:pt idx="20">
                    <c:v>Zdravotnictví (Q)</c:v>
                  </c:pt>
                </c:lvl>
              </c:multiLvlStrCache>
            </c:multiLvlStrRef>
          </c:cat>
          <c:val>
            <c:numRef>
              <c:f>'Graf-skladba investic'!$I$94:$I$123</c:f>
              <c:numCache>
                <c:formatCode>#,##0.0</c:formatCode>
                <c:ptCount val="30"/>
                <c:pt idx="0">
                  <c:v>87.2</c:v>
                </c:pt>
                <c:pt idx="1">
                  <c:v>108.3</c:v>
                </c:pt>
                <c:pt idx="2">
                  <c:v>100</c:v>
                </c:pt>
                <c:pt idx="3">
                  <c:v>89.2</c:v>
                </c:pt>
                <c:pt idx="4">
                  <c:v>92.3</c:v>
                </c:pt>
                <c:pt idx="5">
                  <c:v>81.599999999999994</c:v>
                </c:pt>
                <c:pt idx="6">
                  <c:v>103.3</c:v>
                </c:pt>
                <c:pt idx="7">
                  <c:v>133.4</c:v>
                </c:pt>
                <c:pt idx="8">
                  <c:v>68.400000000000006</c:v>
                </c:pt>
                <c:pt idx="9">
                  <c:v>94.7</c:v>
                </c:pt>
                <c:pt idx="10">
                  <c:v>104.1</c:v>
                </c:pt>
                <c:pt idx="11">
                  <c:v>100</c:v>
                </c:pt>
                <c:pt idx="12">
                  <c:v>100</c:v>
                </c:pt>
                <c:pt idx="13">
                  <c:v>115.7</c:v>
                </c:pt>
                <c:pt idx="14">
                  <c:v>117.1</c:v>
                </c:pt>
                <c:pt idx="15">
                  <c:v>119</c:v>
                </c:pt>
                <c:pt idx="16">
                  <c:v>124.1</c:v>
                </c:pt>
                <c:pt idx="17">
                  <c:v>130.69999999999999</c:v>
                </c:pt>
                <c:pt idx="18">
                  <c:v>88.9</c:v>
                </c:pt>
                <c:pt idx="19">
                  <c:v>87.8</c:v>
                </c:pt>
                <c:pt idx="20">
                  <c:v>83</c:v>
                </c:pt>
                <c:pt idx="21">
                  <c:v>103.3</c:v>
                </c:pt>
                <c:pt idx="22">
                  <c:v>100</c:v>
                </c:pt>
                <c:pt idx="23">
                  <c:v>94.7</c:v>
                </c:pt>
                <c:pt idx="24">
                  <c:v>83</c:v>
                </c:pt>
                <c:pt idx="25">
                  <c:v>71.7</c:v>
                </c:pt>
                <c:pt idx="26">
                  <c:v>74.8</c:v>
                </c:pt>
                <c:pt idx="27">
                  <c:v>100.7</c:v>
                </c:pt>
                <c:pt idx="28">
                  <c:v>80.7</c:v>
                </c:pt>
                <c:pt idx="29">
                  <c:v>82.3</c:v>
                </c:pt>
              </c:numCache>
            </c:numRef>
          </c:val>
          <c:extLst xmlns:c16r2="http://schemas.microsoft.com/office/drawing/2015/06/chart">
            <c:ext xmlns:c16="http://schemas.microsoft.com/office/drawing/2014/chart" uri="{C3380CC4-5D6E-409C-BE32-E72D297353CC}">
              <c16:uniqueId val="{00000008-8CF0-4095-9929-B59E141CBF13}"/>
            </c:ext>
          </c:extLst>
        </c:ser>
        <c:marker val="1"/>
        <c:axId val="185907456"/>
        <c:axId val="188416000"/>
      </c:lineChart>
      <c:catAx>
        <c:axId val="185907456"/>
        <c:scaling>
          <c:orientation val="minMax"/>
        </c:scaling>
        <c:axPos val="b"/>
        <c:numFmt formatCode="General" sourceLinked="1"/>
        <c:majorTickMark val="none"/>
        <c:tickLblPos val="low"/>
        <c:spPr>
          <a:ln w="9525">
            <a:solidFill>
              <a:schemeClr val="tx1"/>
            </a:solidFill>
            <a:prstDash val="solid"/>
          </a:ln>
        </c:spPr>
        <c:txPr>
          <a:bodyPr rot="-5400000" vert="horz"/>
          <a:lstStyle/>
          <a:p>
            <a:pPr>
              <a:defRPr/>
            </a:pPr>
            <a:endParaRPr lang="cs-CZ"/>
          </a:p>
        </c:txPr>
        <c:crossAx val="188416000"/>
        <c:crossesAt val="100"/>
        <c:lblAlgn val="ctr"/>
        <c:lblOffset val="0"/>
        <c:tickLblSkip val="1"/>
        <c:tickMarkSkip val="4"/>
      </c:catAx>
      <c:valAx>
        <c:axId val="188416000"/>
        <c:scaling>
          <c:orientation val="minMax"/>
          <c:max val="140"/>
          <c:min val="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85907456"/>
        <c:crosses val="autoZero"/>
        <c:crossBetween val="between"/>
        <c:majorUnit val="10"/>
      </c:valAx>
      <c:spPr>
        <a:noFill/>
        <a:ln w="9525">
          <a:solidFill>
            <a:schemeClr val="tx1"/>
          </a:solidFill>
        </a:ln>
      </c:spPr>
    </c:plotArea>
    <c:legend>
      <c:legendPos val="b"/>
      <c:layout>
        <c:manualLayout>
          <c:xMode val="edge"/>
          <c:yMode val="edge"/>
          <c:x val="5.0003603025859503E-2"/>
          <c:y val="0.85426770235280869"/>
          <c:w val="0.93337642751244954"/>
          <c:h val="0.13858381177530121"/>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charts/chart63.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4.8297619918429124E-2"/>
          <c:y val="1.643251153889452E-2"/>
          <c:w val="0.94357472332509373"/>
          <c:h val="0.69722053360351999"/>
        </c:manualLayout>
      </c:layout>
      <c:barChart>
        <c:barDir val="col"/>
        <c:grouping val="stacked"/>
        <c:ser>
          <c:idx val="1"/>
          <c:order val="2"/>
          <c:tx>
            <c:strRef>
              <c:f>'Graf-srovnání s EU'!$E$50</c:f>
              <c:strCache>
                <c:ptCount val="1"/>
                <c:pt idx="0">
                  <c:v>O</c:v>
                </c:pt>
              </c:strCache>
            </c:strRef>
          </c:tx>
          <c:spPr>
            <a:solidFill>
              <a:srgbClr val="7DBB2D"/>
            </a:solidFill>
            <a:ln w="19050">
              <a:noFill/>
            </a:ln>
          </c:spPr>
          <c:cat>
            <c:strRef>
              <c:f>'Graf-srovnání s EU'!$B$51:$B$85</c:f>
              <c:strCache>
                <c:ptCount val="35"/>
                <c:pt idx="0">
                  <c:v>Švédsko</c:v>
                </c:pt>
                <c:pt idx="1">
                  <c:v>Dánsko</c:v>
                </c:pt>
                <c:pt idx="2">
                  <c:v>Francie</c:v>
                </c:pt>
                <c:pt idx="3">
                  <c:v>Belgie</c:v>
                </c:pt>
                <c:pt idx="4">
                  <c:v>Finsko</c:v>
                </c:pt>
                <c:pt idx="5">
                  <c:v>Malta</c:v>
                </c:pt>
                <c:pt idx="6">
                  <c:v>Nizozemsko</c:v>
                </c:pt>
                <c:pt idx="7">
                  <c:v>Vel.Británie</c:v>
                </c:pt>
                <c:pt idx="8">
                  <c:v>Německo</c:v>
                </c:pt>
                <c:pt idx="9">
                  <c:v>Irsko</c:v>
                </c:pt>
                <c:pt idx="10">
                  <c:v>Litva</c:v>
                </c:pt>
                <c:pt idx="11">
                  <c:v>Rakousko</c:v>
                </c:pt>
                <c:pt idx="12">
                  <c:v>Maďarsko</c:v>
                </c:pt>
                <c:pt idx="13">
                  <c:v>Estonsko</c:v>
                </c:pt>
                <c:pt idx="14">
                  <c:v>Řecko</c:v>
                </c:pt>
                <c:pt idx="15">
                  <c:v>Španělsko</c:v>
                </c:pt>
                <c:pt idx="16">
                  <c:v>Lotyšsko</c:v>
                </c:pt>
                <c:pt idx="17">
                  <c:v>Chorvatsko</c:v>
                </c:pt>
                <c:pt idx="18">
                  <c:v>Kypr</c:v>
                </c:pt>
                <c:pt idx="19">
                  <c:v>Portugalsko</c:v>
                </c:pt>
                <c:pt idx="20">
                  <c:v>Polsko</c:v>
                </c:pt>
                <c:pt idx="21">
                  <c:v>Slovensko</c:v>
                </c:pt>
                <c:pt idx="22">
                  <c:v>Lucemburs.</c:v>
                </c:pt>
                <c:pt idx="23">
                  <c:v>Slovinsko</c:v>
                </c:pt>
                <c:pt idx="24">
                  <c:v>Itálie</c:v>
                </c:pt>
                <c:pt idx="25">
                  <c:v>Česko</c:v>
                </c:pt>
                <c:pt idx="26">
                  <c:v>Bulharsko</c:v>
                </c:pt>
                <c:pt idx="27">
                  <c:v>Rumunsko</c:v>
                </c:pt>
                <c:pt idx="28">
                  <c:v>EU28</c:v>
                </c:pt>
                <c:pt idx="29">
                  <c:v>EU15</c:v>
                </c:pt>
                <c:pt idx="31">
                  <c:v>Norsko</c:v>
                </c:pt>
                <c:pt idx="32">
                  <c:v>Island</c:v>
                </c:pt>
                <c:pt idx="33">
                  <c:v>Švýcarsko</c:v>
                </c:pt>
                <c:pt idx="34">
                  <c:v>Lichtenšt.</c:v>
                </c:pt>
              </c:strCache>
            </c:strRef>
          </c:cat>
          <c:val>
            <c:numRef>
              <c:f>'Graf-srovnání s EU'!$E$51:$E$85</c:f>
              <c:numCache>
                <c:formatCode>0.0</c:formatCode>
                <c:ptCount val="35"/>
                <c:pt idx="0">
                  <c:v>5.4203313561055255</c:v>
                </c:pt>
                <c:pt idx="1">
                  <c:v>5.2521739130434781</c:v>
                </c:pt>
                <c:pt idx="2">
                  <c:v>8.8737448798347955</c:v>
                </c:pt>
                <c:pt idx="3">
                  <c:v>9.22264442583886</c:v>
                </c:pt>
                <c:pt idx="4">
                  <c:v>6.4997018485390576</c:v>
                </c:pt>
                <c:pt idx="5">
                  <c:v>7.9561042524005465</c:v>
                </c:pt>
                <c:pt idx="6">
                  <c:v>5.2554744525547443</c:v>
                </c:pt>
                <c:pt idx="7">
                  <c:v>4.2678750363667248</c:v>
                </c:pt>
                <c:pt idx="8">
                  <c:v>5.8687382556487355</c:v>
                </c:pt>
                <c:pt idx="9">
                  <c:v>5.5317900706446377</c:v>
                </c:pt>
                <c:pt idx="10">
                  <c:v>6.1636338257873495</c:v>
                </c:pt>
                <c:pt idx="11">
                  <c:v>6.0773811856876732</c:v>
                </c:pt>
                <c:pt idx="12">
                  <c:v>9.9299010035105919</c:v>
                </c:pt>
                <c:pt idx="13">
                  <c:v>6.7712502000960484</c:v>
                </c:pt>
                <c:pt idx="14">
                  <c:v>9.0947164238322991</c:v>
                </c:pt>
                <c:pt idx="15">
                  <c:v>7.6577098496897618</c:v>
                </c:pt>
                <c:pt idx="16">
                  <c:v>6.0036105156267627</c:v>
                </c:pt>
                <c:pt idx="17">
                  <c:v>6.5039176082891945</c:v>
                </c:pt>
                <c:pt idx="18">
                  <c:v>8.9461493920092767</c:v>
                </c:pt>
                <c:pt idx="19">
                  <c:v>6.2049108592390434</c:v>
                </c:pt>
                <c:pt idx="20">
                  <c:v>6.7581114148200294</c:v>
                </c:pt>
                <c:pt idx="21">
                  <c:v>7.0093276749747124</c:v>
                </c:pt>
                <c:pt idx="22">
                  <c:v>5.6854029251505587</c:v>
                </c:pt>
                <c:pt idx="23">
                  <c:v>5.1607727092754265</c:v>
                </c:pt>
                <c:pt idx="24">
                  <c:v>5.0114069667142287</c:v>
                </c:pt>
                <c:pt idx="25">
                  <c:v>5.7244078035066375</c:v>
                </c:pt>
                <c:pt idx="26">
                  <c:v>6.0450142203357542</c:v>
                </c:pt>
                <c:pt idx="27">
                  <c:v>5.0846253994555575</c:v>
                </c:pt>
                <c:pt idx="28">
                  <c:v>6.3291104342774656</c:v>
                </c:pt>
                <c:pt idx="29">
                  <c:v>6.274703148584158</c:v>
                </c:pt>
                <c:pt idx="31">
                  <c:v>7.2542618788538284</c:v>
                </c:pt>
                <c:pt idx="32">
                  <c:v>6.3063063063063067</c:v>
                </c:pt>
                <c:pt idx="33">
                  <c:v>3.9475406930252324</c:v>
                </c:pt>
                <c:pt idx="34">
                  <c:v>4.7530040053404505</c:v>
                </c:pt>
              </c:numCache>
            </c:numRef>
          </c:val>
          <c:extLst xmlns:c16r2="http://schemas.microsoft.com/office/drawing/2015/06/chart">
            <c:ext xmlns:c16="http://schemas.microsoft.com/office/drawing/2014/chart" uri="{C3380CC4-5D6E-409C-BE32-E72D297353CC}">
              <c16:uniqueId val="{00000000-DF4E-4169-B3DB-93FC97421751}"/>
            </c:ext>
          </c:extLst>
        </c:ser>
        <c:ser>
          <c:idx val="7"/>
          <c:order val="3"/>
          <c:tx>
            <c:strRef>
              <c:f>'Graf-srovnání s EU'!$F$50</c:f>
              <c:strCache>
                <c:ptCount val="1"/>
                <c:pt idx="0">
                  <c:v>P</c:v>
                </c:pt>
              </c:strCache>
            </c:strRef>
          </c:tx>
          <c:spPr>
            <a:solidFill>
              <a:srgbClr val="F8A124"/>
            </a:solidFill>
            <a:ln w="19050">
              <a:noFill/>
            </a:ln>
          </c:spPr>
          <c:cat>
            <c:strRef>
              <c:f>'Graf-srovnání s EU'!$B$51:$B$85</c:f>
              <c:strCache>
                <c:ptCount val="35"/>
                <c:pt idx="0">
                  <c:v>Švédsko</c:v>
                </c:pt>
                <c:pt idx="1">
                  <c:v>Dánsko</c:v>
                </c:pt>
                <c:pt idx="2">
                  <c:v>Francie</c:v>
                </c:pt>
                <c:pt idx="3">
                  <c:v>Belgie</c:v>
                </c:pt>
                <c:pt idx="4">
                  <c:v>Finsko</c:v>
                </c:pt>
                <c:pt idx="5">
                  <c:v>Malta</c:v>
                </c:pt>
                <c:pt idx="6">
                  <c:v>Nizozemsko</c:v>
                </c:pt>
                <c:pt idx="7">
                  <c:v>Vel.Británie</c:v>
                </c:pt>
                <c:pt idx="8">
                  <c:v>Německo</c:v>
                </c:pt>
                <c:pt idx="9">
                  <c:v>Irsko</c:v>
                </c:pt>
                <c:pt idx="10">
                  <c:v>Litva</c:v>
                </c:pt>
                <c:pt idx="11">
                  <c:v>Rakousko</c:v>
                </c:pt>
                <c:pt idx="12">
                  <c:v>Maďarsko</c:v>
                </c:pt>
                <c:pt idx="13">
                  <c:v>Estonsko</c:v>
                </c:pt>
                <c:pt idx="14">
                  <c:v>Řecko</c:v>
                </c:pt>
                <c:pt idx="15">
                  <c:v>Španělsko</c:v>
                </c:pt>
                <c:pt idx="16">
                  <c:v>Lotyšsko</c:v>
                </c:pt>
                <c:pt idx="17">
                  <c:v>Chorvatsko</c:v>
                </c:pt>
                <c:pt idx="18">
                  <c:v>Kypr</c:v>
                </c:pt>
                <c:pt idx="19">
                  <c:v>Portugalsko</c:v>
                </c:pt>
                <c:pt idx="20">
                  <c:v>Polsko</c:v>
                </c:pt>
                <c:pt idx="21">
                  <c:v>Slovensko</c:v>
                </c:pt>
                <c:pt idx="22">
                  <c:v>Lucemburs.</c:v>
                </c:pt>
                <c:pt idx="23">
                  <c:v>Slovinsko</c:v>
                </c:pt>
                <c:pt idx="24">
                  <c:v>Itálie</c:v>
                </c:pt>
                <c:pt idx="25">
                  <c:v>Česko</c:v>
                </c:pt>
                <c:pt idx="26">
                  <c:v>Bulharsko</c:v>
                </c:pt>
                <c:pt idx="27">
                  <c:v>Rumunsko</c:v>
                </c:pt>
                <c:pt idx="28">
                  <c:v>EU28</c:v>
                </c:pt>
                <c:pt idx="29">
                  <c:v>EU15</c:v>
                </c:pt>
                <c:pt idx="31">
                  <c:v>Norsko</c:v>
                </c:pt>
                <c:pt idx="32">
                  <c:v>Island</c:v>
                </c:pt>
                <c:pt idx="33">
                  <c:v>Švýcarsko</c:v>
                </c:pt>
                <c:pt idx="34">
                  <c:v>Lichtenšt.</c:v>
                </c:pt>
              </c:strCache>
            </c:strRef>
          </c:cat>
          <c:val>
            <c:numRef>
              <c:f>'Graf-srovnání s EU'!$F$51:$F$85</c:f>
              <c:numCache>
                <c:formatCode>0.0</c:formatCode>
                <c:ptCount val="35"/>
                <c:pt idx="0">
                  <c:v>10.32931069748415</c:v>
                </c:pt>
                <c:pt idx="1">
                  <c:v>8</c:v>
                </c:pt>
                <c:pt idx="2">
                  <c:v>7.2135426106499425</c:v>
                </c:pt>
                <c:pt idx="3">
                  <c:v>8.3703655997080748</c:v>
                </c:pt>
                <c:pt idx="4">
                  <c:v>6.3168356191611945</c:v>
                </c:pt>
                <c:pt idx="5">
                  <c:v>8.7644522829708009</c:v>
                </c:pt>
                <c:pt idx="6">
                  <c:v>5.8394160583941614</c:v>
                </c:pt>
                <c:pt idx="7">
                  <c:v>8.4083442315445147</c:v>
                </c:pt>
                <c:pt idx="8">
                  <c:v>5.5685411797057345</c:v>
                </c:pt>
                <c:pt idx="9">
                  <c:v>7.0312156249236484</c:v>
                </c:pt>
                <c:pt idx="10">
                  <c:v>10.059432416746994</c:v>
                </c:pt>
                <c:pt idx="11">
                  <c:v>7.0482773567461274</c:v>
                </c:pt>
                <c:pt idx="12">
                  <c:v>6.2256036302475479</c:v>
                </c:pt>
                <c:pt idx="13">
                  <c:v>9.172402753321661</c:v>
                </c:pt>
                <c:pt idx="14">
                  <c:v>7.2272307575501475</c:v>
                </c:pt>
                <c:pt idx="15">
                  <c:v>6.579099824093908</c:v>
                </c:pt>
                <c:pt idx="16">
                  <c:v>9.0759336567753728</c:v>
                </c:pt>
                <c:pt idx="17">
                  <c:v>7.4087506800317824</c:v>
                </c:pt>
                <c:pt idx="18">
                  <c:v>7.2643048902458265</c:v>
                </c:pt>
                <c:pt idx="19">
                  <c:v>6.5425082410316273</c:v>
                </c:pt>
                <c:pt idx="20">
                  <c:v>7.4405225176984775</c:v>
                </c:pt>
                <c:pt idx="21">
                  <c:v>7.4052691669718831</c:v>
                </c:pt>
                <c:pt idx="22">
                  <c:v>4.5358952299015387</c:v>
                </c:pt>
                <c:pt idx="23">
                  <c:v>7.3446975222456077</c:v>
                </c:pt>
                <c:pt idx="24">
                  <c:v>6.3076898272428945</c:v>
                </c:pt>
                <c:pt idx="25">
                  <c:v>5.7836749425374689</c:v>
                </c:pt>
                <c:pt idx="26">
                  <c:v>5.0194176158921424</c:v>
                </c:pt>
                <c:pt idx="27">
                  <c:v>4.0632027458870894</c:v>
                </c:pt>
                <c:pt idx="28">
                  <c:v>6.7496657772007413</c:v>
                </c:pt>
                <c:pt idx="29">
                  <c:v>6.8229976865567137</c:v>
                </c:pt>
                <c:pt idx="31">
                  <c:v>7.3993471164309028</c:v>
                </c:pt>
                <c:pt idx="32">
                  <c:v>10.33386327503975</c:v>
                </c:pt>
                <c:pt idx="33">
                  <c:v>6.5666789536338488</c:v>
                </c:pt>
                <c:pt idx="34">
                  <c:v>3.2309746328437914</c:v>
                </c:pt>
              </c:numCache>
            </c:numRef>
          </c:val>
          <c:extLst xmlns:c16r2="http://schemas.microsoft.com/office/drawing/2015/06/chart">
            <c:ext xmlns:c16="http://schemas.microsoft.com/office/drawing/2014/chart" uri="{C3380CC4-5D6E-409C-BE32-E72D297353CC}">
              <c16:uniqueId val="{00000001-DF4E-4169-B3DB-93FC97421751}"/>
            </c:ext>
          </c:extLst>
        </c:ser>
        <c:ser>
          <c:idx val="2"/>
          <c:order val="4"/>
          <c:tx>
            <c:strRef>
              <c:f>'Graf-srovnání s EU'!$G$50</c:f>
              <c:strCache>
                <c:ptCount val="1"/>
                <c:pt idx="0">
                  <c:v>Q86</c:v>
                </c:pt>
              </c:strCache>
            </c:strRef>
          </c:tx>
          <c:spPr>
            <a:solidFill>
              <a:srgbClr val="48AEE7"/>
            </a:solidFill>
            <a:ln w="19050">
              <a:noFill/>
              <a:prstDash val="sysDash"/>
            </a:ln>
          </c:spPr>
          <c:cat>
            <c:strRef>
              <c:f>'Graf-srovnání s EU'!$B$51:$B$85</c:f>
              <c:strCache>
                <c:ptCount val="35"/>
                <c:pt idx="0">
                  <c:v>Švédsko</c:v>
                </c:pt>
                <c:pt idx="1">
                  <c:v>Dánsko</c:v>
                </c:pt>
                <c:pt idx="2">
                  <c:v>Francie</c:v>
                </c:pt>
                <c:pt idx="3">
                  <c:v>Belgie</c:v>
                </c:pt>
                <c:pt idx="4">
                  <c:v>Finsko</c:v>
                </c:pt>
                <c:pt idx="5">
                  <c:v>Malta</c:v>
                </c:pt>
                <c:pt idx="6">
                  <c:v>Nizozemsko</c:v>
                </c:pt>
                <c:pt idx="7">
                  <c:v>Vel.Británie</c:v>
                </c:pt>
                <c:pt idx="8">
                  <c:v>Německo</c:v>
                </c:pt>
                <c:pt idx="9">
                  <c:v>Irsko</c:v>
                </c:pt>
                <c:pt idx="10">
                  <c:v>Litva</c:v>
                </c:pt>
                <c:pt idx="11">
                  <c:v>Rakousko</c:v>
                </c:pt>
                <c:pt idx="12">
                  <c:v>Maďarsko</c:v>
                </c:pt>
                <c:pt idx="13">
                  <c:v>Estonsko</c:v>
                </c:pt>
                <c:pt idx="14">
                  <c:v>Řecko</c:v>
                </c:pt>
                <c:pt idx="15">
                  <c:v>Španělsko</c:v>
                </c:pt>
                <c:pt idx="16">
                  <c:v>Lotyšsko</c:v>
                </c:pt>
                <c:pt idx="17">
                  <c:v>Chorvatsko</c:v>
                </c:pt>
                <c:pt idx="18">
                  <c:v>Kypr</c:v>
                </c:pt>
                <c:pt idx="19">
                  <c:v>Portugalsko</c:v>
                </c:pt>
                <c:pt idx="20">
                  <c:v>Polsko</c:v>
                </c:pt>
                <c:pt idx="21">
                  <c:v>Slovensko</c:v>
                </c:pt>
                <c:pt idx="22">
                  <c:v>Lucemburs.</c:v>
                </c:pt>
                <c:pt idx="23">
                  <c:v>Slovinsko</c:v>
                </c:pt>
                <c:pt idx="24">
                  <c:v>Itálie</c:v>
                </c:pt>
                <c:pt idx="25">
                  <c:v>Česko</c:v>
                </c:pt>
                <c:pt idx="26">
                  <c:v>Bulharsko</c:v>
                </c:pt>
                <c:pt idx="27">
                  <c:v>Rumunsko</c:v>
                </c:pt>
                <c:pt idx="28">
                  <c:v>EU28</c:v>
                </c:pt>
                <c:pt idx="29">
                  <c:v>EU15</c:v>
                </c:pt>
                <c:pt idx="31">
                  <c:v>Norsko</c:v>
                </c:pt>
                <c:pt idx="32">
                  <c:v>Island</c:v>
                </c:pt>
                <c:pt idx="33">
                  <c:v>Švýcarsko</c:v>
                </c:pt>
                <c:pt idx="34">
                  <c:v>Lichtenšt.</c:v>
                </c:pt>
              </c:strCache>
            </c:strRef>
          </c:cat>
          <c:val>
            <c:numRef>
              <c:f>'Graf-srovnání s EU'!$G$51:$G$85</c:f>
              <c:numCache>
                <c:formatCode>0.0</c:formatCode>
                <c:ptCount val="35"/>
                <c:pt idx="0">
                  <c:v>6.9952955614645127</c:v>
                </c:pt>
                <c:pt idx="1">
                  <c:v>7.1304347826086953</c:v>
                </c:pt>
                <c:pt idx="2">
                  <c:v>6.9887990720266924</c:v>
                </c:pt>
                <c:pt idx="3">
                  <c:v>6.7602670616775073</c:v>
                </c:pt>
                <c:pt idx="4">
                  <c:v>7.4219837010534704</c:v>
                </c:pt>
                <c:pt idx="5">
                  <c:v>4.3258867332941406</c:v>
                </c:pt>
                <c:pt idx="6">
                  <c:v>6.2886019090398824</c:v>
                </c:pt>
                <c:pt idx="7">
                  <c:v>7.1030174885162856</c:v>
                </c:pt>
                <c:pt idx="8">
                  <c:v>7.4201384114762359</c:v>
                </c:pt>
                <c:pt idx="9">
                  <c:v>6.942726539392309</c:v>
                </c:pt>
                <c:pt idx="10">
                  <c:v>5.3702220818243083</c:v>
                </c:pt>
                <c:pt idx="11">
                  <c:v>6.3545165923872631</c:v>
                </c:pt>
                <c:pt idx="12">
                  <c:v>4.1325672487554455</c:v>
                </c:pt>
                <c:pt idx="13">
                  <c:v>4.9463742596446334</c:v>
                </c:pt>
                <c:pt idx="14">
                  <c:v>4.6940629875362045</c:v>
                </c:pt>
                <c:pt idx="15">
                  <c:v>4.7452521145602171</c:v>
                </c:pt>
                <c:pt idx="16">
                  <c:v>4.2310730001128789</c:v>
                </c:pt>
                <c:pt idx="17">
                  <c:v>4.9131122630831854</c:v>
                </c:pt>
                <c:pt idx="18">
                  <c:v>3.6084644943938367</c:v>
                </c:pt>
                <c:pt idx="19">
                  <c:v>4.7306639486852013</c:v>
                </c:pt>
                <c:pt idx="20">
                  <c:v>4.5265772973780685</c:v>
                </c:pt>
                <c:pt idx="21">
                  <c:v>4.378621744469136</c:v>
                </c:pt>
                <c:pt idx="22">
                  <c:v>4.2562852499760755</c:v>
                </c:pt>
                <c:pt idx="23">
                  <c:v>4.4907995915560504</c:v>
                </c:pt>
                <c:pt idx="24">
                  <c:v>5.5789337912242933</c:v>
                </c:pt>
                <c:pt idx="25">
                  <c:v>4.8485078737913865</c:v>
                </c:pt>
                <c:pt idx="26">
                  <c:v>3.6559978055928601</c:v>
                </c:pt>
                <c:pt idx="27">
                  <c:v>3.5625517812758902</c:v>
                </c:pt>
                <c:pt idx="28">
                  <c:v>6.0889180184373375</c:v>
                </c:pt>
                <c:pt idx="29">
                  <c:v>6.5375480337881111</c:v>
                </c:pt>
                <c:pt idx="31">
                  <c:v>6.9640914036996824</c:v>
                </c:pt>
                <c:pt idx="32">
                  <c:v>5.8293587705352365</c:v>
                </c:pt>
                <c:pt idx="33">
                  <c:v>7.3316931682406432</c:v>
                </c:pt>
                <c:pt idx="34">
                  <c:v>3.7116154873164207</c:v>
                </c:pt>
              </c:numCache>
            </c:numRef>
          </c:val>
          <c:extLst xmlns:c16r2="http://schemas.microsoft.com/office/drawing/2015/06/chart">
            <c:ext xmlns:c16="http://schemas.microsoft.com/office/drawing/2014/chart" uri="{C3380CC4-5D6E-409C-BE32-E72D297353CC}">
              <c16:uniqueId val="{00000002-DF4E-4169-B3DB-93FC97421751}"/>
            </c:ext>
          </c:extLst>
        </c:ser>
        <c:ser>
          <c:idx val="5"/>
          <c:order val="5"/>
          <c:tx>
            <c:strRef>
              <c:f>'Graf-srovnání s EU'!$H$50</c:f>
              <c:strCache>
                <c:ptCount val="1"/>
                <c:pt idx="0">
                  <c:v>Q87-89</c:v>
                </c:pt>
              </c:strCache>
            </c:strRef>
          </c:tx>
          <c:spPr>
            <a:solidFill>
              <a:srgbClr val="0071BC"/>
            </a:solidFill>
            <a:ln w="19050">
              <a:noFill/>
              <a:prstDash val="sysDash"/>
            </a:ln>
          </c:spPr>
          <c:cat>
            <c:strRef>
              <c:f>'Graf-srovnání s EU'!$B$51:$B$85</c:f>
              <c:strCache>
                <c:ptCount val="35"/>
                <c:pt idx="0">
                  <c:v>Švédsko</c:v>
                </c:pt>
                <c:pt idx="1">
                  <c:v>Dánsko</c:v>
                </c:pt>
                <c:pt idx="2">
                  <c:v>Francie</c:v>
                </c:pt>
                <c:pt idx="3">
                  <c:v>Belgie</c:v>
                </c:pt>
                <c:pt idx="4">
                  <c:v>Finsko</c:v>
                </c:pt>
                <c:pt idx="5">
                  <c:v>Malta</c:v>
                </c:pt>
                <c:pt idx="6">
                  <c:v>Nizozemsko</c:v>
                </c:pt>
                <c:pt idx="7">
                  <c:v>Vel.Británie</c:v>
                </c:pt>
                <c:pt idx="8">
                  <c:v>Německo</c:v>
                </c:pt>
                <c:pt idx="9">
                  <c:v>Irsko</c:v>
                </c:pt>
                <c:pt idx="10">
                  <c:v>Litva</c:v>
                </c:pt>
                <c:pt idx="11">
                  <c:v>Rakousko</c:v>
                </c:pt>
                <c:pt idx="12">
                  <c:v>Maďarsko</c:v>
                </c:pt>
                <c:pt idx="13">
                  <c:v>Estonsko</c:v>
                </c:pt>
                <c:pt idx="14">
                  <c:v>Řecko</c:v>
                </c:pt>
                <c:pt idx="15">
                  <c:v>Španělsko</c:v>
                </c:pt>
                <c:pt idx="16">
                  <c:v>Lotyšsko</c:v>
                </c:pt>
                <c:pt idx="17">
                  <c:v>Chorvatsko</c:v>
                </c:pt>
                <c:pt idx="18">
                  <c:v>Kypr</c:v>
                </c:pt>
                <c:pt idx="19">
                  <c:v>Portugalsko</c:v>
                </c:pt>
                <c:pt idx="20">
                  <c:v>Polsko</c:v>
                </c:pt>
                <c:pt idx="21">
                  <c:v>Slovensko</c:v>
                </c:pt>
                <c:pt idx="22">
                  <c:v>Lucemburs.</c:v>
                </c:pt>
                <c:pt idx="23">
                  <c:v>Slovinsko</c:v>
                </c:pt>
                <c:pt idx="24">
                  <c:v>Itálie</c:v>
                </c:pt>
                <c:pt idx="25">
                  <c:v>Česko</c:v>
                </c:pt>
                <c:pt idx="26">
                  <c:v>Bulharsko</c:v>
                </c:pt>
                <c:pt idx="27">
                  <c:v>Rumunsko</c:v>
                </c:pt>
                <c:pt idx="28">
                  <c:v>EU28</c:v>
                </c:pt>
                <c:pt idx="29">
                  <c:v>EU15</c:v>
                </c:pt>
                <c:pt idx="31">
                  <c:v>Norsko</c:v>
                </c:pt>
                <c:pt idx="32">
                  <c:v>Island</c:v>
                </c:pt>
                <c:pt idx="33">
                  <c:v>Švýcarsko</c:v>
                </c:pt>
                <c:pt idx="34">
                  <c:v>Lichtenšt.</c:v>
                </c:pt>
              </c:strCache>
            </c:strRef>
          </c:cat>
          <c:val>
            <c:numRef>
              <c:f>'Graf-srovnání s EU'!$H$51:$H$85</c:f>
              <c:numCache>
                <c:formatCode>0.0</c:formatCode>
                <c:ptCount val="35"/>
                <c:pt idx="0">
                  <c:v>10.083861730415219</c:v>
                </c:pt>
                <c:pt idx="1">
                  <c:v>10.504347826086956</c:v>
                </c:pt>
                <c:pt idx="2">
                  <c:v>7.1482944865335112</c:v>
                </c:pt>
                <c:pt idx="3">
                  <c:v>6.2321547412034946</c:v>
                </c:pt>
                <c:pt idx="4">
                  <c:v>8.240906380441265</c:v>
                </c:pt>
                <c:pt idx="5">
                  <c:v>3.6939055457574166</c:v>
                </c:pt>
                <c:pt idx="6">
                  <c:v>9.1297024143739467</c:v>
                </c:pt>
                <c:pt idx="7">
                  <c:v>5.1315050815766181</c:v>
                </c:pt>
                <c:pt idx="8">
                  <c:v>5.7427013153673414</c:v>
                </c:pt>
                <c:pt idx="9">
                  <c:v>5.0380111955804434</c:v>
                </c:pt>
                <c:pt idx="10">
                  <c:v>1.3994901594904534</c:v>
                </c:pt>
                <c:pt idx="11">
                  <c:v>3.9679703405168802</c:v>
                </c:pt>
                <c:pt idx="12">
                  <c:v>2.4928602873945978</c:v>
                </c:pt>
                <c:pt idx="13">
                  <c:v>1.3126300624299658</c:v>
                </c:pt>
                <c:pt idx="14">
                  <c:v>0.705848352816417</c:v>
                </c:pt>
                <c:pt idx="15">
                  <c:v>2.4058059555283977</c:v>
                </c:pt>
                <c:pt idx="16">
                  <c:v>1.2095227349655873</c:v>
                </c:pt>
                <c:pt idx="17">
                  <c:v>1.8040382943865341</c:v>
                </c:pt>
                <c:pt idx="18">
                  <c:v>1.0712217718587147</c:v>
                </c:pt>
                <c:pt idx="19">
                  <c:v>3.3770489688227747</c:v>
                </c:pt>
                <c:pt idx="20">
                  <c:v>1.4569726101602039</c:v>
                </c:pt>
                <c:pt idx="21">
                  <c:v>1.4157385665970139</c:v>
                </c:pt>
                <c:pt idx="22">
                  <c:v>6.0892840072650785</c:v>
                </c:pt>
                <c:pt idx="23">
                  <c:v>1.9390668305999539</c:v>
                </c:pt>
                <c:pt idx="24">
                  <c:v>2.0484171322160152</c:v>
                </c:pt>
                <c:pt idx="25">
                  <c:v>1.4275402237714416</c:v>
                </c:pt>
                <c:pt idx="26">
                  <c:v>0.98921564381307114</c:v>
                </c:pt>
                <c:pt idx="27">
                  <c:v>0.86519114688128795</c:v>
                </c:pt>
                <c:pt idx="28">
                  <c:v>4.4612018322323514</c:v>
                </c:pt>
                <c:pt idx="29">
                  <c:v>5.2072886193697725</c:v>
                </c:pt>
                <c:pt idx="31">
                  <c:v>13.674283641639461</c:v>
                </c:pt>
                <c:pt idx="32">
                  <c:v>5.299417064122947</c:v>
                </c:pt>
                <c:pt idx="33">
                  <c:v>6.0000690447026548</c:v>
                </c:pt>
                <c:pt idx="34">
                  <c:v>3.1241655540721012</c:v>
                </c:pt>
              </c:numCache>
            </c:numRef>
          </c:val>
          <c:extLst xmlns:c16r2="http://schemas.microsoft.com/office/drawing/2015/06/chart">
            <c:ext xmlns:c16="http://schemas.microsoft.com/office/drawing/2014/chart" uri="{C3380CC4-5D6E-409C-BE32-E72D297353CC}">
              <c16:uniqueId val="{00000003-DF4E-4169-B3DB-93FC97421751}"/>
            </c:ext>
          </c:extLst>
        </c:ser>
        <c:ser>
          <c:idx val="4"/>
          <c:order val="6"/>
          <c:tx>
            <c:strRef>
              <c:f>'Graf-srovnání s EU'!$I$50</c:f>
              <c:strCache>
                <c:ptCount val="1"/>
                <c:pt idx="0">
                  <c:v>R90-R92</c:v>
                </c:pt>
              </c:strCache>
            </c:strRef>
          </c:tx>
          <c:spPr>
            <a:solidFill>
              <a:srgbClr val="BCA6E8"/>
            </a:solidFill>
            <a:ln>
              <a:noFill/>
            </a:ln>
          </c:spPr>
          <c:cat>
            <c:strRef>
              <c:f>'Graf-srovnání s EU'!$B$51:$B$85</c:f>
              <c:strCache>
                <c:ptCount val="35"/>
                <c:pt idx="0">
                  <c:v>Švédsko</c:v>
                </c:pt>
                <c:pt idx="1">
                  <c:v>Dánsko</c:v>
                </c:pt>
                <c:pt idx="2">
                  <c:v>Francie</c:v>
                </c:pt>
                <c:pt idx="3">
                  <c:v>Belgie</c:v>
                </c:pt>
                <c:pt idx="4">
                  <c:v>Finsko</c:v>
                </c:pt>
                <c:pt idx="5">
                  <c:v>Malta</c:v>
                </c:pt>
                <c:pt idx="6">
                  <c:v>Nizozemsko</c:v>
                </c:pt>
                <c:pt idx="7">
                  <c:v>Vel.Británie</c:v>
                </c:pt>
                <c:pt idx="8">
                  <c:v>Německo</c:v>
                </c:pt>
                <c:pt idx="9">
                  <c:v>Irsko</c:v>
                </c:pt>
                <c:pt idx="10">
                  <c:v>Litva</c:v>
                </c:pt>
                <c:pt idx="11">
                  <c:v>Rakousko</c:v>
                </c:pt>
                <c:pt idx="12">
                  <c:v>Maďarsko</c:v>
                </c:pt>
                <c:pt idx="13">
                  <c:v>Estonsko</c:v>
                </c:pt>
                <c:pt idx="14">
                  <c:v>Řecko</c:v>
                </c:pt>
                <c:pt idx="15">
                  <c:v>Španělsko</c:v>
                </c:pt>
                <c:pt idx="16">
                  <c:v>Lotyšsko</c:v>
                </c:pt>
                <c:pt idx="17">
                  <c:v>Chorvatsko</c:v>
                </c:pt>
                <c:pt idx="18">
                  <c:v>Kypr</c:v>
                </c:pt>
                <c:pt idx="19">
                  <c:v>Portugalsko</c:v>
                </c:pt>
                <c:pt idx="20">
                  <c:v>Polsko</c:v>
                </c:pt>
                <c:pt idx="21">
                  <c:v>Slovensko</c:v>
                </c:pt>
                <c:pt idx="22">
                  <c:v>Lucemburs.</c:v>
                </c:pt>
                <c:pt idx="23">
                  <c:v>Slovinsko</c:v>
                </c:pt>
                <c:pt idx="24">
                  <c:v>Itálie</c:v>
                </c:pt>
                <c:pt idx="25">
                  <c:v>Česko</c:v>
                </c:pt>
                <c:pt idx="26">
                  <c:v>Bulharsko</c:v>
                </c:pt>
                <c:pt idx="27">
                  <c:v>Rumunsko</c:v>
                </c:pt>
                <c:pt idx="28">
                  <c:v>EU28</c:v>
                </c:pt>
                <c:pt idx="29">
                  <c:v>EU15</c:v>
                </c:pt>
                <c:pt idx="31">
                  <c:v>Norsko</c:v>
                </c:pt>
                <c:pt idx="32">
                  <c:v>Island</c:v>
                </c:pt>
                <c:pt idx="33">
                  <c:v>Švýcarsko</c:v>
                </c:pt>
                <c:pt idx="34">
                  <c:v>Lichtenšt.</c:v>
                </c:pt>
              </c:strCache>
            </c:strRef>
          </c:cat>
          <c:val>
            <c:numRef>
              <c:f>'Graf-srovnání s EU'!$I$51:$I$85</c:f>
              <c:numCache>
                <c:formatCode>0.0</c:formatCode>
                <c:ptCount val="35"/>
                <c:pt idx="0">
                  <c:v>1.0840662712211087</c:v>
                </c:pt>
                <c:pt idx="1">
                  <c:v>1.0086956521739054</c:v>
                </c:pt>
                <c:pt idx="2">
                  <c:v>1.0983434226266067</c:v>
                </c:pt>
                <c:pt idx="3">
                  <c:v>0.50664433996693936</c:v>
                </c:pt>
                <c:pt idx="4">
                  <c:v>1.0494931425163978</c:v>
                </c:pt>
                <c:pt idx="5">
                  <c:v>2.8610621203213777</c:v>
                </c:pt>
                <c:pt idx="6">
                  <c:v>1.0780460415496911</c:v>
                </c:pt>
                <c:pt idx="7">
                  <c:v>1.322946699788403</c:v>
                </c:pt>
                <c:pt idx="8">
                  <c:v>0.93954810027957691</c:v>
                </c:pt>
                <c:pt idx="9">
                  <c:v>0.87560194578210171</c:v>
                </c:pt>
                <c:pt idx="10">
                  <c:v>1.542745057706012</c:v>
                </c:pt>
                <c:pt idx="11">
                  <c:v>0.87705747677665269</c:v>
                </c:pt>
                <c:pt idx="12">
                  <c:v>1.2532029935996558</c:v>
                </c:pt>
                <c:pt idx="13">
                  <c:v>1.6647991035697141</c:v>
                </c:pt>
                <c:pt idx="14">
                  <c:v>0.7335238781003327</c:v>
                </c:pt>
                <c:pt idx="15">
                  <c:v>0.9005972381684697</c:v>
                </c:pt>
                <c:pt idx="16">
                  <c:v>1.4780548347060889</c:v>
                </c:pt>
                <c:pt idx="17">
                  <c:v>1.0699166453016775</c:v>
                </c:pt>
                <c:pt idx="18">
                  <c:v>0.71327051639732664</c:v>
                </c:pt>
                <c:pt idx="19">
                  <c:v>0.45156337691995274</c:v>
                </c:pt>
                <c:pt idx="20">
                  <c:v>0.94640955873654331</c:v>
                </c:pt>
                <c:pt idx="21">
                  <c:v>0.89959285668124322</c:v>
                </c:pt>
                <c:pt idx="22">
                  <c:v>0.53293184208011068</c:v>
                </c:pt>
                <c:pt idx="23">
                  <c:v>1.376414445579011</c:v>
                </c:pt>
                <c:pt idx="24">
                  <c:v>0.7376236426515852</c:v>
                </c:pt>
                <c:pt idx="25">
                  <c:v>0.89660543662025771</c:v>
                </c:pt>
                <c:pt idx="26">
                  <c:v>0.92655954494925086</c:v>
                </c:pt>
                <c:pt idx="27">
                  <c:v>0.48526452834654987</c:v>
                </c:pt>
                <c:pt idx="28">
                  <c:v>0.97181457726173581</c:v>
                </c:pt>
                <c:pt idx="29">
                  <c:v>0.97982642675673892</c:v>
                </c:pt>
                <c:pt idx="31">
                  <c:v>1.1969532100108813</c:v>
                </c:pt>
                <c:pt idx="32">
                  <c:v>1.2188659247482858</c:v>
                </c:pt>
                <c:pt idx="33">
                  <c:v>1.1158580432299818</c:v>
                </c:pt>
                <c:pt idx="34">
                  <c:v>0.45393858477970789</c:v>
                </c:pt>
              </c:numCache>
            </c:numRef>
          </c:val>
          <c:extLst xmlns:c16r2="http://schemas.microsoft.com/office/drawing/2015/06/chart">
            <c:ext xmlns:c16="http://schemas.microsoft.com/office/drawing/2014/chart" uri="{C3380CC4-5D6E-409C-BE32-E72D297353CC}">
              <c16:uniqueId val="{00000004-DF4E-4169-B3DB-93FC97421751}"/>
            </c:ext>
          </c:extLst>
        </c:ser>
        <c:gapWidth val="30"/>
        <c:overlap val="100"/>
        <c:axId val="188451456"/>
        <c:axId val="188556032"/>
      </c:barChart>
      <c:lineChart>
        <c:grouping val="standard"/>
        <c:ser>
          <c:idx val="0"/>
          <c:order val="0"/>
          <c:tx>
            <c:strRef>
              <c:f>'Graf-srovnání s EU'!$C$50</c:f>
              <c:strCache>
                <c:ptCount val="1"/>
                <c:pt idx="0">
                  <c:v>rok 2006</c:v>
                </c:pt>
              </c:strCache>
            </c:strRef>
          </c:tx>
          <c:spPr>
            <a:ln>
              <a:noFill/>
            </a:ln>
          </c:spPr>
          <c:marker>
            <c:symbol val="dash"/>
            <c:size val="7"/>
            <c:spPr>
              <a:solidFill>
                <a:schemeClr val="tx1">
                  <a:lumMod val="95000"/>
                  <a:lumOff val="5000"/>
                </a:schemeClr>
              </a:solidFill>
              <a:ln w="6350">
                <a:noFill/>
              </a:ln>
            </c:spPr>
          </c:marker>
          <c:cat>
            <c:strRef>
              <c:f>'Graf-srovnání s EU'!$B$51:$B$85</c:f>
              <c:strCache>
                <c:ptCount val="35"/>
                <c:pt idx="0">
                  <c:v>Švédsko</c:v>
                </c:pt>
                <c:pt idx="1">
                  <c:v>Dánsko</c:v>
                </c:pt>
                <c:pt idx="2">
                  <c:v>Francie</c:v>
                </c:pt>
                <c:pt idx="3">
                  <c:v>Belgie</c:v>
                </c:pt>
                <c:pt idx="4">
                  <c:v>Finsko</c:v>
                </c:pt>
                <c:pt idx="5">
                  <c:v>Malta</c:v>
                </c:pt>
                <c:pt idx="6">
                  <c:v>Nizozemsko</c:v>
                </c:pt>
                <c:pt idx="7">
                  <c:v>Vel.Británie</c:v>
                </c:pt>
                <c:pt idx="8">
                  <c:v>Německo</c:v>
                </c:pt>
                <c:pt idx="9">
                  <c:v>Irsko</c:v>
                </c:pt>
                <c:pt idx="10">
                  <c:v>Litva</c:v>
                </c:pt>
                <c:pt idx="11">
                  <c:v>Rakousko</c:v>
                </c:pt>
                <c:pt idx="12">
                  <c:v>Maďarsko</c:v>
                </c:pt>
                <c:pt idx="13">
                  <c:v>Estonsko</c:v>
                </c:pt>
                <c:pt idx="14">
                  <c:v>Řecko</c:v>
                </c:pt>
                <c:pt idx="15">
                  <c:v>Španělsko</c:v>
                </c:pt>
                <c:pt idx="16">
                  <c:v>Lotyšsko</c:v>
                </c:pt>
                <c:pt idx="17">
                  <c:v>Chorvatsko</c:v>
                </c:pt>
                <c:pt idx="18">
                  <c:v>Kypr</c:v>
                </c:pt>
                <c:pt idx="19">
                  <c:v>Portugalsko</c:v>
                </c:pt>
                <c:pt idx="20">
                  <c:v>Polsko</c:v>
                </c:pt>
                <c:pt idx="21">
                  <c:v>Slovensko</c:v>
                </c:pt>
                <c:pt idx="22">
                  <c:v>Lucemburs.</c:v>
                </c:pt>
                <c:pt idx="23">
                  <c:v>Slovinsko</c:v>
                </c:pt>
                <c:pt idx="24">
                  <c:v>Itálie</c:v>
                </c:pt>
                <c:pt idx="25">
                  <c:v>Česko</c:v>
                </c:pt>
                <c:pt idx="26">
                  <c:v>Bulharsko</c:v>
                </c:pt>
                <c:pt idx="27">
                  <c:v>Rumunsko</c:v>
                </c:pt>
                <c:pt idx="28">
                  <c:v>EU28</c:v>
                </c:pt>
                <c:pt idx="29">
                  <c:v>EU15</c:v>
                </c:pt>
                <c:pt idx="31">
                  <c:v>Norsko</c:v>
                </c:pt>
                <c:pt idx="32">
                  <c:v>Island</c:v>
                </c:pt>
                <c:pt idx="33">
                  <c:v>Švýcarsko</c:v>
                </c:pt>
                <c:pt idx="34">
                  <c:v>Lichtenšt.</c:v>
                </c:pt>
              </c:strCache>
            </c:strRef>
          </c:cat>
          <c:val>
            <c:numRef>
              <c:f>'Graf-srovnání s EU'!$C$51:$C$85</c:f>
              <c:numCache>
                <c:formatCode>0.0</c:formatCode>
                <c:ptCount val="35"/>
                <c:pt idx="0">
                  <c:v>21.338791561471886</c:v>
                </c:pt>
                <c:pt idx="1">
                  <c:v>22.854798992618235</c:v>
                </c:pt>
                <c:pt idx="2">
                  <c:v>22.096855830993384</c:v>
                </c:pt>
                <c:pt idx="3">
                  <c:v>20.791102088985827</c:v>
                </c:pt>
                <c:pt idx="4">
                  <c:v>19.96278451570009</c:v>
                </c:pt>
                <c:pt idx="5">
                  <c:v>18.03656869446343</c:v>
                </c:pt>
                <c:pt idx="6">
                  <c:v>20.474392716081443</c:v>
                </c:pt>
                <c:pt idx="7">
                  <c:v>19.597334538438073</c:v>
                </c:pt>
                <c:pt idx="8">
                  <c:v>17.666186906805262</c:v>
                </c:pt>
                <c:pt idx="9">
                  <c:v>16.275721243564675</c:v>
                </c:pt>
                <c:pt idx="10">
                  <c:v>15.232104979823974</c:v>
                </c:pt>
                <c:pt idx="11">
                  <c:v>17.557680402884557</c:v>
                </c:pt>
                <c:pt idx="12">
                  <c:v>18.755820088199229</c:v>
                </c:pt>
                <c:pt idx="13">
                  <c:v>13.997813104550398</c:v>
                </c:pt>
                <c:pt idx="14">
                  <c:v>20.866669325775813</c:v>
                </c:pt>
                <c:pt idx="15">
                  <c:v>17.186576483292821</c:v>
                </c:pt>
                <c:pt idx="16">
                  <c:v>16.995572004494086</c:v>
                </c:pt>
                <c:pt idx="17">
                  <c:v>15.020987992575547</c:v>
                </c:pt>
                <c:pt idx="18">
                  <c:v>21.13462352628823</c:v>
                </c:pt>
                <c:pt idx="19">
                  <c:v>22.057621079347026</c:v>
                </c:pt>
                <c:pt idx="20">
                  <c:v>15.754879072381662</c:v>
                </c:pt>
                <c:pt idx="21">
                  <c:v>14.438925510161818</c:v>
                </c:pt>
                <c:pt idx="22">
                  <c:v>14.728945347392248</c:v>
                </c:pt>
                <c:pt idx="23">
                  <c:v>17.523535498851633</c:v>
                </c:pt>
                <c:pt idx="24">
                  <c:v>17.497691710573669</c:v>
                </c:pt>
                <c:pt idx="25">
                  <c:v>15.456251607976252</c:v>
                </c:pt>
                <c:pt idx="26">
                  <c:v>14.409847613442874</c:v>
                </c:pt>
                <c:pt idx="27">
                  <c:v>12.117433921405254</c:v>
                </c:pt>
                <c:pt idx="28">
                  <c:v>19.008421783304076</c:v>
                </c:pt>
                <c:pt idx="29">
                  <c:v>19.243230834569633</c:v>
                </c:pt>
                <c:pt idx="31">
                  <c:v>18.436041378368071</c:v>
                </c:pt>
                <c:pt idx="32">
                  <c:v>20.250374992066316</c:v>
                </c:pt>
                <c:pt idx="33">
                  <c:v>17.326237860685289</c:v>
                </c:pt>
              </c:numCache>
            </c:numRef>
          </c:val>
          <c:extLst xmlns:c16r2="http://schemas.microsoft.com/office/drawing/2015/06/chart">
            <c:ext xmlns:c16="http://schemas.microsoft.com/office/drawing/2014/chart" uri="{C3380CC4-5D6E-409C-BE32-E72D297353CC}">
              <c16:uniqueId val="{00000005-DF4E-4169-B3DB-93FC97421751}"/>
            </c:ext>
          </c:extLst>
        </c:ser>
        <c:ser>
          <c:idx val="3"/>
          <c:order val="1"/>
          <c:tx>
            <c:strRef>
              <c:f>'Graf-srovnání s EU'!$D$50</c:f>
              <c:strCache>
                <c:ptCount val="1"/>
                <c:pt idx="0">
                  <c:v>rok 2016</c:v>
                </c:pt>
              </c:strCache>
            </c:strRef>
          </c:tx>
          <c:spPr>
            <a:ln w="19050">
              <a:noFill/>
              <a:prstDash val="solid"/>
            </a:ln>
          </c:spPr>
          <c:marker>
            <c:symbol val="circle"/>
            <c:size val="5"/>
            <c:spPr>
              <a:solidFill>
                <a:sysClr val="window" lastClr="FFFFFF"/>
              </a:solidFill>
              <a:ln>
                <a:solidFill>
                  <a:schemeClr val="tx1">
                    <a:lumMod val="95000"/>
                    <a:lumOff val="5000"/>
                  </a:schemeClr>
                </a:solidFill>
              </a:ln>
            </c:spPr>
          </c:marker>
          <c:cat>
            <c:strRef>
              <c:f>'Graf-srovnání s EU'!$B$51:$B$85</c:f>
              <c:strCache>
                <c:ptCount val="35"/>
                <c:pt idx="0">
                  <c:v>Švédsko</c:v>
                </c:pt>
                <c:pt idx="1">
                  <c:v>Dánsko</c:v>
                </c:pt>
                <c:pt idx="2">
                  <c:v>Francie</c:v>
                </c:pt>
                <c:pt idx="3">
                  <c:v>Belgie</c:v>
                </c:pt>
                <c:pt idx="4">
                  <c:v>Finsko</c:v>
                </c:pt>
                <c:pt idx="5">
                  <c:v>Malta</c:v>
                </c:pt>
                <c:pt idx="6">
                  <c:v>Nizozemsko</c:v>
                </c:pt>
                <c:pt idx="7">
                  <c:v>Vel.Británie</c:v>
                </c:pt>
                <c:pt idx="8">
                  <c:v>Německo</c:v>
                </c:pt>
                <c:pt idx="9">
                  <c:v>Irsko</c:v>
                </c:pt>
                <c:pt idx="10">
                  <c:v>Litva</c:v>
                </c:pt>
                <c:pt idx="11">
                  <c:v>Rakousko</c:v>
                </c:pt>
                <c:pt idx="12">
                  <c:v>Maďarsko</c:v>
                </c:pt>
                <c:pt idx="13">
                  <c:v>Estonsko</c:v>
                </c:pt>
                <c:pt idx="14">
                  <c:v>Řecko</c:v>
                </c:pt>
                <c:pt idx="15">
                  <c:v>Španělsko</c:v>
                </c:pt>
                <c:pt idx="16">
                  <c:v>Lotyšsko</c:v>
                </c:pt>
                <c:pt idx="17">
                  <c:v>Chorvatsko</c:v>
                </c:pt>
                <c:pt idx="18">
                  <c:v>Kypr</c:v>
                </c:pt>
                <c:pt idx="19">
                  <c:v>Portugalsko</c:v>
                </c:pt>
                <c:pt idx="20">
                  <c:v>Polsko</c:v>
                </c:pt>
                <c:pt idx="21">
                  <c:v>Slovensko</c:v>
                </c:pt>
                <c:pt idx="22">
                  <c:v>Lucemburs.</c:v>
                </c:pt>
                <c:pt idx="23">
                  <c:v>Slovinsko</c:v>
                </c:pt>
                <c:pt idx="24">
                  <c:v>Itálie</c:v>
                </c:pt>
                <c:pt idx="25">
                  <c:v>Česko</c:v>
                </c:pt>
                <c:pt idx="26">
                  <c:v>Bulharsko</c:v>
                </c:pt>
                <c:pt idx="27">
                  <c:v>Rumunsko</c:v>
                </c:pt>
                <c:pt idx="28">
                  <c:v>EU28</c:v>
                </c:pt>
                <c:pt idx="29">
                  <c:v>EU15</c:v>
                </c:pt>
                <c:pt idx="31">
                  <c:v>Norsko</c:v>
                </c:pt>
                <c:pt idx="32">
                  <c:v>Island</c:v>
                </c:pt>
                <c:pt idx="33">
                  <c:v>Švýcarsko</c:v>
                </c:pt>
                <c:pt idx="34">
                  <c:v>Lichtenšt.</c:v>
                </c:pt>
              </c:strCache>
            </c:strRef>
          </c:cat>
          <c:val>
            <c:numRef>
              <c:f>'Graf-srovnání s EU'!$D$51:$D$85</c:f>
              <c:numCache>
                <c:formatCode>0.0</c:formatCode>
                <c:ptCount val="35"/>
                <c:pt idx="0">
                  <c:v>22.233121373375084</c:v>
                </c:pt>
                <c:pt idx="1">
                  <c:v>23.425139312933098</c:v>
                </c:pt>
                <c:pt idx="2">
                  <c:v>23.410252742371426</c:v>
                </c:pt>
                <c:pt idx="3">
                  <c:v>22.70498332254693</c:v>
                </c:pt>
                <c:pt idx="4">
                  <c:v>21.95840591866142</c:v>
                </c:pt>
                <c:pt idx="5">
                  <c:v>17.201814462332131</c:v>
                </c:pt>
                <c:pt idx="6">
                  <c:v>22.295065860368414</c:v>
                </c:pt>
                <c:pt idx="7">
                  <c:v>19.272456001981599</c:v>
                </c:pt>
                <c:pt idx="8">
                  <c:v>19.032240067063523</c:v>
                </c:pt>
                <c:pt idx="9">
                  <c:v>12.040495257167526</c:v>
                </c:pt>
                <c:pt idx="10">
                  <c:v>15.58319488119945</c:v>
                </c:pt>
                <c:pt idx="11">
                  <c:v>18.500726900068951</c:v>
                </c:pt>
                <c:pt idx="12">
                  <c:v>18.900669423693433</c:v>
                </c:pt>
                <c:pt idx="13">
                  <c:v>17.419596977608027</c:v>
                </c:pt>
                <c:pt idx="14">
                  <c:v>22.246432561178519</c:v>
                </c:pt>
                <c:pt idx="15">
                  <c:v>19.674335976258035</c:v>
                </c:pt>
                <c:pt idx="16">
                  <c:v>17.653975983620231</c:v>
                </c:pt>
                <c:pt idx="17">
                  <c:v>16.152237244575609</c:v>
                </c:pt>
                <c:pt idx="18">
                  <c:v>21.119674790589631</c:v>
                </c:pt>
                <c:pt idx="19">
                  <c:v>20.033560649641828</c:v>
                </c:pt>
                <c:pt idx="20">
                  <c:v>15.129047435524924</c:v>
                </c:pt>
                <c:pt idx="21">
                  <c:v>16.746453876540535</c:v>
                </c:pt>
                <c:pt idx="22">
                  <c:v>15.974748978941516</c:v>
                </c:pt>
                <c:pt idx="23">
                  <c:v>17.879718362158844</c:v>
                </c:pt>
                <c:pt idx="24">
                  <c:v>17.444360440861029</c:v>
                </c:pt>
                <c:pt idx="25">
                  <c:v>15.508502891851206</c:v>
                </c:pt>
                <c:pt idx="26">
                  <c:v>14.383722719857175</c:v>
                </c:pt>
                <c:pt idx="27">
                  <c:v>14.032858650982821</c:v>
                </c:pt>
                <c:pt idx="28">
                  <c:v>19.643994878521589</c:v>
                </c:pt>
                <c:pt idx="29">
                  <c:v>19.981872263077889</c:v>
                </c:pt>
                <c:pt idx="31">
                  <c:v>23.353507432518615</c:v>
                </c:pt>
                <c:pt idx="32">
                  <c:v>19.337543601</c:v>
                </c:pt>
                <c:pt idx="33">
                  <c:v>19.336713087423092</c:v>
                </c:pt>
              </c:numCache>
            </c:numRef>
          </c:val>
          <c:extLst xmlns:c16r2="http://schemas.microsoft.com/office/drawing/2015/06/chart">
            <c:ext xmlns:c16="http://schemas.microsoft.com/office/drawing/2014/chart" uri="{C3380CC4-5D6E-409C-BE32-E72D297353CC}">
              <c16:uniqueId val="{00000006-DF4E-4169-B3DB-93FC97421751}"/>
            </c:ext>
          </c:extLst>
        </c:ser>
        <c:marker val="1"/>
        <c:axId val="188451456"/>
        <c:axId val="188556032"/>
      </c:lineChart>
      <c:catAx>
        <c:axId val="188451456"/>
        <c:scaling>
          <c:orientation val="minMax"/>
        </c:scaling>
        <c:axPos val="b"/>
        <c:numFmt formatCode="General" sourceLinked="1"/>
        <c:majorTickMark val="none"/>
        <c:tickLblPos val="low"/>
        <c:spPr>
          <a:ln w="9525">
            <a:solidFill>
              <a:schemeClr val="tx1"/>
            </a:solidFill>
            <a:prstDash val="solid"/>
          </a:ln>
        </c:spPr>
        <c:txPr>
          <a:bodyPr rot="-5400000" vert="horz"/>
          <a:lstStyle/>
          <a:p>
            <a:pPr>
              <a:defRPr/>
            </a:pPr>
            <a:endParaRPr lang="cs-CZ"/>
          </a:p>
        </c:txPr>
        <c:crossAx val="188556032"/>
        <c:crossesAt val="0"/>
        <c:lblAlgn val="ctr"/>
        <c:lblOffset val="0"/>
        <c:tickLblSkip val="1"/>
        <c:tickMarkSkip val="4"/>
      </c:catAx>
      <c:valAx>
        <c:axId val="188556032"/>
        <c:scaling>
          <c:orientation val="minMax"/>
          <c:max val="37"/>
          <c:min val="0"/>
        </c:scaling>
        <c:axPos val="l"/>
        <c:majorGridlines>
          <c:spPr>
            <a:ln w="6350">
              <a:solidFill>
                <a:schemeClr val="bg1">
                  <a:lumMod val="75000"/>
                </a:schemeClr>
              </a:solidFill>
            </a:ln>
          </c:spPr>
        </c:majorGridlines>
        <c:numFmt formatCode="0" sourceLinked="0"/>
        <c:tickLblPos val="nextTo"/>
        <c:spPr>
          <a:ln w="9525">
            <a:solidFill>
              <a:schemeClr val="tx1"/>
            </a:solidFill>
            <a:prstDash val="solid"/>
          </a:ln>
        </c:spPr>
        <c:txPr>
          <a:bodyPr rot="0" vert="horz"/>
          <a:lstStyle/>
          <a:p>
            <a:pPr>
              <a:defRPr/>
            </a:pPr>
            <a:endParaRPr lang="cs-CZ"/>
          </a:p>
        </c:txPr>
        <c:crossAx val="188451456"/>
        <c:crossesAt val="1"/>
        <c:crossBetween val="between"/>
        <c:majorUnit val="2"/>
      </c:valAx>
      <c:spPr>
        <a:noFill/>
        <a:ln w="9525">
          <a:solidFill>
            <a:schemeClr val="tx1"/>
          </a:solidFill>
        </a:ln>
      </c:spPr>
    </c:plotArea>
    <c:legend>
      <c:legendPos val="b"/>
      <c:layout>
        <c:manualLayout>
          <c:xMode val="edge"/>
          <c:yMode val="edge"/>
          <c:x val="5.2616893350219913E-2"/>
          <c:y val="0.95077226162332562"/>
          <c:w val="0.929321230982318"/>
          <c:h val="3.8764775413711601E-2"/>
        </c:manualLayout>
      </c:layout>
      <c:spPr>
        <a:noFill/>
        <a:ln w="6350">
          <a:no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userShapes r:id="rId2"/>
</c:chartSpace>
</file>

<file path=word/charts/chart64.xml><?xml version="1.0" encoding="utf-8"?>
<c:chartSpace xmlns:c="http://schemas.openxmlformats.org/drawingml/2006/chart" xmlns:a="http://schemas.openxmlformats.org/drawingml/2006/main" xmlns:r="http://schemas.openxmlformats.org/officeDocument/2006/relationships">
  <c:date1904 val="1"/>
  <c:lang val="cs-CZ"/>
  <c:chart>
    <c:plotArea>
      <c:layout>
        <c:manualLayout>
          <c:layoutTarget val="inner"/>
          <c:xMode val="edge"/>
          <c:yMode val="edge"/>
          <c:x val="5.3160670300827814E-2"/>
          <c:y val="2.1454144318916658E-2"/>
          <c:w val="0.89353506965475449"/>
          <c:h val="0.72089927645199237"/>
        </c:manualLayout>
      </c:layout>
      <c:barChart>
        <c:barDir val="col"/>
        <c:grouping val="clustered"/>
        <c:ser>
          <c:idx val="0"/>
          <c:order val="0"/>
          <c:tx>
            <c:strRef>
              <c:f>'Graf-zdravot účty-doplněný'!$C$23</c:f>
              <c:strCache>
                <c:ptCount val="1"/>
                <c:pt idx="0">
                  <c:v>Celk. výdaje na zdrav. péči (mld. korun)</c:v>
                </c:pt>
              </c:strCache>
            </c:strRef>
          </c:tx>
          <c:spPr>
            <a:solidFill>
              <a:srgbClr val="DFF1F5"/>
            </a:solidFill>
            <a:ln w="6350">
              <a:solidFill>
                <a:schemeClr val="bg1">
                  <a:lumMod val="50000"/>
                </a:schemeClr>
              </a:solidFill>
            </a:ln>
          </c:spPr>
          <c:dPt>
            <c:idx val="0"/>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0-A86A-4D79-87F0-95BE2F1A7AA3}"/>
              </c:ext>
            </c:extLst>
          </c:dPt>
          <c:dPt>
            <c:idx val="1"/>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1-A86A-4D79-87F0-95BE2F1A7AA3}"/>
              </c:ext>
            </c:extLst>
          </c:dPt>
          <c:dPt>
            <c:idx val="2"/>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2-A86A-4D79-87F0-95BE2F1A7AA3}"/>
              </c:ext>
            </c:extLst>
          </c:dPt>
          <c:dPt>
            <c:idx val="3"/>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3-A86A-4D79-87F0-95BE2F1A7AA3}"/>
              </c:ext>
            </c:extLst>
          </c:dPt>
          <c:dPt>
            <c:idx val="4"/>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4-A86A-4D79-87F0-95BE2F1A7AA3}"/>
              </c:ext>
            </c:extLst>
          </c:dPt>
          <c:dPt>
            <c:idx val="6"/>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5-A86A-4D79-87F0-95BE2F1A7AA3}"/>
              </c:ext>
            </c:extLst>
          </c:dPt>
          <c:dPt>
            <c:idx val="7"/>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6-A86A-4D79-87F0-95BE2F1A7AA3}"/>
              </c:ext>
            </c:extLst>
          </c:dPt>
          <c:dPt>
            <c:idx val="8"/>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7-A86A-4D79-87F0-95BE2F1A7AA3}"/>
              </c:ext>
            </c:extLst>
          </c:dPt>
          <c:dPt>
            <c:idx val="9"/>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8-A86A-4D79-87F0-95BE2F1A7AA3}"/>
              </c:ext>
            </c:extLst>
          </c:dPt>
          <c:dPt>
            <c:idx val="10"/>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9-A86A-4D79-87F0-95BE2F1A7AA3}"/>
              </c:ext>
            </c:extLst>
          </c:dPt>
          <c:dPt>
            <c:idx val="12"/>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A-A86A-4D79-87F0-95BE2F1A7AA3}"/>
              </c:ext>
            </c:extLst>
          </c:dPt>
          <c:dPt>
            <c:idx val="13"/>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B-A86A-4D79-87F0-95BE2F1A7AA3}"/>
              </c:ext>
            </c:extLst>
          </c:dPt>
          <c:dPt>
            <c:idx val="14"/>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C-A86A-4D79-87F0-95BE2F1A7AA3}"/>
              </c:ext>
            </c:extLst>
          </c:dPt>
          <c:dPt>
            <c:idx val="15"/>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D-A86A-4D79-87F0-95BE2F1A7AA3}"/>
              </c:ext>
            </c:extLst>
          </c:dPt>
          <c:dPt>
            <c:idx val="16"/>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E-A86A-4D79-87F0-95BE2F1A7AA3}"/>
              </c:ext>
            </c:extLst>
          </c:dPt>
          <c:dPt>
            <c:idx val="18"/>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0F-A86A-4D79-87F0-95BE2F1A7AA3}"/>
              </c:ext>
            </c:extLst>
          </c:dPt>
          <c:dPt>
            <c:idx val="19"/>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0-A86A-4D79-87F0-95BE2F1A7AA3}"/>
              </c:ext>
            </c:extLst>
          </c:dPt>
          <c:dPt>
            <c:idx val="20"/>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1-A86A-4D79-87F0-95BE2F1A7AA3}"/>
              </c:ext>
            </c:extLst>
          </c:dPt>
          <c:dPt>
            <c:idx val="21"/>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2-A86A-4D79-87F0-95BE2F1A7AA3}"/>
              </c:ext>
            </c:extLst>
          </c:dPt>
          <c:dPt>
            <c:idx val="22"/>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3-A86A-4D79-87F0-95BE2F1A7AA3}"/>
              </c:ext>
            </c:extLst>
          </c:dPt>
          <c:dPt>
            <c:idx val="24"/>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4-A86A-4D79-87F0-95BE2F1A7AA3}"/>
              </c:ext>
            </c:extLst>
          </c:dPt>
          <c:dPt>
            <c:idx val="25"/>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5-A86A-4D79-87F0-95BE2F1A7AA3}"/>
              </c:ext>
            </c:extLst>
          </c:dPt>
          <c:dPt>
            <c:idx val="26"/>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6-A86A-4D79-87F0-95BE2F1A7AA3}"/>
              </c:ext>
            </c:extLst>
          </c:dPt>
          <c:dPt>
            <c:idx val="27"/>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7-A86A-4D79-87F0-95BE2F1A7AA3}"/>
              </c:ext>
            </c:extLst>
          </c:dPt>
          <c:dPt>
            <c:idx val="28"/>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8-A86A-4D79-87F0-95BE2F1A7AA3}"/>
              </c:ext>
            </c:extLst>
          </c:dPt>
          <c:dPt>
            <c:idx val="30"/>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9-A86A-4D79-87F0-95BE2F1A7AA3}"/>
              </c:ext>
            </c:extLst>
          </c:dPt>
          <c:dPt>
            <c:idx val="31"/>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A-A86A-4D79-87F0-95BE2F1A7AA3}"/>
              </c:ext>
            </c:extLst>
          </c:dPt>
          <c:dPt>
            <c:idx val="32"/>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B-A86A-4D79-87F0-95BE2F1A7AA3}"/>
              </c:ext>
            </c:extLst>
          </c:dPt>
          <c:dPt>
            <c:idx val="33"/>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C-A86A-4D79-87F0-95BE2F1A7AA3}"/>
              </c:ext>
            </c:extLst>
          </c:dPt>
          <c:dPt>
            <c:idx val="34"/>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D-A86A-4D79-87F0-95BE2F1A7AA3}"/>
              </c:ext>
            </c:extLst>
          </c:dPt>
          <c:dPt>
            <c:idx val="36"/>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E-A86A-4D79-87F0-95BE2F1A7AA3}"/>
              </c:ext>
            </c:extLst>
          </c:dPt>
          <c:dPt>
            <c:idx val="37"/>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1F-A86A-4D79-87F0-95BE2F1A7AA3}"/>
              </c:ext>
            </c:extLst>
          </c:dPt>
          <c:dPt>
            <c:idx val="38"/>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0-A86A-4D79-87F0-95BE2F1A7AA3}"/>
              </c:ext>
            </c:extLst>
          </c:dPt>
          <c:dPt>
            <c:idx val="39"/>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1-A86A-4D79-87F0-95BE2F1A7AA3}"/>
              </c:ext>
            </c:extLst>
          </c:dPt>
          <c:dPt>
            <c:idx val="40"/>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2-A86A-4D79-87F0-95BE2F1A7AA3}"/>
              </c:ext>
            </c:extLst>
          </c:dPt>
          <c:dPt>
            <c:idx val="42"/>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3-A86A-4D79-87F0-95BE2F1A7AA3}"/>
              </c:ext>
            </c:extLst>
          </c:dPt>
          <c:dPt>
            <c:idx val="43"/>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4-A86A-4D79-87F0-95BE2F1A7AA3}"/>
              </c:ext>
            </c:extLst>
          </c:dPt>
          <c:dPt>
            <c:idx val="44"/>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5-A86A-4D79-87F0-95BE2F1A7AA3}"/>
              </c:ext>
            </c:extLst>
          </c:dPt>
          <c:dPt>
            <c:idx val="45"/>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6-A86A-4D79-87F0-95BE2F1A7AA3}"/>
              </c:ext>
            </c:extLst>
          </c:dPt>
          <c:dPt>
            <c:idx val="46"/>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7-A86A-4D79-87F0-95BE2F1A7AA3}"/>
              </c:ext>
            </c:extLst>
          </c:dPt>
          <c:dPt>
            <c:idx val="48"/>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8-A86A-4D79-87F0-95BE2F1A7AA3}"/>
              </c:ext>
            </c:extLst>
          </c:dPt>
          <c:dPt>
            <c:idx val="49"/>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9-A86A-4D79-87F0-95BE2F1A7AA3}"/>
              </c:ext>
            </c:extLst>
          </c:dPt>
          <c:dPt>
            <c:idx val="50"/>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A-A86A-4D79-87F0-95BE2F1A7AA3}"/>
              </c:ext>
            </c:extLst>
          </c:dPt>
          <c:dPt>
            <c:idx val="51"/>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B-A86A-4D79-87F0-95BE2F1A7AA3}"/>
              </c:ext>
            </c:extLst>
          </c:dPt>
          <c:dPt>
            <c:idx val="52"/>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C-A86A-4D79-87F0-95BE2F1A7AA3}"/>
              </c:ext>
            </c:extLst>
          </c:dPt>
          <c:dPt>
            <c:idx val="54"/>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D-A86A-4D79-87F0-95BE2F1A7AA3}"/>
              </c:ext>
            </c:extLst>
          </c:dPt>
          <c:dPt>
            <c:idx val="55"/>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E-A86A-4D79-87F0-95BE2F1A7AA3}"/>
              </c:ext>
            </c:extLst>
          </c:dPt>
          <c:dPt>
            <c:idx val="56"/>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2F-A86A-4D79-87F0-95BE2F1A7AA3}"/>
              </c:ext>
            </c:extLst>
          </c:dPt>
          <c:dPt>
            <c:idx val="57"/>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0-A86A-4D79-87F0-95BE2F1A7AA3}"/>
              </c:ext>
            </c:extLst>
          </c:dPt>
          <c:dPt>
            <c:idx val="58"/>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1-A86A-4D79-87F0-95BE2F1A7AA3}"/>
              </c:ext>
            </c:extLst>
          </c:dPt>
          <c:dPt>
            <c:idx val="60"/>
            <c:spPr>
              <a:solidFill>
                <a:schemeClr val="bg1">
                  <a:lumMod val="85000"/>
                </a:schemeClr>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2-A86A-4D79-87F0-95BE2F1A7AA3}"/>
              </c:ext>
            </c:extLst>
          </c:dPt>
          <c:dPt>
            <c:idx val="61"/>
            <c:spPr>
              <a:solidFill>
                <a:srgbClr val="D9EEF3"/>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3-A86A-4D79-87F0-95BE2F1A7AA3}"/>
              </c:ext>
            </c:extLst>
          </c:dPt>
          <c:dPt>
            <c:idx val="62"/>
            <c:spPr>
              <a:solidFill>
                <a:srgbClr val="90CCDC"/>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4-A86A-4D79-87F0-95BE2F1A7AA3}"/>
              </c:ext>
            </c:extLst>
          </c:dPt>
          <c:dPt>
            <c:idx val="63"/>
            <c:spPr>
              <a:solidFill>
                <a:srgbClr val="3EA6C2"/>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5-A86A-4D79-87F0-95BE2F1A7AA3}"/>
              </c:ext>
            </c:extLst>
          </c:dPt>
          <c:dPt>
            <c:idx val="64"/>
            <c:spPr>
              <a:solidFill>
                <a:srgbClr val="0070C0"/>
              </a:solidFill>
              <a:ln w="6350">
                <a:solidFill>
                  <a:schemeClr val="bg1">
                    <a:lumMod val="50000"/>
                  </a:schemeClr>
                </a:solidFill>
              </a:ln>
            </c:spPr>
            <c:extLst xmlns:c16r2="http://schemas.microsoft.com/office/drawing/2015/06/chart">
              <c:ext xmlns:c16="http://schemas.microsoft.com/office/drawing/2014/chart" uri="{C3380CC4-5D6E-409C-BE32-E72D297353CC}">
                <c16:uniqueId val="{00000036-A86A-4D79-87F0-95BE2F1A7AA3}"/>
              </c:ext>
            </c:extLst>
          </c:dPt>
          <c:cat>
            <c:strRef>
              <c:f>'Graf-zdravot účty-doplněný'!$A$24:$B$88</c:f>
              <c:strCache>
                <c:ptCount val="63"/>
                <c:pt idx="2">
                  <c:v>Lůžková 
péče</c:v>
                </c:pt>
                <c:pt idx="8">
                  <c:v>Ambulantní 
péče</c:v>
                </c:pt>
                <c:pt idx="14">
                  <c:v>Stomatologická 
péče</c:v>
                </c:pt>
                <c:pt idx="20">
                  <c:v>Rehabilitační 
péče</c:v>
                </c:pt>
                <c:pt idx="26">
                  <c:v>Dlouhodobá 
péče</c:v>
                </c:pt>
                <c:pt idx="32">
                  <c:v>Doplňkové 
služby*</c:v>
                </c:pt>
                <c:pt idx="38">
                  <c:v>Léky na 
předpis</c:v>
                </c:pt>
                <c:pt idx="44">
                  <c:v>Ost. léčiva a
zdrav.výrobky</c:v>
                </c:pt>
                <c:pt idx="50">
                  <c:v>Preventivní 
péče</c:v>
                </c:pt>
                <c:pt idx="56">
                  <c:v>Správa systému 
zdravotní péče</c:v>
                </c:pt>
                <c:pt idx="62">
                  <c:v>Ostatní výdaje</c:v>
                </c:pt>
              </c:strCache>
            </c:strRef>
          </c:cat>
          <c:val>
            <c:numRef>
              <c:f>'Graf-zdravot účty-doplněný'!$C$24:$C$88</c:f>
              <c:numCache>
                <c:formatCode>#,##0.0</c:formatCode>
                <c:ptCount val="65"/>
                <c:pt idx="0">
                  <c:v>55.948</c:v>
                </c:pt>
                <c:pt idx="1">
                  <c:v>53.489000000000004</c:v>
                </c:pt>
                <c:pt idx="2">
                  <c:v>52.473000000000006</c:v>
                </c:pt>
                <c:pt idx="3">
                  <c:v>51.431000000000004</c:v>
                </c:pt>
                <c:pt idx="4">
                  <c:v>50.938000000000002</c:v>
                </c:pt>
                <c:pt idx="6">
                  <c:v>59.101000000000006</c:v>
                </c:pt>
                <c:pt idx="7">
                  <c:v>65.040000000000006</c:v>
                </c:pt>
                <c:pt idx="8">
                  <c:v>61.609000000000002</c:v>
                </c:pt>
                <c:pt idx="9">
                  <c:v>66.461000000000027</c:v>
                </c:pt>
                <c:pt idx="10">
                  <c:v>67.361000000000004</c:v>
                </c:pt>
                <c:pt idx="12">
                  <c:v>16.829000000000001</c:v>
                </c:pt>
                <c:pt idx="13">
                  <c:v>16.899999999999999</c:v>
                </c:pt>
                <c:pt idx="14">
                  <c:v>17.491</c:v>
                </c:pt>
                <c:pt idx="15">
                  <c:v>17.780999999999906</c:v>
                </c:pt>
                <c:pt idx="16">
                  <c:v>18.23</c:v>
                </c:pt>
                <c:pt idx="18">
                  <c:v>12.808</c:v>
                </c:pt>
                <c:pt idx="19">
                  <c:v>13.753</c:v>
                </c:pt>
                <c:pt idx="20">
                  <c:v>13.737999999999998</c:v>
                </c:pt>
                <c:pt idx="21">
                  <c:v>14.764000000000001</c:v>
                </c:pt>
                <c:pt idx="22">
                  <c:v>15.018000000000001</c:v>
                </c:pt>
                <c:pt idx="24">
                  <c:v>52.761000000000003</c:v>
                </c:pt>
                <c:pt idx="25">
                  <c:v>55.836999999999996</c:v>
                </c:pt>
                <c:pt idx="26">
                  <c:v>62.113</c:v>
                </c:pt>
                <c:pt idx="27">
                  <c:v>61.018000000000001</c:v>
                </c:pt>
                <c:pt idx="28">
                  <c:v>65.263999999999996</c:v>
                </c:pt>
                <c:pt idx="30">
                  <c:v>37.039000000000001</c:v>
                </c:pt>
                <c:pt idx="31">
                  <c:v>38.469000000000001</c:v>
                </c:pt>
                <c:pt idx="32">
                  <c:v>38.882999999999996</c:v>
                </c:pt>
                <c:pt idx="33">
                  <c:v>40.020000000000003</c:v>
                </c:pt>
                <c:pt idx="34">
                  <c:v>41.080999999999996</c:v>
                </c:pt>
                <c:pt idx="36">
                  <c:v>42.065000000000012</c:v>
                </c:pt>
                <c:pt idx="37">
                  <c:v>41.949000000000005</c:v>
                </c:pt>
                <c:pt idx="38">
                  <c:v>41.026000000000003</c:v>
                </c:pt>
                <c:pt idx="39">
                  <c:v>41.781000000000006</c:v>
                </c:pt>
                <c:pt idx="40">
                  <c:v>42.253</c:v>
                </c:pt>
                <c:pt idx="42">
                  <c:v>24.166</c:v>
                </c:pt>
                <c:pt idx="43">
                  <c:v>24.835000000000001</c:v>
                </c:pt>
                <c:pt idx="44">
                  <c:v>25.994999999999987</c:v>
                </c:pt>
                <c:pt idx="45">
                  <c:v>26.05</c:v>
                </c:pt>
                <c:pt idx="46">
                  <c:v>27.032</c:v>
                </c:pt>
                <c:pt idx="48">
                  <c:v>9.99</c:v>
                </c:pt>
                <c:pt idx="49">
                  <c:v>10.765000000000002</c:v>
                </c:pt>
                <c:pt idx="50">
                  <c:v>11.433</c:v>
                </c:pt>
                <c:pt idx="51">
                  <c:v>9.027000000000001</c:v>
                </c:pt>
                <c:pt idx="52">
                  <c:v>9.738999999999999</c:v>
                </c:pt>
                <c:pt idx="54">
                  <c:v>8.6489999999999991</c:v>
                </c:pt>
                <c:pt idx="55">
                  <c:v>9.0050000000000008</c:v>
                </c:pt>
                <c:pt idx="56">
                  <c:v>9.0400000000000009</c:v>
                </c:pt>
                <c:pt idx="57">
                  <c:v>8.5360000000000014</c:v>
                </c:pt>
                <c:pt idx="58">
                  <c:v>8.5830000000000002</c:v>
                </c:pt>
                <c:pt idx="60">
                  <c:v>14.730999999999998</c:v>
                </c:pt>
                <c:pt idx="61">
                  <c:v>14.678000000000001</c:v>
                </c:pt>
                <c:pt idx="62">
                  <c:v>14.932000000000002</c:v>
                </c:pt>
                <c:pt idx="63">
                  <c:v>15.172000000000002</c:v>
                </c:pt>
                <c:pt idx="64">
                  <c:v>16.146999999999988</c:v>
                </c:pt>
              </c:numCache>
            </c:numRef>
          </c:val>
          <c:extLst xmlns:c16r2="http://schemas.microsoft.com/office/drawing/2015/06/chart">
            <c:ext xmlns:c16="http://schemas.microsoft.com/office/drawing/2014/chart" uri="{C3380CC4-5D6E-409C-BE32-E72D297353CC}">
              <c16:uniqueId val="{00000037-A86A-4D79-87F0-95BE2F1A7AA3}"/>
            </c:ext>
          </c:extLst>
        </c:ser>
        <c:gapWidth val="0"/>
        <c:axId val="188913920"/>
        <c:axId val="188916096"/>
      </c:barChart>
      <c:lineChart>
        <c:grouping val="standard"/>
        <c:ser>
          <c:idx val="1"/>
          <c:order val="1"/>
          <c:tx>
            <c:strRef>
              <c:f>'Graf-zdravot účty-doplněný'!$D$23</c:f>
              <c:strCache>
                <c:ptCount val="1"/>
                <c:pt idx="0">
                  <c:v>Výdaje domácností na zdrav.péči (mld. korun, pravá osa)</c:v>
                </c:pt>
              </c:strCache>
            </c:strRef>
          </c:tx>
          <c:spPr>
            <a:ln w="6350">
              <a:noFill/>
            </a:ln>
          </c:spPr>
          <c:marker>
            <c:symbol val="diamond"/>
            <c:size val="5"/>
            <c:spPr>
              <a:solidFill>
                <a:srgbClr val="FFFF00"/>
              </a:solidFill>
              <a:ln w="6350">
                <a:solidFill>
                  <a:prstClr val="white">
                    <a:lumMod val="50000"/>
                  </a:prstClr>
                </a:solidFill>
              </a:ln>
            </c:spPr>
          </c:marker>
          <c:cat>
            <c:strRef>
              <c:f>'Graf-zdravot účty-doplněný'!$A$24:$B$88</c:f>
              <c:strCache>
                <c:ptCount val="63"/>
                <c:pt idx="2">
                  <c:v>Lůžková 
péče</c:v>
                </c:pt>
                <c:pt idx="8">
                  <c:v>Ambulantní 
péče</c:v>
                </c:pt>
                <c:pt idx="14">
                  <c:v>Stomatologická 
péče</c:v>
                </c:pt>
                <c:pt idx="20">
                  <c:v>Rehabilitační 
péče</c:v>
                </c:pt>
                <c:pt idx="26">
                  <c:v>Dlouhodobá 
péče</c:v>
                </c:pt>
                <c:pt idx="32">
                  <c:v>Doplňkové 
služby*</c:v>
                </c:pt>
                <c:pt idx="38">
                  <c:v>Léky na 
předpis</c:v>
                </c:pt>
                <c:pt idx="44">
                  <c:v>Ost. léčiva a
zdrav.výrobky</c:v>
                </c:pt>
                <c:pt idx="50">
                  <c:v>Preventivní 
péče</c:v>
                </c:pt>
                <c:pt idx="56">
                  <c:v>Správa systému 
zdravotní péče</c:v>
                </c:pt>
                <c:pt idx="62">
                  <c:v>Ostatní výdaje</c:v>
                </c:pt>
              </c:strCache>
            </c:strRef>
          </c:cat>
          <c:val>
            <c:numRef>
              <c:f>'Graf-zdravot účty-doplněný'!$D$24:$D$88</c:f>
              <c:numCache>
                <c:formatCode>#,##0.0</c:formatCode>
                <c:ptCount val="65"/>
                <c:pt idx="0">
                  <c:v>0.54</c:v>
                </c:pt>
                <c:pt idx="1">
                  <c:v>0.77500000000000302</c:v>
                </c:pt>
                <c:pt idx="2">
                  <c:v>0.83700000000000063</c:v>
                </c:pt>
                <c:pt idx="3">
                  <c:v>0.90300000000000002</c:v>
                </c:pt>
                <c:pt idx="4">
                  <c:v>0.90700000000000003</c:v>
                </c:pt>
                <c:pt idx="6">
                  <c:v>5.71</c:v>
                </c:pt>
                <c:pt idx="7">
                  <c:v>5.6969999999999965</c:v>
                </c:pt>
                <c:pt idx="8">
                  <c:v>6.1099999999999985</c:v>
                </c:pt>
                <c:pt idx="9">
                  <c:v>6.2290000000000001</c:v>
                </c:pt>
                <c:pt idx="10">
                  <c:v>6.41</c:v>
                </c:pt>
                <c:pt idx="12">
                  <c:v>7.1179999999999772</c:v>
                </c:pt>
                <c:pt idx="13">
                  <c:v>7.3619999999999965</c:v>
                </c:pt>
                <c:pt idx="14">
                  <c:v>8.4360000000000035</c:v>
                </c:pt>
                <c:pt idx="15">
                  <c:v>9.2360000000000024</c:v>
                </c:pt>
                <c:pt idx="16">
                  <c:v>9.6369999999999987</c:v>
                </c:pt>
                <c:pt idx="18">
                  <c:v>2.222</c:v>
                </c:pt>
                <c:pt idx="19">
                  <c:v>2.9830000000000001</c:v>
                </c:pt>
                <c:pt idx="20">
                  <c:v>3.24</c:v>
                </c:pt>
                <c:pt idx="21">
                  <c:v>3.5619999999999998</c:v>
                </c:pt>
                <c:pt idx="22">
                  <c:v>3.6869999999999998</c:v>
                </c:pt>
                <c:pt idx="36">
                  <c:v>8.9320000000000004</c:v>
                </c:pt>
                <c:pt idx="37">
                  <c:v>9.3030000000000008</c:v>
                </c:pt>
                <c:pt idx="38">
                  <c:v>9.4960000000000004</c:v>
                </c:pt>
                <c:pt idx="39">
                  <c:v>10.120999999999999</c:v>
                </c:pt>
                <c:pt idx="40">
                  <c:v>10.295</c:v>
                </c:pt>
                <c:pt idx="42">
                  <c:v>18.183</c:v>
                </c:pt>
                <c:pt idx="43">
                  <c:v>17.344999999999999</c:v>
                </c:pt>
                <c:pt idx="44">
                  <c:v>18.370999999999999</c:v>
                </c:pt>
                <c:pt idx="45">
                  <c:v>19.306999999999999</c:v>
                </c:pt>
                <c:pt idx="46">
                  <c:v>20.279</c:v>
                </c:pt>
              </c:numCache>
            </c:numRef>
          </c:val>
          <c:extLst xmlns:c16r2="http://schemas.microsoft.com/office/drawing/2015/06/chart">
            <c:ext xmlns:c16="http://schemas.microsoft.com/office/drawing/2014/chart" uri="{C3380CC4-5D6E-409C-BE32-E72D297353CC}">
              <c16:uniqueId val="{00000038-A86A-4D79-87F0-95BE2F1A7AA3}"/>
            </c:ext>
          </c:extLst>
        </c:ser>
        <c:marker val="1"/>
        <c:axId val="188919168"/>
        <c:axId val="188917632"/>
      </c:lineChart>
      <c:catAx>
        <c:axId val="188913920"/>
        <c:scaling>
          <c:orientation val="minMax"/>
        </c:scaling>
        <c:axPos val="b"/>
        <c:numFmt formatCode="General" sourceLinked="0"/>
        <c:majorTickMark val="none"/>
        <c:tickLblPos val="low"/>
        <c:txPr>
          <a:bodyPr rot="-5400000" vert="horz"/>
          <a:lstStyle/>
          <a:p>
            <a:pPr>
              <a:defRPr sz="800">
                <a:latin typeface="Arial" pitchFamily="34" charset="0"/>
                <a:cs typeface="Arial" pitchFamily="34" charset="0"/>
              </a:defRPr>
            </a:pPr>
            <a:endParaRPr lang="cs-CZ"/>
          </a:p>
        </c:txPr>
        <c:crossAx val="188916096"/>
        <c:crosses val="autoZero"/>
        <c:auto val="1"/>
        <c:lblAlgn val="ctr"/>
        <c:lblOffset val="0"/>
      </c:catAx>
      <c:valAx>
        <c:axId val="188916096"/>
        <c:scaling>
          <c:orientation val="minMax"/>
          <c:max val="70"/>
          <c:min val="0"/>
        </c:scaling>
        <c:axPos val="l"/>
        <c:majorGridlines/>
        <c:numFmt formatCode="0" sourceLinked="0"/>
        <c:tickLblPos val="nextTo"/>
        <c:txPr>
          <a:bodyPr/>
          <a:lstStyle/>
          <a:p>
            <a:pPr>
              <a:defRPr sz="800">
                <a:latin typeface="Arial" pitchFamily="34" charset="0"/>
                <a:cs typeface="Arial" pitchFamily="34" charset="0"/>
              </a:defRPr>
            </a:pPr>
            <a:endParaRPr lang="cs-CZ"/>
          </a:p>
        </c:txPr>
        <c:crossAx val="188913920"/>
        <c:crosses val="autoZero"/>
        <c:crossBetween val="between"/>
        <c:majorUnit val="5"/>
      </c:valAx>
      <c:valAx>
        <c:axId val="188917632"/>
        <c:scaling>
          <c:orientation val="minMax"/>
          <c:max val="28"/>
          <c:min val="0"/>
        </c:scaling>
        <c:axPos val="r"/>
        <c:numFmt formatCode="#,##0" sourceLinked="0"/>
        <c:tickLblPos val="nextTo"/>
        <c:txPr>
          <a:bodyPr/>
          <a:lstStyle/>
          <a:p>
            <a:pPr>
              <a:defRPr sz="800">
                <a:latin typeface="Arial" pitchFamily="34" charset="0"/>
                <a:cs typeface="Arial" pitchFamily="34" charset="0"/>
              </a:defRPr>
            </a:pPr>
            <a:endParaRPr lang="cs-CZ"/>
          </a:p>
        </c:txPr>
        <c:crossAx val="188919168"/>
        <c:crosses val="max"/>
        <c:crossBetween val="between"/>
        <c:majorUnit val="2"/>
      </c:valAx>
      <c:catAx>
        <c:axId val="188919168"/>
        <c:scaling>
          <c:orientation val="minMax"/>
        </c:scaling>
        <c:delete val="1"/>
        <c:axPos val="b"/>
        <c:numFmt formatCode="General" sourceLinked="1"/>
        <c:tickLblPos val="none"/>
        <c:crossAx val="188917632"/>
        <c:crosses val="autoZero"/>
        <c:auto val="1"/>
        <c:lblAlgn val="ctr"/>
        <c:lblOffset val="100"/>
      </c:catAx>
    </c:plotArea>
    <c:legend>
      <c:legendPos val="r"/>
      <c:layout>
        <c:manualLayout>
          <c:xMode val="edge"/>
          <c:yMode val="edge"/>
          <c:x val="1.1051731047812338E-2"/>
          <c:y val="0.95188385469699655"/>
          <c:w val="0.97664957068186609"/>
          <c:h val="4.3073292109752727E-2"/>
        </c:manualLayout>
      </c:layout>
      <c:spPr>
        <a:ln>
          <a:solidFill>
            <a:schemeClr val="tx1">
              <a:lumMod val="95000"/>
              <a:lumOff val="5000"/>
            </a:schemeClr>
          </a:solidFill>
        </a:ln>
      </c:spPr>
      <c:txPr>
        <a:bodyPr/>
        <a:lstStyle/>
        <a:p>
          <a:pPr>
            <a:defRPr sz="800">
              <a:latin typeface="Arial" pitchFamily="34" charset="0"/>
              <a:cs typeface="Arial" pitchFamily="34" charset="0"/>
            </a:defRPr>
          </a:pPr>
          <a:endParaRPr lang="cs-CZ"/>
        </a:p>
      </c:txPr>
    </c:legend>
    <c:plotVisOnly val="1"/>
    <c:dispBlanksAs val="gap"/>
  </c:chart>
  <c:spPr>
    <a:ln>
      <a:noFill/>
    </a:ln>
  </c:spPr>
  <c:externalData r:id="rId1"/>
  <c:userShapes r:id="rId2"/>
</c:chartSpace>
</file>

<file path=word/charts/chart65.xml><?xml version="1.0" encoding="utf-8"?>
<c:chartSpace xmlns:c="http://schemas.openxmlformats.org/drawingml/2006/chart" xmlns:a="http://schemas.openxmlformats.org/drawingml/2006/main" xmlns:r="http://schemas.openxmlformats.org/officeDocument/2006/relationships">
  <c:lang val="cs-CZ"/>
  <c:chart>
    <c:plotArea>
      <c:layout>
        <c:manualLayout>
          <c:layoutTarget val="inner"/>
          <c:xMode val="edge"/>
          <c:yMode val="edge"/>
          <c:x val="5.392808013777859E-2"/>
          <c:y val="1.5820973818493969E-2"/>
          <c:w val="0.89299261054794354"/>
          <c:h val="0.72952686649990062"/>
        </c:manualLayout>
      </c:layout>
      <c:barChart>
        <c:barDir val="col"/>
        <c:grouping val="stacked"/>
        <c:ser>
          <c:idx val="7"/>
          <c:order val="1"/>
          <c:tx>
            <c:strRef>
              <c:f>'Graf-prac. neschopnost'!$C$4</c:f>
              <c:strCache>
                <c:ptCount val="1"/>
                <c:pt idx="0">
                  <c:v>Průměrné procento dočasné pracovní neschopnosti pro nemoc*</c:v>
                </c:pt>
              </c:strCache>
            </c:strRef>
          </c:tx>
          <c:spPr>
            <a:solidFill>
              <a:srgbClr val="BFE3F7"/>
            </a:solidFill>
            <a:ln>
              <a:noFill/>
            </a:ln>
          </c:spPr>
          <c:cat>
            <c:numRef>
              <c:f>'Graf-prac. neschopnost'!$A$5:$A$17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'Graf-prac. neschopnost'!$C$5:$C$17</c:f>
              <c:numCache>
                <c:formatCode>0.00</c:formatCode>
                <c:ptCount val="13"/>
                <c:pt idx="0">
                  <c:v>5.5206615715764356</c:v>
                </c:pt>
                <c:pt idx="1">
                  <c:v>5.1885174008291095</c:v>
                </c:pt>
                <c:pt idx="2">
                  <c:v>5.0503956950584197</c:v>
                </c:pt>
                <c:pt idx="3">
                  <c:v>4.6399999999999997</c:v>
                </c:pt>
                <c:pt idx="4">
                  <c:v>3.6869999999999998</c:v>
                </c:pt>
                <c:pt idx="5">
                  <c:v>3.2840000000000011</c:v>
                </c:pt>
                <c:pt idx="6">
                  <c:v>3.173</c:v>
                </c:pt>
                <c:pt idx="7">
                  <c:v>2.9129999999999967</c:v>
                </c:pt>
                <c:pt idx="8">
                  <c:v>3.0592512524333415</c:v>
                </c:pt>
                <c:pt idx="9">
                  <c:v>3.1359999999999997</c:v>
                </c:pt>
                <c:pt idx="10">
                  <c:v>3.4659999999999997</c:v>
                </c:pt>
                <c:pt idx="11">
                  <c:v>3.5917529473999998</c:v>
                </c:pt>
                <c:pt idx="12">
                  <c:v>3.6425184597999998</c:v>
                </c:pt>
              </c:numCache>
            </c:numRef>
          </c:val>
          <c:extLst xmlns:c16r2="http://schemas.microsoft.com/office/drawing/2015/06/chart">
            <c:ext xmlns:c16="http://schemas.microsoft.com/office/drawing/2014/chart" uri="{C3380CC4-5D6E-409C-BE32-E72D297353CC}">
              <c16:uniqueId val="{00000000-2D69-4680-9E45-04056E187479}"/>
            </c:ext>
          </c:extLst>
        </c:ser>
        <c:ser>
          <c:idx val="3"/>
          <c:order val="2"/>
          <c:tx>
            <c:strRef>
              <c:f>'Graf-prac. neschopnost'!$D$4</c:f>
              <c:strCache>
                <c:ptCount val="1"/>
                <c:pt idx="0">
                  <c:v>Průměrné procento dočasné pracovní neschopnosti pro pracovní úraz*</c:v>
                </c:pt>
              </c:strCache>
            </c:strRef>
          </c:tx>
          <c:spPr>
            <a:solidFill>
              <a:srgbClr val="48AEE7"/>
            </a:solidFill>
            <a:ln w="19050">
              <a:noFill/>
              <a:prstDash val="solid"/>
            </a:ln>
          </c:spPr>
          <c:cat>
            <c:numRef>
              <c:f>'Graf-prac. neschopnost'!$A$5:$A$17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'Graf-prac. neschopnost'!$D$5:$D$17</c:f>
              <c:numCache>
                <c:formatCode>0.00</c:formatCode>
                <c:ptCount val="13"/>
                <c:pt idx="0">
                  <c:v>0.22831404819302975</c:v>
                </c:pt>
                <c:pt idx="1">
                  <c:v>0.22945497072013171</c:v>
                </c:pt>
                <c:pt idx="2">
                  <c:v>0.21458691355667259</c:v>
                </c:pt>
                <c:pt idx="3">
                  <c:v>0.21200000000000024</c:v>
                </c:pt>
                <c:pt idx="4">
                  <c:v>0.17800000000000021</c:v>
                </c:pt>
                <c:pt idx="5">
                  <c:v>0.17100000000000001</c:v>
                </c:pt>
                <c:pt idx="6">
                  <c:v>0.16900000000000001</c:v>
                </c:pt>
                <c:pt idx="7">
                  <c:v>0.14800000000000021</c:v>
                </c:pt>
                <c:pt idx="8">
                  <c:v>0.14756962895831807</c:v>
                </c:pt>
                <c:pt idx="9">
                  <c:v>0.15000000000000024</c:v>
                </c:pt>
                <c:pt idx="10">
                  <c:v>0.15600000000000044</c:v>
                </c:pt>
                <c:pt idx="11">
                  <c:v>0.15391929920000108</c:v>
                </c:pt>
                <c:pt idx="12">
                  <c:v>0.15148471810000044</c:v>
                </c:pt>
              </c:numCache>
            </c:numRef>
          </c:val>
          <c:extLst xmlns:c16r2="http://schemas.microsoft.com/office/drawing/2015/06/chart">
            <c:ext xmlns:c16="http://schemas.microsoft.com/office/drawing/2014/chart" uri="{C3380CC4-5D6E-409C-BE32-E72D297353CC}">
              <c16:uniqueId val="{00000001-2D69-4680-9E45-04056E187479}"/>
            </c:ext>
          </c:extLst>
        </c:ser>
        <c:ser>
          <c:idx val="1"/>
          <c:order val="3"/>
          <c:tx>
            <c:strRef>
              <c:f>'Graf-prac. neschopnost'!$E$4</c:f>
              <c:strCache>
                <c:ptCount val="1"/>
                <c:pt idx="0">
                  <c:v>Průměrné  procento dočasné pracovní neschopnosti pro ostatní úraz*</c:v>
                </c:pt>
              </c:strCache>
            </c:strRef>
          </c:tx>
          <c:spPr>
            <a:solidFill>
              <a:srgbClr val="0071BC"/>
            </a:solidFill>
            <a:ln w="19050">
              <a:noFill/>
            </a:ln>
          </c:spPr>
          <c:cat>
            <c:numRef>
              <c:f>'Graf-prac. neschopnost'!$A$5:$A$17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'Graf-prac. neschopnost'!$E$5:$E$17</c:f>
              <c:numCache>
                <c:formatCode>0.00</c:formatCode>
                <c:ptCount val="13"/>
                <c:pt idx="0">
                  <c:v>0.37750330564369389</c:v>
                </c:pt>
                <c:pt idx="1">
                  <c:v>0.39578941986678473</c:v>
                </c:pt>
                <c:pt idx="2">
                  <c:v>0.35354629139771315</c:v>
                </c:pt>
                <c:pt idx="3">
                  <c:v>0.33200000000000152</c:v>
                </c:pt>
                <c:pt idx="4">
                  <c:v>0.31900000000000134</c:v>
                </c:pt>
                <c:pt idx="5">
                  <c:v>0.30800000000000038</c:v>
                </c:pt>
                <c:pt idx="6">
                  <c:v>0.29600000000000032</c:v>
                </c:pt>
                <c:pt idx="7">
                  <c:v>0.39000000000000135</c:v>
                </c:pt>
                <c:pt idx="8">
                  <c:v>0.40803711444141105</c:v>
                </c:pt>
                <c:pt idx="9">
                  <c:v>0.41100000000000031</c:v>
                </c:pt>
                <c:pt idx="10">
                  <c:v>0.44</c:v>
                </c:pt>
                <c:pt idx="11">
                  <c:v>0.45324351059999979</c:v>
                </c:pt>
                <c:pt idx="12">
                  <c:v>0.46806492070000116</c:v>
                </c:pt>
              </c:numCache>
            </c:numRef>
          </c:val>
          <c:extLst xmlns:c16r2="http://schemas.microsoft.com/office/drawing/2015/06/chart">
            <c:ext xmlns:c16="http://schemas.microsoft.com/office/drawing/2014/chart" uri="{C3380CC4-5D6E-409C-BE32-E72D297353CC}">
              <c16:uniqueId val="{00000002-2D69-4680-9E45-04056E187479}"/>
            </c:ext>
          </c:extLst>
        </c:ser>
        <c:gapWidth val="82"/>
        <c:overlap val="100"/>
        <c:axId val="190827904"/>
        <c:axId val="191001728"/>
      </c:barChart>
      <c:lineChart>
        <c:grouping val="standard"/>
        <c:ser>
          <c:idx val="0"/>
          <c:order val="0"/>
          <c:tx>
            <c:strRef>
              <c:f>'Graf-prac. neschopnost'!$B$4</c:f>
              <c:strCache>
                <c:ptCount val="1"/>
                <c:pt idx="0">
                  <c:v>Prům. doba trvání 1 případu dočasné prac. neschopnosti (kalendář. dny, pravá osa)</c:v>
                </c:pt>
              </c:strCache>
            </c:strRef>
          </c:tx>
          <c:spPr>
            <a:ln w="22225">
              <a:solidFill>
                <a:srgbClr val="BD1B21"/>
              </a:solidFill>
            </a:ln>
          </c:spPr>
          <c:marker>
            <c:symbol val="none"/>
          </c:marker>
          <c:cat>
            <c:numRef>
              <c:f>'Graf-prac. neschopnost'!$A$5:$A$17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'Graf-prac. neschopnost'!$B$5:$B$17</c:f>
              <c:numCache>
                <c:formatCode>0.0</c:formatCode>
                <c:ptCount val="13"/>
                <c:pt idx="0">
                  <c:v>32.793486140049282</c:v>
                </c:pt>
                <c:pt idx="1">
                  <c:v>35.255918868743592</c:v>
                </c:pt>
                <c:pt idx="2">
                  <c:v>34.575233786419453</c:v>
                </c:pt>
                <c:pt idx="3">
                  <c:v>39.050000000000004</c:v>
                </c:pt>
                <c:pt idx="4">
                  <c:v>45.06</c:v>
                </c:pt>
                <c:pt idx="5">
                  <c:v>44.690000000000012</c:v>
                </c:pt>
                <c:pt idx="6">
                  <c:v>44.08</c:v>
                </c:pt>
                <c:pt idx="7">
                  <c:v>46.05</c:v>
                </c:pt>
                <c:pt idx="8">
                  <c:v>44.00127827968489</c:v>
                </c:pt>
                <c:pt idx="9">
                  <c:v>45.809999999999995</c:v>
                </c:pt>
                <c:pt idx="10">
                  <c:v>42.74</c:v>
                </c:pt>
                <c:pt idx="11">
                  <c:v>43.011019084699996</c:v>
                </c:pt>
                <c:pt idx="12">
                  <c:v>42.563352079900113</c:v>
                </c:pt>
              </c:numCache>
            </c:numRef>
          </c:val>
          <c:extLst xmlns:c16r2="http://schemas.microsoft.com/office/drawing/2015/06/chart">
            <c:ext xmlns:c16="http://schemas.microsoft.com/office/drawing/2014/chart" uri="{C3380CC4-5D6E-409C-BE32-E72D297353CC}">
              <c16:uniqueId val="{00000003-2D69-4680-9E45-04056E187479}"/>
            </c:ext>
          </c:extLst>
        </c:ser>
        <c:ser>
          <c:idx val="2"/>
          <c:order val="4"/>
          <c:tx>
            <c:strRef>
              <c:f>'Graf-prac. neschopnost'!$F$4</c:f>
              <c:strCache>
                <c:ptCount val="1"/>
                <c:pt idx="0">
                  <c:v>Vyplacené dávky nemocenského pojištění (v mld. korun, pravá osa)</c:v>
                </c:pt>
              </c:strCache>
            </c:strRef>
          </c:tx>
          <c:spPr>
            <a:ln w="22225">
              <a:solidFill>
                <a:srgbClr val="7DBB2D"/>
              </a:solidFill>
            </a:ln>
          </c:spPr>
          <c:marker>
            <c:symbol val="none"/>
          </c:marker>
          <c:cat>
            <c:numRef>
              <c:f>'Graf-prac. neschopnost'!$A$5:$A$17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'Graf-prac. neschopnost'!$F$5:$F$17</c:f>
              <c:numCache>
                <c:formatCode>0.00</c:formatCode>
                <c:ptCount val="13"/>
                <c:pt idx="0">
                  <c:v>31.66</c:v>
                </c:pt>
                <c:pt idx="1">
                  <c:v>32.773000000000003</c:v>
                </c:pt>
                <c:pt idx="2">
                  <c:v>34.671000000000006</c:v>
                </c:pt>
                <c:pt idx="3">
                  <c:v>31.881999999999987</c:v>
                </c:pt>
                <c:pt idx="4">
                  <c:v>26.03</c:v>
                </c:pt>
                <c:pt idx="5">
                  <c:v>22.79</c:v>
                </c:pt>
                <c:pt idx="6">
                  <c:v>21.51</c:v>
                </c:pt>
                <c:pt idx="7">
                  <c:v>19.38</c:v>
                </c:pt>
                <c:pt idx="8">
                  <c:v>20.14</c:v>
                </c:pt>
                <c:pt idx="9">
                  <c:v>22.08</c:v>
                </c:pt>
                <c:pt idx="10">
                  <c:v>24.110000000000031</c:v>
                </c:pt>
                <c:pt idx="11">
                  <c:v>26.279999999999987</c:v>
                </c:pt>
                <c:pt idx="12">
                  <c:v>28.32</c:v>
                </c:pt>
              </c:numCache>
            </c:numRef>
          </c:val>
          <c:extLst xmlns:c16r2="http://schemas.microsoft.com/office/drawing/2015/06/chart">
            <c:ext xmlns:c16="http://schemas.microsoft.com/office/drawing/2014/chart" uri="{C3380CC4-5D6E-409C-BE32-E72D297353CC}">
              <c16:uniqueId val="{00000004-2D69-4680-9E45-04056E187479}"/>
            </c:ext>
          </c:extLst>
        </c:ser>
        <c:ser>
          <c:idx val="4"/>
          <c:order val="5"/>
          <c:tx>
            <c:strRef>
              <c:f>'Graf-prac. neschopnost'!$G$4</c:f>
              <c:strCache>
                <c:ptCount val="1"/>
                <c:pt idx="0">
                  <c:v>   z toho nemocenské dávky</c:v>
                </c:pt>
              </c:strCache>
            </c:strRef>
          </c:tx>
          <c:spPr>
            <a:ln w="19050">
              <a:solidFill>
                <a:srgbClr val="7DBB2D"/>
              </a:solidFill>
              <a:prstDash val="sysDash"/>
            </a:ln>
          </c:spPr>
          <c:marker>
            <c:symbol val="none"/>
          </c:marker>
          <c:cat>
            <c:numRef>
              <c:f>'Graf-prac. neschopnost'!$A$5:$A$17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'Graf-prac. neschopnost'!$G$5:$G$17</c:f>
              <c:numCache>
                <c:formatCode>0.00</c:formatCode>
                <c:ptCount val="13"/>
                <c:pt idx="0">
                  <c:v>26.259999999999987</c:v>
                </c:pt>
                <c:pt idx="1">
                  <c:v>26.97</c:v>
                </c:pt>
                <c:pt idx="2">
                  <c:v>27.88</c:v>
                </c:pt>
                <c:pt idx="3">
                  <c:v>24.77</c:v>
                </c:pt>
                <c:pt idx="4">
                  <c:v>18.22</c:v>
                </c:pt>
                <c:pt idx="5">
                  <c:v>14.94</c:v>
                </c:pt>
                <c:pt idx="6">
                  <c:v>13.350000000000026</c:v>
                </c:pt>
                <c:pt idx="7">
                  <c:v>11.47</c:v>
                </c:pt>
                <c:pt idx="8">
                  <c:v>12.04</c:v>
                </c:pt>
                <c:pt idx="9">
                  <c:v>13.88</c:v>
                </c:pt>
                <c:pt idx="10">
                  <c:v>15.43</c:v>
                </c:pt>
                <c:pt idx="11">
                  <c:v>16.989999999999906</c:v>
                </c:pt>
                <c:pt idx="12">
                  <c:v>18.29</c:v>
                </c:pt>
              </c:numCache>
            </c:numRef>
          </c:val>
          <c:extLst xmlns:c16r2="http://schemas.microsoft.com/office/drawing/2015/06/chart">
            <c:ext xmlns:c16="http://schemas.microsoft.com/office/drawing/2014/chart" uri="{C3380CC4-5D6E-409C-BE32-E72D297353CC}">
              <c16:uniqueId val="{00000005-2D69-4680-9E45-04056E187479}"/>
            </c:ext>
          </c:extLst>
        </c:ser>
        <c:ser>
          <c:idx val="5"/>
          <c:order val="6"/>
          <c:tx>
            <c:strRef>
              <c:f>'Graf-prac. neschopnost'!$H$4</c:f>
              <c:strCache>
                <c:ptCount val="1"/>
                <c:pt idx="0">
                  <c:v>   z toho peněžitá pomoc v mateřství</c:v>
                </c:pt>
              </c:strCache>
            </c:strRef>
          </c:tx>
          <c:spPr>
            <a:ln w="19050">
              <a:solidFill>
                <a:srgbClr val="7DBB2D"/>
              </a:solidFill>
              <a:prstDash val="dash"/>
            </a:ln>
          </c:spPr>
          <c:marker>
            <c:symbol val="none"/>
          </c:marker>
          <c:cat>
            <c:numRef>
              <c:f>'Graf-prac. neschopnost'!$A$5:$A$17</c:f>
              <c:numCache>
                <c:formatCode>General</c:formatCode>
                <c:ptCount val="13"/>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numCache>
            </c:numRef>
          </c:cat>
          <c:val>
            <c:numRef>
              <c:f>'Graf-prac. neschopnost'!$H$5:$H$17</c:f>
              <c:numCache>
                <c:formatCode>0.00</c:formatCode>
                <c:ptCount val="13"/>
                <c:pt idx="0">
                  <c:v>4.57</c:v>
                </c:pt>
                <c:pt idx="1">
                  <c:v>4.9700000000000024</c:v>
                </c:pt>
                <c:pt idx="2">
                  <c:v>5.89</c:v>
                </c:pt>
                <c:pt idx="3">
                  <c:v>6.3</c:v>
                </c:pt>
                <c:pt idx="4">
                  <c:v>7.08</c:v>
                </c:pt>
                <c:pt idx="5">
                  <c:v>7.41</c:v>
                </c:pt>
                <c:pt idx="6">
                  <c:v>7.51</c:v>
                </c:pt>
                <c:pt idx="7">
                  <c:v>7.22</c:v>
                </c:pt>
                <c:pt idx="8">
                  <c:v>7.26</c:v>
                </c:pt>
                <c:pt idx="9">
                  <c:v>7.33</c:v>
                </c:pt>
                <c:pt idx="10">
                  <c:v>7.6099999999999985</c:v>
                </c:pt>
                <c:pt idx="11">
                  <c:v>8.11</c:v>
                </c:pt>
                <c:pt idx="12">
                  <c:v>8.620000000000001</c:v>
                </c:pt>
              </c:numCache>
            </c:numRef>
          </c:val>
          <c:extLst xmlns:c16r2="http://schemas.microsoft.com/office/drawing/2015/06/chart">
            <c:ext xmlns:c16="http://schemas.microsoft.com/office/drawing/2014/chart" uri="{C3380CC4-5D6E-409C-BE32-E72D297353CC}">
              <c16:uniqueId val="{00000006-2D69-4680-9E45-04056E187479}"/>
            </c:ext>
          </c:extLst>
        </c:ser>
        <c:marker val="1"/>
        <c:axId val="191009152"/>
        <c:axId val="191003264"/>
      </c:lineChart>
      <c:catAx>
        <c:axId val="190827904"/>
        <c:scaling>
          <c:orientation val="minMax"/>
        </c:scaling>
        <c:axPos val="b"/>
        <c:numFmt formatCode="General" sourceLinked="1"/>
        <c:tickLblPos val="low"/>
        <c:spPr>
          <a:ln w="9525">
            <a:solidFill>
              <a:schemeClr val="tx1"/>
            </a:solidFill>
            <a:prstDash val="solid"/>
          </a:ln>
        </c:spPr>
        <c:txPr>
          <a:bodyPr rot="0" vert="horz"/>
          <a:lstStyle/>
          <a:p>
            <a:pPr>
              <a:defRPr/>
            </a:pPr>
            <a:endParaRPr lang="cs-CZ"/>
          </a:p>
        </c:txPr>
        <c:crossAx val="191001728"/>
        <c:crossesAt val="0"/>
        <c:lblAlgn val="ctr"/>
        <c:lblOffset val="0"/>
        <c:tickLblSkip val="1"/>
        <c:tickMarkSkip val="4"/>
      </c:catAx>
      <c:valAx>
        <c:axId val="191001728"/>
        <c:scaling>
          <c:orientation val="minMax"/>
          <c:max val="6.5"/>
          <c:min val="0"/>
        </c:scaling>
        <c:axPos val="l"/>
        <c:majorGridlines>
          <c:spPr>
            <a:ln w="6350">
              <a:solidFill>
                <a:schemeClr val="bg1">
                  <a:lumMod val="75000"/>
                </a:schemeClr>
              </a:solidFill>
            </a:ln>
          </c:spPr>
        </c:majorGridlines>
        <c:numFmt formatCode="0.0" sourceLinked="0"/>
        <c:tickLblPos val="nextTo"/>
        <c:spPr>
          <a:ln w="9525">
            <a:solidFill>
              <a:schemeClr val="tx1"/>
            </a:solidFill>
            <a:prstDash val="solid"/>
          </a:ln>
        </c:spPr>
        <c:txPr>
          <a:bodyPr rot="0" vert="horz"/>
          <a:lstStyle/>
          <a:p>
            <a:pPr>
              <a:defRPr/>
            </a:pPr>
            <a:endParaRPr lang="cs-CZ"/>
          </a:p>
        </c:txPr>
        <c:crossAx val="190827904"/>
        <c:crosses val="autoZero"/>
        <c:crossBetween val="between"/>
        <c:majorUnit val="0.5"/>
      </c:valAx>
      <c:valAx>
        <c:axId val="191003264"/>
        <c:scaling>
          <c:orientation val="minMax"/>
          <c:max val="65"/>
          <c:min val="0"/>
        </c:scaling>
        <c:axPos val="r"/>
        <c:numFmt formatCode="0" sourceLinked="0"/>
        <c:tickLblPos val="nextTo"/>
        <c:crossAx val="191009152"/>
        <c:crosses val="max"/>
        <c:crossBetween val="between"/>
        <c:majorUnit val="5"/>
      </c:valAx>
      <c:catAx>
        <c:axId val="191009152"/>
        <c:scaling>
          <c:orientation val="minMax"/>
        </c:scaling>
        <c:delete val="1"/>
        <c:axPos val="b"/>
        <c:numFmt formatCode="General" sourceLinked="1"/>
        <c:tickLblPos val="none"/>
        <c:crossAx val="191003264"/>
        <c:crosses val="autoZero"/>
        <c:auto val="1"/>
        <c:lblAlgn val="ctr"/>
        <c:lblOffset val="100"/>
      </c:catAx>
      <c:spPr>
        <a:noFill/>
        <a:ln w="9525">
          <a:solidFill>
            <a:schemeClr val="tx1"/>
          </a:solidFill>
        </a:ln>
      </c:spPr>
    </c:plotArea>
    <c:legend>
      <c:legendPos val="b"/>
      <c:layout>
        <c:manualLayout>
          <c:xMode val="edge"/>
          <c:yMode val="edge"/>
          <c:x val="5.4019954707434974E-2"/>
          <c:y val="0.78905001120135476"/>
          <c:w val="0.8939125595271995"/>
          <c:h val="0.19575330331478735"/>
        </c:manualLayout>
      </c:layout>
      <c:spPr>
        <a:noFill/>
        <a:ln w="6350">
          <a:solidFill>
            <a:schemeClr val="tx1"/>
          </a:solidFill>
        </a:ln>
      </c:spPr>
    </c:legend>
    <c:plotVisOnly val="1"/>
    <c:dispBlanksAs val="gap"/>
  </c:chart>
  <c:spPr>
    <a:solidFill>
      <a:srgbClr val="FFFFFF"/>
    </a:solidFill>
    <a:ln w="3175">
      <a:noFill/>
      <a:prstDash val="solid"/>
    </a:ln>
  </c:spPr>
  <c:txPr>
    <a:bodyPr/>
    <a:lstStyle/>
    <a:p>
      <a:pPr>
        <a:defRPr sz="800" b="0" i="0" u="none" strike="noStrike" baseline="0">
          <a:solidFill>
            <a:srgbClr val="000000"/>
          </a:solidFill>
          <a:latin typeface="Arial CE"/>
          <a:ea typeface="Arial CE"/>
          <a:cs typeface="Arial CE"/>
        </a:defRPr>
      </a:pPr>
      <a:endParaRPr lang="cs-CZ"/>
    </a:p>
  </c:txPr>
  <c:externalData r:id="rId1"/>
</c:chartSpace>
</file>

<file path=word/drawings/drawing1.xml><?xml version="1.0" encoding="utf-8"?>
<c:userShapes xmlns:c="http://schemas.openxmlformats.org/drawingml/2006/chart">
  <cdr:relSizeAnchor xmlns:cdr="http://schemas.openxmlformats.org/drawingml/2006/chartDrawing">
    <cdr:from>
      <cdr:x>2.11807E-7</cdr:x>
      <cdr:y>0.93133</cdr:y>
    </cdr:from>
    <cdr:to>
      <cdr:x>0.9791</cdr:x>
      <cdr:y>0.99581</cdr:y>
    </cdr:to>
    <cdr:sp macro="" textlink="">
      <cdr:nvSpPr>
        <cdr:cNvPr id="2" name="TextovéPole 1"/>
        <cdr:cNvSpPr txBox="1"/>
      </cdr:nvSpPr>
      <cdr:spPr>
        <a:xfrm xmlns:a="http://schemas.openxmlformats.org/drawingml/2006/main">
          <a:off x="1" y="3439602"/>
          <a:ext cx="4622609" cy="238138"/>
        </a:xfrm>
        <a:prstGeom xmlns:a="http://schemas.openxmlformats.org/drawingml/2006/main" prst="rect">
          <a:avLst/>
        </a:prstGeom>
        <a:ln xmlns:a="http://schemas.openxmlformats.org/drawingml/2006/main" w="6350">
          <a:solidFill>
            <a:schemeClr val="tx1">
              <a:lumMod val="95000"/>
              <a:lumOff val="5000"/>
            </a:schemeClr>
          </a:solidFill>
        </a:ln>
      </cdr:spPr>
      <cdr:txBody>
        <a:bodyPr xmlns:a="http://schemas.openxmlformats.org/drawingml/2006/main" vertOverflow="clip" wrap="square" lIns="0" tIns="0" rIns="0" bIns="0" rtlCol="0"/>
        <a:lstStyle xmlns:a="http://schemas.openxmlformats.org/drawingml/2006/main"/>
        <a:p xmlns:a="http://schemas.openxmlformats.org/drawingml/2006/main">
          <a:r>
            <a:rPr lang="cs-CZ" sz="750">
              <a:latin typeface="Arial" pitchFamily="34" charset="0"/>
              <a:cs typeface="Arial" pitchFamily="34" charset="0"/>
            </a:rPr>
            <a:t> M</a:t>
          </a:r>
          <a:r>
            <a:rPr lang="cs-CZ" sz="750" baseline="0">
              <a:latin typeface="Arial" pitchFamily="34" charset="0"/>
              <a:cs typeface="Arial" pitchFamily="34" charset="0"/>
            </a:rPr>
            <a:t>zda VŠ/ZŠ (pravá osa)     Půrměrná hr.měs.mzda dle nejvyššího dokonč.vzdělání (v tis.korun) v roce 2017    </a:t>
          </a:r>
          <a:endParaRPr lang="cs-CZ" sz="750">
            <a:latin typeface="Arial" pitchFamily="34" charset="0"/>
            <a:cs typeface="Arial" pitchFamily="34" charset="0"/>
          </a:endParaRPr>
        </a:p>
      </cdr:txBody>
    </cdr:sp>
  </cdr:relSizeAnchor>
  <cdr:relSizeAnchor xmlns:cdr="http://schemas.openxmlformats.org/drawingml/2006/chartDrawing">
    <cdr:from>
      <cdr:x>0.06884</cdr:x>
      <cdr:y>0.43007</cdr:y>
    </cdr:from>
    <cdr:to>
      <cdr:x>0.06938</cdr:x>
      <cdr:y>0.52557</cdr:y>
    </cdr:to>
    <cdr:sp macro="" textlink="">
      <cdr:nvSpPr>
        <cdr:cNvPr id="4" name="Přímá spojovací čára 3"/>
        <cdr:cNvSpPr/>
      </cdr:nvSpPr>
      <cdr:spPr>
        <a:xfrm xmlns:a="http://schemas.openxmlformats.org/drawingml/2006/main" flipH="1" flipV="1">
          <a:off x="324365" y="1588357"/>
          <a:ext cx="2574" cy="352683"/>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0.11309</cdr:x>
      <cdr:y>0.16659</cdr:y>
    </cdr:from>
    <cdr:to>
      <cdr:x>0.11418</cdr:x>
      <cdr:y>0.45099</cdr:y>
    </cdr:to>
    <cdr:sp macro="" textlink="">
      <cdr:nvSpPr>
        <cdr:cNvPr id="6" name="Přímá spojovací čára 5"/>
        <cdr:cNvSpPr/>
      </cdr:nvSpPr>
      <cdr:spPr>
        <a:xfrm xmlns:a="http://schemas.openxmlformats.org/drawingml/2006/main" flipV="1">
          <a:off x="532883" y="615264"/>
          <a:ext cx="5150" cy="1050324"/>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0.15724</cdr:x>
      <cdr:y>0.23561</cdr:y>
    </cdr:from>
    <cdr:to>
      <cdr:x>0.15779</cdr:x>
      <cdr:y>0.4963</cdr:y>
    </cdr:to>
    <cdr:sp macro="" textlink="">
      <cdr:nvSpPr>
        <cdr:cNvPr id="7" name="Přímá spojovací čára 6"/>
        <cdr:cNvSpPr/>
      </cdr:nvSpPr>
      <cdr:spPr>
        <a:xfrm xmlns:a="http://schemas.openxmlformats.org/drawingml/2006/main" flipV="1">
          <a:off x="740485" y="870172"/>
          <a:ext cx="2590" cy="962785"/>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0.20236</cdr:x>
      <cdr:y>0.13927</cdr:y>
    </cdr:from>
    <cdr:to>
      <cdr:x>0.20286</cdr:x>
      <cdr:y>0.54547</cdr:y>
    </cdr:to>
    <cdr:sp macro="" textlink="">
      <cdr:nvSpPr>
        <cdr:cNvPr id="9" name="Přímá spojovací čára 8"/>
        <cdr:cNvSpPr/>
      </cdr:nvSpPr>
      <cdr:spPr>
        <a:xfrm xmlns:a="http://schemas.openxmlformats.org/drawingml/2006/main" flipH="1" flipV="1">
          <a:off x="952967" y="514354"/>
          <a:ext cx="2354" cy="1500184"/>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0.24756</cdr:x>
      <cdr:y>0.29977</cdr:y>
    </cdr:from>
    <cdr:to>
      <cdr:x>0.24807</cdr:x>
      <cdr:y>0.53318</cdr:y>
    </cdr:to>
    <cdr:sp macro="" textlink="">
      <cdr:nvSpPr>
        <cdr:cNvPr id="11" name="Přímá spojovací čára 10"/>
        <cdr:cNvSpPr/>
      </cdr:nvSpPr>
      <cdr:spPr>
        <a:xfrm xmlns:a="http://schemas.openxmlformats.org/drawingml/2006/main" flipV="1">
          <a:off x="1166082" y="1107105"/>
          <a:ext cx="2403" cy="862034"/>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0.29253</cdr:x>
      <cdr:y>0.34753</cdr:y>
    </cdr:from>
    <cdr:to>
      <cdr:x>0.29253</cdr:x>
      <cdr:y>0.54354</cdr:y>
    </cdr:to>
    <cdr:sp macro="" textlink="">
      <cdr:nvSpPr>
        <cdr:cNvPr id="13" name="Přímá spojovací čára 12"/>
        <cdr:cNvSpPr/>
      </cdr:nvSpPr>
      <cdr:spPr>
        <a:xfrm xmlns:a="http://schemas.openxmlformats.org/drawingml/2006/main" flipH="1" flipV="1">
          <a:off x="1377902" y="1283503"/>
          <a:ext cx="0" cy="723907"/>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0.33855</cdr:x>
      <cdr:y>0.27145</cdr:y>
    </cdr:from>
    <cdr:to>
      <cdr:x>0.34007</cdr:x>
      <cdr:y>0.53838</cdr:y>
    </cdr:to>
    <cdr:sp macro="" textlink="">
      <cdr:nvSpPr>
        <cdr:cNvPr id="15" name="Přímá spojovací čára 14"/>
        <cdr:cNvSpPr/>
      </cdr:nvSpPr>
      <cdr:spPr>
        <a:xfrm xmlns:a="http://schemas.openxmlformats.org/drawingml/2006/main" flipV="1">
          <a:off x="1595438" y="1002506"/>
          <a:ext cx="7143" cy="985838"/>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0.38248</cdr:x>
      <cdr:y>0.2661</cdr:y>
    </cdr:from>
    <cdr:to>
      <cdr:x>0.38349</cdr:x>
      <cdr:y>0.51692</cdr:y>
    </cdr:to>
    <cdr:sp macro="" textlink="">
      <cdr:nvSpPr>
        <cdr:cNvPr id="17" name="Přímá spojovací čára 16"/>
        <cdr:cNvSpPr/>
      </cdr:nvSpPr>
      <cdr:spPr>
        <a:xfrm xmlns:a="http://schemas.openxmlformats.org/drawingml/2006/main">
          <a:off x="1801587" y="982759"/>
          <a:ext cx="4757" cy="926333"/>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0.43002</cdr:x>
      <cdr:y>0.45198</cdr:y>
    </cdr:from>
    <cdr:to>
      <cdr:x>0.43103</cdr:x>
      <cdr:y>0.58609</cdr:y>
    </cdr:to>
    <cdr:sp macro="" textlink="">
      <cdr:nvSpPr>
        <cdr:cNvPr id="19" name="Přímá spojovací čára 18"/>
        <cdr:cNvSpPr/>
      </cdr:nvSpPr>
      <cdr:spPr>
        <a:xfrm xmlns:a="http://schemas.openxmlformats.org/drawingml/2006/main">
          <a:off x="2026444" y="1669256"/>
          <a:ext cx="4762" cy="495300"/>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0.47293</cdr:x>
      <cdr:y>0.14401</cdr:y>
    </cdr:from>
    <cdr:to>
      <cdr:x>0.47394</cdr:x>
      <cdr:y>0.46188</cdr:y>
    </cdr:to>
    <cdr:sp macro="" textlink="">
      <cdr:nvSpPr>
        <cdr:cNvPr id="21" name="Přímá spojovací čára 20"/>
        <cdr:cNvSpPr/>
      </cdr:nvSpPr>
      <cdr:spPr>
        <a:xfrm xmlns:a="http://schemas.openxmlformats.org/drawingml/2006/main" flipV="1">
          <a:off x="2227628" y="531876"/>
          <a:ext cx="4757" cy="1173962"/>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0.47275</cdr:x>
      <cdr:y>0.47348</cdr:y>
    </cdr:from>
    <cdr:to>
      <cdr:x>0.47326</cdr:x>
      <cdr:y>0.50894</cdr:y>
    </cdr:to>
    <cdr:sp macro="" textlink="">
      <cdr:nvSpPr>
        <cdr:cNvPr id="23" name="Přímá spojovací čára 22"/>
        <cdr:cNvSpPr/>
      </cdr:nvSpPr>
      <cdr:spPr>
        <a:xfrm xmlns:a="http://schemas.openxmlformats.org/drawingml/2006/main" flipH="1">
          <a:off x="2226754" y="1748679"/>
          <a:ext cx="2402" cy="130962"/>
        </a:xfrm>
        <a:prstGeom xmlns:a="http://schemas.openxmlformats.org/drawingml/2006/main" prst="line">
          <a:avLst/>
        </a:prstGeom>
        <a:ln xmlns:a="http://schemas.openxmlformats.org/drawingml/2006/main">
          <a:solidFill>
            <a:schemeClr val="bg1">
              <a:lumMod val="75000"/>
            </a:schemeClr>
          </a:solidFill>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0.51841</cdr:x>
      <cdr:y>0.04729</cdr:y>
    </cdr:from>
    <cdr:to>
      <cdr:x>0.51841</cdr:x>
      <cdr:y>0.48509</cdr:y>
    </cdr:to>
    <cdr:sp macro="" textlink="">
      <cdr:nvSpPr>
        <cdr:cNvPr id="25" name="Přímá spojovací čára 24"/>
        <cdr:cNvSpPr/>
      </cdr:nvSpPr>
      <cdr:spPr>
        <a:xfrm xmlns:a="http://schemas.openxmlformats.org/drawingml/2006/main" flipV="1">
          <a:off x="2441849" y="174668"/>
          <a:ext cx="0" cy="1616890"/>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0.51653</cdr:x>
      <cdr:y>0.49711</cdr:y>
    </cdr:from>
    <cdr:to>
      <cdr:x>0.51704</cdr:x>
      <cdr:y>0.52161</cdr:y>
    </cdr:to>
    <cdr:sp macro="" textlink="">
      <cdr:nvSpPr>
        <cdr:cNvPr id="27" name="Přímá spojovací čára 26"/>
        <cdr:cNvSpPr/>
      </cdr:nvSpPr>
      <cdr:spPr>
        <a:xfrm xmlns:a="http://schemas.openxmlformats.org/drawingml/2006/main" flipH="1">
          <a:off x="2432988" y="1835934"/>
          <a:ext cx="2402" cy="90484"/>
        </a:xfrm>
        <a:prstGeom xmlns:a="http://schemas.openxmlformats.org/drawingml/2006/main" prst="line">
          <a:avLst/>
        </a:prstGeom>
        <a:ln xmlns:a="http://schemas.openxmlformats.org/drawingml/2006/main">
          <a:solidFill>
            <a:schemeClr val="bg1">
              <a:lumMod val="75000"/>
            </a:schemeClr>
          </a:solidFill>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0.56287</cdr:x>
      <cdr:y>0.45672</cdr:y>
    </cdr:from>
    <cdr:to>
      <cdr:x>0.56287</cdr:x>
      <cdr:y>0.5818</cdr:y>
    </cdr:to>
    <cdr:sp macro="" textlink="">
      <cdr:nvSpPr>
        <cdr:cNvPr id="29" name="Přímá spojovací čára 28"/>
        <cdr:cNvSpPr/>
      </cdr:nvSpPr>
      <cdr:spPr>
        <a:xfrm xmlns:a="http://schemas.openxmlformats.org/drawingml/2006/main" flipV="1">
          <a:off x="2651266" y="1686781"/>
          <a:ext cx="0" cy="461947"/>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0.60799</cdr:x>
      <cdr:y>0.31298</cdr:y>
    </cdr:from>
    <cdr:to>
      <cdr:x>0.60803</cdr:x>
      <cdr:y>0.4984</cdr:y>
    </cdr:to>
    <cdr:sp macro="" textlink="">
      <cdr:nvSpPr>
        <cdr:cNvPr id="31" name="Přímá spojovací čára 30"/>
        <cdr:cNvSpPr/>
      </cdr:nvSpPr>
      <cdr:spPr>
        <a:xfrm xmlns:a="http://schemas.openxmlformats.org/drawingml/2006/main" flipH="1">
          <a:off x="2863785" y="1155915"/>
          <a:ext cx="171" cy="684783"/>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0.60817</cdr:x>
      <cdr:y>0.5113</cdr:y>
    </cdr:from>
    <cdr:to>
      <cdr:x>0.60817</cdr:x>
      <cdr:y>0.54031</cdr:y>
    </cdr:to>
    <cdr:sp macro="" textlink="">
      <cdr:nvSpPr>
        <cdr:cNvPr id="33" name="Přímá spojovací čára 32"/>
        <cdr:cNvSpPr/>
      </cdr:nvSpPr>
      <cdr:spPr>
        <a:xfrm xmlns:a="http://schemas.openxmlformats.org/drawingml/2006/main">
          <a:off x="2864613" y="1888341"/>
          <a:ext cx="0" cy="107140"/>
        </a:xfrm>
        <a:prstGeom xmlns:a="http://schemas.openxmlformats.org/drawingml/2006/main" prst="line">
          <a:avLst/>
        </a:prstGeom>
        <a:ln xmlns:a="http://schemas.openxmlformats.org/drawingml/2006/main">
          <a:solidFill>
            <a:schemeClr val="bg1">
              <a:lumMod val="75000"/>
            </a:schemeClr>
          </a:solidFill>
          <a:prstDash val="sys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0.65178</cdr:x>
      <cdr:y>0.43802</cdr:y>
    </cdr:from>
    <cdr:to>
      <cdr:x>0.65228</cdr:x>
      <cdr:y>0.55924</cdr:y>
    </cdr:to>
    <cdr:sp macro="" textlink="">
      <cdr:nvSpPr>
        <cdr:cNvPr id="35" name="Přímá spojovací čára 34"/>
        <cdr:cNvSpPr/>
      </cdr:nvSpPr>
      <cdr:spPr>
        <a:xfrm xmlns:a="http://schemas.openxmlformats.org/drawingml/2006/main" flipV="1">
          <a:off x="3070023" y="1617718"/>
          <a:ext cx="2355" cy="447691"/>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0.69829</cdr:x>
      <cdr:y>0.33915</cdr:y>
    </cdr:from>
    <cdr:to>
      <cdr:x>0.6988</cdr:x>
      <cdr:y>0.58093</cdr:y>
    </cdr:to>
    <cdr:sp macro="" textlink="">
      <cdr:nvSpPr>
        <cdr:cNvPr id="37" name="Přímá spojovací čára 36"/>
        <cdr:cNvSpPr/>
      </cdr:nvSpPr>
      <cdr:spPr>
        <a:xfrm xmlns:a="http://schemas.openxmlformats.org/drawingml/2006/main">
          <a:off x="3289126" y="1252554"/>
          <a:ext cx="2402" cy="892945"/>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0.74172</cdr:x>
      <cdr:y>0.4027</cdr:y>
    </cdr:from>
    <cdr:to>
      <cdr:x>0.74223</cdr:x>
      <cdr:y>0.57743</cdr:y>
    </cdr:to>
    <cdr:sp macro="" textlink="">
      <cdr:nvSpPr>
        <cdr:cNvPr id="39" name="Přímá spojovací čára 38"/>
        <cdr:cNvSpPr/>
      </cdr:nvSpPr>
      <cdr:spPr>
        <a:xfrm xmlns:a="http://schemas.openxmlformats.org/drawingml/2006/main" flipH="1">
          <a:off x="3493660" y="1487268"/>
          <a:ext cx="2402" cy="645315"/>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0.7872</cdr:x>
      <cdr:y>0.26458</cdr:y>
    </cdr:from>
    <cdr:to>
      <cdr:x>0.7872</cdr:x>
      <cdr:y>0.5457</cdr:y>
    </cdr:to>
    <cdr:sp macro="" textlink="">
      <cdr:nvSpPr>
        <cdr:cNvPr id="41" name="Přímá spojovací čára 40"/>
        <cdr:cNvSpPr/>
      </cdr:nvSpPr>
      <cdr:spPr>
        <a:xfrm xmlns:a="http://schemas.openxmlformats.org/drawingml/2006/main">
          <a:off x="3707882" y="977167"/>
          <a:ext cx="0" cy="1038236"/>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0.83235</cdr:x>
      <cdr:y>0.4272</cdr:y>
    </cdr:from>
    <cdr:to>
      <cdr:x>0.83336</cdr:x>
      <cdr:y>0.55164</cdr:y>
    </cdr:to>
    <cdr:sp macro="" textlink="">
      <cdr:nvSpPr>
        <cdr:cNvPr id="43" name="Přímá spojovací čára 42"/>
        <cdr:cNvSpPr/>
      </cdr:nvSpPr>
      <cdr:spPr>
        <a:xfrm xmlns:a="http://schemas.openxmlformats.org/drawingml/2006/main">
          <a:off x="3920575" y="1577752"/>
          <a:ext cx="4757" cy="459583"/>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0.87696</cdr:x>
      <cdr:y>0.44314</cdr:y>
    </cdr:from>
    <cdr:to>
      <cdr:x>0.87696</cdr:x>
      <cdr:y>0.56564</cdr:y>
    </cdr:to>
    <cdr:sp macro="" textlink="">
      <cdr:nvSpPr>
        <cdr:cNvPr id="45" name="Přímá spojovací čára 44"/>
        <cdr:cNvSpPr/>
      </cdr:nvSpPr>
      <cdr:spPr>
        <a:xfrm xmlns:a="http://schemas.openxmlformats.org/drawingml/2006/main">
          <a:off x="4130693" y="1636616"/>
          <a:ext cx="0" cy="452419"/>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0.92193</cdr:x>
      <cdr:y>0.30326</cdr:y>
    </cdr:from>
    <cdr:to>
      <cdr:x>0.92244</cdr:x>
      <cdr:y>0.53022</cdr:y>
    </cdr:to>
    <cdr:sp macro="" textlink="">
      <cdr:nvSpPr>
        <cdr:cNvPr id="47" name="Přímá spojovací čára 46"/>
        <cdr:cNvSpPr/>
      </cdr:nvSpPr>
      <cdr:spPr>
        <a:xfrm xmlns:a="http://schemas.openxmlformats.org/drawingml/2006/main">
          <a:off x="4342513" y="1120020"/>
          <a:ext cx="2402" cy="838212"/>
        </a:xfrm>
        <a:prstGeom xmlns:a="http://schemas.openxmlformats.org/drawingml/2006/main" prst="line">
          <a:avLst/>
        </a:prstGeom>
        <a:ln xmlns:a="http://schemas.openxmlformats.org/drawingml/2006/main">
          <a:solidFill>
            <a:schemeClr val="bg1">
              <a:lumMod val="7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0.23185</cdr:x>
      <cdr:y>0.92949</cdr:y>
    </cdr:from>
    <cdr:to>
      <cdr:x>0.23185</cdr:x>
      <cdr:y>0.99345</cdr:y>
    </cdr:to>
    <cdr:sp macro="" textlink="">
      <cdr:nvSpPr>
        <cdr:cNvPr id="28" name="Přímá spojovací čára 27"/>
        <cdr:cNvSpPr/>
      </cdr:nvSpPr>
      <cdr:spPr>
        <a:xfrm xmlns:a="http://schemas.openxmlformats.org/drawingml/2006/main" flipV="1">
          <a:off x="1093470" y="3432810"/>
          <a:ext cx="0" cy="236220"/>
        </a:xfrm>
        <a:prstGeom xmlns:a="http://schemas.openxmlformats.org/drawingml/2006/main" prst="line">
          <a:avLst/>
        </a:prstGeom>
        <a:ln xmlns:a="http://schemas.openxmlformats.org/drawingml/2006/main" w="3175">
          <a:solidFill>
            <a:schemeClr val="tx1">
              <a:lumMod val="95000"/>
              <a:lumOff val="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userShapes>
</file>

<file path=word/drawings/drawing2.xml><?xml version="1.0" encoding="utf-8"?>
<c:userShapes xmlns:c="http://schemas.openxmlformats.org/drawingml/2006/chart">
  <cdr:relSizeAnchor xmlns:cdr="http://schemas.openxmlformats.org/drawingml/2006/chartDrawing">
    <cdr:from>
      <cdr:x>0.04877</cdr:x>
      <cdr:y>0.17959</cdr:y>
    </cdr:from>
    <cdr:to>
      <cdr:x>0.94351</cdr:x>
      <cdr:y>0.18101</cdr:y>
    </cdr:to>
    <cdr:sp macro="" textlink="">
      <cdr:nvSpPr>
        <cdr:cNvPr id="3" name="Přímá spojovací čára 2"/>
        <cdr:cNvSpPr/>
      </cdr:nvSpPr>
      <cdr:spPr>
        <a:xfrm xmlns:a="http://schemas.openxmlformats.org/drawingml/2006/main" flipH="1" flipV="1">
          <a:off x="231100" y="633577"/>
          <a:ext cx="4240238" cy="5014"/>
        </a:xfrm>
        <a:prstGeom xmlns:a="http://schemas.openxmlformats.org/drawingml/2006/main" prst="line">
          <a:avLst/>
        </a:prstGeom>
        <a:ln xmlns:a="http://schemas.openxmlformats.org/drawingml/2006/main" w="9525">
          <a:solidFill>
            <a:schemeClr val="tx1">
              <a:lumMod val="95000"/>
              <a:lumOff val="5000"/>
            </a:schemeClr>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0.58593</cdr:x>
      <cdr:y>0.03702</cdr:y>
    </cdr:from>
    <cdr:to>
      <cdr:x>0.62572</cdr:x>
      <cdr:y>0.06218</cdr:y>
    </cdr:to>
    <cdr:sp macro="" textlink="">
      <cdr:nvSpPr>
        <cdr:cNvPr id="4" name="Obdélník 3"/>
        <cdr:cNvSpPr/>
      </cdr:nvSpPr>
      <cdr:spPr>
        <a:xfrm xmlns:a="http://schemas.openxmlformats.org/drawingml/2006/main">
          <a:off x="2781135" y="130622"/>
          <a:ext cx="188866" cy="88764"/>
        </a:xfrm>
        <a:prstGeom xmlns:a="http://schemas.openxmlformats.org/drawingml/2006/main" prst="rect">
          <a:avLst/>
        </a:prstGeom>
        <a:solidFill xmlns:a="http://schemas.openxmlformats.org/drawingml/2006/main">
          <a:schemeClr val="bg1">
            <a:lumMod val="85000"/>
          </a:schemeClr>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0.64411</cdr:x>
      <cdr:y>0.03673</cdr:y>
    </cdr:from>
    <cdr:to>
      <cdr:x>0.6839</cdr:x>
      <cdr:y>0.06189</cdr:y>
    </cdr:to>
    <cdr:sp macro="" textlink="">
      <cdr:nvSpPr>
        <cdr:cNvPr id="5" name="Obdélník 4"/>
        <cdr:cNvSpPr/>
      </cdr:nvSpPr>
      <cdr:spPr>
        <a:xfrm xmlns:a="http://schemas.openxmlformats.org/drawingml/2006/main">
          <a:off x="3057293" y="129572"/>
          <a:ext cx="188865" cy="88764"/>
        </a:xfrm>
        <a:prstGeom xmlns:a="http://schemas.openxmlformats.org/drawingml/2006/main" prst="rect">
          <a:avLst/>
        </a:prstGeom>
        <a:solidFill xmlns:a="http://schemas.openxmlformats.org/drawingml/2006/main">
          <a:srgbClr val="D9EEF3"/>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0.70243</cdr:x>
      <cdr:y>0.03723</cdr:y>
    </cdr:from>
    <cdr:to>
      <cdr:x>0.74222</cdr:x>
      <cdr:y>0.06239</cdr:y>
    </cdr:to>
    <cdr:sp macro="" textlink="">
      <cdr:nvSpPr>
        <cdr:cNvPr id="6" name="Obdélník 5"/>
        <cdr:cNvSpPr/>
      </cdr:nvSpPr>
      <cdr:spPr>
        <a:xfrm xmlns:a="http://schemas.openxmlformats.org/drawingml/2006/main">
          <a:off x="3761577" y="131343"/>
          <a:ext cx="213080" cy="88765"/>
        </a:xfrm>
        <a:prstGeom xmlns:a="http://schemas.openxmlformats.org/drawingml/2006/main" prst="rect">
          <a:avLst/>
        </a:prstGeom>
        <a:solidFill xmlns:a="http://schemas.openxmlformats.org/drawingml/2006/main">
          <a:srgbClr val="90CCDC"/>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0.81802</cdr:x>
      <cdr:y>0.03678</cdr:y>
    </cdr:from>
    <cdr:to>
      <cdr:x>0.85781</cdr:x>
      <cdr:y>0.06194</cdr:y>
    </cdr:to>
    <cdr:sp macro="" textlink="">
      <cdr:nvSpPr>
        <cdr:cNvPr id="7" name="Obdélník 6"/>
        <cdr:cNvSpPr/>
      </cdr:nvSpPr>
      <cdr:spPr>
        <a:xfrm xmlns:a="http://schemas.openxmlformats.org/drawingml/2006/main">
          <a:off x="3882772" y="129755"/>
          <a:ext cx="188866" cy="88764"/>
        </a:xfrm>
        <a:prstGeom xmlns:a="http://schemas.openxmlformats.org/drawingml/2006/main" prst="rect">
          <a:avLst/>
        </a:prstGeom>
        <a:solidFill xmlns:a="http://schemas.openxmlformats.org/drawingml/2006/main">
          <a:srgbClr val="0070C0"/>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0.76083</cdr:x>
      <cdr:y>0.03658</cdr:y>
    </cdr:from>
    <cdr:to>
      <cdr:x>0.80062</cdr:x>
      <cdr:y>0.06174</cdr:y>
    </cdr:to>
    <cdr:sp macro="" textlink="">
      <cdr:nvSpPr>
        <cdr:cNvPr id="8" name="Obdélník 7"/>
        <cdr:cNvSpPr/>
      </cdr:nvSpPr>
      <cdr:spPr>
        <a:xfrm xmlns:a="http://schemas.openxmlformats.org/drawingml/2006/main">
          <a:off x="3611341" y="129069"/>
          <a:ext cx="188865" cy="88765"/>
        </a:xfrm>
        <a:prstGeom xmlns:a="http://schemas.openxmlformats.org/drawingml/2006/main" prst="rect">
          <a:avLst/>
        </a:prstGeom>
        <a:solidFill xmlns:a="http://schemas.openxmlformats.org/drawingml/2006/main">
          <a:srgbClr val="3EA6C2"/>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0.52619</cdr:x>
      <cdr:y>0.0724</cdr:y>
    </cdr:from>
    <cdr:to>
      <cdr:x>0.93609</cdr:x>
      <cdr:y>0.10186</cdr:y>
    </cdr:to>
    <cdr:sp macro="" textlink="">
      <cdr:nvSpPr>
        <cdr:cNvPr id="10" name="TextovéPole 9"/>
        <cdr:cNvSpPr txBox="1"/>
      </cdr:nvSpPr>
      <cdr:spPr>
        <a:xfrm xmlns:a="http://schemas.openxmlformats.org/drawingml/2006/main">
          <a:off x="2476650" y="265750"/>
          <a:ext cx="1929251" cy="108157"/>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r>
            <a:rPr lang="cs-CZ" sz="800">
              <a:latin typeface="Arial" pitchFamily="34" charset="0"/>
              <a:cs typeface="Arial" pitchFamily="34" charset="0"/>
            </a:rPr>
            <a:t>roky:</a:t>
          </a:r>
          <a:r>
            <a:rPr lang="cs-CZ" sz="800" baseline="0">
              <a:latin typeface="Arial" pitchFamily="34" charset="0"/>
              <a:cs typeface="Arial" pitchFamily="34" charset="0"/>
            </a:rPr>
            <a:t> 2013  2014  2015  2016  2017</a:t>
          </a:r>
          <a:endParaRPr lang="cs-CZ" sz="800">
            <a:latin typeface="Arial" pitchFamily="34" charset="0"/>
            <a:cs typeface="Arial" pitchFamily="34"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0.08771</cdr:x>
      <cdr:y>0.02192</cdr:y>
    </cdr:from>
    <cdr:to>
      <cdr:x>0.08803</cdr:x>
      <cdr:y>0.70358</cdr:y>
    </cdr:to>
    <cdr:sp macro="" textlink="">
      <cdr:nvSpPr>
        <cdr:cNvPr id="2" name="Přímá spojovací čára 1"/>
        <cdr:cNvSpPr/>
      </cdr:nvSpPr>
      <cdr:spPr>
        <a:xfrm xmlns:a="http://schemas.openxmlformats.org/drawingml/2006/main" flipH="1">
          <a:off x="406854" y="81373"/>
          <a:ext cx="1498" cy="2529958"/>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cs-CZ"/>
        </a:p>
      </cdr:txBody>
    </cdr:sp>
  </cdr:relSizeAnchor>
  <cdr:relSizeAnchor xmlns:cdr="http://schemas.openxmlformats.org/drawingml/2006/chartDrawing">
    <cdr:from>
      <cdr:x>0.84471</cdr:x>
      <cdr:y>0.37737</cdr:y>
    </cdr:from>
    <cdr:to>
      <cdr:x>0.8457</cdr:x>
      <cdr:y>0.52655</cdr:y>
    </cdr:to>
    <cdr:sp macro="" textlink="">
      <cdr:nvSpPr>
        <cdr:cNvPr id="3" name="Přímá spojovací čára 2"/>
        <cdr:cNvSpPr/>
      </cdr:nvSpPr>
      <cdr:spPr>
        <a:xfrm xmlns:a="http://schemas.openxmlformats.org/drawingml/2006/main">
          <a:off x="3918314" y="1400585"/>
          <a:ext cx="4626" cy="553687"/>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ysClr val="windowText" lastClr="000000"/>
              </a:solidFill>
              <a:latin typeface="Calibri"/>
            </a:defRPr>
          </a:lvl1pPr>
          <a:lvl2pPr marL="457200" indent="0">
            <a:defRPr sz="1100">
              <a:solidFill>
                <a:sysClr val="windowText" lastClr="000000"/>
              </a:solidFill>
              <a:latin typeface="Calibri"/>
            </a:defRPr>
          </a:lvl2pPr>
          <a:lvl3pPr marL="914400" indent="0">
            <a:defRPr sz="1100">
              <a:solidFill>
                <a:sysClr val="windowText" lastClr="000000"/>
              </a:solidFill>
              <a:latin typeface="Calibri"/>
            </a:defRPr>
          </a:lvl3pPr>
          <a:lvl4pPr marL="1371600" indent="0">
            <a:defRPr sz="1100">
              <a:solidFill>
                <a:sysClr val="windowText" lastClr="000000"/>
              </a:solidFill>
              <a:latin typeface="Calibri"/>
            </a:defRPr>
          </a:lvl4pPr>
          <a:lvl5pPr marL="1828800" indent="0">
            <a:defRPr sz="1100">
              <a:solidFill>
                <a:sysClr val="windowText" lastClr="000000"/>
              </a:solidFill>
              <a:latin typeface="Calibri"/>
            </a:defRPr>
          </a:lvl5pPr>
          <a:lvl6pPr marL="2286000" indent="0">
            <a:defRPr sz="1100">
              <a:solidFill>
                <a:sysClr val="windowText" lastClr="000000"/>
              </a:solidFill>
              <a:latin typeface="Calibri"/>
            </a:defRPr>
          </a:lvl6pPr>
          <a:lvl7pPr marL="2743200" indent="0">
            <a:defRPr sz="1100">
              <a:solidFill>
                <a:sysClr val="windowText" lastClr="000000"/>
              </a:solidFill>
              <a:latin typeface="Calibri"/>
            </a:defRPr>
          </a:lvl7pPr>
          <a:lvl8pPr marL="3200400" indent="0">
            <a:defRPr sz="1100">
              <a:solidFill>
                <a:sysClr val="windowText" lastClr="000000"/>
              </a:solidFill>
              <a:latin typeface="Calibri"/>
            </a:defRPr>
          </a:lvl8pPr>
          <a:lvl9pPr marL="3657600" indent="0">
            <a:defRPr sz="1100">
              <a:solidFill>
                <a:sysClr val="windowText" lastClr="000000"/>
              </a:solidFill>
              <a:latin typeface="Calibri"/>
            </a:defRPr>
          </a:lvl9pPr>
        </a:lstStyle>
        <a:p xmlns:a="http://schemas.openxmlformats.org/drawingml/2006/main">
          <a:endParaRPr lang="cs-CZ"/>
        </a:p>
      </cdr:txBody>
    </cdr:sp>
  </cdr:relSizeAnchor>
  <cdr:relSizeAnchor xmlns:cdr="http://schemas.openxmlformats.org/drawingml/2006/chartDrawing">
    <cdr:from>
      <cdr:x>0.90374</cdr:x>
      <cdr:y>0.35619</cdr:y>
    </cdr:from>
    <cdr:to>
      <cdr:x>0.90414</cdr:x>
      <cdr:y>0.55102</cdr:y>
    </cdr:to>
    <cdr:sp macro="" textlink="">
      <cdr:nvSpPr>
        <cdr:cNvPr id="4" name="Přímá spojovací čára 3"/>
        <cdr:cNvSpPr/>
      </cdr:nvSpPr>
      <cdr:spPr>
        <a:xfrm xmlns:a="http://schemas.openxmlformats.org/drawingml/2006/main">
          <a:off x="4192158" y="1322003"/>
          <a:ext cx="1834" cy="723100"/>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0.43762</cdr:x>
      <cdr:y>0.29652</cdr:y>
    </cdr:from>
    <cdr:to>
      <cdr:x>0.4381</cdr:x>
      <cdr:y>0.57737</cdr:y>
    </cdr:to>
    <cdr:sp macro="" textlink="">
      <cdr:nvSpPr>
        <cdr:cNvPr id="5" name="Přímá spojovací čára 4"/>
        <cdr:cNvSpPr/>
      </cdr:nvSpPr>
      <cdr:spPr>
        <a:xfrm xmlns:a="http://schemas.openxmlformats.org/drawingml/2006/main">
          <a:off x="2029983" y="1100547"/>
          <a:ext cx="2242" cy="1042345"/>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0.96099</cdr:x>
      <cdr:y>0.33759</cdr:y>
    </cdr:from>
    <cdr:to>
      <cdr:x>0.96175</cdr:x>
      <cdr:y>0.51297</cdr:y>
    </cdr:to>
    <cdr:sp macro="" textlink="">
      <cdr:nvSpPr>
        <cdr:cNvPr id="6" name="Přímá spojovací čára 5"/>
        <cdr:cNvSpPr/>
      </cdr:nvSpPr>
      <cdr:spPr>
        <a:xfrm xmlns:a="http://schemas.openxmlformats.org/drawingml/2006/main" flipH="1">
          <a:off x="4457699" y="1252947"/>
          <a:ext cx="3540" cy="650917"/>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0.49512</cdr:x>
      <cdr:y>0.31321</cdr:y>
    </cdr:from>
    <cdr:to>
      <cdr:x>0.49641</cdr:x>
      <cdr:y>0.58928</cdr:y>
    </cdr:to>
    <cdr:sp macro="" textlink="">
      <cdr:nvSpPr>
        <cdr:cNvPr id="7" name="Přímá spojovací čára 6"/>
        <cdr:cNvSpPr/>
      </cdr:nvSpPr>
      <cdr:spPr>
        <a:xfrm xmlns:a="http://schemas.openxmlformats.org/drawingml/2006/main">
          <a:off x="2296683" y="1162461"/>
          <a:ext cx="5986" cy="1024644"/>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0.55312</cdr:x>
      <cdr:y>0.34208</cdr:y>
    </cdr:from>
    <cdr:to>
      <cdr:x>0.55565</cdr:x>
      <cdr:y>0.53646</cdr:y>
    </cdr:to>
    <cdr:sp macro="" textlink="">
      <cdr:nvSpPr>
        <cdr:cNvPr id="8" name="Přímá spojovací čára 7"/>
        <cdr:cNvSpPr/>
      </cdr:nvSpPr>
      <cdr:spPr>
        <a:xfrm xmlns:a="http://schemas.openxmlformats.org/drawingml/2006/main">
          <a:off x="2565764" y="1269616"/>
          <a:ext cx="11700" cy="721457"/>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0.61267</cdr:x>
      <cdr:y>0.31706</cdr:y>
    </cdr:from>
    <cdr:to>
      <cdr:x>0.61283</cdr:x>
      <cdr:y>0.52347</cdr:y>
    </cdr:to>
    <cdr:sp macro="" textlink="">
      <cdr:nvSpPr>
        <cdr:cNvPr id="9" name="Přímá spojovací čára 8"/>
        <cdr:cNvSpPr/>
      </cdr:nvSpPr>
      <cdr:spPr>
        <a:xfrm xmlns:a="http://schemas.openxmlformats.org/drawingml/2006/main">
          <a:off x="2841988" y="1176746"/>
          <a:ext cx="747" cy="766103"/>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0.66965</cdr:x>
      <cdr:y>0.33823</cdr:y>
    </cdr:from>
    <cdr:to>
      <cdr:x>0.67084</cdr:x>
      <cdr:y>0.50947</cdr:y>
    </cdr:to>
    <cdr:sp macro="" textlink="">
      <cdr:nvSpPr>
        <cdr:cNvPr id="10" name="Přímá spojovací čára 9"/>
        <cdr:cNvSpPr/>
      </cdr:nvSpPr>
      <cdr:spPr>
        <a:xfrm xmlns:a="http://schemas.openxmlformats.org/drawingml/2006/main">
          <a:off x="3106308" y="1255328"/>
          <a:ext cx="5509" cy="635575"/>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0.72895</cdr:x>
      <cdr:y>0.32604</cdr:y>
    </cdr:from>
    <cdr:to>
      <cdr:x>0.72972</cdr:x>
      <cdr:y>0.54165</cdr:y>
    </cdr:to>
    <cdr:sp macro="" textlink="">
      <cdr:nvSpPr>
        <cdr:cNvPr id="11" name="Přímá spojovací čára 10"/>
        <cdr:cNvSpPr/>
      </cdr:nvSpPr>
      <cdr:spPr>
        <a:xfrm xmlns:a="http://schemas.openxmlformats.org/drawingml/2006/main" flipH="1">
          <a:off x="3381374" y="1210085"/>
          <a:ext cx="3540" cy="800242"/>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0.37947</cdr:x>
      <cdr:y>0.3023</cdr:y>
    </cdr:from>
    <cdr:to>
      <cdr:x>0.37961</cdr:x>
      <cdr:y>0.59319</cdr:y>
    </cdr:to>
    <cdr:sp macro="" textlink="">
      <cdr:nvSpPr>
        <cdr:cNvPr id="12" name="Přímá spojovací čára 11"/>
        <cdr:cNvSpPr/>
      </cdr:nvSpPr>
      <cdr:spPr>
        <a:xfrm xmlns:a="http://schemas.openxmlformats.org/drawingml/2006/main" flipH="1">
          <a:off x="1760218" y="1121978"/>
          <a:ext cx="683" cy="1079650"/>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0.32058</cdr:x>
      <cdr:y>0.25418</cdr:y>
    </cdr:from>
    <cdr:to>
      <cdr:x>0.32125</cdr:x>
      <cdr:y>0.58502</cdr:y>
    </cdr:to>
    <cdr:sp macro="" textlink="">
      <cdr:nvSpPr>
        <cdr:cNvPr id="13" name="Přímá spojovací čára 12"/>
        <cdr:cNvSpPr/>
      </cdr:nvSpPr>
      <cdr:spPr>
        <a:xfrm xmlns:a="http://schemas.openxmlformats.org/drawingml/2006/main">
          <a:off x="1487058" y="943385"/>
          <a:ext cx="3128" cy="1227907"/>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0.26308</cdr:x>
      <cdr:y>0.24776</cdr:y>
    </cdr:from>
    <cdr:to>
      <cdr:x>0.26427</cdr:x>
      <cdr:y>0.64561</cdr:y>
    </cdr:to>
    <cdr:sp macro="" textlink="">
      <cdr:nvSpPr>
        <cdr:cNvPr id="14" name="Přímá spojovací čára 13"/>
        <cdr:cNvSpPr/>
      </cdr:nvSpPr>
      <cdr:spPr>
        <a:xfrm xmlns:a="http://schemas.openxmlformats.org/drawingml/2006/main">
          <a:off x="1220358" y="919572"/>
          <a:ext cx="5508" cy="1476585"/>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0.20456</cdr:x>
      <cdr:y>0.2067</cdr:y>
    </cdr:from>
    <cdr:to>
      <cdr:x>0.20626</cdr:x>
      <cdr:y>0.65261</cdr:y>
    </cdr:to>
    <cdr:sp macro="" textlink="">
      <cdr:nvSpPr>
        <cdr:cNvPr id="15" name="Přímá spojovací čára 14"/>
        <cdr:cNvSpPr/>
      </cdr:nvSpPr>
      <cdr:spPr>
        <a:xfrm xmlns:a="http://schemas.openxmlformats.org/drawingml/2006/main">
          <a:off x="948895" y="767172"/>
          <a:ext cx="7890" cy="1654976"/>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0.14604</cdr:x>
      <cdr:y>0.15024</cdr:y>
    </cdr:from>
    <cdr:to>
      <cdr:x>0.14655</cdr:x>
      <cdr:y>0.74307</cdr:y>
    </cdr:to>
    <cdr:sp macro="" textlink="">
      <cdr:nvSpPr>
        <cdr:cNvPr id="16" name="Přímá spojovací čára 15"/>
        <cdr:cNvSpPr/>
      </cdr:nvSpPr>
      <cdr:spPr>
        <a:xfrm xmlns:a="http://schemas.openxmlformats.org/drawingml/2006/main">
          <a:off x="677432" y="557622"/>
          <a:ext cx="2381" cy="2200276"/>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0.7867</cdr:x>
      <cdr:y>0.37737</cdr:y>
    </cdr:from>
    <cdr:to>
      <cdr:x>0.78737</cdr:x>
      <cdr:y>0.55587</cdr:y>
    </cdr:to>
    <cdr:sp macro="" textlink="">
      <cdr:nvSpPr>
        <cdr:cNvPr id="17" name="Přímá spojovací čára 16"/>
        <cdr:cNvSpPr/>
      </cdr:nvSpPr>
      <cdr:spPr>
        <a:xfrm xmlns:a="http://schemas.openxmlformats.org/drawingml/2006/main">
          <a:off x="3649233" y="1400585"/>
          <a:ext cx="3128" cy="662535"/>
        </a:xfrm>
        <a:prstGeom xmlns:a="http://schemas.openxmlformats.org/drawingml/2006/main" prst="line">
          <a:avLst/>
        </a:prstGeom>
        <a:noFill xmlns:a="http://schemas.openxmlformats.org/drawingml/2006/main"/>
        <a:ln xmlns:a="http://schemas.openxmlformats.org/drawingml/2006/main" w="9525" cap="flat" cmpd="sng" algn="ctr">
          <a:solidFill>
            <a:sysClr val="window" lastClr="FFFFFF">
              <a:lumMod val="75000"/>
            </a:sysClr>
          </a:solidFill>
          <a:prstDash val="solid"/>
        </a:ln>
        <a:effectLst xmlns:a="http://schemas.openxmlformats.org/drawingml/2006/mai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userShapes>
</file>

<file path=word/drawings/drawing4.xml><?xml version="1.0" encoding="utf-8"?>
<c:userShapes xmlns:c="http://schemas.openxmlformats.org/drawingml/2006/chart">
  <cdr:relSizeAnchor xmlns:cdr="http://schemas.openxmlformats.org/drawingml/2006/chartDrawing">
    <cdr:from>
      <cdr:x>0.1393</cdr:x>
      <cdr:y>0.95837</cdr:y>
    </cdr:from>
    <cdr:to>
      <cdr:x>0.86689</cdr:x>
      <cdr:y>0.99559</cdr:y>
    </cdr:to>
    <cdr:sp macro="" textlink="">
      <cdr:nvSpPr>
        <cdr:cNvPr id="3" name="TextovéPole 2"/>
        <cdr:cNvSpPr txBox="1"/>
      </cdr:nvSpPr>
      <cdr:spPr>
        <a:xfrm xmlns:a="http://schemas.openxmlformats.org/drawingml/2006/main">
          <a:off x="647839" y="3764115"/>
          <a:ext cx="3383863" cy="146207"/>
        </a:xfrm>
        <a:prstGeom xmlns:a="http://schemas.openxmlformats.org/drawingml/2006/main" prst="rect">
          <a:avLst/>
        </a:prstGeom>
        <a:ln xmlns:a="http://schemas.openxmlformats.org/drawingml/2006/main" w="3175">
          <a:solidFill>
            <a:srgbClr val="002060"/>
          </a:solidFill>
        </a:ln>
      </cdr:spPr>
      <cdr:txBody>
        <a:bodyPr xmlns:a="http://schemas.openxmlformats.org/drawingml/2006/main" vertOverflow="clip" wrap="square" lIns="0" tIns="0" rIns="0" bIns="0" rtlCol="0"/>
        <a:lstStyle xmlns:a="http://schemas.openxmlformats.org/drawingml/2006/main"/>
        <a:p xmlns:a="http://schemas.openxmlformats.org/drawingml/2006/main">
          <a:r>
            <a:rPr lang="cs-CZ" sz="800">
              <a:latin typeface="Arial" pitchFamily="34" charset="0"/>
              <a:cs typeface="Arial" pitchFamily="34" charset="0"/>
            </a:rPr>
            <a:t>        rok 2013          rok 2014          rok 2015          rok 2016          rok 2017</a:t>
          </a:r>
        </a:p>
      </cdr:txBody>
    </cdr:sp>
  </cdr:relSizeAnchor>
  <cdr:relSizeAnchor xmlns:cdr="http://schemas.openxmlformats.org/drawingml/2006/chartDrawing">
    <cdr:from>
      <cdr:x>0.16472</cdr:x>
      <cdr:y>0.96825</cdr:y>
    </cdr:from>
    <cdr:to>
      <cdr:x>0.18404</cdr:x>
      <cdr:y>0.982</cdr:y>
    </cdr:to>
    <cdr:sp macro="" textlink="">
      <cdr:nvSpPr>
        <cdr:cNvPr id="4" name="Obdélník 3"/>
        <cdr:cNvSpPr/>
      </cdr:nvSpPr>
      <cdr:spPr>
        <a:xfrm xmlns:a="http://schemas.openxmlformats.org/drawingml/2006/main">
          <a:off x="767477" y="3802922"/>
          <a:ext cx="90000" cy="54000"/>
        </a:xfrm>
        <a:prstGeom xmlns:a="http://schemas.openxmlformats.org/drawingml/2006/main" prst="rect">
          <a:avLst/>
        </a:prstGeom>
        <a:solidFill xmlns:a="http://schemas.openxmlformats.org/drawingml/2006/main">
          <a:srgbClr val="A6A6A6"/>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0.31153</cdr:x>
      <cdr:y>0.96853</cdr:y>
    </cdr:from>
    <cdr:to>
      <cdr:x>0.33085</cdr:x>
      <cdr:y>0.98228</cdr:y>
    </cdr:to>
    <cdr:sp macro="" textlink="">
      <cdr:nvSpPr>
        <cdr:cNvPr id="5" name="Obdélník 4"/>
        <cdr:cNvSpPr/>
      </cdr:nvSpPr>
      <cdr:spPr>
        <a:xfrm xmlns:a="http://schemas.openxmlformats.org/drawingml/2006/main">
          <a:off x="1451488" y="3804025"/>
          <a:ext cx="90000" cy="54000"/>
        </a:xfrm>
        <a:prstGeom xmlns:a="http://schemas.openxmlformats.org/drawingml/2006/main" prst="rect">
          <a:avLst/>
        </a:prstGeom>
        <a:solidFill xmlns:a="http://schemas.openxmlformats.org/drawingml/2006/main">
          <a:srgbClr val="D2E7B6"/>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0.45152</cdr:x>
      <cdr:y>0.96771</cdr:y>
    </cdr:from>
    <cdr:to>
      <cdr:x>0.47084</cdr:x>
      <cdr:y>0.98146</cdr:y>
    </cdr:to>
    <cdr:sp macro="" textlink="">
      <cdr:nvSpPr>
        <cdr:cNvPr id="6" name="Obdélník 5"/>
        <cdr:cNvSpPr/>
      </cdr:nvSpPr>
      <cdr:spPr>
        <a:xfrm xmlns:a="http://schemas.openxmlformats.org/drawingml/2006/main">
          <a:off x="2103707" y="3800796"/>
          <a:ext cx="90000" cy="54000"/>
        </a:xfrm>
        <a:prstGeom xmlns:a="http://schemas.openxmlformats.org/drawingml/2006/main" prst="rect">
          <a:avLst/>
        </a:prstGeom>
        <a:solidFill xmlns:a="http://schemas.openxmlformats.org/drawingml/2006/main">
          <a:srgbClr val="BFE3F7"/>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0.60121</cdr:x>
      <cdr:y>0.96853</cdr:y>
    </cdr:from>
    <cdr:to>
      <cdr:x>0.62061</cdr:x>
      <cdr:y>0.98228</cdr:y>
    </cdr:to>
    <cdr:sp macro="" textlink="">
      <cdr:nvSpPr>
        <cdr:cNvPr id="7" name="Obdélník 6"/>
        <cdr:cNvSpPr/>
      </cdr:nvSpPr>
      <cdr:spPr>
        <a:xfrm xmlns:a="http://schemas.openxmlformats.org/drawingml/2006/main">
          <a:off x="2801132" y="3804025"/>
          <a:ext cx="90407" cy="54000"/>
        </a:xfrm>
        <a:prstGeom xmlns:a="http://schemas.openxmlformats.org/drawingml/2006/main" prst="rect">
          <a:avLst/>
        </a:prstGeom>
        <a:solidFill xmlns:a="http://schemas.openxmlformats.org/drawingml/2006/main">
          <a:srgbClr val="95C3E3"/>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0.74535</cdr:x>
      <cdr:y>0.96771</cdr:y>
    </cdr:from>
    <cdr:to>
      <cdr:x>0.76467</cdr:x>
      <cdr:y>0.98146</cdr:y>
    </cdr:to>
    <cdr:sp macro="" textlink="">
      <cdr:nvSpPr>
        <cdr:cNvPr id="8" name="Obdélník 7"/>
        <cdr:cNvSpPr/>
      </cdr:nvSpPr>
      <cdr:spPr>
        <a:xfrm xmlns:a="http://schemas.openxmlformats.org/drawingml/2006/main">
          <a:off x="3472725" y="3800797"/>
          <a:ext cx="90000" cy="54000"/>
        </a:xfrm>
        <a:prstGeom xmlns:a="http://schemas.openxmlformats.org/drawingml/2006/main" prst="rect">
          <a:avLst/>
        </a:prstGeom>
        <a:solidFill xmlns:a="http://schemas.openxmlformats.org/drawingml/2006/main">
          <a:srgbClr val="BCA6E8"/>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userShapes>
</file>

<file path=word/drawings/drawing5.xml><?xml version="1.0" encoding="utf-8"?>
<c:userShapes xmlns:c="http://schemas.openxmlformats.org/drawingml/2006/chart">
  <cdr:relSizeAnchor xmlns:cdr="http://schemas.openxmlformats.org/drawingml/2006/chartDrawing">
    <cdr:from>
      <cdr:x>0.17124</cdr:x>
      <cdr:y>0.94548</cdr:y>
    </cdr:from>
    <cdr:to>
      <cdr:x>0.86959</cdr:x>
      <cdr:y>0.99241</cdr:y>
    </cdr:to>
    <cdr:sp macro="" textlink="">
      <cdr:nvSpPr>
        <cdr:cNvPr id="2" name="TextovéPole 1"/>
        <cdr:cNvSpPr txBox="1"/>
      </cdr:nvSpPr>
      <cdr:spPr>
        <a:xfrm xmlns:a="http://schemas.openxmlformats.org/drawingml/2006/main">
          <a:off x="816992" y="3335665"/>
          <a:ext cx="3331878" cy="165569"/>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r>
            <a:rPr lang="cs-CZ" sz="800">
              <a:latin typeface="Arial" pitchFamily="34" charset="0"/>
              <a:cs typeface="Arial" pitchFamily="34" charset="0"/>
            </a:rPr>
            <a:t>Podíl</a:t>
          </a:r>
          <a:r>
            <a:rPr lang="cs-CZ" sz="800" baseline="0">
              <a:latin typeface="Arial" pitchFamily="34" charset="0"/>
              <a:cs typeface="Arial" pitchFamily="34" charset="0"/>
            </a:rPr>
            <a:t> tvorby hrubého fixního kapitálů na HPH</a:t>
          </a:r>
          <a:r>
            <a:rPr lang="cs-CZ" sz="800">
              <a:latin typeface="Arial" pitchFamily="34" charset="0"/>
              <a:cs typeface="Arial" pitchFamily="34" charset="0"/>
            </a:rPr>
            <a:t>  v roce 2017 (v %)</a:t>
          </a:r>
        </a:p>
      </cdr:txBody>
    </cdr:sp>
  </cdr:relSizeAnchor>
  <cdr:relSizeAnchor xmlns:cdr="http://schemas.openxmlformats.org/drawingml/2006/chartDrawing">
    <cdr:from>
      <cdr:x>0</cdr:x>
      <cdr:y>0.02085</cdr:y>
    </cdr:from>
    <cdr:to>
      <cdr:x>0.05512</cdr:x>
      <cdr:y>0.91826</cdr:y>
    </cdr:to>
    <cdr:sp macro="" textlink="">
      <cdr:nvSpPr>
        <cdr:cNvPr id="3" name="TextovéPole 1"/>
        <cdr:cNvSpPr txBox="1"/>
      </cdr:nvSpPr>
      <cdr:spPr>
        <a:xfrm xmlns:a="http://schemas.openxmlformats.org/drawingml/2006/main">
          <a:off x="0" y="73556"/>
          <a:ext cx="262981" cy="3166066"/>
        </a:xfrm>
        <a:prstGeom xmlns:a="http://schemas.openxmlformats.org/drawingml/2006/main" prst="rect">
          <a:avLst/>
        </a:prstGeom>
      </cdr:spPr>
      <cdr:txBody>
        <a:bodyPr xmlns:a="http://schemas.openxmlformats.org/drawingml/2006/main" vert="vert270" wrap="square" lIns="0" tIns="0" rIns="0" bIns="0" rtlCol="0" anchor="ctr" anchorCtr="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cs-CZ" sz="800">
              <a:latin typeface="Arial" pitchFamily="34" charset="0"/>
              <a:cs typeface="Arial" pitchFamily="34" charset="0"/>
            </a:rPr>
            <a:t>Podíl</a:t>
          </a:r>
          <a:r>
            <a:rPr lang="cs-CZ" sz="800" baseline="0">
              <a:latin typeface="Arial" pitchFamily="34" charset="0"/>
              <a:cs typeface="Arial" pitchFamily="34" charset="0"/>
            </a:rPr>
            <a:t> hr. provoz. přebytku na HPH</a:t>
          </a:r>
          <a:r>
            <a:rPr lang="cs-CZ" sz="800">
              <a:latin typeface="Arial" pitchFamily="34" charset="0"/>
              <a:cs typeface="Arial" pitchFamily="34" charset="0"/>
            </a:rPr>
            <a:t> nefinančn. podniků v</a:t>
          </a:r>
          <a:r>
            <a:rPr lang="cs-CZ" sz="800" baseline="0">
              <a:latin typeface="Arial" pitchFamily="34" charset="0"/>
              <a:cs typeface="Arial" pitchFamily="34" charset="0"/>
            </a:rPr>
            <a:t> r. 2017</a:t>
          </a:r>
          <a:r>
            <a:rPr lang="cs-CZ" sz="800">
              <a:latin typeface="Arial" pitchFamily="34" charset="0"/>
              <a:cs typeface="Arial" pitchFamily="34" charset="0"/>
            </a:rPr>
            <a:t> (v %)</a:t>
          </a:r>
        </a:p>
      </cdr:txBody>
    </cdr:sp>
  </cdr:relSizeAnchor>
  <cdr:relSizeAnchor xmlns:cdr="http://schemas.openxmlformats.org/drawingml/2006/chartDrawing">
    <cdr:from>
      <cdr:x>0.65302</cdr:x>
      <cdr:y>0.85517</cdr:y>
    </cdr:from>
    <cdr:to>
      <cdr:x>0.69812</cdr:x>
      <cdr:y>0.87534</cdr:y>
    </cdr:to>
    <cdr:sp macro="" textlink="">
      <cdr:nvSpPr>
        <cdr:cNvPr id="4" name="Obdélník 3"/>
        <cdr:cNvSpPr/>
      </cdr:nvSpPr>
      <cdr:spPr>
        <a:xfrm xmlns:a="http://schemas.openxmlformats.org/drawingml/2006/main">
          <a:off x="3120864" y="3017026"/>
          <a:ext cx="215539" cy="71160"/>
        </a:xfrm>
        <a:prstGeom xmlns:a="http://schemas.openxmlformats.org/drawingml/2006/main" prst="rect">
          <a:avLst/>
        </a:prstGeom>
        <a:solidFill xmlns:a="http://schemas.openxmlformats.org/drawingml/2006/main">
          <a:srgbClr val="48AEE7"/>
        </a:solidFill>
        <a:ln xmlns:a="http://schemas.openxmlformats.org/drawingml/2006/main" w="6350" cap="flat" cmpd="sng" algn="ctr">
          <a:solidFill>
            <a:sysClr val="window" lastClr="FFFFFF">
              <a:lumMod val="50000"/>
            </a:sys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ysClr val="window" lastClr="FFFFFF"/>
              </a:solidFill>
              <a:latin typeface="Calibri"/>
            </a:defRPr>
          </a:lvl1pPr>
          <a:lvl2pPr marL="457200" indent="0">
            <a:defRPr sz="1100">
              <a:solidFill>
                <a:sysClr val="window" lastClr="FFFFFF"/>
              </a:solidFill>
              <a:latin typeface="Calibri"/>
            </a:defRPr>
          </a:lvl2pPr>
          <a:lvl3pPr marL="914400" indent="0">
            <a:defRPr sz="1100">
              <a:solidFill>
                <a:sysClr val="window" lastClr="FFFFFF"/>
              </a:solidFill>
              <a:latin typeface="Calibri"/>
            </a:defRPr>
          </a:lvl3pPr>
          <a:lvl4pPr marL="1371600" indent="0">
            <a:defRPr sz="1100">
              <a:solidFill>
                <a:sysClr val="window" lastClr="FFFFFF"/>
              </a:solidFill>
              <a:latin typeface="Calibri"/>
            </a:defRPr>
          </a:lvl4pPr>
          <a:lvl5pPr marL="1828800" indent="0">
            <a:defRPr sz="1100">
              <a:solidFill>
                <a:sysClr val="window" lastClr="FFFFFF"/>
              </a:solidFill>
              <a:latin typeface="Calibri"/>
            </a:defRPr>
          </a:lvl5pPr>
          <a:lvl6pPr marL="2286000" indent="0">
            <a:defRPr sz="1100">
              <a:solidFill>
                <a:sysClr val="window" lastClr="FFFFFF"/>
              </a:solidFill>
              <a:latin typeface="Calibri"/>
            </a:defRPr>
          </a:lvl6pPr>
          <a:lvl7pPr marL="2743200" indent="0">
            <a:defRPr sz="1100">
              <a:solidFill>
                <a:sysClr val="window" lastClr="FFFFFF"/>
              </a:solidFill>
              <a:latin typeface="Calibri"/>
            </a:defRPr>
          </a:lvl7pPr>
          <a:lvl8pPr marL="3200400" indent="0">
            <a:defRPr sz="1100">
              <a:solidFill>
                <a:sysClr val="window" lastClr="FFFFFF"/>
              </a:solidFill>
              <a:latin typeface="Calibri"/>
            </a:defRPr>
          </a:lvl8pPr>
          <a:lvl9pPr marL="3657600" indent="0">
            <a:defRPr sz="1100">
              <a:solidFill>
                <a:sysClr val="window" lastClr="FFFFFF"/>
              </a:solidFill>
              <a:latin typeface="Calibri"/>
            </a:defRPr>
          </a:lvl9pPr>
        </a:lstStyle>
        <a:p xmlns:a="http://schemas.openxmlformats.org/drawingml/2006/main">
          <a:endParaRPr lang="cs-CZ"/>
        </a:p>
      </cdr:txBody>
    </cdr:sp>
  </cdr:relSizeAnchor>
  <cdr:relSizeAnchor xmlns:cdr="http://schemas.openxmlformats.org/drawingml/2006/chartDrawing">
    <cdr:from>
      <cdr:x>0.69896</cdr:x>
      <cdr:y>0.85479</cdr:y>
    </cdr:from>
    <cdr:to>
      <cdr:x>0.74406</cdr:x>
      <cdr:y>0.87496</cdr:y>
    </cdr:to>
    <cdr:sp macro="" textlink="">
      <cdr:nvSpPr>
        <cdr:cNvPr id="5" name="Obdélník 4"/>
        <cdr:cNvSpPr/>
      </cdr:nvSpPr>
      <cdr:spPr>
        <a:xfrm xmlns:a="http://schemas.openxmlformats.org/drawingml/2006/main">
          <a:off x="3340401" y="3015703"/>
          <a:ext cx="215538" cy="71160"/>
        </a:xfrm>
        <a:prstGeom xmlns:a="http://schemas.openxmlformats.org/drawingml/2006/main" prst="rect">
          <a:avLst/>
        </a:prstGeom>
        <a:solidFill xmlns:a="http://schemas.openxmlformats.org/drawingml/2006/main">
          <a:srgbClr val="BFE3F7"/>
        </a:solidFill>
        <a:ln xmlns:a="http://schemas.openxmlformats.org/drawingml/2006/main" w="6350" cap="flat" cmpd="sng" algn="ctr">
          <a:solidFill>
            <a:sysClr val="window" lastClr="FFFFFF">
              <a:lumMod val="50000"/>
            </a:sys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0.57926</cdr:x>
      <cdr:y>0.68572</cdr:y>
    </cdr:from>
    <cdr:to>
      <cdr:x>0.97268</cdr:x>
      <cdr:y>0.81223</cdr:y>
    </cdr:to>
    <cdr:sp macro="" textlink="">
      <cdr:nvSpPr>
        <cdr:cNvPr id="6" name="TextovéPole 5"/>
        <cdr:cNvSpPr txBox="1"/>
      </cdr:nvSpPr>
      <cdr:spPr>
        <a:xfrm xmlns:a="http://schemas.openxmlformats.org/drawingml/2006/main">
          <a:off x="2726370" y="2419614"/>
          <a:ext cx="1851680" cy="446400"/>
        </a:xfrm>
        <a:prstGeom xmlns:a="http://schemas.openxmlformats.org/drawingml/2006/main" prst="rect">
          <a:avLst/>
        </a:prstGeom>
        <a:solidFill xmlns:a="http://schemas.openxmlformats.org/drawingml/2006/main">
          <a:schemeClr val="bg1"/>
        </a:solidFill>
        <a:ln xmlns:a="http://schemas.openxmlformats.org/drawingml/2006/main" w="6350">
          <a:solidFill>
            <a:schemeClr val="tx1">
              <a:lumMod val="65000"/>
              <a:lumOff val="35000"/>
            </a:schemeClr>
          </a:solidFill>
        </a:ln>
      </cdr:spPr>
      <cdr:txBody>
        <a:bodyPr xmlns:a="http://schemas.openxmlformats.org/drawingml/2006/main" vertOverflow="clip" wrap="square" lIns="36000" tIns="36000" rIns="36000" bIns="36000" rtlCol="0"/>
        <a:lstStyle xmlns:a="http://schemas.openxmlformats.org/drawingml/2006/main"/>
        <a:p xmlns:a="http://schemas.openxmlformats.org/drawingml/2006/main">
          <a:pPr marL="0" marR="0" indent="0" algn="l" defTabSz="914400" eaLnBrk="1" fontAlgn="auto" latinLnBrk="0" hangingPunct="1">
            <a:lnSpc>
              <a:spcPct val="100000"/>
            </a:lnSpc>
            <a:spcBef>
              <a:spcPts val="0"/>
            </a:spcBef>
            <a:spcAft>
              <a:spcPts val="0"/>
            </a:spcAft>
            <a:buClrTx/>
            <a:buSzTx/>
            <a:buFontTx/>
            <a:buNone/>
            <a:tabLst/>
            <a:defRPr/>
          </a:pPr>
          <a:r>
            <a:rPr lang="cs-CZ" sz="800" b="0">
              <a:latin typeface="Arial" pitchFamily="34" charset="0"/>
              <a:ea typeface="+mn-ea"/>
              <a:cs typeface="Arial" pitchFamily="34" charset="0"/>
            </a:rPr>
            <a:t>Podíl podniků pod zahraniční kontrolou na HPH vytvořené všemi nefinančními podniky v roce 2016</a:t>
          </a:r>
          <a:r>
            <a:rPr lang="cs-CZ" sz="800" b="0" baseline="0">
              <a:latin typeface="Arial" pitchFamily="34" charset="0"/>
              <a:ea typeface="+mn-ea"/>
              <a:cs typeface="Arial" pitchFamily="34" charset="0"/>
            </a:rPr>
            <a:t> </a:t>
          </a:r>
          <a:r>
            <a:rPr lang="cs-CZ" sz="800" b="0">
              <a:latin typeface="Arial" pitchFamily="34" charset="0"/>
              <a:ea typeface="+mn-ea"/>
              <a:cs typeface="Arial" pitchFamily="34" charset="0"/>
            </a:rPr>
            <a:t>(v %)</a:t>
          </a:r>
          <a:endParaRPr lang="cs-CZ" sz="800" b="0">
            <a:latin typeface="Arial" pitchFamily="34" charset="0"/>
            <a:cs typeface="Arial" pitchFamily="34" charset="0"/>
          </a:endParaRPr>
        </a:p>
      </cdr:txBody>
    </cdr:sp>
  </cdr:relSizeAnchor>
  <cdr:relSizeAnchor xmlns:cdr="http://schemas.openxmlformats.org/drawingml/2006/chartDrawing">
    <cdr:from>
      <cdr:x>0.63409</cdr:x>
      <cdr:y>0.81699</cdr:y>
    </cdr:from>
    <cdr:to>
      <cdr:x>0.96065</cdr:x>
      <cdr:y>0.86118</cdr:y>
    </cdr:to>
    <cdr:sp macro="" textlink="">
      <cdr:nvSpPr>
        <cdr:cNvPr id="7" name="TextovéPole 6"/>
        <cdr:cNvSpPr txBox="1"/>
      </cdr:nvSpPr>
      <cdr:spPr>
        <a:xfrm xmlns:a="http://schemas.openxmlformats.org/drawingml/2006/main">
          <a:off x="3031270" y="2882346"/>
          <a:ext cx="1561118" cy="155902"/>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r>
            <a:rPr lang="cs-CZ" sz="800">
              <a:latin typeface="Arial" pitchFamily="34" charset="0"/>
              <a:ea typeface="+mn-ea"/>
              <a:cs typeface="Arial" pitchFamily="34" charset="0"/>
            </a:rPr>
            <a:t>30    40</a:t>
          </a:r>
          <a:r>
            <a:rPr lang="cs-CZ" sz="800" baseline="0">
              <a:latin typeface="Arial" pitchFamily="34" charset="0"/>
              <a:ea typeface="+mn-ea"/>
              <a:cs typeface="Arial" pitchFamily="34" charset="0"/>
            </a:rPr>
            <a:t>    </a:t>
          </a:r>
          <a:r>
            <a:rPr lang="cs-CZ" sz="800">
              <a:latin typeface="Arial" pitchFamily="34" charset="0"/>
              <a:ea typeface="+mn-ea"/>
              <a:cs typeface="Arial" pitchFamily="34" charset="0"/>
            </a:rPr>
            <a:t>50    60    70    80    90  </a:t>
          </a:r>
          <a:endParaRPr lang="cs-CZ" sz="800">
            <a:latin typeface="Arial" pitchFamily="34" charset="0"/>
            <a:cs typeface="Arial" pitchFamily="34" charset="0"/>
          </a:endParaRPr>
        </a:p>
      </cdr:txBody>
    </cdr:sp>
  </cdr:relSizeAnchor>
  <cdr:relSizeAnchor xmlns:cdr="http://schemas.openxmlformats.org/drawingml/2006/chartDrawing">
    <cdr:from>
      <cdr:x>0.74458</cdr:x>
      <cdr:y>0.85473</cdr:y>
    </cdr:from>
    <cdr:to>
      <cdr:x>0.78969</cdr:x>
      <cdr:y>0.87491</cdr:y>
    </cdr:to>
    <cdr:sp macro="" textlink="">
      <cdr:nvSpPr>
        <cdr:cNvPr id="8" name="Obdélník 7"/>
        <cdr:cNvSpPr/>
      </cdr:nvSpPr>
      <cdr:spPr>
        <a:xfrm xmlns:a="http://schemas.openxmlformats.org/drawingml/2006/main">
          <a:off x="3558457" y="3015492"/>
          <a:ext cx="215587" cy="71195"/>
        </a:xfrm>
        <a:prstGeom xmlns:a="http://schemas.openxmlformats.org/drawingml/2006/main" prst="rect">
          <a:avLst/>
        </a:prstGeom>
        <a:solidFill xmlns:a="http://schemas.openxmlformats.org/drawingml/2006/main">
          <a:srgbClr val="D2E7B6"/>
        </a:solidFill>
        <a:ln xmlns:a="http://schemas.openxmlformats.org/drawingml/2006/main" w="6350" cap="flat" cmpd="sng" algn="ctr">
          <a:solidFill>
            <a:sysClr val="window" lastClr="FFFFFF">
              <a:lumMod val="50000"/>
            </a:sys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0.83445</cdr:x>
      <cdr:y>0.85529</cdr:y>
    </cdr:from>
    <cdr:to>
      <cdr:x>0.87955</cdr:x>
      <cdr:y>0.87547</cdr:y>
    </cdr:to>
    <cdr:sp macro="" textlink="">
      <cdr:nvSpPr>
        <cdr:cNvPr id="9" name="Obdélník 8"/>
        <cdr:cNvSpPr/>
      </cdr:nvSpPr>
      <cdr:spPr>
        <a:xfrm xmlns:a="http://schemas.openxmlformats.org/drawingml/2006/main">
          <a:off x="3987958" y="3017449"/>
          <a:ext cx="215539" cy="71195"/>
        </a:xfrm>
        <a:prstGeom xmlns:a="http://schemas.openxmlformats.org/drawingml/2006/main" prst="rect">
          <a:avLst/>
        </a:prstGeom>
        <a:solidFill xmlns:a="http://schemas.openxmlformats.org/drawingml/2006/main">
          <a:srgbClr val="FCCD8E"/>
        </a:solidFill>
        <a:ln xmlns:a="http://schemas.openxmlformats.org/drawingml/2006/main" w="6350" cap="flat" cmpd="sng" algn="ctr">
          <a:solidFill>
            <a:sysClr val="window" lastClr="FFFFFF">
              <a:lumMod val="50000"/>
            </a:sys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0.78968</cdr:x>
      <cdr:y>0.85488</cdr:y>
    </cdr:from>
    <cdr:to>
      <cdr:x>0.83478</cdr:x>
      <cdr:y>0.87506</cdr:y>
    </cdr:to>
    <cdr:sp macro="" textlink="">
      <cdr:nvSpPr>
        <cdr:cNvPr id="10" name="Obdélník 9"/>
        <cdr:cNvSpPr/>
      </cdr:nvSpPr>
      <cdr:spPr>
        <a:xfrm xmlns:a="http://schemas.openxmlformats.org/drawingml/2006/main">
          <a:off x="3773995" y="3016021"/>
          <a:ext cx="215539" cy="71195"/>
        </a:xfrm>
        <a:prstGeom xmlns:a="http://schemas.openxmlformats.org/drawingml/2006/main" prst="rect">
          <a:avLst/>
        </a:prstGeom>
        <a:solidFill xmlns:a="http://schemas.openxmlformats.org/drawingml/2006/main">
          <a:srgbClr val="FFFF53"/>
        </a:solidFill>
        <a:ln xmlns:a="http://schemas.openxmlformats.org/drawingml/2006/main" w="6350" cap="flat" cmpd="sng" algn="ctr">
          <a:solidFill>
            <a:sysClr val="window" lastClr="FFFFFF">
              <a:lumMod val="50000"/>
            </a:sys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0.92544</cdr:x>
      <cdr:y>0.85469</cdr:y>
    </cdr:from>
    <cdr:to>
      <cdr:x>0.97054</cdr:x>
      <cdr:y>0.87486</cdr:y>
    </cdr:to>
    <cdr:sp macro="" textlink="">
      <cdr:nvSpPr>
        <cdr:cNvPr id="11" name="Obdélník 10"/>
        <cdr:cNvSpPr/>
      </cdr:nvSpPr>
      <cdr:spPr>
        <a:xfrm xmlns:a="http://schemas.openxmlformats.org/drawingml/2006/main">
          <a:off x="4429214" y="3015345"/>
          <a:ext cx="215851" cy="71160"/>
        </a:xfrm>
        <a:prstGeom xmlns:a="http://schemas.openxmlformats.org/drawingml/2006/main" prst="rect">
          <a:avLst/>
        </a:prstGeom>
        <a:solidFill xmlns:a="http://schemas.openxmlformats.org/drawingml/2006/main">
          <a:srgbClr val="BD1B21"/>
        </a:solidFill>
        <a:ln xmlns:a="http://schemas.openxmlformats.org/drawingml/2006/main" w="6350" cap="flat" cmpd="sng" algn="ctr">
          <a:solidFill>
            <a:sysClr val="window" lastClr="FFFFFF">
              <a:lumMod val="50000"/>
            </a:sys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0.8794</cdr:x>
      <cdr:y>0.85498</cdr:y>
    </cdr:from>
    <cdr:to>
      <cdr:x>0.9245</cdr:x>
      <cdr:y>0.87516</cdr:y>
    </cdr:to>
    <cdr:sp macro="" textlink="">
      <cdr:nvSpPr>
        <cdr:cNvPr id="12" name="Obdélník 11"/>
        <cdr:cNvSpPr/>
      </cdr:nvSpPr>
      <cdr:spPr>
        <a:xfrm xmlns:a="http://schemas.openxmlformats.org/drawingml/2006/main">
          <a:off x="4202747" y="3016367"/>
          <a:ext cx="215540" cy="71195"/>
        </a:xfrm>
        <a:prstGeom xmlns:a="http://schemas.openxmlformats.org/drawingml/2006/main" prst="rect">
          <a:avLst/>
        </a:prstGeom>
        <a:solidFill xmlns:a="http://schemas.openxmlformats.org/drawingml/2006/main">
          <a:srgbClr val="F8A124"/>
        </a:solidFill>
        <a:ln xmlns:a="http://schemas.openxmlformats.org/drawingml/2006/main" w="6350" cap="flat" cmpd="sng" algn="ctr">
          <a:solidFill>
            <a:sysClr val="window" lastClr="FFFFFF">
              <a:lumMod val="50000"/>
            </a:sys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0.60731</cdr:x>
      <cdr:y>0.85475</cdr:y>
    </cdr:from>
    <cdr:to>
      <cdr:x>0.65241</cdr:x>
      <cdr:y>0.87492</cdr:y>
    </cdr:to>
    <cdr:sp macro="" textlink="">
      <cdr:nvSpPr>
        <cdr:cNvPr id="13" name="Obdélník 12"/>
        <cdr:cNvSpPr/>
      </cdr:nvSpPr>
      <cdr:spPr>
        <a:xfrm xmlns:a="http://schemas.openxmlformats.org/drawingml/2006/main">
          <a:off x="2902435" y="3015561"/>
          <a:ext cx="215539" cy="71160"/>
        </a:xfrm>
        <a:prstGeom xmlns:a="http://schemas.openxmlformats.org/drawingml/2006/main" prst="rect">
          <a:avLst/>
        </a:prstGeom>
        <a:solidFill xmlns:a="http://schemas.openxmlformats.org/drawingml/2006/main">
          <a:srgbClr val="0071BC"/>
        </a:solidFill>
        <a:ln xmlns:a="http://schemas.openxmlformats.org/drawingml/2006/main" w="6350" cap="flat" cmpd="sng" algn="ctr">
          <a:solidFill>
            <a:sysClr val="window" lastClr="FFFFFF">
              <a:lumMod val="50000"/>
            </a:sys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0.25195</cdr:x>
      <cdr:y>0.50325</cdr:y>
    </cdr:from>
    <cdr:to>
      <cdr:x>0.35465</cdr:x>
      <cdr:y>0.67788</cdr:y>
    </cdr:to>
    <cdr:sp macro="" textlink="">
      <cdr:nvSpPr>
        <cdr:cNvPr id="15" name="Přímá spojovací šipka 14"/>
        <cdr:cNvSpPr/>
      </cdr:nvSpPr>
      <cdr:spPr>
        <a:xfrm xmlns:a="http://schemas.openxmlformats.org/drawingml/2006/main" flipV="1">
          <a:off x="1204937" y="1775454"/>
          <a:ext cx="491163" cy="616095"/>
        </a:xfrm>
        <a:prstGeom xmlns:a="http://schemas.openxmlformats.org/drawingml/2006/main" prst="straightConnector1">
          <a:avLst/>
        </a:prstGeom>
        <a:ln xmlns:a="http://schemas.openxmlformats.org/drawingml/2006/main" w="3175">
          <a:solidFill>
            <a:schemeClr val="tx1">
              <a:lumMod val="65000"/>
              <a:lumOff val="35000"/>
            </a:schemeClr>
          </a:solidFill>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0.49893</cdr:x>
      <cdr:y>0.38028</cdr:y>
    </cdr:from>
    <cdr:to>
      <cdr:x>0.70885</cdr:x>
      <cdr:y>0.42594</cdr:y>
    </cdr:to>
    <cdr:sp macro="" textlink="">
      <cdr:nvSpPr>
        <cdr:cNvPr id="19" name="Přímá spojovací šipka 18"/>
        <cdr:cNvSpPr/>
      </cdr:nvSpPr>
      <cdr:spPr>
        <a:xfrm xmlns:a="http://schemas.openxmlformats.org/drawingml/2006/main" flipH="1" flipV="1">
          <a:off x="2388878" y="1341643"/>
          <a:ext cx="1005081" cy="161074"/>
        </a:xfrm>
        <a:prstGeom xmlns:a="http://schemas.openxmlformats.org/drawingml/2006/main" prst="straightConnector1">
          <a:avLst/>
        </a:prstGeom>
        <a:ln xmlns:a="http://schemas.openxmlformats.org/drawingml/2006/main" w="3175">
          <a:solidFill>
            <a:schemeClr val="tx1">
              <a:lumMod val="65000"/>
              <a:lumOff val="35000"/>
            </a:schemeClr>
          </a:solidFill>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0.31384</cdr:x>
      <cdr:y>0.28923</cdr:y>
    </cdr:from>
    <cdr:to>
      <cdr:x>0.37987</cdr:x>
      <cdr:y>0.31083</cdr:y>
    </cdr:to>
    <cdr:sp macro="" textlink="">
      <cdr:nvSpPr>
        <cdr:cNvPr id="32" name="Přímá spojovací šipka 31"/>
        <cdr:cNvSpPr/>
      </cdr:nvSpPr>
      <cdr:spPr>
        <a:xfrm xmlns:a="http://schemas.openxmlformats.org/drawingml/2006/main" flipH="1" flipV="1">
          <a:off x="1500303" y="1020402"/>
          <a:ext cx="315684" cy="76199"/>
        </a:xfrm>
        <a:prstGeom xmlns:a="http://schemas.openxmlformats.org/drawingml/2006/main" prst="straightConnector1">
          <a:avLst/>
        </a:prstGeom>
        <a:ln xmlns:a="http://schemas.openxmlformats.org/drawingml/2006/main" w="3175">
          <a:solidFill>
            <a:schemeClr val="tx1">
              <a:lumMod val="65000"/>
              <a:lumOff val="35000"/>
            </a:schemeClr>
          </a:solidFill>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0.29562</cdr:x>
      <cdr:y>0.3494</cdr:y>
    </cdr:from>
    <cdr:to>
      <cdr:x>0.37117</cdr:x>
      <cdr:y>0.37335</cdr:y>
    </cdr:to>
    <cdr:sp macro="" textlink="">
      <cdr:nvSpPr>
        <cdr:cNvPr id="34" name="Přímá spojovací šipka 33"/>
        <cdr:cNvSpPr/>
      </cdr:nvSpPr>
      <cdr:spPr>
        <a:xfrm xmlns:a="http://schemas.openxmlformats.org/drawingml/2006/main" flipH="1" flipV="1">
          <a:off x="1413218" y="1232674"/>
          <a:ext cx="361151" cy="84496"/>
        </a:xfrm>
        <a:prstGeom xmlns:a="http://schemas.openxmlformats.org/drawingml/2006/main" prst="straightConnector1">
          <a:avLst/>
        </a:prstGeom>
        <a:ln xmlns:a="http://schemas.openxmlformats.org/drawingml/2006/main" w="3175">
          <a:solidFill>
            <a:schemeClr val="tx1">
              <a:lumMod val="65000"/>
              <a:lumOff val="35000"/>
            </a:schemeClr>
          </a:solidFill>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0.28063</cdr:x>
      <cdr:y>0.38276</cdr:y>
    </cdr:from>
    <cdr:to>
      <cdr:x>0.31665</cdr:x>
      <cdr:y>0.39572</cdr:y>
    </cdr:to>
    <cdr:sp macro="" textlink="">
      <cdr:nvSpPr>
        <cdr:cNvPr id="35" name="Přímá spojovací šipka 34"/>
        <cdr:cNvSpPr/>
      </cdr:nvSpPr>
      <cdr:spPr>
        <a:xfrm xmlns:a="http://schemas.openxmlformats.org/drawingml/2006/main" flipH="1">
          <a:off x="1320800" y="1350602"/>
          <a:ext cx="169556" cy="45719"/>
        </a:xfrm>
        <a:prstGeom xmlns:a="http://schemas.openxmlformats.org/drawingml/2006/main" prst="straightConnector1">
          <a:avLst/>
        </a:prstGeom>
        <a:ln xmlns:a="http://schemas.openxmlformats.org/drawingml/2006/main" w="3175">
          <a:solidFill>
            <a:schemeClr val="tx1">
              <a:lumMod val="65000"/>
              <a:lumOff val="35000"/>
            </a:schemeClr>
          </a:solidFill>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0.45542</cdr:x>
      <cdr:y>0.50176</cdr:y>
    </cdr:from>
    <cdr:to>
      <cdr:x>0.5442</cdr:x>
      <cdr:y>0.57975</cdr:y>
    </cdr:to>
    <cdr:sp macro="" textlink="">
      <cdr:nvSpPr>
        <cdr:cNvPr id="36" name="Přímá spojovací šipka 35"/>
        <cdr:cNvSpPr/>
      </cdr:nvSpPr>
      <cdr:spPr>
        <a:xfrm xmlns:a="http://schemas.openxmlformats.org/drawingml/2006/main" flipH="1" flipV="1">
          <a:off x="2178034" y="1770208"/>
          <a:ext cx="424590" cy="275149"/>
        </a:xfrm>
        <a:prstGeom xmlns:a="http://schemas.openxmlformats.org/drawingml/2006/main" prst="straightConnector1">
          <a:avLst/>
        </a:prstGeom>
        <a:ln xmlns:a="http://schemas.openxmlformats.org/drawingml/2006/main" w="3175">
          <a:solidFill>
            <a:schemeClr val="tx1">
              <a:lumMod val="65000"/>
              <a:lumOff val="35000"/>
            </a:schemeClr>
          </a:solidFill>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0.34673</cdr:x>
      <cdr:y>0.4337</cdr:y>
    </cdr:from>
    <cdr:to>
      <cdr:x>0.3974</cdr:x>
      <cdr:y>0.43442</cdr:y>
    </cdr:to>
    <cdr:sp macro="" textlink="">
      <cdr:nvSpPr>
        <cdr:cNvPr id="39" name="Přímá spojovací čára 38"/>
        <cdr:cNvSpPr/>
      </cdr:nvSpPr>
      <cdr:spPr>
        <a:xfrm xmlns:a="http://schemas.openxmlformats.org/drawingml/2006/main">
          <a:off x="1631950" y="1530350"/>
          <a:ext cx="238467" cy="2534"/>
        </a:xfrm>
        <a:prstGeom xmlns:a="http://schemas.openxmlformats.org/drawingml/2006/main" prst="line">
          <a:avLst/>
        </a:prstGeom>
        <a:ln xmlns:a="http://schemas.openxmlformats.org/drawingml/2006/main" w="3175">
          <a:solidFill>
            <a:schemeClr val="tx1">
              <a:lumMod val="65000"/>
              <a:lumOff val="3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0.30043</cdr:x>
      <cdr:y>0.47345</cdr:y>
    </cdr:from>
    <cdr:to>
      <cdr:x>0.33061</cdr:x>
      <cdr:y>0.47531</cdr:y>
    </cdr:to>
    <cdr:sp macro="" textlink="">
      <cdr:nvSpPr>
        <cdr:cNvPr id="40" name="Přímá spojovací čára 39"/>
        <cdr:cNvSpPr/>
      </cdr:nvSpPr>
      <cdr:spPr>
        <a:xfrm xmlns:a="http://schemas.openxmlformats.org/drawingml/2006/main" flipV="1">
          <a:off x="1436185" y="1670336"/>
          <a:ext cx="144291" cy="6569"/>
        </a:xfrm>
        <a:prstGeom xmlns:a="http://schemas.openxmlformats.org/drawingml/2006/main" prst="line">
          <a:avLst/>
        </a:prstGeom>
        <a:ln xmlns:a="http://schemas.openxmlformats.org/drawingml/2006/main" w="3175">
          <a:solidFill>
            <a:schemeClr val="tx1">
              <a:lumMod val="65000"/>
              <a:lumOff val="3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0.29169</cdr:x>
      <cdr:y>0.51594</cdr:y>
    </cdr:from>
    <cdr:to>
      <cdr:x>0.32188</cdr:x>
      <cdr:y>0.5178</cdr:y>
    </cdr:to>
    <cdr:sp macro="" textlink="">
      <cdr:nvSpPr>
        <cdr:cNvPr id="42" name="Přímá spojovací čára 41"/>
        <cdr:cNvSpPr/>
      </cdr:nvSpPr>
      <cdr:spPr>
        <a:xfrm xmlns:a="http://schemas.openxmlformats.org/drawingml/2006/main" flipV="1">
          <a:off x="1394435" y="1820232"/>
          <a:ext cx="144292" cy="6569"/>
        </a:xfrm>
        <a:prstGeom xmlns:a="http://schemas.openxmlformats.org/drawingml/2006/main" prst="line">
          <a:avLst/>
        </a:prstGeom>
        <a:ln xmlns:a="http://schemas.openxmlformats.org/drawingml/2006/main" w="3175">
          <a:solidFill>
            <a:schemeClr val="tx1">
              <a:lumMod val="65000"/>
              <a:lumOff val="3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0.45457</cdr:x>
      <cdr:y>0.45329</cdr:y>
    </cdr:from>
    <cdr:to>
      <cdr:x>0.54514</cdr:x>
      <cdr:y>0.5041</cdr:y>
    </cdr:to>
    <cdr:sp macro="" textlink="">
      <cdr:nvSpPr>
        <cdr:cNvPr id="43" name="Přímá spojovací čára 42"/>
        <cdr:cNvSpPr/>
      </cdr:nvSpPr>
      <cdr:spPr>
        <a:xfrm xmlns:a="http://schemas.openxmlformats.org/drawingml/2006/main">
          <a:off x="2174001" y="1599205"/>
          <a:ext cx="433151" cy="179258"/>
        </a:xfrm>
        <a:prstGeom xmlns:a="http://schemas.openxmlformats.org/drawingml/2006/main" prst="line">
          <a:avLst/>
        </a:prstGeom>
        <a:ln xmlns:a="http://schemas.openxmlformats.org/drawingml/2006/main" w="3175">
          <a:solidFill>
            <a:schemeClr val="tx1">
              <a:lumMod val="65000"/>
              <a:lumOff val="3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0.34116</cdr:x>
      <cdr:y>0.49931</cdr:y>
    </cdr:from>
    <cdr:to>
      <cdr:x>0.37359</cdr:x>
      <cdr:y>0.59047</cdr:y>
    </cdr:to>
    <cdr:sp macro="" textlink="">
      <cdr:nvSpPr>
        <cdr:cNvPr id="44" name="Přímá spojovací šipka 43"/>
        <cdr:cNvSpPr/>
      </cdr:nvSpPr>
      <cdr:spPr>
        <a:xfrm xmlns:a="http://schemas.openxmlformats.org/drawingml/2006/main" flipV="1">
          <a:off x="1630927" y="1761565"/>
          <a:ext cx="155031" cy="321613"/>
        </a:xfrm>
        <a:prstGeom xmlns:a="http://schemas.openxmlformats.org/drawingml/2006/main" prst="straightConnector1">
          <a:avLst/>
        </a:prstGeom>
        <a:ln xmlns:a="http://schemas.openxmlformats.org/drawingml/2006/main" w="3175">
          <a:solidFill>
            <a:schemeClr val="tx1">
              <a:lumMod val="65000"/>
              <a:lumOff val="35000"/>
            </a:schemeClr>
          </a:solidFill>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0.39908</cdr:x>
      <cdr:y>0.47954</cdr:y>
    </cdr:from>
    <cdr:to>
      <cdr:x>0.40864</cdr:x>
      <cdr:y>0.66736</cdr:y>
    </cdr:to>
    <cdr:sp macro="" textlink="">
      <cdr:nvSpPr>
        <cdr:cNvPr id="45" name="Přímá spojovací šipka 44"/>
        <cdr:cNvSpPr/>
      </cdr:nvSpPr>
      <cdr:spPr>
        <a:xfrm xmlns:a="http://schemas.openxmlformats.org/drawingml/2006/main" flipH="1" flipV="1">
          <a:off x="1907798" y="1691833"/>
          <a:ext cx="45702" cy="662629"/>
        </a:xfrm>
        <a:prstGeom xmlns:a="http://schemas.openxmlformats.org/drawingml/2006/main" prst="straightConnector1">
          <a:avLst/>
        </a:prstGeom>
        <a:ln xmlns:a="http://schemas.openxmlformats.org/drawingml/2006/main" w="3175">
          <a:solidFill>
            <a:schemeClr val="tx1">
              <a:lumMod val="65000"/>
              <a:lumOff val="35000"/>
            </a:schemeClr>
          </a:solidFill>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0.4601</cdr:x>
      <cdr:y>0.48169</cdr:y>
    </cdr:from>
    <cdr:to>
      <cdr:x>0.56971</cdr:x>
      <cdr:y>0.55378</cdr:y>
    </cdr:to>
    <cdr:sp macro="" textlink="">
      <cdr:nvSpPr>
        <cdr:cNvPr id="47" name="Přímá spojovací čára 46"/>
        <cdr:cNvSpPr/>
      </cdr:nvSpPr>
      <cdr:spPr>
        <a:xfrm xmlns:a="http://schemas.openxmlformats.org/drawingml/2006/main">
          <a:off x="2200433" y="1699389"/>
          <a:ext cx="524212" cy="254362"/>
        </a:xfrm>
        <a:prstGeom xmlns:a="http://schemas.openxmlformats.org/drawingml/2006/main" prst="line">
          <a:avLst/>
        </a:prstGeom>
        <a:ln xmlns:a="http://schemas.openxmlformats.org/drawingml/2006/main" w="3175">
          <a:solidFill>
            <a:schemeClr val="tx1">
              <a:lumMod val="65000"/>
              <a:lumOff val="3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0.42138</cdr:x>
      <cdr:y>0.2421</cdr:y>
    </cdr:from>
    <cdr:to>
      <cdr:x>0.4396</cdr:x>
      <cdr:y>0.26524</cdr:y>
    </cdr:to>
    <cdr:sp macro="" textlink="">
      <cdr:nvSpPr>
        <cdr:cNvPr id="48" name="Přímá spojovací šipka 47"/>
        <cdr:cNvSpPr/>
      </cdr:nvSpPr>
      <cdr:spPr>
        <a:xfrm xmlns:a="http://schemas.openxmlformats.org/drawingml/2006/main" flipV="1">
          <a:off x="2017424" y="854142"/>
          <a:ext cx="87231" cy="81638"/>
        </a:xfrm>
        <a:prstGeom xmlns:a="http://schemas.openxmlformats.org/drawingml/2006/main" prst="straightConnector1">
          <a:avLst/>
        </a:prstGeom>
        <a:ln xmlns:a="http://schemas.openxmlformats.org/drawingml/2006/main" w="3175">
          <a:solidFill>
            <a:schemeClr val="tx1">
              <a:lumMod val="65000"/>
              <a:lumOff val="35000"/>
            </a:schemeClr>
          </a:solidFill>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0.41196</cdr:x>
      <cdr:y>0.55574</cdr:y>
    </cdr:from>
    <cdr:to>
      <cdr:x>0.61509</cdr:x>
      <cdr:y>0.60121</cdr:y>
    </cdr:to>
    <cdr:sp macro="" textlink="">
      <cdr:nvSpPr>
        <cdr:cNvPr id="31" name="Oblouk 30"/>
        <cdr:cNvSpPr/>
      </cdr:nvSpPr>
      <cdr:spPr>
        <a:xfrm xmlns:a="http://schemas.openxmlformats.org/drawingml/2006/main" rot="13221271">
          <a:off x="1972299" y="1960644"/>
          <a:ext cx="972552" cy="160421"/>
        </a:xfrm>
        <a:prstGeom xmlns:a="http://schemas.openxmlformats.org/drawingml/2006/main" prst="arc">
          <a:avLst>
            <a:gd name="adj1" fmla="val 11884047"/>
            <a:gd name="adj2" fmla="val 0"/>
          </a:avLst>
        </a:prstGeom>
        <a:ln xmlns:a="http://schemas.openxmlformats.org/drawingml/2006/main" w="3175">
          <a:solidFill>
            <a:schemeClr val="tx1">
              <a:lumMod val="85000"/>
              <a:lumOff val="1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0.49926</cdr:x>
      <cdr:y>0.31486</cdr:y>
    </cdr:from>
    <cdr:to>
      <cdr:x>0.54968</cdr:x>
      <cdr:y>0.33161</cdr:y>
    </cdr:to>
    <cdr:sp macro="" textlink="">
      <cdr:nvSpPr>
        <cdr:cNvPr id="33" name="Přímá spojovací šipka 32"/>
        <cdr:cNvSpPr/>
      </cdr:nvSpPr>
      <cdr:spPr>
        <a:xfrm xmlns:a="http://schemas.openxmlformats.org/drawingml/2006/main" flipH="1">
          <a:off x="2386996" y="1110813"/>
          <a:ext cx="241022" cy="59118"/>
        </a:xfrm>
        <a:prstGeom xmlns:a="http://schemas.openxmlformats.org/drawingml/2006/main" prst="straightConnector1">
          <a:avLst/>
        </a:prstGeom>
        <a:ln xmlns:a="http://schemas.openxmlformats.org/drawingml/2006/main" w="3175">
          <a:solidFill>
            <a:schemeClr val="tx1">
              <a:lumMod val="65000"/>
              <a:lumOff val="35000"/>
            </a:schemeClr>
          </a:solidFill>
          <a:tailEnd type="none" w="sm" len="sm"/>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cs-CZ"/>
        </a:p>
      </cdr:txBody>
    </cdr:sp>
  </cdr:relSizeAnchor>
</c:userShapes>
</file>

<file path=word/drawings/drawing6.xml><?xml version="1.0" encoding="utf-8"?>
<c:userShapes xmlns:c="http://schemas.openxmlformats.org/drawingml/2006/chart">
  <cdr:relSizeAnchor xmlns:cdr="http://schemas.openxmlformats.org/drawingml/2006/chartDrawing">
    <cdr:from>
      <cdr:x>0.49336</cdr:x>
      <cdr:y>0.09507</cdr:y>
    </cdr:from>
    <cdr:to>
      <cdr:x>0.53498</cdr:x>
      <cdr:y>0.11183</cdr:y>
    </cdr:to>
    <cdr:sp macro="" textlink="">
      <cdr:nvSpPr>
        <cdr:cNvPr id="3" name="Kosoúhelník 2"/>
        <cdr:cNvSpPr/>
      </cdr:nvSpPr>
      <cdr:spPr>
        <a:xfrm xmlns:a="http://schemas.openxmlformats.org/drawingml/2006/main" rot="19295192">
          <a:off x="2324685" y="337813"/>
          <a:ext cx="196131" cy="59532"/>
        </a:xfrm>
        <a:prstGeom xmlns:a="http://schemas.openxmlformats.org/drawingml/2006/main" prst="parallelogram">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0.56507</cdr:x>
      <cdr:y>0.08548</cdr:y>
    </cdr:from>
    <cdr:to>
      <cdr:x>0.60259</cdr:x>
      <cdr:y>0.10092</cdr:y>
    </cdr:to>
    <cdr:sp macro="" textlink="">
      <cdr:nvSpPr>
        <cdr:cNvPr id="4" name="Kosoúhelník 3"/>
        <cdr:cNvSpPr/>
      </cdr:nvSpPr>
      <cdr:spPr>
        <a:xfrm xmlns:a="http://schemas.openxmlformats.org/drawingml/2006/main" rot="19295192">
          <a:off x="2667907" y="303711"/>
          <a:ext cx="177117" cy="54889"/>
        </a:xfrm>
        <a:prstGeom xmlns:a="http://schemas.openxmlformats.org/drawingml/2006/main" prst="parallelogram">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0.53431</cdr:x>
      <cdr:y>0.0909</cdr:y>
    </cdr:from>
    <cdr:to>
      <cdr:x>0.57217</cdr:x>
      <cdr:y>0.10596</cdr:y>
    </cdr:to>
    <cdr:sp macro="" textlink="">
      <cdr:nvSpPr>
        <cdr:cNvPr id="5" name="Kosoúhelník 4"/>
        <cdr:cNvSpPr/>
      </cdr:nvSpPr>
      <cdr:spPr>
        <a:xfrm xmlns:a="http://schemas.openxmlformats.org/drawingml/2006/main" rot="19295192">
          <a:off x="2522683" y="322994"/>
          <a:ext cx="178747" cy="53512"/>
        </a:xfrm>
        <a:prstGeom xmlns:a="http://schemas.openxmlformats.org/drawingml/2006/main" prst="parallelogram">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0.51126</cdr:x>
      <cdr:y>0.01988</cdr:y>
    </cdr:from>
    <cdr:to>
      <cdr:x>0.55041</cdr:x>
      <cdr:y>0.0538</cdr:y>
    </cdr:to>
    <cdr:sp macro="" textlink="">
      <cdr:nvSpPr>
        <cdr:cNvPr id="7" name="TextovéPole 6"/>
        <cdr:cNvSpPr txBox="1"/>
      </cdr:nvSpPr>
      <cdr:spPr>
        <a:xfrm xmlns:a="http://schemas.openxmlformats.org/drawingml/2006/main">
          <a:off x="2413828" y="70654"/>
          <a:ext cx="184841" cy="120525"/>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cs-CZ" sz="800">
              <a:solidFill>
                <a:srgbClr val="48AEE7"/>
              </a:solidFill>
              <a:latin typeface="Arial" pitchFamily="34" charset="0"/>
              <a:cs typeface="Arial" pitchFamily="34" charset="0"/>
            </a:rPr>
            <a:t>254</a:t>
          </a:r>
        </a:p>
      </cdr:txBody>
    </cdr:sp>
  </cdr:relSizeAnchor>
  <cdr:relSizeAnchor xmlns:cdr="http://schemas.openxmlformats.org/drawingml/2006/chartDrawing">
    <cdr:from>
      <cdr:x>0.59373</cdr:x>
      <cdr:y>0.02164</cdr:y>
    </cdr:from>
    <cdr:to>
      <cdr:x>0.63289</cdr:x>
      <cdr:y>0.05555</cdr:y>
    </cdr:to>
    <cdr:sp macro="" textlink="">
      <cdr:nvSpPr>
        <cdr:cNvPr id="9" name="TextovéPole 1"/>
        <cdr:cNvSpPr txBox="1"/>
      </cdr:nvSpPr>
      <cdr:spPr>
        <a:xfrm xmlns:a="http://schemas.openxmlformats.org/drawingml/2006/main">
          <a:off x="2803220" y="76883"/>
          <a:ext cx="184889" cy="120489"/>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cs-CZ" sz="800">
              <a:solidFill>
                <a:srgbClr val="7DBB2D"/>
              </a:solidFill>
              <a:latin typeface="Arial" pitchFamily="34" charset="0"/>
              <a:cs typeface="Arial" pitchFamily="34" charset="0"/>
            </a:rPr>
            <a:t>282</a:t>
          </a:r>
        </a:p>
      </cdr:txBody>
    </cdr:sp>
  </cdr:relSizeAnchor>
</c:userShapes>
</file>

<file path=word/drawings/drawing7.xml><?xml version="1.0" encoding="utf-8"?>
<c:userShapes xmlns:c="http://schemas.openxmlformats.org/drawingml/2006/chart">
  <cdr:relSizeAnchor xmlns:cdr="http://schemas.openxmlformats.org/drawingml/2006/chartDrawing">
    <cdr:from>
      <cdr:x>0.0542</cdr:x>
      <cdr:y>0.87948</cdr:y>
    </cdr:from>
    <cdr:to>
      <cdr:x>0.98372</cdr:x>
      <cdr:y>0.98925</cdr:y>
    </cdr:to>
    <cdr:sp macro="" textlink="">
      <cdr:nvSpPr>
        <cdr:cNvPr id="2" name="TextovéPole 1"/>
        <cdr:cNvSpPr txBox="1"/>
      </cdr:nvSpPr>
      <cdr:spPr>
        <a:xfrm xmlns:a="http://schemas.openxmlformats.org/drawingml/2006/main">
          <a:off x="251015" y="3124967"/>
          <a:ext cx="4304864" cy="390045"/>
        </a:xfrm>
        <a:prstGeom xmlns:a="http://schemas.openxmlformats.org/drawingml/2006/main" prst="rect">
          <a:avLst/>
        </a:prstGeom>
        <a:ln xmlns:a="http://schemas.openxmlformats.org/drawingml/2006/main" w="6350">
          <a:solidFill>
            <a:sysClr val="windowText" lastClr="000000"/>
          </a:solidFill>
        </a:ln>
      </cdr:spPr>
      <cdr:txBody>
        <a:bodyPr xmlns:a="http://schemas.openxmlformats.org/drawingml/2006/main" vertOverflow="clip" wrap="square" lIns="0" tIns="0" rIns="0" bIns="0" rtlCol="0"/>
        <a:lstStyle xmlns:a="http://schemas.openxmlformats.org/drawingml/2006/main"/>
        <a:p xmlns:a="http://schemas.openxmlformats.org/drawingml/2006/main">
          <a:r>
            <a:rPr lang="cs-CZ" sz="800">
              <a:latin typeface="Arial" pitchFamily="34" charset="0"/>
              <a:cs typeface="Arial" pitchFamily="34" charset="0"/>
            </a:rPr>
            <a:t>        Podíl jednotlivých odvětví (NACE) veřejných služeb                HPH</a:t>
          </a:r>
          <a:r>
            <a:rPr lang="cs-CZ" sz="800" baseline="0">
              <a:latin typeface="Arial" pitchFamily="34" charset="0"/>
              <a:cs typeface="Arial" pitchFamily="34" charset="0"/>
            </a:rPr>
            <a:t> ve veřejných službách </a:t>
          </a:r>
        </a:p>
        <a:p xmlns:a="http://schemas.openxmlformats.org/drawingml/2006/main">
          <a:r>
            <a:rPr lang="cs-CZ" sz="800" baseline="0">
              <a:latin typeface="Arial" pitchFamily="34" charset="0"/>
              <a:cs typeface="Arial" pitchFamily="34" charset="0"/>
            </a:rPr>
            <a:t>       </a:t>
          </a:r>
          <a:r>
            <a:rPr lang="cs-CZ" sz="800">
              <a:latin typeface="Arial" pitchFamily="34" charset="0"/>
              <a:ea typeface="+mn-ea"/>
              <a:cs typeface="Arial" pitchFamily="34" charset="0"/>
            </a:rPr>
            <a:t>na zaměstnanosti v roce ekonomice</a:t>
          </a:r>
          <a:r>
            <a:rPr lang="cs-CZ" sz="800" baseline="0">
              <a:latin typeface="Arial" pitchFamily="34" charset="0"/>
              <a:cs typeface="Arial" pitchFamily="34" charset="0"/>
            </a:rPr>
            <a:t> (v %, rok 2016)              (% z HPH v celé ekonomice)</a:t>
          </a:r>
          <a:endParaRPr lang="cs-CZ" sz="800">
            <a:latin typeface="Arial" pitchFamily="34" charset="0"/>
            <a:cs typeface="Arial" pitchFamily="34" charset="0"/>
          </a:endParaRPr>
        </a:p>
      </cdr:txBody>
    </cdr:sp>
  </cdr:relSizeAnchor>
  <cdr:relSizeAnchor xmlns:cdr="http://schemas.openxmlformats.org/drawingml/2006/chartDrawing">
    <cdr:from>
      <cdr:x>0.66358</cdr:x>
      <cdr:y>0.87886</cdr:y>
    </cdr:from>
    <cdr:to>
      <cdr:x>0.66358</cdr:x>
      <cdr:y>0.98881</cdr:y>
    </cdr:to>
    <cdr:sp macro="" textlink="">
      <cdr:nvSpPr>
        <cdr:cNvPr id="6" name="Přímá spojovací čára 5"/>
        <cdr:cNvSpPr/>
      </cdr:nvSpPr>
      <cdr:spPr>
        <a:xfrm xmlns:a="http://schemas.openxmlformats.org/drawingml/2006/main" flipV="1">
          <a:off x="3069694" y="3122767"/>
          <a:ext cx="0" cy="390687"/>
        </a:xfrm>
        <a:prstGeom xmlns:a="http://schemas.openxmlformats.org/drawingml/2006/main" prst="line">
          <a:avLst/>
        </a:prstGeom>
        <a:ln xmlns:a="http://schemas.openxmlformats.org/drawingml/2006/main" w="6350">
          <a:solidFill>
            <a:schemeClr val="tx1">
              <a:lumMod val="95000"/>
              <a:lumOff val="5000"/>
            </a:schemeClr>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userShapes>
</file>

<file path=word/drawings/drawing8.xml><?xml version="1.0" encoding="utf-8"?>
<c:userShapes xmlns:c="http://schemas.openxmlformats.org/drawingml/2006/chart">
  <cdr:relSizeAnchor xmlns:cdr="http://schemas.openxmlformats.org/drawingml/2006/chartDrawing">
    <cdr:from>
      <cdr:x>0.58593</cdr:x>
      <cdr:y>0.03702</cdr:y>
    </cdr:from>
    <cdr:to>
      <cdr:x>0.62572</cdr:x>
      <cdr:y>0.06218</cdr:y>
    </cdr:to>
    <cdr:sp macro="" textlink="">
      <cdr:nvSpPr>
        <cdr:cNvPr id="4" name="Obdélník 3"/>
        <cdr:cNvSpPr/>
      </cdr:nvSpPr>
      <cdr:spPr>
        <a:xfrm xmlns:a="http://schemas.openxmlformats.org/drawingml/2006/main">
          <a:off x="2781135" y="130622"/>
          <a:ext cx="188866" cy="88764"/>
        </a:xfrm>
        <a:prstGeom xmlns:a="http://schemas.openxmlformats.org/drawingml/2006/main" prst="rect">
          <a:avLst/>
        </a:prstGeom>
        <a:solidFill xmlns:a="http://schemas.openxmlformats.org/drawingml/2006/main">
          <a:schemeClr val="bg1">
            <a:lumMod val="85000"/>
          </a:schemeClr>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0.64411</cdr:x>
      <cdr:y>0.03673</cdr:y>
    </cdr:from>
    <cdr:to>
      <cdr:x>0.6839</cdr:x>
      <cdr:y>0.06189</cdr:y>
    </cdr:to>
    <cdr:sp macro="" textlink="">
      <cdr:nvSpPr>
        <cdr:cNvPr id="5" name="Obdélník 4"/>
        <cdr:cNvSpPr/>
      </cdr:nvSpPr>
      <cdr:spPr>
        <a:xfrm xmlns:a="http://schemas.openxmlformats.org/drawingml/2006/main">
          <a:off x="3057293" y="129572"/>
          <a:ext cx="188865" cy="88764"/>
        </a:xfrm>
        <a:prstGeom xmlns:a="http://schemas.openxmlformats.org/drawingml/2006/main" prst="rect">
          <a:avLst/>
        </a:prstGeom>
        <a:solidFill xmlns:a="http://schemas.openxmlformats.org/drawingml/2006/main">
          <a:srgbClr val="D9EEF3"/>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0.70243</cdr:x>
      <cdr:y>0.03723</cdr:y>
    </cdr:from>
    <cdr:to>
      <cdr:x>0.74222</cdr:x>
      <cdr:y>0.06239</cdr:y>
    </cdr:to>
    <cdr:sp macro="" textlink="">
      <cdr:nvSpPr>
        <cdr:cNvPr id="6" name="Obdélník 5"/>
        <cdr:cNvSpPr/>
      </cdr:nvSpPr>
      <cdr:spPr>
        <a:xfrm xmlns:a="http://schemas.openxmlformats.org/drawingml/2006/main">
          <a:off x="3761577" y="131343"/>
          <a:ext cx="213080" cy="88765"/>
        </a:xfrm>
        <a:prstGeom xmlns:a="http://schemas.openxmlformats.org/drawingml/2006/main" prst="rect">
          <a:avLst/>
        </a:prstGeom>
        <a:solidFill xmlns:a="http://schemas.openxmlformats.org/drawingml/2006/main">
          <a:srgbClr val="90CCDC"/>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0.81802</cdr:x>
      <cdr:y>0.03678</cdr:y>
    </cdr:from>
    <cdr:to>
      <cdr:x>0.85781</cdr:x>
      <cdr:y>0.06194</cdr:y>
    </cdr:to>
    <cdr:sp macro="" textlink="">
      <cdr:nvSpPr>
        <cdr:cNvPr id="7" name="Obdélník 6"/>
        <cdr:cNvSpPr/>
      </cdr:nvSpPr>
      <cdr:spPr>
        <a:xfrm xmlns:a="http://schemas.openxmlformats.org/drawingml/2006/main">
          <a:off x="3882772" y="129755"/>
          <a:ext cx="188866" cy="88764"/>
        </a:xfrm>
        <a:prstGeom xmlns:a="http://schemas.openxmlformats.org/drawingml/2006/main" prst="rect">
          <a:avLst/>
        </a:prstGeom>
        <a:solidFill xmlns:a="http://schemas.openxmlformats.org/drawingml/2006/main">
          <a:srgbClr val="0070C0"/>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0.76083</cdr:x>
      <cdr:y>0.03658</cdr:y>
    </cdr:from>
    <cdr:to>
      <cdr:x>0.80062</cdr:x>
      <cdr:y>0.06174</cdr:y>
    </cdr:to>
    <cdr:sp macro="" textlink="">
      <cdr:nvSpPr>
        <cdr:cNvPr id="8" name="Obdélník 7"/>
        <cdr:cNvSpPr/>
      </cdr:nvSpPr>
      <cdr:spPr>
        <a:xfrm xmlns:a="http://schemas.openxmlformats.org/drawingml/2006/main">
          <a:off x="3611341" y="129069"/>
          <a:ext cx="188865" cy="88765"/>
        </a:xfrm>
        <a:prstGeom xmlns:a="http://schemas.openxmlformats.org/drawingml/2006/main" prst="rect">
          <a:avLst/>
        </a:prstGeom>
        <a:solidFill xmlns:a="http://schemas.openxmlformats.org/drawingml/2006/main">
          <a:srgbClr val="3EA6C2"/>
        </a:solidFill>
        <a:ln xmlns:a="http://schemas.openxmlformats.org/drawingml/2006/main" w="6350">
          <a:solidFill>
            <a:schemeClr val="tx1">
              <a:lumMod val="95000"/>
              <a:lumOff val="5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cs-CZ"/>
        </a:p>
      </cdr:txBody>
    </cdr:sp>
  </cdr:relSizeAnchor>
  <cdr:relSizeAnchor xmlns:cdr="http://schemas.openxmlformats.org/drawingml/2006/chartDrawing">
    <cdr:from>
      <cdr:x>0.52619</cdr:x>
      <cdr:y>0.0724</cdr:y>
    </cdr:from>
    <cdr:to>
      <cdr:x>0.93609</cdr:x>
      <cdr:y>0.10186</cdr:y>
    </cdr:to>
    <cdr:sp macro="" textlink="">
      <cdr:nvSpPr>
        <cdr:cNvPr id="10" name="TextovéPole 9"/>
        <cdr:cNvSpPr txBox="1"/>
      </cdr:nvSpPr>
      <cdr:spPr>
        <a:xfrm xmlns:a="http://schemas.openxmlformats.org/drawingml/2006/main">
          <a:off x="2476650" y="265750"/>
          <a:ext cx="1929251" cy="108157"/>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r>
            <a:rPr lang="cs-CZ" sz="800">
              <a:latin typeface="Arial" pitchFamily="34" charset="0"/>
              <a:cs typeface="Arial" pitchFamily="34" charset="0"/>
            </a:rPr>
            <a:t>roky:</a:t>
          </a:r>
          <a:r>
            <a:rPr lang="cs-CZ" sz="800" baseline="0">
              <a:latin typeface="Arial" pitchFamily="34" charset="0"/>
              <a:cs typeface="Arial" pitchFamily="34" charset="0"/>
            </a:rPr>
            <a:t> 2013  2014  2015  2016  2017</a:t>
          </a:r>
          <a:endParaRPr lang="cs-CZ" sz="800">
            <a:latin typeface="Arial" pitchFamily="34" charset="0"/>
            <a:cs typeface="Arial" pitchFamily="34"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772855-97DB-42D3-9AFE-F3B5566FB0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Anaýza ekonomického vývoje v roce 2017.dotx</Template>
  <TotalTime>1</TotalTime>
  <Pages>87</Pages>
  <Words>29594</Words>
  <Characters>174605</Characters>
  <Application>Microsoft Office Word</Application>
  <DocSecurity>0</DocSecurity>
  <Lines>1455</Lines>
  <Paragraphs>407</Paragraphs>
  <ScaleCrop>false</ScaleCrop>
  <HeadingPairs>
    <vt:vector size="6" baseType="variant">
      <vt:variant>
        <vt:lpstr>Název</vt:lpstr>
      </vt:variant>
      <vt:variant>
        <vt:i4>1</vt:i4>
      </vt:variant>
      <vt:variant>
        <vt:lpstr>Title</vt:lpstr>
      </vt:variant>
      <vt:variant>
        <vt:i4>1</vt:i4>
      </vt:variant>
      <vt:variant>
        <vt:lpstr>Headings</vt:lpstr>
      </vt:variant>
      <vt:variant>
        <vt:i4>8</vt:i4>
      </vt:variant>
    </vt:vector>
  </HeadingPairs>
  <TitlesOfParts>
    <vt:vector size="10" baseType="lpstr">
      <vt:lpstr/>
      <vt:lpstr/>
      <vt:lpstr>Styl: Nadpis 1</vt:lpstr>
      <vt:lpstr>    Styl: Nadpis 2</vt:lpstr>
      <vt:lpstr>        Styl: Nadpis 3</vt:lpstr>
      <vt:lpstr>        Styl: Nadpis 3</vt:lpstr>
      <vt:lpstr>    Styl: Nadpis 2</vt:lpstr>
      <vt:lpstr>        Styl: Nadpis 3</vt:lpstr>
      <vt:lpstr>    Styl: Nadpis 2</vt:lpstr>
      <vt:lpstr>        Styl: Nadpis 3</vt:lpstr>
    </vt:vector>
  </TitlesOfParts>
  <Company>CSU</Company>
  <LinksUpToDate>false</LinksUpToDate>
  <CharactersWithSpaces>203792</CharactersWithSpaces>
  <SharedDoc>false</SharedDoc>
  <HLinks>
    <vt:vector size="18" baseType="variant">
      <vt:variant>
        <vt:i4>7602181</vt:i4>
      </vt:variant>
      <vt:variant>
        <vt:i4>11092</vt:i4>
      </vt:variant>
      <vt:variant>
        <vt:i4>1025</vt:i4>
      </vt:variant>
      <vt:variant>
        <vt:i4>1</vt:i4>
      </vt:variant>
      <vt:variant>
        <vt:lpwstr>msoFAAF</vt:lpwstr>
      </vt:variant>
      <vt:variant>
        <vt:lpwstr/>
      </vt:variant>
      <vt:variant>
        <vt:i4>7995509</vt:i4>
      </vt:variant>
      <vt:variant>
        <vt:i4>-1</vt:i4>
      </vt:variant>
      <vt:variant>
        <vt:i4>2058</vt:i4>
      </vt:variant>
      <vt:variant>
        <vt:i4>1</vt:i4>
      </vt:variant>
      <vt:variant>
        <vt:lpwstr>CSU RGB CZ logo-02</vt:lpwstr>
      </vt:variant>
      <vt:variant>
        <vt:lpwstr/>
      </vt:variant>
      <vt:variant>
        <vt:i4>7929973</vt:i4>
      </vt:variant>
      <vt:variant>
        <vt:i4>-1</vt:i4>
      </vt:variant>
      <vt:variant>
        <vt:i4>2059</vt:i4>
      </vt:variant>
      <vt:variant>
        <vt:i4>1</vt:i4>
      </vt:variant>
      <vt:variant>
        <vt:lpwstr>CSU RGB CZ logo-01</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Mgr. Karolína Súkupová</dc:creator>
  <cp:lastModifiedBy>kamenicky3604</cp:lastModifiedBy>
  <cp:revision>2</cp:revision>
  <cp:lastPrinted>2014-07-17T14:07:00Z</cp:lastPrinted>
  <dcterms:created xsi:type="dcterms:W3CDTF">2018-10-29T15:12:00Z</dcterms:created>
  <dcterms:modified xsi:type="dcterms:W3CDTF">2018-10-29T15:12:00Z</dcterms:modified>
</cp:coreProperties>
</file>