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E0" w:rsidRPr="00A969AB" w:rsidRDefault="00EE38E0" w:rsidP="00A969AB">
      <w:pPr>
        <w:pStyle w:val="Nadpis1"/>
        <w:numPr>
          <w:ilvl w:val="0"/>
          <w:numId w:val="41"/>
        </w:numPr>
        <w:ind w:left="0"/>
        <w:jc w:val="left"/>
        <w:rPr>
          <w:spacing w:val="-2"/>
        </w:rPr>
      </w:pPr>
      <w:r w:rsidRPr="00A969AB">
        <w:rPr>
          <w:spacing w:val="-2"/>
        </w:rPr>
        <w:t>Použití ochranných bezpečnostních prvků u účastníků dopravních</w:t>
      </w:r>
      <w:r w:rsidR="00A969AB" w:rsidRPr="00A969AB">
        <w:rPr>
          <w:spacing w:val="-2"/>
          <w:lang w:val="cs-CZ"/>
        </w:rPr>
        <w:t xml:space="preserve"> </w:t>
      </w:r>
      <w:r w:rsidRPr="00A969AB">
        <w:rPr>
          <w:spacing w:val="-2"/>
        </w:rPr>
        <w:t>nehod</w:t>
      </w:r>
    </w:p>
    <w:p w:rsidR="00EE38E0" w:rsidRDefault="00EE38E0">
      <w:pPr>
        <w:rPr>
          <w:lang/>
        </w:rPr>
      </w:pPr>
    </w:p>
    <w:p w:rsidR="00EE38E0" w:rsidRDefault="00EE38E0">
      <w:pPr>
        <w:rPr>
          <w:lang/>
        </w:rPr>
      </w:pPr>
    </w:p>
    <w:tbl>
      <w:tblPr>
        <w:tblW w:w="5022" w:type="pct"/>
        <w:tblInd w:w="-42" w:type="dxa"/>
        <w:tblCellMar>
          <w:left w:w="28" w:type="dxa"/>
          <w:right w:w="28" w:type="dxa"/>
        </w:tblCellMar>
        <w:tblLook w:val="04A0"/>
      </w:tblPr>
      <w:tblGrid>
        <w:gridCol w:w="42"/>
        <w:gridCol w:w="736"/>
        <w:gridCol w:w="1309"/>
        <w:gridCol w:w="275"/>
        <w:gridCol w:w="2532"/>
        <w:gridCol w:w="853"/>
        <w:gridCol w:w="3969"/>
        <w:gridCol w:w="21"/>
      </w:tblGrid>
      <w:tr w:rsidR="00EE38E0" w:rsidTr="008F14A6">
        <w:trPr>
          <w:gridBefore w:val="1"/>
          <w:wBefore w:w="22" w:type="pct"/>
        </w:trPr>
        <w:tc>
          <w:tcPr>
            <w:tcW w:w="1050" w:type="pct"/>
            <w:gridSpan w:val="2"/>
          </w:tcPr>
          <w:p w:rsidR="00EE38E0" w:rsidRDefault="009E623E" w:rsidP="009E623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Řidiči nepřipoutaní bezpečnostním pásem tvořili v roce 2011 polovinu všech „nechráněných“ obětí dopravních nehod</w:t>
            </w:r>
          </w:p>
        </w:tc>
        <w:tc>
          <w:tcPr>
            <w:tcW w:w="141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87" w:type="pct"/>
            <w:gridSpan w:val="4"/>
          </w:tcPr>
          <w:p w:rsidR="008F14A6" w:rsidRDefault="00336BAF" w:rsidP="00336BAF">
            <w:r>
              <w:t>Bezpečnostní prvk</w:t>
            </w:r>
            <w:r w:rsidR="00DD2F40">
              <w:t>y mají za cíl zmírnit následky n</w:t>
            </w:r>
            <w:r>
              <w:t>a zdraví účastníků případných dopravních kolizí. Vezmeme-li v úvahu pouze použití bezpečnostních pásů ve vozidlech a ochranné helmy u motocyklistů a cyklistů, pak z více než 125 tis. účastníků všech Policií evidovaných nehod v ČR v roce 2011 jich 9,2 tis. utrpělo újmy na zdraví, aniž by při nehodě byli chráněni těmito prvky</w:t>
            </w:r>
            <w:r w:rsidR="00DD2F40">
              <w:t>. Tímto způsobem na silnicích ze</w:t>
            </w:r>
            <w:r>
              <w:t xml:space="preserve">mřelo na dvě stovky osob, téměř 29 % veškerých obětí dopravních nehod. </w:t>
            </w:r>
          </w:p>
          <w:p w:rsidR="008F14A6" w:rsidRPr="008F14A6" w:rsidRDefault="008F14A6" w:rsidP="00336BAF">
            <w:pPr>
              <w:rPr>
                <w:sz w:val="8"/>
                <w:szCs w:val="8"/>
              </w:rPr>
            </w:pPr>
          </w:p>
          <w:p w:rsidR="008F14A6" w:rsidRDefault="00336BAF" w:rsidP="00336BAF">
            <w:r>
              <w:t>Téměř polovinu „nechráněných“ obětí tvořili nepřipoutaní řidiči osobních automobilů, další pětinu ukrojily rovnoměrným dílem jejich spolujezdci nepřipoutaní na předním, resp. zadním sedadle. Vysoký byl i počet obětí cyklistů bez ochranné přilby (45). K obětem, kterým byl</w:t>
            </w:r>
            <w:r w:rsidR="00DD2F40">
              <w:t>o</w:t>
            </w:r>
            <w:r>
              <w:t xml:space="preserve"> možné předejít lze zařadit i téměř padesát zemřelých chodců v noční době mimo obec, a to především na silnicích 1. a 2. třídy především v podzimním a zimním období (kdy je větší pravděpodobnost výskytu zhoršené viditelnosti). </w:t>
            </w:r>
          </w:p>
          <w:p w:rsidR="008F14A6" w:rsidRPr="008F14A6" w:rsidRDefault="008F14A6" w:rsidP="00336BAF">
            <w:pPr>
              <w:rPr>
                <w:sz w:val="10"/>
                <w:szCs w:val="10"/>
              </w:rPr>
            </w:pPr>
          </w:p>
          <w:p w:rsidR="00336BAF" w:rsidRDefault="00336BAF" w:rsidP="00336BAF">
            <w:r>
              <w:t>Užití bezpečnostních prvků (např. oblečení), které činí chodce při pobytu za zhoršené viditelnosti čitelnějším, zatím není povinné, tudíž není možné z běžných statistik zjistit, kolik chodců utrpělo následky na zdraví vlivem své nedostatečné viditelnosti.</w:t>
            </w:r>
          </w:p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 w:rsidTr="008F14A6">
        <w:trPr>
          <w:gridBefore w:val="1"/>
          <w:wBefore w:w="22" w:type="pct"/>
        </w:trPr>
        <w:tc>
          <w:tcPr>
            <w:tcW w:w="1050" w:type="pct"/>
            <w:gridSpan w:val="2"/>
          </w:tcPr>
          <w:p w:rsidR="00EE38E0" w:rsidRDefault="009E623E" w:rsidP="008F14A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Nošení přílby u řidičů mopedů a malých motocyklů – havárií bez přílby bylo v roce 2000 téměř 45 %, v roce 201</w:t>
            </w:r>
            <w:r w:rsidR="008F14A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asi 10 % </w:t>
            </w:r>
          </w:p>
        </w:tc>
        <w:tc>
          <w:tcPr>
            <w:tcW w:w="141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87" w:type="pct"/>
            <w:gridSpan w:val="4"/>
          </w:tcPr>
          <w:p w:rsidR="00EE38E0" w:rsidRDefault="00336BAF" w:rsidP="009E623E">
            <w:r>
              <w:t>Nedostatečná vlastní ochrana účastníků silničního provozu má vedle úmrtí na svědomí i vysoký počet zraněných. V roce 2011 nepoužilo výše uvedené jednoduché bezpečnostní prvky 21 % těžce zraněných a 17 % lehce zraněných osob. Využití bezpečnostních prvk</w:t>
            </w:r>
            <w:r w:rsidR="00DD2F40">
              <w:t>ů u účastníků silničního provozu</w:t>
            </w:r>
            <w:r>
              <w:t xml:space="preserve"> se nicméně v posledních letech postupně rozšiřuje, můžeme tak nepřímo soudit alespoň podle snižující se váhy nepřítomnosti ochranných prvků u drtivé většiny skupiny účastníků nehod (vyjma spolujezdců nákladních automobilů). Za poslední dekádu výrazně poklesl podíl spolujezdců v osobních automobilech nepřipoutaných bezpečnostními pásy, a to především na zadním sedadle (z 62 % v roce 2000 na 5 % v roce 2011). Hluboký pokles byl zaznamenán také u havarujících osob na mopedech a malých motocyklech, kterých v roce 2000 bylo bez přilby téměř 45 %, loni „pouze“ desetina. </w:t>
            </w:r>
          </w:p>
        </w:tc>
      </w:tr>
      <w:tr w:rsidR="00EE38E0" w:rsidTr="008F14A6">
        <w:trPr>
          <w:gridBefore w:val="1"/>
          <w:wBefore w:w="22" w:type="pct"/>
        </w:trPr>
        <w:tc>
          <w:tcPr>
            <w:tcW w:w="1050" w:type="pct"/>
            <w:gridSpan w:val="2"/>
          </w:tcPr>
          <w:p w:rsidR="00EE38E0" w:rsidRDefault="00EE3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87" w:type="pct"/>
            <w:gridSpan w:val="4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336BAF" w:rsidTr="00F92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2" w:type="pct"/>
          <w:trHeight w:val="479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6BAF" w:rsidRPr="003F3007" w:rsidRDefault="003F3007" w:rsidP="00336BAF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102</w:t>
            </w:r>
          </w:p>
        </w:tc>
        <w:tc>
          <w:tcPr>
            <w:tcW w:w="21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6BAF" w:rsidRPr="00336BAF" w:rsidRDefault="000E3FAF" w:rsidP="000E3FAF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  <w:r w:rsidRPr="00C84569">
              <w:rPr>
                <w:rFonts w:ascii="Arial" w:hAnsi="Arial" w:cs="Arial"/>
                <w:b/>
                <w:sz w:val="20"/>
                <w:szCs w:val="20"/>
              </w:rPr>
              <w:t>Vývoj podílu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(%)</w:t>
            </w:r>
            <w:r w:rsidRPr="00C84569">
              <w:rPr>
                <w:rFonts w:ascii="Arial" w:hAnsi="Arial" w:cs="Arial"/>
                <w:b/>
                <w:sz w:val="20"/>
                <w:szCs w:val="20"/>
              </w:rPr>
              <w:t xml:space="preserve"> „nechráněných“ účastníků</w:t>
            </w:r>
            <w:r w:rsidR="001F1EF2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84569">
              <w:rPr>
                <w:rFonts w:ascii="Arial" w:hAnsi="Arial" w:cs="Arial"/>
                <w:b/>
                <w:sz w:val="20"/>
                <w:szCs w:val="20"/>
              </w:rPr>
              <w:t xml:space="preserve"> nehod ze všech účastníků nehod v ČR</w:t>
            </w:r>
            <w:r w:rsidRPr="00C845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(v rámci</w:t>
            </w:r>
            <w:r w:rsidR="00F925BA">
              <w:rPr>
                <w:rFonts w:ascii="Arial" w:hAnsi="Arial" w:cs="Arial"/>
                <w:sz w:val="20"/>
                <w:szCs w:val="20"/>
              </w:rPr>
              <w:t xml:space="preserve"> příslušných kategorií následků </w:t>
            </w:r>
            <w:r>
              <w:rPr>
                <w:rFonts w:ascii="Arial" w:hAnsi="Arial" w:cs="Arial"/>
                <w:sz w:val="20"/>
                <w:szCs w:val="20"/>
              </w:rPr>
              <w:t>nehod)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336BAF" w:rsidRPr="00336BAF" w:rsidRDefault="003F3007" w:rsidP="00336BAF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10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3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:rsidR="00336BAF" w:rsidRPr="00461BE8" w:rsidRDefault="00336BAF" w:rsidP="00336BAF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spacing w:val="-2"/>
                <w:sz w:val="20"/>
                <w:szCs w:val="20"/>
              </w:rPr>
            </w:pPr>
            <w:r w:rsidRPr="00461BE8">
              <w:rPr>
                <w:rFonts w:cs="Arial"/>
                <w:spacing w:val="-2"/>
                <w:sz w:val="20"/>
                <w:szCs w:val="20"/>
              </w:rPr>
              <w:t xml:space="preserve">Vývoj podílu (%) použití bezpečnostních ochranných prvků </w:t>
            </w:r>
            <w:r w:rsidRPr="00461BE8">
              <w:rPr>
                <w:rFonts w:cs="Arial"/>
                <w:b w:val="0"/>
                <w:spacing w:val="-2"/>
                <w:sz w:val="20"/>
                <w:szCs w:val="20"/>
              </w:rPr>
              <w:t>(pásy</w:t>
            </w:r>
            <w:r w:rsidRPr="00461BE8">
              <w:rPr>
                <w:rFonts w:cs="Arial"/>
                <w:b w:val="0"/>
                <w:spacing w:val="-2"/>
                <w:sz w:val="20"/>
                <w:szCs w:val="20"/>
                <w:lang w:val="cs-CZ"/>
              </w:rPr>
              <w:t>,</w:t>
            </w:r>
            <w:r w:rsidRPr="00461BE8">
              <w:rPr>
                <w:rFonts w:cs="Arial"/>
                <w:b w:val="0"/>
                <w:spacing w:val="-2"/>
                <w:sz w:val="20"/>
                <w:szCs w:val="20"/>
              </w:rPr>
              <w:t xml:space="preserve"> přilby)</w:t>
            </w:r>
            <w:r w:rsidRPr="00461BE8">
              <w:rPr>
                <w:rFonts w:cs="Arial"/>
                <w:spacing w:val="-2"/>
                <w:sz w:val="20"/>
                <w:szCs w:val="20"/>
              </w:rPr>
              <w:t xml:space="preserve"> dle nejvýznamnějš</w:t>
            </w:r>
            <w:r w:rsidR="00461BE8" w:rsidRPr="00461BE8">
              <w:rPr>
                <w:rFonts w:cs="Arial"/>
                <w:spacing w:val="-2"/>
                <w:sz w:val="20"/>
                <w:szCs w:val="20"/>
              </w:rPr>
              <w:t>ích účastníků nehod</w:t>
            </w:r>
            <w:r w:rsidR="00461BE8" w:rsidRPr="00461BE8">
              <w:rPr>
                <w:rFonts w:cs="Arial"/>
                <w:spacing w:val="-2"/>
                <w:sz w:val="20"/>
                <w:szCs w:val="20"/>
                <w:lang w:val="cs-CZ"/>
              </w:rPr>
              <w:t xml:space="preserve"> v</w:t>
            </w:r>
            <w:r w:rsidRPr="00461BE8">
              <w:rPr>
                <w:rFonts w:cs="Arial"/>
                <w:spacing w:val="-2"/>
                <w:sz w:val="20"/>
                <w:szCs w:val="20"/>
              </w:rPr>
              <w:t> ČR</w:t>
            </w:r>
          </w:p>
        </w:tc>
      </w:tr>
    </w:tbl>
    <w:p w:rsidR="00336BAF" w:rsidRDefault="00813973" w:rsidP="00336BAF">
      <w:r w:rsidRPr="00B865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6pt;height:218.9pt">
            <v:imagedata r:id="rId8" o:title=""/>
          </v:shape>
        </w:pict>
      </w:r>
      <w:r w:rsidRPr="00813973">
        <w:pict>
          <v:shape id="_x0000_i1026" type="#_x0000_t75" style="width:239.6pt;height:219.45pt">
            <v:imagedata r:id="rId9" o:title=""/>
          </v:shape>
        </w:pict>
      </w:r>
    </w:p>
    <w:p w:rsidR="001F1EF2" w:rsidRDefault="001F1EF2" w:rsidP="001F1EF2">
      <w:pPr>
        <w:rPr>
          <w:sz w:val="18"/>
        </w:rPr>
      </w:pPr>
      <w:r>
        <w:rPr>
          <w:sz w:val="18"/>
        </w:rPr>
        <w:t xml:space="preserve">*S ohledem na dostupnost údajů v celé časové řadě jsou zahrnuti jen osoby na motocyklech a v osobních autech. Tato skupina tvořila v roce 2013 více než 78 % všech účastníků dopravních nehod v ČR. </w:t>
      </w:r>
    </w:p>
    <w:p w:rsidR="00336BAF" w:rsidRDefault="00336BAF" w:rsidP="00336BAF">
      <w:pPr>
        <w:rPr>
          <w:b/>
          <w:bCs/>
        </w:rPr>
      </w:pPr>
      <w:r>
        <w:rPr>
          <w:sz w:val="18"/>
        </w:rPr>
        <w:t>Pramen: Policejní prezidium ČR, vlastní výpočty</w:t>
      </w:r>
    </w:p>
    <w:p w:rsidR="00336BAF" w:rsidRDefault="00336BAF">
      <w:pPr>
        <w:rPr>
          <w:lang/>
        </w:rPr>
      </w:pPr>
    </w:p>
    <w:tbl>
      <w:tblPr>
        <w:tblW w:w="5022" w:type="pct"/>
        <w:tblInd w:w="-42" w:type="dxa"/>
        <w:tblCellMar>
          <w:left w:w="28" w:type="dxa"/>
          <w:right w:w="28" w:type="dxa"/>
        </w:tblCellMar>
        <w:tblLook w:val="04A0"/>
      </w:tblPr>
      <w:tblGrid>
        <w:gridCol w:w="42"/>
        <w:gridCol w:w="736"/>
        <w:gridCol w:w="1309"/>
        <w:gridCol w:w="275"/>
        <w:gridCol w:w="2672"/>
        <w:gridCol w:w="711"/>
        <w:gridCol w:w="3967"/>
        <w:gridCol w:w="25"/>
      </w:tblGrid>
      <w:tr w:rsidR="00EE38E0" w:rsidTr="008F14A6">
        <w:trPr>
          <w:gridBefore w:val="1"/>
          <w:wBefore w:w="22" w:type="pct"/>
        </w:trPr>
        <w:tc>
          <w:tcPr>
            <w:tcW w:w="1050" w:type="pct"/>
            <w:gridSpan w:val="2"/>
          </w:tcPr>
          <w:p w:rsidR="00EE38E0" w:rsidRDefault="008F14A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 obcích se účastníci silničního provozu chrání méně</w:t>
            </w:r>
          </w:p>
        </w:tc>
        <w:tc>
          <w:tcPr>
            <w:tcW w:w="141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87" w:type="pct"/>
            <w:gridSpan w:val="4"/>
          </w:tcPr>
          <w:p w:rsidR="008F14A6" w:rsidRDefault="002C75DC" w:rsidP="00336BAF">
            <w:r>
              <w:t>Méně častěji byly</w:t>
            </w:r>
            <w:r w:rsidR="00336BAF">
              <w:t xml:space="preserve"> bezpečnostními prvky chráněny osoby zúčastněné při nehodách v </w:t>
            </w:r>
            <w:proofErr w:type="spellStart"/>
            <w:r w:rsidR="00336BAF">
              <w:t>intravilánu</w:t>
            </w:r>
            <w:proofErr w:type="spellEnd"/>
            <w:r w:rsidR="00336BAF">
              <w:t xml:space="preserve"> obcí, což souvisí s odlišným charakterem části jízd (na kratší vzdálenost, po dobře známých místních komunikacích). </w:t>
            </w:r>
          </w:p>
          <w:p w:rsidR="008F14A6" w:rsidRDefault="008F14A6" w:rsidP="00336BAF"/>
          <w:p w:rsidR="00336BAF" w:rsidRDefault="00336BAF" w:rsidP="00336BAF">
            <w:r>
              <w:t xml:space="preserve">Výjimku ovšem tvoří nehody v Praze, jejichž účastníci byli vybaveni ochrannými prvky častěji než i u nehod mimo obce (především cyklisté a motocyklisté). Tato skutečnost nepochybně souvisí s vysokou intenzitou provozu v metropoli. Dosud nízké použití ochranné přilby u cyklistů odráží fakt, že vyjma dětí není tento ochranný prvek povinný a rovněž i to, že cyklisté častěji využívají málo frekventované silnice nižších tříd, případně se pohybují mimo silniční síť. </w:t>
            </w:r>
          </w:p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 w:rsidTr="008F14A6">
        <w:trPr>
          <w:gridBefore w:val="1"/>
          <w:wBefore w:w="22" w:type="pct"/>
        </w:trPr>
        <w:tc>
          <w:tcPr>
            <w:tcW w:w="1050" w:type="pct"/>
            <w:gridSpan w:val="2"/>
          </w:tcPr>
          <w:p w:rsidR="00EE38E0" w:rsidRDefault="008F14A6" w:rsidP="008F14A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Ochranné prvky souvisejí nejen s důsledky dopravních nehod, ale i s jejich příčinami</w:t>
            </w:r>
          </w:p>
        </w:tc>
        <w:tc>
          <w:tcPr>
            <w:tcW w:w="141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87" w:type="pct"/>
            <w:gridSpan w:val="4"/>
          </w:tcPr>
          <w:p w:rsidR="008F14A6" w:rsidRDefault="00336BAF" w:rsidP="008F14A6">
            <w:r>
              <w:t>Efekt použití bezpečnostních pásů, příp. ochranné přilby je patrný při porovnání závažnosti nehmotných následků nehod. Lépe chránění řidiči i spolujezdci vyváznou z dopravních kolizí mnohem častěji bez zranění, příp. se zraněními méně závažnými. Tento pozitivní efekt se nejvíce uplatňuje u řidičů silnějších motocyklů a všech spolujezdců v osobních automobilech, mimo obce také u řidičů osobních aut. Pozitivní efekt lze vysledovat u všech hlavních skupin účastníků silničního provozu, v </w:t>
            </w:r>
            <w:proofErr w:type="spellStart"/>
            <w:r>
              <w:t>intravilánu</w:t>
            </w:r>
            <w:proofErr w:type="spellEnd"/>
            <w:r>
              <w:t xml:space="preserve"> i mimo něj. </w:t>
            </w:r>
          </w:p>
          <w:p w:rsidR="008F14A6" w:rsidRDefault="008F14A6" w:rsidP="008F14A6"/>
          <w:p w:rsidR="00EE38E0" w:rsidRDefault="00336BAF" w:rsidP="008F14A6">
            <w:r>
              <w:t>Ochranné prvky ve vozidlech nesouvisí pouze s důsledky nehod, ale i s jejich příčinami. Lze předpokládat, že mezi osobami</w:t>
            </w:r>
            <w:r w:rsidR="00DD2F40">
              <w:t>, které nepoužívají</w:t>
            </w:r>
            <w:r>
              <w:t xml:space="preserve"> tyto prvky</w:t>
            </w:r>
            <w:r w:rsidR="00DD2F40">
              <w:t>,</w:t>
            </w:r>
            <w:r>
              <w:t xml:space="preserve"> se častěji vyskytují řidiči s agresivním či nezodpovědným způsobem jízdy (mladí řidiči, osoby pod vlivem návykových látek), kt</w:t>
            </w:r>
            <w:r w:rsidR="008F14A6">
              <w:t xml:space="preserve">eří jsou svým chováním častěji </w:t>
            </w:r>
            <w:r>
              <w:t>vystaveni riziku nehod, vč. těch nejzávažnějších.</w:t>
            </w:r>
          </w:p>
          <w:p w:rsidR="008F14A6" w:rsidRDefault="008F14A6" w:rsidP="008F14A6"/>
        </w:tc>
      </w:tr>
      <w:tr w:rsidR="00C84569" w:rsidTr="008F1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" w:type="pct"/>
          <w:trHeight w:val="479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569" w:rsidRPr="00336BAF" w:rsidRDefault="003F3007" w:rsidP="000421B1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10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4</w:t>
            </w:r>
          </w:p>
        </w:tc>
        <w:tc>
          <w:tcPr>
            <w:tcW w:w="21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FAF" w:rsidRPr="00336BAF" w:rsidRDefault="000E3FAF" w:rsidP="000E3FAF">
            <w:pPr>
              <w:tabs>
                <w:tab w:val="left" w:pos="1072"/>
              </w:tabs>
              <w:jc w:val="left"/>
              <w:rPr>
                <w:rFonts w:cs="Arial"/>
                <w:szCs w:val="20"/>
              </w:rPr>
            </w:pPr>
            <w:r w:rsidRPr="00336BAF">
              <w:rPr>
                <w:rFonts w:cs="Arial"/>
                <w:b/>
                <w:bCs/>
                <w:szCs w:val="20"/>
              </w:rPr>
              <w:t xml:space="preserve">Struktura (%) nejvýznamnějších účastníků nehod na silnicích ČR dle jejich následků </w:t>
            </w:r>
          </w:p>
          <w:p w:rsidR="00C84569" w:rsidRDefault="000E3FAF" w:rsidP="000E3FAF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období 2009-201</w:t>
            </w:r>
            <w:r w:rsidR="0092001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F14A6" w:rsidRPr="00336BAF" w:rsidRDefault="008F14A6" w:rsidP="000E3FAF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84569" w:rsidRPr="00336BAF" w:rsidRDefault="003F3007" w:rsidP="000421B1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10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:rsidR="00C84569" w:rsidRPr="00FF730B" w:rsidRDefault="00FF730B" w:rsidP="00FF730B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spacing w:val="-2"/>
                <w:sz w:val="20"/>
                <w:szCs w:val="20"/>
                <w:lang w:val="cs-CZ"/>
              </w:rPr>
            </w:pPr>
            <w:r>
              <w:rPr>
                <w:rFonts w:cs="Arial"/>
                <w:spacing w:val="-2"/>
                <w:sz w:val="20"/>
                <w:szCs w:val="20"/>
                <w:lang w:val="cs-CZ"/>
              </w:rPr>
              <w:t>Srovnání závažnosti nehod</w:t>
            </w:r>
            <w:r w:rsidR="000F1280">
              <w:rPr>
                <w:rFonts w:cs="Arial"/>
                <w:spacing w:val="-2"/>
                <w:sz w:val="20"/>
                <w:szCs w:val="20"/>
                <w:lang w:val="cs-CZ"/>
              </w:rPr>
              <w:t>*</w:t>
            </w:r>
            <w:r>
              <w:rPr>
                <w:rFonts w:cs="Arial"/>
                <w:spacing w:val="-2"/>
                <w:sz w:val="20"/>
                <w:szCs w:val="20"/>
                <w:lang w:val="cs-CZ"/>
              </w:rPr>
              <w:t xml:space="preserve"> „s“ a „bez“ použití ochranných bezpečnostních prvků dle kategorie jejich účastníků</w:t>
            </w:r>
            <w:r w:rsidR="00C84569" w:rsidRPr="00461BE8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2"/>
                <w:sz w:val="20"/>
                <w:szCs w:val="20"/>
                <w:lang w:val="cs-CZ"/>
              </w:rPr>
              <w:t>v ČR</w:t>
            </w:r>
          </w:p>
        </w:tc>
      </w:tr>
    </w:tbl>
    <w:p w:rsidR="00C84569" w:rsidRDefault="0092001D">
      <w:pPr>
        <w:rPr>
          <w:lang/>
        </w:rPr>
      </w:pPr>
      <w:r w:rsidRPr="00AE3DBC">
        <w:pict>
          <v:shape id="_x0000_i1027" type="#_x0000_t75" style="width:247.7pt;height:210.8pt">
            <v:imagedata r:id="rId10" o:title=""/>
          </v:shape>
        </w:pict>
      </w:r>
      <w:r w:rsidRPr="000F1280">
        <w:pict>
          <v:shape id="_x0000_i1028" type="#_x0000_t75" style="width:233.85pt;height:211.4pt">
            <v:imagedata r:id="rId11" o:title=""/>
          </v:shape>
        </w:pict>
      </w:r>
    </w:p>
    <w:p w:rsidR="008D7AE7" w:rsidRPr="000F1280" w:rsidRDefault="000F1280" w:rsidP="000F1280">
      <w:pPr>
        <w:jc w:val="left"/>
        <w:rPr>
          <w:sz w:val="18"/>
          <w:szCs w:val="18"/>
          <w:lang/>
        </w:rPr>
      </w:pPr>
      <w:r w:rsidRPr="000F1280">
        <w:rPr>
          <w:sz w:val="18"/>
          <w:szCs w:val="18"/>
          <w:lang/>
        </w:rPr>
        <w:t xml:space="preserve">*Závažnost nehod je vyjádřena % podílem usmrcených a těžce zraněných účastníků nehod na celkovém počtu osob zúčastněných při nehodách </w:t>
      </w:r>
    </w:p>
    <w:p w:rsidR="000F1280" w:rsidRDefault="000F1280" w:rsidP="000F1280">
      <w:pPr>
        <w:rPr>
          <w:b/>
          <w:bCs/>
        </w:rPr>
      </w:pPr>
      <w:r>
        <w:rPr>
          <w:sz w:val="18"/>
        </w:rPr>
        <w:t>Pramen: Policejní prezidium ČR, vlastní výpočty</w:t>
      </w:r>
    </w:p>
    <w:p w:rsidR="00306810" w:rsidRDefault="00306810"/>
    <w:p w:rsidR="008F14A6" w:rsidRDefault="008F14A6"/>
    <w:p w:rsidR="008F14A6" w:rsidRDefault="008F14A6"/>
    <w:p w:rsidR="008F14A6" w:rsidRDefault="008F14A6"/>
    <w:p w:rsidR="008F14A6" w:rsidRDefault="008F14A6"/>
    <w:p w:rsidR="008F14A6" w:rsidRDefault="008F14A6"/>
    <w:p w:rsidR="008F14A6" w:rsidRDefault="008F14A6"/>
    <w:p w:rsidR="00A969AB" w:rsidRDefault="00A969AB"/>
    <w:p w:rsidR="008F14A6" w:rsidRDefault="008F14A6"/>
    <w:p w:rsidR="008F14A6" w:rsidRDefault="008F14A6"/>
    <w:p w:rsidR="008F14A6" w:rsidRDefault="008F14A6"/>
    <w:p w:rsidR="008F14A6" w:rsidRDefault="008F14A6"/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8"/>
        <w:gridCol w:w="4399"/>
        <w:gridCol w:w="847"/>
        <w:gridCol w:w="3686"/>
      </w:tblGrid>
      <w:tr w:rsidR="00306810" w:rsidTr="003F300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306810" w:rsidRPr="00336BAF" w:rsidRDefault="003F3007" w:rsidP="000421B1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lastRenderedPageBreak/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10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6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876E08" w:rsidRDefault="00876E08" w:rsidP="00876E08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Podíl účastníků </w:t>
            </w:r>
            <w:r w:rsidRPr="00C84569">
              <w:rPr>
                <w:rFonts w:ascii="Arial" w:hAnsi="Arial" w:cs="Arial"/>
                <w:b/>
                <w:sz w:val="20"/>
                <w:szCs w:val="20"/>
              </w:rPr>
              <w:t>nehod 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krajích, kteří neměli ochranné bezpečnostní prvky </w:t>
            </w:r>
          </w:p>
          <w:p w:rsidR="00306810" w:rsidRPr="00336BAF" w:rsidRDefault="00876E08" w:rsidP="00876E08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cyklisté a motocyklisté, 2010-</w:t>
            </w:r>
            <w:r w:rsidRPr="00876E08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1, resp. 2012-13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306810" w:rsidRPr="00336BAF" w:rsidRDefault="003F3007" w:rsidP="000421B1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10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</w:tcPr>
          <w:p w:rsidR="00306810" w:rsidRDefault="00306810" w:rsidP="00306810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Podíl účastníků </w:t>
            </w:r>
            <w:r w:rsidRPr="00C84569">
              <w:rPr>
                <w:rFonts w:ascii="Arial" w:hAnsi="Arial" w:cs="Arial"/>
                <w:b/>
                <w:sz w:val="20"/>
                <w:szCs w:val="20"/>
              </w:rPr>
              <w:t>nehod v</w:t>
            </w:r>
            <w:r w:rsidR="00876E0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krajích</w:t>
            </w:r>
            <w:r w:rsidR="00876E0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kteří neměli ochranné bezpečnostní prvky </w:t>
            </w:r>
          </w:p>
          <w:p w:rsidR="00103AE8" w:rsidRPr="00876E08" w:rsidRDefault="00103AE8" w:rsidP="00306810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76E08">
              <w:rPr>
                <w:rFonts w:ascii="Arial" w:hAnsi="Arial" w:cs="Arial"/>
                <w:spacing w:val="-2"/>
                <w:sz w:val="20"/>
                <w:szCs w:val="20"/>
              </w:rPr>
              <w:t>řidiči a spolujezdci v os. aut.</w:t>
            </w:r>
            <w:r w:rsidR="00876E08" w:rsidRPr="00876E08">
              <w:rPr>
                <w:rFonts w:ascii="Arial" w:hAnsi="Arial" w:cs="Arial"/>
                <w:spacing w:val="-2"/>
                <w:sz w:val="20"/>
                <w:szCs w:val="20"/>
              </w:rPr>
              <w:t>, 2010-2013</w:t>
            </w:r>
          </w:p>
        </w:tc>
      </w:tr>
    </w:tbl>
    <w:p w:rsidR="00306810" w:rsidRDefault="00306810"/>
    <w:p w:rsidR="00EE38E0" w:rsidRDefault="005D3516">
      <w:pPr>
        <w:rPr>
          <w:lang/>
        </w:rPr>
      </w:pPr>
      <w:r w:rsidRPr="005D3516">
        <w:pict>
          <v:shape id="_x0000_i1029" type="#_x0000_t75" style="width:239.6pt;height:210.8pt">
            <v:imagedata r:id="rId12" o:title=""/>
          </v:shape>
        </w:pict>
      </w:r>
      <w:r w:rsidRPr="005D3516">
        <w:pict>
          <v:shape id="_x0000_i1030" type="#_x0000_t75" style="width:237.3pt;height:210.8pt">
            <v:imagedata r:id="rId13" o:title=""/>
          </v:shape>
        </w:pict>
      </w:r>
    </w:p>
    <w:p w:rsidR="00306810" w:rsidRDefault="00306810" w:rsidP="00306810">
      <w:pPr>
        <w:rPr>
          <w:b/>
          <w:bCs/>
        </w:rPr>
      </w:pPr>
      <w:r>
        <w:rPr>
          <w:sz w:val="18"/>
        </w:rPr>
        <w:t>Pramen: Policejní prezidium ČR, vlastní výpočty</w:t>
      </w:r>
    </w:p>
    <w:p w:rsidR="00306810" w:rsidRDefault="00306810">
      <w:pPr>
        <w:rPr>
          <w:lang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111"/>
        <w:gridCol w:w="851"/>
        <w:gridCol w:w="3969"/>
      </w:tblGrid>
      <w:tr w:rsidR="00DF4F68" w:rsidTr="00CE56C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DF4F68" w:rsidRPr="00336BAF" w:rsidRDefault="00DF4F68" w:rsidP="00380CDD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10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8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:rsidR="00DF4F68" w:rsidRDefault="00A36231" w:rsidP="00380CDD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účastníků nehod v ČR,</w:t>
            </w:r>
            <w:r w:rsidR="00DF4F68">
              <w:rPr>
                <w:rFonts w:ascii="Arial" w:hAnsi="Arial" w:cs="Arial"/>
                <w:b/>
                <w:sz w:val="20"/>
                <w:szCs w:val="20"/>
              </w:rPr>
              <w:t xml:space="preserve"> kteří neměli ochranné bezpečnostní prvky</w:t>
            </w:r>
          </w:p>
          <w:p w:rsidR="00DF4F68" w:rsidRPr="00336BAF" w:rsidRDefault="00A36231" w:rsidP="00A36231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období 2009-2013</w:t>
            </w:r>
            <w:r w:rsidR="00DF4F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DF4F68" w:rsidRPr="00336BAF" w:rsidRDefault="00DF4F68" w:rsidP="00380CDD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10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9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</w:tcPr>
          <w:p w:rsidR="00DF4F68" w:rsidRDefault="00CE56C1" w:rsidP="00CE56C1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Vývoj p</w:t>
            </w:r>
            <w:r w:rsidR="00DF4F68">
              <w:rPr>
                <w:rFonts w:ascii="Arial" w:hAnsi="Arial" w:cs="Arial"/>
                <w:b/>
                <w:sz w:val="20"/>
                <w:szCs w:val="20"/>
              </w:rPr>
              <w:t xml:space="preserve">odíl účastníků </w:t>
            </w:r>
            <w:r>
              <w:rPr>
                <w:rFonts w:ascii="Arial" w:hAnsi="Arial" w:cs="Arial"/>
                <w:b/>
                <w:sz w:val="20"/>
                <w:szCs w:val="20"/>
              </w:rPr>
              <w:t>vybraných skupin „nechráněných“ účastníků nehod</w:t>
            </w:r>
          </w:p>
          <w:p w:rsidR="00CE56C1" w:rsidRPr="00CE56C1" w:rsidRDefault="00CE56C1" w:rsidP="00CE56C1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  <w:r w:rsidRPr="00CE56C1">
              <w:rPr>
                <w:rFonts w:ascii="Arial" w:hAnsi="Arial" w:cs="Arial"/>
                <w:sz w:val="20"/>
                <w:szCs w:val="20"/>
              </w:rPr>
              <w:t>v Praze, ostatních obcích a mimo obce</w:t>
            </w:r>
          </w:p>
        </w:tc>
      </w:tr>
    </w:tbl>
    <w:p w:rsidR="00DF4F68" w:rsidRDefault="00103AE8">
      <w:pPr>
        <w:rPr>
          <w:lang/>
        </w:rPr>
      </w:pPr>
      <w:r w:rsidRPr="00A36231">
        <w:pict>
          <v:shape id="_x0000_i1031" type="#_x0000_t75" style="width:239.6pt;height:215.4pt">
            <v:imagedata r:id="rId14" o:title=""/>
          </v:shape>
        </w:pict>
      </w:r>
      <w:r w:rsidRPr="00103AE8">
        <w:pict>
          <v:shape id="_x0000_i1032" type="#_x0000_t75" style="width:241.35pt;height:215.4pt">
            <v:imagedata r:id="rId15" o:title=""/>
          </v:shape>
        </w:pict>
      </w:r>
    </w:p>
    <w:p w:rsidR="00C83D48" w:rsidRDefault="00C83D48" w:rsidP="00C83D48">
      <w:pPr>
        <w:rPr>
          <w:b/>
          <w:bCs/>
        </w:rPr>
      </w:pPr>
      <w:r>
        <w:rPr>
          <w:sz w:val="18"/>
        </w:rPr>
        <w:t>Pramen: Policejní prezidium ČR, vlastní výpočty</w:t>
      </w:r>
    </w:p>
    <w:p w:rsidR="00DF4F68" w:rsidRDefault="00DF4F68">
      <w:pPr>
        <w:rPr>
          <w:lang/>
        </w:rPr>
      </w:pPr>
    </w:p>
    <w:p w:rsidR="00EE38E0" w:rsidRDefault="00EE38E0" w:rsidP="00A969AB">
      <w:pPr>
        <w:pStyle w:val="Nadpis1"/>
        <w:numPr>
          <w:ilvl w:val="0"/>
          <w:numId w:val="0"/>
        </w:numPr>
        <w:jc w:val="left"/>
      </w:pPr>
    </w:p>
    <w:sectPr w:rsidR="00EE38E0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F2" w:rsidRDefault="003D15F2">
      <w:r>
        <w:separator/>
      </w:r>
    </w:p>
  </w:endnote>
  <w:endnote w:type="continuationSeparator" w:id="0">
    <w:p w:rsidR="003D15F2" w:rsidRDefault="003D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45.7pt;margin-top:-4.15pt;width:36.75pt;height:17.25pt;z-index:2">
          <v:imagedata r:id="rId1" o:title="3"/>
        </v:shape>
      </w:pict>
    </w:r>
    <w:r>
      <w:rPr>
        <w:rFonts w:ascii="Arial" w:hAnsi="Arial" w:cs="Arial"/>
        <w:sz w:val="16"/>
        <w:szCs w:val="16"/>
      </w:rPr>
      <w:tab/>
    </w:r>
    <w:r w:rsidR="0086691A">
      <w:rPr>
        <w:rFonts w:ascii="Arial" w:hAnsi="Arial" w:cs="Arial"/>
        <w:sz w:val="16"/>
        <w:szCs w:val="16"/>
      </w:rPr>
      <w:t>říjen 2014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3pt;margin-top:7.1pt;width:39pt;height:21pt;z-index:1">
          <v:imagedata r:id="rId1" o:title="3"/>
        </v:shape>
      </w:pict>
    </w:r>
    <w:r>
      <w:tab/>
    </w:r>
    <w:r>
      <w:tab/>
    </w:r>
  </w:p>
  <w:p w:rsidR="00685B94" w:rsidRDefault="0086691A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říjen</w:t>
    </w:r>
    <w:r w:rsidR="00685B94">
      <w:rPr>
        <w:rFonts w:ascii="Arial" w:hAnsi="Arial" w:cs="Arial"/>
        <w:sz w:val="16"/>
        <w:szCs w:val="16"/>
      </w:rPr>
      <w:t xml:space="preserve"> 2014</w:t>
    </w:r>
    <w:r w:rsidR="00685B9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F2" w:rsidRDefault="003D15F2">
      <w:r>
        <w:separator/>
      </w:r>
    </w:p>
  </w:footnote>
  <w:footnote w:type="continuationSeparator" w:id="0">
    <w:p w:rsidR="003D15F2" w:rsidRDefault="003D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>
      <w:tc>
        <w:tcPr>
          <w:tcW w:w="6518" w:type="dxa"/>
        </w:tcPr>
        <w:p w:rsidR="00685B94" w:rsidRDefault="00685B94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 w:rsidRPr="0086691A">
      <w:tc>
        <w:tcPr>
          <w:tcW w:w="6518" w:type="dxa"/>
        </w:tcPr>
        <w:p w:rsidR="00685B94" w:rsidRDefault="00685B94" w:rsidP="00B75BBF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  <w:highlight w:val="yellow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376451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185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4F43100"/>
    <w:multiLevelType w:val="hybridMultilevel"/>
    <w:tmpl w:val="A346433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123"/>
    <w:multiLevelType w:val="hybridMultilevel"/>
    <w:tmpl w:val="F96EB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E4B7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F00B0"/>
    <w:multiLevelType w:val="hybridMultilevel"/>
    <w:tmpl w:val="0290A0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1254A"/>
    <w:multiLevelType w:val="hybridMultilevel"/>
    <w:tmpl w:val="196EF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4816"/>
    <w:multiLevelType w:val="multilevel"/>
    <w:tmpl w:val="0B66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EB0369"/>
    <w:multiLevelType w:val="hybridMultilevel"/>
    <w:tmpl w:val="E92012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F602B"/>
    <w:multiLevelType w:val="hybridMultilevel"/>
    <w:tmpl w:val="C4D0FC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9423F"/>
    <w:multiLevelType w:val="hybridMultilevel"/>
    <w:tmpl w:val="80D04F0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F2685"/>
    <w:multiLevelType w:val="hybridMultilevel"/>
    <w:tmpl w:val="0290A026"/>
    <w:lvl w:ilvl="0" w:tplc="E3860FD4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971D1"/>
    <w:multiLevelType w:val="hybridMultilevel"/>
    <w:tmpl w:val="249CECE8"/>
    <w:lvl w:ilvl="0" w:tplc="DAE409AA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67461"/>
    <w:multiLevelType w:val="hybridMultilevel"/>
    <w:tmpl w:val="61845866"/>
    <w:lvl w:ilvl="0" w:tplc="69566B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E612E"/>
    <w:multiLevelType w:val="hybridMultilevel"/>
    <w:tmpl w:val="98160A84"/>
    <w:lvl w:ilvl="0" w:tplc="F642FA9A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AC7CE2"/>
    <w:multiLevelType w:val="hybridMultilevel"/>
    <w:tmpl w:val="5DE0B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34C17"/>
    <w:multiLevelType w:val="hybridMultilevel"/>
    <w:tmpl w:val="F490C5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F6C65"/>
    <w:multiLevelType w:val="multilevel"/>
    <w:tmpl w:val="4158475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BEF31DE"/>
    <w:multiLevelType w:val="hybridMultilevel"/>
    <w:tmpl w:val="280C96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A591A"/>
    <w:multiLevelType w:val="hybridMultilevel"/>
    <w:tmpl w:val="605AD6D0"/>
    <w:lvl w:ilvl="0" w:tplc="1974D2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06567"/>
    <w:multiLevelType w:val="hybridMultilevel"/>
    <w:tmpl w:val="213C4E38"/>
    <w:lvl w:ilvl="0" w:tplc="9D96E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636F2"/>
    <w:multiLevelType w:val="hybridMultilevel"/>
    <w:tmpl w:val="DFBCC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50A0F"/>
    <w:multiLevelType w:val="hybridMultilevel"/>
    <w:tmpl w:val="5A76F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0"/>
  </w:num>
  <w:num w:numId="5">
    <w:abstractNumId w:val="19"/>
  </w:num>
  <w:num w:numId="6">
    <w:abstractNumId w:val="24"/>
  </w:num>
  <w:num w:numId="7">
    <w:abstractNumId w:val="12"/>
  </w:num>
  <w:num w:numId="8">
    <w:abstractNumId w:val="16"/>
  </w:num>
  <w:num w:numId="9">
    <w:abstractNumId w:val="4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23"/>
  </w:num>
  <w:num w:numId="18">
    <w:abstractNumId w:val="2"/>
  </w:num>
  <w:num w:numId="19">
    <w:abstractNumId w:val="3"/>
  </w:num>
  <w:num w:numId="20">
    <w:abstractNumId w:val="0"/>
  </w:num>
  <w:num w:numId="21">
    <w:abstractNumId w:val="0"/>
  </w:num>
  <w:num w:numId="22">
    <w:abstractNumId w:val="0"/>
  </w:num>
  <w:num w:numId="23">
    <w:abstractNumId w:val="19"/>
  </w:num>
  <w:num w:numId="24">
    <w:abstractNumId w:val="0"/>
  </w:num>
  <w:num w:numId="25">
    <w:abstractNumId w:val="0"/>
  </w:num>
  <w:num w:numId="26">
    <w:abstractNumId w:val="0"/>
  </w:num>
  <w:num w:numId="27">
    <w:abstractNumId w:val="21"/>
  </w:num>
  <w:num w:numId="28">
    <w:abstractNumId w:val="15"/>
  </w:num>
  <w:num w:numId="29">
    <w:abstractNumId w:val="22"/>
  </w:num>
  <w:num w:numId="30">
    <w:abstractNumId w:val="8"/>
  </w:num>
  <w:num w:numId="31">
    <w:abstractNumId w:val="20"/>
  </w:num>
  <w:num w:numId="32">
    <w:abstractNumId w:val="6"/>
  </w:num>
  <w:num w:numId="33">
    <w:abstractNumId w:val="18"/>
  </w:num>
  <w:num w:numId="34">
    <w:abstractNumId w:val="1"/>
  </w:num>
  <w:num w:numId="35">
    <w:abstractNumId w:val="0"/>
  </w:num>
  <w:num w:numId="36">
    <w:abstractNumId w:val="0"/>
  </w:num>
  <w:num w:numId="37">
    <w:abstractNumId w:val="10"/>
  </w:num>
  <w:num w:numId="38">
    <w:abstractNumId w:val="17"/>
  </w:num>
  <w:num w:numId="39">
    <w:abstractNumId w:val="5"/>
  </w:num>
  <w:num w:numId="40">
    <w:abstractNumId w:val="9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9AB"/>
    <w:rsid w:val="00001DD7"/>
    <w:rsid w:val="0000373F"/>
    <w:rsid w:val="00005800"/>
    <w:rsid w:val="0001070A"/>
    <w:rsid w:val="000124A7"/>
    <w:rsid w:val="00014521"/>
    <w:rsid w:val="0001612E"/>
    <w:rsid w:val="000162DA"/>
    <w:rsid w:val="00016E79"/>
    <w:rsid w:val="00020310"/>
    <w:rsid w:val="00020843"/>
    <w:rsid w:val="000217A8"/>
    <w:rsid w:val="00022498"/>
    <w:rsid w:val="0002336E"/>
    <w:rsid w:val="00030A7A"/>
    <w:rsid w:val="00032F16"/>
    <w:rsid w:val="00040F48"/>
    <w:rsid w:val="000421B1"/>
    <w:rsid w:val="00043998"/>
    <w:rsid w:val="00045D51"/>
    <w:rsid w:val="00051290"/>
    <w:rsid w:val="00053458"/>
    <w:rsid w:val="00054809"/>
    <w:rsid w:val="00054B25"/>
    <w:rsid w:val="00054D5B"/>
    <w:rsid w:val="0005570C"/>
    <w:rsid w:val="00055719"/>
    <w:rsid w:val="00056F9B"/>
    <w:rsid w:val="00057357"/>
    <w:rsid w:val="00060D72"/>
    <w:rsid w:val="000616DD"/>
    <w:rsid w:val="000630F4"/>
    <w:rsid w:val="00063196"/>
    <w:rsid w:val="000705C4"/>
    <w:rsid w:val="00071465"/>
    <w:rsid w:val="00074EB7"/>
    <w:rsid w:val="00074ED6"/>
    <w:rsid w:val="00080BC0"/>
    <w:rsid w:val="00081687"/>
    <w:rsid w:val="00083E44"/>
    <w:rsid w:val="000862A6"/>
    <w:rsid w:val="00087E95"/>
    <w:rsid w:val="000905B3"/>
    <w:rsid w:val="00090E50"/>
    <w:rsid w:val="00092F94"/>
    <w:rsid w:val="00094786"/>
    <w:rsid w:val="0009665E"/>
    <w:rsid w:val="00097BAA"/>
    <w:rsid w:val="000A03AF"/>
    <w:rsid w:val="000A2679"/>
    <w:rsid w:val="000B0A1A"/>
    <w:rsid w:val="000B1272"/>
    <w:rsid w:val="000B1A54"/>
    <w:rsid w:val="000B4A49"/>
    <w:rsid w:val="000B6A1C"/>
    <w:rsid w:val="000B7F7B"/>
    <w:rsid w:val="000C126C"/>
    <w:rsid w:val="000C44D3"/>
    <w:rsid w:val="000C46AC"/>
    <w:rsid w:val="000C7133"/>
    <w:rsid w:val="000D222D"/>
    <w:rsid w:val="000D2717"/>
    <w:rsid w:val="000D3038"/>
    <w:rsid w:val="000D3A1D"/>
    <w:rsid w:val="000D56D3"/>
    <w:rsid w:val="000E0F6F"/>
    <w:rsid w:val="000E21C6"/>
    <w:rsid w:val="000E3FAF"/>
    <w:rsid w:val="000E4BA2"/>
    <w:rsid w:val="000E54EF"/>
    <w:rsid w:val="000F1280"/>
    <w:rsid w:val="000F1499"/>
    <w:rsid w:val="001000EA"/>
    <w:rsid w:val="00100E80"/>
    <w:rsid w:val="00101017"/>
    <w:rsid w:val="00103AE8"/>
    <w:rsid w:val="00106185"/>
    <w:rsid w:val="00107C20"/>
    <w:rsid w:val="0011597C"/>
    <w:rsid w:val="00116DE8"/>
    <w:rsid w:val="00120887"/>
    <w:rsid w:val="00131152"/>
    <w:rsid w:val="00131AE5"/>
    <w:rsid w:val="001324DB"/>
    <w:rsid w:val="001328B8"/>
    <w:rsid w:val="00136973"/>
    <w:rsid w:val="00140349"/>
    <w:rsid w:val="001406A6"/>
    <w:rsid w:val="00141D9C"/>
    <w:rsid w:val="001429DB"/>
    <w:rsid w:val="00142D85"/>
    <w:rsid w:val="001463C5"/>
    <w:rsid w:val="0015495A"/>
    <w:rsid w:val="001549E6"/>
    <w:rsid w:val="00160668"/>
    <w:rsid w:val="001642DB"/>
    <w:rsid w:val="001649F5"/>
    <w:rsid w:val="00164B15"/>
    <w:rsid w:val="00170306"/>
    <w:rsid w:val="00175609"/>
    <w:rsid w:val="001764CB"/>
    <w:rsid w:val="001768D4"/>
    <w:rsid w:val="001779B6"/>
    <w:rsid w:val="00181BF3"/>
    <w:rsid w:val="001843E0"/>
    <w:rsid w:val="00184967"/>
    <w:rsid w:val="00184B9C"/>
    <w:rsid w:val="00185232"/>
    <w:rsid w:val="00194858"/>
    <w:rsid w:val="001972EE"/>
    <w:rsid w:val="001A0112"/>
    <w:rsid w:val="001A0382"/>
    <w:rsid w:val="001A6A25"/>
    <w:rsid w:val="001B11BB"/>
    <w:rsid w:val="001B30E3"/>
    <w:rsid w:val="001B38C6"/>
    <w:rsid w:val="001B497C"/>
    <w:rsid w:val="001B5961"/>
    <w:rsid w:val="001B7668"/>
    <w:rsid w:val="001B7D59"/>
    <w:rsid w:val="001C6A8E"/>
    <w:rsid w:val="001D0EA9"/>
    <w:rsid w:val="001D433E"/>
    <w:rsid w:val="001D4BFC"/>
    <w:rsid w:val="001D5E35"/>
    <w:rsid w:val="001D7367"/>
    <w:rsid w:val="001E4717"/>
    <w:rsid w:val="001E5CAB"/>
    <w:rsid w:val="001F1E91"/>
    <w:rsid w:val="001F1EF2"/>
    <w:rsid w:val="001F1F74"/>
    <w:rsid w:val="001F4705"/>
    <w:rsid w:val="00203FF4"/>
    <w:rsid w:val="00205BAC"/>
    <w:rsid w:val="00205DEC"/>
    <w:rsid w:val="002062BD"/>
    <w:rsid w:val="00213FE7"/>
    <w:rsid w:val="00214A41"/>
    <w:rsid w:val="00217B11"/>
    <w:rsid w:val="00220C0E"/>
    <w:rsid w:val="00222C70"/>
    <w:rsid w:val="00224F57"/>
    <w:rsid w:val="00225892"/>
    <w:rsid w:val="00226758"/>
    <w:rsid w:val="0023076D"/>
    <w:rsid w:val="002329D5"/>
    <w:rsid w:val="00233029"/>
    <w:rsid w:val="002335A9"/>
    <w:rsid w:val="0023708F"/>
    <w:rsid w:val="0024140C"/>
    <w:rsid w:val="0024249F"/>
    <w:rsid w:val="00244340"/>
    <w:rsid w:val="00245159"/>
    <w:rsid w:val="00257C4F"/>
    <w:rsid w:val="00265D38"/>
    <w:rsid w:val="002706D0"/>
    <w:rsid w:val="002802C9"/>
    <w:rsid w:val="00281A9A"/>
    <w:rsid w:val="00284B2E"/>
    <w:rsid w:val="00286F00"/>
    <w:rsid w:val="00287D8E"/>
    <w:rsid w:val="002915E0"/>
    <w:rsid w:val="0029731D"/>
    <w:rsid w:val="002A7920"/>
    <w:rsid w:val="002B13EC"/>
    <w:rsid w:val="002B1C65"/>
    <w:rsid w:val="002B4B5F"/>
    <w:rsid w:val="002C4EA8"/>
    <w:rsid w:val="002C6ED9"/>
    <w:rsid w:val="002C72CA"/>
    <w:rsid w:val="002C75DC"/>
    <w:rsid w:val="002C7F6E"/>
    <w:rsid w:val="002D1957"/>
    <w:rsid w:val="002D1D14"/>
    <w:rsid w:val="002D1D44"/>
    <w:rsid w:val="002D32BC"/>
    <w:rsid w:val="002D5139"/>
    <w:rsid w:val="002D786E"/>
    <w:rsid w:val="002E0962"/>
    <w:rsid w:val="002E2960"/>
    <w:rsid w:val="002E2B63"/>
    <w:rsid w:val="002E5831"/>
    <w:rsid w:val="002E5F5C"/>
    <w:rsid w:val="002F2741"/>
    <w:rsid w:val="002F60B4"/>
    <w:rsid w:val="002F6845"/>
    <w:rsid w:val="002F70E5"/>
    <w:rsid w:val="0030074E"/>
    <w:rsid w:val="00300C48"/>
    <w:rsid w:val="003024D4"/>
    <w:rsid w:val="003026CD"/>
    <w:rsid w:val="00304881"/>
    <w:rsid w:val="00306810"/>
    <w:rsid w:val="00311401"/>
    <w:rsid w:val="00311BF5"/>
    <w:rsid w:val="00316C37"/>
    <w:rsid w:val="003175FF"/>
    <w:rsid w:val="00322507"/>
    <w:rsid w:val="003266F3"/>
    <w:rsid w:val="00326794"/>
    <w:rsid w:val="003270C2"/>
    <w:rsid w:val="003279AA"/>
    <w:rsid w:val="003304FF"/>
    <w:rsid w:val="00331834"/>
    <w:rsid w:val="003321B5"/>
    <w:rsid w:val="00334A30"/>
    <w:rsid w:val="00334F6C"/>
    <w:rsid w:val="00336BAF"/>
    <w:rsid w:val="00337330"/>
    <w:rsid w:val="00342A90"/>
    <w:rsid w:val="00343A08"/>
    <w:rsid w:val="00346F3E"/>
    <w:rsid w:val="00350C31"/>
    <w:rsid w:val="00352B50"/>
    <w:rsid w:val="00353088"/>
    <w:rsid w:val="003557B5"/>
    <w:rsid w:val="00355DEB"/>
    <w:rsid w:val="003611E9"/>
    <w:rsid w:val="00364A29"/>
    <w:rsid w:val="00365894"/>
    <w:rsid w:val="00366A7A"/>
    <w:rsid w:val="0036731C"/>
    <w:rsid w:val="00370CCC"/>
    <w:rsid w:val="003710FC"/>
    <w:rsid w:val="00371BEE"/>
    <w:rsid w:val="003722A4"/>
    <w:rsid w:val="00372502"/>
    <w:rsid w:val="00375009"/>
    <w:rsid w:val="00376262"/>
    <w:rsid w:val="00380CDD"/>
    <w:rsid w:val="0038416B"/>
    <w:rsid w:val="003876A7"/>
    <w:rsid w:val="00387B5E"/>
    <w:rsid w:val="003921B0"/>
    <w:rsid w:val="0039431A"/>
    <w:rsid w:val="00394840"/>
    <w:rsid w:val="00395C0E"/>
    <w:rsid w:val="0039614C"/>
    <w:rsid w:val="003A1872"/>
    <w:rsid w:val="003A1E81"/>
    <w:rsid w:val="003A21A8"/>
    <w:rsid w:val="003A328F"/>
    <w:rsid w:val="003B2F98"/>
    <w:rsid w:val="003B3FD1"/>
    <w:rsid w:val="003B5C56"/>
    <w:rsid w:val="003C2C27"/>
    <w:rsid w:val="003C2E72"/>
    <w:rsid w:val="003C331A"/>
    <w:rsid w:val="003C5C58"/>
    <w:rsid w:val="003C648B"/>
    <w:rsid w:val="003C719F"/>
    <w:rsid w:val="003C7C62"/>
    <w:rsid w:val="003D0B76"/>
    <w:rsid w:val="003D15F2"/>
    <w:rsid w:val="003D5184"/>
    <w:rsid w:val="003D6B07"/>
    <w:rsid w:val="003E13D1"/>
    <w:rsid w:val="003E17E1"/>
    <w:rsid w:val="003E20FD"/>
    <w:rsid w:val="003E3C3B"/>
    <w:rsid w:val="003E5662"/>
    <w:rsid w:val="003E78AD"/>
    <w:rsid w:val="003F0DC6"/>
    <w:rsid w:val="003F160E"/>
    <w:rsid w:val="003F3007"/>
    <w:rsid w:val="00400252"/>
    <w:rsid w:val="00401547"/>
    <w:rsid w:val="00402542"/>
    <w:rsid w:val="004026AE"/>
    <w:rsid w:val="0040316B"/>
    <w:rsid w:val="00404D35"/>
    <w:rsid w:val="00411890"/>
    <w:rsid w:val="004130CC"/>
    <w:rsid w:val="00415163"/>
    <w:rsid w:val="00417003"/>
    <w:rsid w:val="00417553"/>
    <w:rsid w:val="004178F2"/>
    <w:rsid w:val="00421BB3"/>
    <w:rsid w:val="0042352F"/>
    <w:rsid w:val="00437986"/>
    <w:rsid w:val="004419BC"/>
    <w:rsid w:val="00447192"/>
    <w:rsid w:val="00450385"/>
    <w:rsid w:val="004519F0"/>
    <w:rsid w:val="00452EF4"/>
    <w:rsid w:val="00460619"/>
    <w:rsid w:val="0046132E"/>
    <w:rsid w:val="00461BE8"/>
    <w:rsid w:val="00465185"/>
    <w:rsid w:val="00467F46"/>
    <w:rsid w:val="00470380"/>
    <w:rsid w:val="004711BA"/>
    <w:rsid w:val="00471A7C"/>
    <w:rsid w:val="004724A0"/>
    <w:rsid w:val="00476322"/>
    <w:rsid w:val="004779D0"/>
    <w:rsid w:val="00481DC9"/>
    <w:rsid w:val="00483783"/>
    <w:rsid w:val="00486E71"/>
    <w:rsid w:val="00493E93"/>
    <w:rsid w:val="004947B9"/>
    <w:rsid w:val="004A3F65"/>
    <w:rsid w:val="004A40F8"/>
    <w:rsid w:val="004A5847"/>
    <w:rsid w:val="004A6CCA"/>
    <w:rsid w:val="004B16F6"/>
    <w:rsid w:val="004B3EFB"/>
    <w:rsid w:val="004B42B5"/>
    <w:rsid w:val="004B435A"/>
    <w:rsid w:val="004B7927"/>
    <w:rsid w:val="004C259A"/>
    <w:rsid w:val="004C313C"/>
    <w:rsid w:val="004C4BCC"/>
    <w:rsid w:val="004C526C"/>
    <w:rsid w:val="004C5C1F"/>
    <w:rsid w:val="004D03E4"/>
    <w:rsid w:val="004D39F8"/>
    <w:rsid w:val="004D560B"/>
    <w:rsid w:val="004E0E01"/>
    <w:rsid w:val="004E3CF7"/>
    <w:rsid w:val="004E64B1"/>
    <w:rsid w:val="004F08FD"/>
    <w:rsid w:val="004F1BFA"/>
    <w:rsid w:val="004F24C3"/>
    <w:rsid w:val="004F5E15"/>
    <w:rsid w:val="004F6603"/>
    <w:rsid w:val="0050158F"/>
    <w:rsid w:val="00503CD7"/>
    <w:rsid w:val="00503DE4"/>
    <w:rsid w:val="0050498C"/>
    <w:rsid w:val="00504F27"/>
    <w:rsid w:val="00506508"/>
    <w:rsid w:val="0051155F"/>
    <w:rsid w:val="00512422"/>
    <w:rsid w:val="005154B4"/>
    <w:rsid w:val="00516BF8"/>
    <w:rsid w:val="00517914"/>
    <w:rsid w:val="005208C1"/>
    <w:rsid w:val="0052140D"/>
    <w:rsid w:val="00522F6B"/>
    <w:rsid w:val="00524A3E"/>
    <w:rsid w:val="00535E17"/>
    <w:rsid w:val="005368B9"/>
    <w:rsid w:val="005405FF"/>
    <w:rsid w:val="0054160F"/>
    <w:rsid w:val="0054384C"/>
    <w:rsid w:val="00543C96"/>
    <w:rsid w:val="00544FF0"/>
    <w:rsid w:val="00545DD6"/>
    <w:rsid w:val="005461F2"/>
    <w:rsid w:val="00547418"/>
    <w:rsid w:val="00547B96"/>
    <w:rsid w:val="00550C2F"/>
    <w:rsid w:val="00550F22"/>
    <w:rsid w:val="00552459"/>
    <w:rsid w:val="00552C98"/>
    <w:rsid w:val="00555455"/>
    <w:rsid w:val="005573FD"/>
    <w:rsid w:val="00557ACF"/>
    <w:rsid w:val="00562C45"/>
    <w:rsid w:val="00562FE3"/>
    <w:rsid w:val="0056786E"/>
    <w:rsid w:val="00570106"/>
    <w:rsid w:val="00575C06"/>
    <w:rsid w:val="00580054"/>
    <w:rsid w:val="005811EC"/>
    <w:rsid w:val="005828A6"/>
    <w:rsid w:val="00585E3A"/>
    <w:rsid w:val="00587618"/>
    <w:rsid w:val="00591383"/>
    <w:rsid w:val="00591B2B"/>
    <w:rsid w:val="00594F0B"/>
    <w:rsid w:val="005952D0"/>
    <w:rsid w:val="005973F6"/>
    <w:rsid w:val="005A1F89"/>
    <w:rsid w:val="005A2384"/>
    <w:rsid w:val="005A2824"/>
    <w:rsid w:val="005A3E80"/>
    <w:rsid w:val="005A738A"/>
    <w:rsid w:val="005B2ADF"/>
    <w:rsid w:val="005B3B6C"/>
    <w:rsid w:val="005B5E1F"/>
    <w:rsid w:val="005C1B29"/>
    <w:rsid w:val="005C2E7E"/>
    <w:rsid w:val="005C4AB5"/>
    <w:rsid w:val="005C521B"/>
    <w:rsid w:val="005D019B"/>
    <w:rsid w:val="005D3516"/>
    <w:rsid w:val="005D5D20"/>
    <w:rsid w:val="005E0B29"/>
    <w:rsid w:val="005E1C26"/>
    <w:rsid w:val="005E1E8A"/>
    <w:rsid w:val="005E21C7"/>
    <w:rsid w:val="005E6E54"/>
    <w:rsid w:val="005F18E4"/>
    <w:rsid w:val="005F5282"/>
    <w:rsid w:val="00602D54"/>
    <w:rsid w:val="00604EA3"/>
    <w:rsid w:val="00605801"/>
    <w:rsid w:val="006059AB"/>
    <w:rsid w:val="0060740F"/>
    <w:rsid w:val="0061176D"/>
    <w:rsid w:val="00614128"/>
    <w:rsid w:val="0061755D"/>
    <w:rsid w:val="00620024"/>
    <w:rsid w:val="00625FDD"/>
    <w:rsid w:val="006266FB"/>
    <w:rsid w:val="006267A5"/>
    <w:rsid w:val="0063254B"/>
    <w:rsid w:val="006416FA"/>
    <w:rsid w:val="00645582"/>
    <w:rsid w:val="0064571A"/>
    <w:rsid w:val="006457C5"/>
    <w:rsid w:val="00647E04"/>
    <w:rsid w:val="006512E9"/>
    <w:rsid w:val="006532F4"/>
    <w:rsid w:val="0065586C"/>
    <w:rsid w:val="006649E5"/>
    <w:rsid w:val="00666A4A"/>
    <w:rsid w:val="006700A2"/>
    <w:rsid w:val="006704BC"/>
    <w:rsid w:val="006722A1"/>
    <w:rsid w:val="00683B9E"/>
    <w:rsid w:val="00683CD2"/>
    <w:rsid w:val="00685B94"/>
    <w:rsid w:val="006873F2"/>
    <w:rsid w:val="00690C2A"/>
    <w:rsid w:val="00691B43"/>
    <w:rsid w:val="00692045"/>
    <w:rsid w:val="006921FF"/>
    <w:rsid w:val="0069221A"/>
    <w:rsid w:val="006933AC"/>
    <w:rsid w:val="00697393"/>
    <w:rsid w:val="0069784E"/>
    <w:rsid w:val="006A4820"/>
    <w:rsid w:val="006B24FC"/>
    <w:rsid w:val="006C1611"/>
    <w:rsid w:val="006C66FB"/>
    <w:rsid w:val="006D38BE"/>
    <w:rsid w:val="006D3EAA"/>
    <w:rsid w:val="006D419F"/>
    <w:rsid w:val="006D52BA"/>
    <w:rsid w:val="006E0372"/>
    <w:rsid w:val="006E0539"/>
    <w:rsid w:val="006E22F0"/>
    <w:rsid w:val="006F0A06"/>
    <w:rsid w:val="006F0FAD"/>
    <w:rsid w:val="006F1330"/>
    <w:rsid w:val="006F13C6"/>
    <w:rsid w:val="006F1942"/>
    <w:rsid w:val="006F366C"/>
    <w:rsid w:val="006F52AC"/>
    <w:rsid w:val="006F5C2E"/>
    <w:rsid w:val="006F762F"/>
    <w:rsid w:val="006F7EF0"/>
    <w:rsid w:val="0070242E"/>
    <w:rsid w:val="00704198"/>
    <w:rsid w:val="007053F7"/>
    <w:rsid w:val="00706359"/>
    <w:rsid w:val="0071217B"/>
    <w:rsid w:val="00714AEB"/>
    <w:rsid w:val="00715D94"/>
    <w:rsid w:val="00717295"/>
    <w:rsid w:val="00720C53"/>
    <w:rsid w:val="00721EBD"/>
    <w:rsid w:val="0072216C"/>
    <w:rsid w:val="00722EFB"/>
    <w:rsid w:val="007252DF"/>
    <w:rsid w:val="0072626E"/>
    <w:rsid w:val="00736072"/>
    <w:rsid w:val="00736D3F"/>
    <w:rsid w:val="00743F52"/>
    <w:rsid w:val="00744AAD"/>
    <w:rsid w:val="00745816"/>
    <w:rsid w:val="00746384"/>
    <w:rsid w:val="00750525"/>
    <w:rsid w:val="00762235"/>
    <w:rsid w:val="007649BD"/>
    <w:rsid w:val="00765B01"/>
    <w:rsid w:val="00765BCF"/>
    <w:rsid w:val="00771297"/>
    <w:rsid w:val="00771514"/>
    <w:rsid w:val="00773740"/>
    <w:rsid w:val="00773D36"/>
    <w:rsid w:val="00775A37"/>
    <w:rsid w:val="00775EB8"/>
    <w:rsid w:val="00776983"/>
    <w:rsid w:val="00780C60"/>
    <w:rsid w:val="00782697"/>
    <w:rsid w:val="00791527"/>
    <w:rsid w:val="00792DA6"/>
    <w:rsid w:val="00796D59"/>
    <w:rsid w:val="00796F09"/>
    <w:rsid w:val="007A0371"/>
    <w:rsid w:val="007A1117"/>
    <w:rsid w:val="007A11E2"/>
    <w:rsid w:val="007A72D7"/>
    <w:rsid w:val="007B304C"/>
    <w:rsid w:val="007B394C"/>
    <w:rsid w:val="007C11BE"/>
    <w:rsid w:val="007C43C0"/>
    <w:rsid w:val="007C529E"/>
    <w:rsid w:val="007D1C2C"/>
    <w:rsid w:val="007D49C2"/>
    <w:rsid w:val="007D53D8"/>
    <w:rsid w:val="007D73DF"/>
    <w:rsid w:val="007E4BCB"/>
    <w:rsid w:val="007E51AC"/>
    <w:rsid w:val="007E5C2D"/>
    <w:rsid w:val="007E6854"/>
    <w:rsid w:val="007E6BDA"/>
    <w:rsid w:val="007E7B58"/>
    <w:rsid w:val="007F2B54"/>
    <w:rsid w:val="007F2F60"/>
    <w:rsid w:val="007F6AEB"/>
    <w:rsid w:val="00813973"/>
    <w:rsid w:val="008146D3"/>
    <w:rsid w:val="00816636"/>
    <w:rsid w:val="00816A7D"/>
    <w:rsid w:val="00817BAF"/>
    <w:rsid w:val="00820D0F"/>
    <w:rsid w:val="008238A2"/>
    <w:rsid w:val="00825290"/>
    <w:rsid w:val="00827E30"/>
    <w:rsid w:val="00827E5E"/>
    <w:rsid w:val="008373CC"/>
    <w:rsid w:val="00837660"/>
    <w:rsid w:val="00837BDE"/>
    <w:rsid w:val="00837F6F"/>
    <w:rsid w:val="008421EE"/>
    <w:rsid w:val="00843397"/>
    <w:rsid w:val="008449EC"/>
    <w:rsid w:val="00845380"/>
    <w:rsid w:val="00854197"/>
    <w:rsid w:val="00855AB2"/>
    <w:rsid w:val="0085794E"/>
    <w:rsid w:val="0086085B"/>
    <w:rsid w:val="00861142"/>
    <w:rsid w:val="00861E37"/>
    <w:rsid w:val="00862AFC"/>
    <w:rsid w:val="008636B6"/>
    <w:rsid w:val="0086453F"/>
    <w:rsid w:val="0086691A"/>
    <w:rsid w:val="008701C7"/>
    <w:rsid w:val="0087031C"/>
    <w:rsid w:val="00870DB2"/>
    <w:rsid w:val="00871E2D"/>
    <w:rsid w:val="00876E08"/>
    <w:rsid w:val="00877613"/>
    <w:rsid w:val="00881E38"/>
    <w:rsid w:val="00884794"/>
    <w:rsid w:val="00884908"/>
    <w:rsid w:val="008855AD"/>
    <w:rsid w:val="00885F79"/>
    <w:rsid w:val="008912E5"/>
    <w:rsid w:val="00892ACB"/>
    <w:rsid w:val="00892BEE"/>
    <w:rsid w:val="00895F97"/>
    <w:rsid w:val="008A1905"/>
    <w:rsid w:val="008A536F"/>
    <w:rsid w:val="008A74E1"/>
    <w:rsid w:val="008B0B07"/>
    <w:rsid w:val="008B1F5C"/>
    <w:rsid w:val="008B55C7"/>
    <w:rsid w:val="008C031C"/>
    <w:rsid w:val="008C2BFE"/>
    <w:rsid w:val="008D12E0"/>
    <w:rsid w:val="008D53BC"/>
    <w:rsid w:val="008D7AE7"/>
    <w:rsid w:val="008D7CAB"/>
    <w:rsid w:val="008E12B1"/>
    <w:rsid w:val="008E43BC"/>
    <w:rsid w:val="008E4E91"/>
    <w:rsid w:val="008E64F8"/>
    <w:rsid w:val="008F14A6"/>
    <w:rsid w:val="0090254C"/>
    <w:rsid w:val="00902DB1"/>
    <w:rsid w:val="009079AE"/>
    <w:rsid w:val="00916222"/>
    <w:rsid w:val="00916CBB"/>
    <w:rsid w:val="00916ECB"/>
    <w:rsid w:val="0092001D"/>
    <w:rsid w:val="00921B55"/>
    <w:rsid w:val="009239E0"/>
    <w:rsid w:val="00924182"/>
    <w:rsid w:val="009245E2"/>
    <w:rsid w:val="009264B0"/>
    <w:rsid w:val="0092726A"/>
    <w:rsid w:val="00927836"/>
    <w:rsid w:val="009304B6"/>
    <w:rsid w:val="009324A3"/>
    <w:rsid w:val="009331C6"/>
    <w:rsid w:val="00933576"/>
    <w:rsid w:val="00934ED7"/>
    <w:rsid w:val="00940137"/>
    <w:rsid w:val="009409A3"/>
    <w:rsid w:val="009427BC"/>
    <w:rsid w:val="0094690C"/>
    <w:rsid w:val="00947700"/>
    <w:rsid w:val="0095013C"/>
    <w:rsid w:val="009513F0"/>
    <w:rsid w:val="009530DD"/>
    <w:rsid w:val="00956A39"/>
    <w:rsid w:val="00960330"/>
    <w:rsid w:val="00961BE8"/>
    <w:rsid w:val="00963403"/>
    <w:rsid w:val="00967824"/>
    <w:rsid w:val="0097040D"/>
    <w:rsid w:val="0097075F"/>
    <w:rsid w:val="009778C7"/>
    <w:rsid w:val="00981FEA"/>
    <w:rsid w:val="0098217E"/>
    <w:rsid w:val="0098243E"/>
    <w:rsid w:val="00982DE4"/>
    <w:rsid w:val="00985308"/>
    <w:rsid w:val="00991BC1"/>
    <w:rsid w:val="00991DF7"/>
    <w:rsid w:val="00996925"/>
    <w:rsid w:val="009A62AC"/>
    <w:rsid w:val="009B2451"/>
    <w:rsid w:val="009B478E"/>
    <w:rsid w:val="009D5203"/>
    <w:rsid w:val="009D5370"/>
    <w:rsid w:val="009D735E"/>
    <w:rsid w:val="009D765C"/>
    <w:rsid w:val="009E5FC0"/>
    <w:rsid w:val="009E623E"/>
    <w:rsid w:val="009F3BAE"/>
    <w:rsid w:val="009F5C2B"/>
    <w:rsid w:val="00A006E5"/>
    <w:rsid w:val="00A01751"/>
    <w:rsid w:val="00A03078"/>
    <w:rsid w:val="00A049CA"/>
    <w:rsid w:val="00A0693C"/>
    <w:rsid w:val="00A238DA"/>
    <w:rsid w:val="00A256CB"/>
    <w:rsid w:val="00A25A9E"/>
    <w:rsid w:val="00A2738E"/>
    <w:rsid w:val="00A32AC9"/>
    <w:rsid w:val="00A353EF"/>
    <w:rsid w:val="00A36231"/>
    <w:rsid w:val="00A376EE"/>
    <w:rsid w:val="00A41341"/>
    <w:rsid w:val="00A4326D"/>
    <w:rsid w:val="00A44044"/>
    <w:rsid w:val="00A45812"/>
    <w:rsid w:val="00A535DC"/>
    <w:rsid w:val="00A57BE3"/>
    <w:rsid w:val="00A64FE3"/>
    <w:rsid w:val="00A653CB"/>
    <w:rsid w:val="00A71933"/>
    <w:rsid w:val="00A7266D"/>
    <w:rsid w:val="00A77556"/>
    <w:rsid w:val="00A80FAA"/>
    <w:rsid w:val="00A84610"/>
    <w:rsid w:val="00A847BA"/>
    <w:rsid w:val="00A851DA"/>
    <w:rsid w:val="00A87325"/>
    <w:rsid w:val="00A92C50"/>
    <w:rsid w:val="00A937FE"/>
    <w:rsid w:val="00A93871"/>
    <w:rsid w:val="00A945D6"/>
    <w:rsid w:val="00A95852"/>
    <w:rsid w:val="00A964D6"/>
    <w:rsid w:val="00A966CF"/>
    <w:rsid w:val="00A969AB"/>
    <w:rsid w:val="00AA0882"/>
    <w:rsid w:val="00AA13E4"/>
    <w:rsid w:val="00AA3E9A"/>
    <w:rsid w:val="00AA400D"/>
    <w:rsid w:val="00AA4835"/>
    <w:rsid w:val="00AA5B67"/>
    <w:rsid w:val="00AA64D1"/>
    <w:rsid w:val="00AB4406"/>
    <w:rsid w:val="00AB57A2"/>
    <w:rsid w:val="00AB5E18"/>
    <w:rsid w:val="00AC3783"/>
    <w:rsid w:val="00AC3A84"/>
    <w:rsid w:val="00AC5721"/>
    <w:rsid w:val="00AC639F"/>
    <w:rsid w:val="00AD0B0C"/>
    <w:rsid w:val="00AD308E"/>
    <w:rsid w:val="00AD42CE"/>
    <w:rsid w:val="00AD485A"/>
    <w:rsid w:val="00AD5288"/>
    <w:rsid w:val="00AD5715"/>
    <w:rsid w:val="00AD78FE"/>
    <w:rsid w:val="00AD7EE2"/>
    <w:rsid w:val="00AE3DBC"/>
    <w:rsid w:val="00AE3F7F"/>
    <w:rsid w:val="00AE7B7B"/>
    <w:rsid w:val="00AE7DA7"/>
    <w:rsid w:val="00AF1C70"/>
    <w:rsid w:val="00AF32AA"/>
    <w:rsid w:val="00AF36DA"/>
    <w:rsid w:val="00AF3B7D"/>
    <w:rsid w:val="00AF5FBF"/>
    <w:rsid w:val="00AF63C0"/>
    <w:rsid w:val="00AF683F"/>
    <w:rsid w:val="00AF7AF5"/>
    <w:rsid w:val="00B00B48"/>
    <w:rsid w:val="00B03872"/>
    <w:rsid w:val="00B041C4"/>
    <w:rsid w:val="00B05CBF"/>
    <w:rsid w:val="00B109F9"/>
    <w:rsid w:val="00B171F3"/>
    <w:rsid w:val="00B177CD"/>
    <w:rsid w:val="00B202DB"/>
    <w:rsid w:val="00B22640"/>
    <w:rsid w:val="00B23763"/>
    <w:rsid w:val="00B27BAF"/>
    <w:rsid w:val="00B3089E"/>
    <w:rsid w:val="00B320B3"/>
    <w:rsid w:val="00B3351F"/>
    <w:rsid w:val="00B361BB"/>
    <w:rsid w:val="00B40662"/>
    <w:rsid w:val="00B40861"/>
    <w:rsid w:val="00B50E03"/>
    <w:rsid w:val="00B51F46"/>
    <w:rsid w:val="00B529BE"/>
    <w:rsid w:val="00B52E36"/>
    <w:rsid w:val="00B53005"/>
    <w:rsid w:val="00B54AFA"/>
    <w:rsid w:val="00B56A51"/>
    <w:rsid w:val="00B604A7"/>
    <w:rsid w:val="00B657C2"/>
    <w:rsid w:val="00B74975"/>
    <w:rsid w:val="00B75185"/>
    <w:rsid w:val="00B75BBF"/>
    <w:rsid w:val="00B76512"/>
    <w:rsid w:val="00B817D3"/>
    <w:rsid w:val="00B81B15"/>
    <w:rsid w:val="00B8469E"/>
    <w:rsid w:val="00B85627"/>
    <w:rsid w:val="00B8657F"/>
    <w:rsid w:val="00B91650"/>
    <w:rsid w:val="00B93604"/>
    <w:rsid w:val="00BA4771"/>
    <w:rsid w:val="00BB007D"/>
    <w:rsid w:val="00BB5CCA"/>
    <w:rsid w:val="00BB6ADE"/>
    <w:rsid w:val="00BC0071"/>
    <w:rsid w:val="00BC2CD5"/>
    <w:rsid w:val="00BC322D"/>
    <w:rsid w:val="00BC4383"/>
    <w:rsid w:val="00BC578F"/>
    <w:rsid w:val="00BD1290"/>
    <w:rsid w:val="00BE2CC0"/>
    <w:rsid w:val="00BE582F"/>
    <w:rsid w:val="00BE691E"/>
    <w:rsid w:val="00BE7EF1"/>
    <w:rsid w:val="00BF173F"/>
    <w:rsid w:val="00BF198B"/>
    <w:rsid w:val="00C04BCE"/>
    <w:rsid w:val="00C133E6"/>
    <w:rsid w:val="00C13ABB"/>
    <w:rsid w:val="00C151CD"/>
    <w:rsid w:val="00C246F0"/>
    <w:rsid w:val="00C33A45"/>
    <w:rsid w:val="00C40D0B"/>
    <w:rsid w:val="00C43AB7"/>
    <w:rsid w:val="00C45B2E"/>
    <w:rsid w:val="00C539A6"/>
    <w:rsid w:val="00C5600A"/>
    <w:rsid w:val="00C6183C"/>
    <w:rsid w:val="00C6237C"/>
    <w:rsid w:val="00C62FFA"/>
    <w:rsid w:val="00C718DA"/>
    <w:rsid w:val="00C7399D"/>
    <w:rsid w:val="00C77E52"/>
    <w:rsid w:val="00C809E8"/>
    <w:rsid w:val="00C839C1"/>
    <w:rsid w:val="00C83D48"/>
    <w:rsid w:val="00C84569"/>
    <w:rsid w:val="00C84785"/>
    <w:rsid w:val="00C9082F"/>
    <w:rsid w:val="00C92CDD"/>
    <w:rsid w:val="00C97722"/>
    <w:rsid w:val="00CA022A"/>
    <w:rsid w:val="00CA24C4"/>
    <w:rsid w:val="00CA33FE"/>
    <w:rsid w:val="00CA401B"/>
    <w:rsid w:val="00CA473A"/>
    <w:rsid w:val="00CA5ABC"/>
    <w:rsid w:val="00CA6D70"/>
    <w:rsid w:val="00CB20B5"/>
    <w:rsid w:val="00CB2ACF"/>
    <w:rsid w:val="00CB3257"/>
    <w:rsid w:val="00CB3AA8"/>
    <w:rsid w:val="00CB5878"/>
    <w:rsid w:val="00CB7FEA"/>
    <w:rsid w:val="00CD2D5C"/>
    <w:rsid w:val="00CD30C2"/>
    <w:rsid w:val="00CD33C2"/>
    <w:rsid w:val="00CD6B5E"/>
    <w:rsid w:val="00CD6D77"/>
    <w:rsid w:val="00CE059E"/>
    <w:rsid w:val="00CE1BA5"/>
    <w:rsid w:val="00CE296E"/>
    <w:rsid w:val="00CE2DAD"/>
    <w:rsid w:val="00CE2DB1"/>
    <w:rsid w:val="00CE33C0"/>
    <w:rsid w:val="00CE3E47"/>
    <w:rsid w:val="00CE504D"/>
    <w:rsid w:val="00CE56C1"/>
    <w:rsid w:val="00CF0CE5"/>
    <w:rsid w:val="00CF5C9C"/>
    <w:rsid w:val="00D00D87"/>
    <w:rsid w:val="00D02105"/>
    <w:rsid w:val="00D0275F"/>
    <w:rsid w:val="00D02FE2"/>
    <w:rsid w:val="00D10A3F"/>
    <w:rsid w:val="00D115B6"/>
    <w:rsid w:val="00D123C1"/>
    <w:rsid w:val="00D15E58"/>
    <w:rsid w:val="00D1762B"/>
    <w:rsid w:val="00D22067"/>
    <w:rsid w:val="00D2277F"/>
    <w:rsid w:val="00D254FC"/>
    <w:rsid w:val="00D26F91"/>
    <w:rsid w:val="00D27CDB"/>
    <w:rsid w:val="00D338D7"/>
    <w:rsid w:val="00D36ED0"/>
    <w:rsid w:val="00D50CB6"/>
    <w:rsid w:val="00D54271"/>
    <w:rsid w:val="00D6000C"/>
    <w:rsid w:val="00D60951"/>
    <w:rsid w:val="00D60C33"/>
    <w:rsid w:val="00D61589"/>
    <w:rsid w:val="00D6212A"/>
    <w:rsid w:val="00D63523"/>
    <w:rsid w:val="00D6376B"/>
    <w:rsid w:val="00D639FD"/>
    <w:rsid w:val="00D652F8"/>
    <w:rsid w:val="00D6563D"/>
    <w:rsid w:val="00D66335"/>
    <w:rsid w:val="00D6768E"/>
    <w:rsid w:val="00D72091"/>
    <w:rsid w:val="00D75F5B"/>
    <w:rsid w:val="00D76415"/>
    <w:rsid w:val="00D8144F"/>
    <w:rsid w:val="00D818A3"/>
    <w:rsid w:val="00D93460"/>
    <w:rsid w:val="00D93D32"/>
    <w:rsid w:val="00D95B3E"/>
    <w:rsid w:val="00DA0967"/>
    <w:rsid w:val="00DA0DD3"/>
    <w:rsid w:val="00DA1FBA"/>
    <w:rsid w:val="00DA2910"/>
    <w:rsid w:val="00DA3E19"/>
    <w:rsid w:val="00DA6281"/>
    <w:rsid w:val="00DB5179"/>
    <w:rsid w:val="00DB5798"/>
    <w:rsid w:val="00DB58DB"/>
    <w:rsid w:val="00DB730B"/>
    <w:rsid w:val="00DB7E77"/>
    <w:rsid w:val="00DC338D"/>
    <w:rsid w:val="00DD022C"/>
    <w:rsid w:val="00DD0B20"/>
    <w:rsid w:val="00DD0CEC"/>
    <w:rsid w:val="00DD1E2B"/>
    <w:rsid w:val="00DD2F40"/>
    <w:rsid w:val="00DD6077"/>
    <w:rsid w:val="00DD66B3"/>
    <w:rsid w:val="00DF08CE"/>
    <w:rsid w:val="00DF1599"/>
    <w:rsid w:val="00DF1B0C"/>
    <w:rsid w:val="00DF2DE2"/>
    <w:rsid w:val="00DF4F68"/>
    <w:rsid w:val="00E01837"/>
    <w:rsid w:val="00E04FDF"/>
    <w:rsid w:val="00E052B8"/>
    <w:rsid w:val="00E05343"/>
    <w:rsid w:val="00E068AD"/>
    <w:rsid w:val="00E10159"/>
    <w:rsid w:val="00E118A7"/>
    <w:rsid w:val="00E27382"/>
    <w:rsid w:val="00E27589"/>
    <w:rsid w:val="00E32EE9"/>
    <w:rsid w:val="00E3510D"/>
    <w:rsid w:val="00E41C0F"/>
    <w:rsid w:val="00E41E11"/>
    <w:rsid w:val="00E4391D"/>
    <w:rsid w:val="00E43CD8"/>
    <w:rsid w:val="00E46E44"/>
    <w:rsid w:val="00E473DC"/>
    <w:rsid w:val="00E51805"/>
    <w:rsid w:val="00E55A30"/>
    <w:rsid w:val="00E55E8D"/>
    <w:rsid w:val="00E56C74"/>
    <w:rsid w:val="00E57DCA"/>
    <w:rsid w:val="00E615DF"/>
    <w:rsid w:val="00E647CF"/>
    <w:rsid w:val="00E64D14"/>
    <w:rsid w:val="00E70305"/>
    <w:rsid w:val="00E71DC8"/>
    <w:rsid w:val="00E775EF"/>
    <w:rsid w:val="00E8107A"/>
    <w:rsid w:val="00E82D6F"/>
    <w:rsid w:val="00E82EC2"/>
    <w:rsid w:val="00E85786"/>
    <w:rsid w:val="00E877E4"/>
    <w:rsid w:val="00E87CEE"/>
    <w:rsid w:val="00E94247"/>
    <w:rsid w:val="00E97183"/>
    <w:rsid w:val="00EA21A6"/>
    <w:rsid w:val="00EA5BF5"/>
    <w:rsid w:val="00EA76B0"/>
    <w:rsid w:val="00EB1E28"/>
    <w:rsid w:val="00EB23A7"/>
    <w:rsid w:val="00EB53D5"/>
    <w:rsid w:val="00EB651F"/>
    <w:rsid w:val="00EC1AEE"/>
    <w:rsid w:val="00ED0BD0"/>
    <w:rsid w:val="00ED397C"/>
    <w:rsid w:val="00ED5D81"/>
    <w:rsid w:val="00ED63CA"/>
    <w:rsid w:val="00ED6D4C"/>
    <w:rsid w:val="00EE295E"/>
    <w:rsid w:val="00EE38E0"/>
    <w:rsid w:val="00EE6AAC"/>
    <w:rsid w:val="00EF2CFF"/>
    <w:rsid w:val="00EF3975"/>
    <w:rsid w:val="00EF7DE7"/>
    <w:rsid w:val="00EF7DF4"/>
    <w:rsid w:val="00F01023"/>
    <w:rsid w:val="00F03E6D"/>
    <w:rsid w:val="00F056D4"/>
    <w:rsid w:val="00F05DAC"/>
    <w:rsid w:val="00F1295F"/>
    <w:rsid w:val="00F169A6"/>
    <w:rsid w:val="00F21BE0"/>
    <w:rsid w:val="00F23A60"/>
    <w:rsid w:val="00F23DBB"/>
    <w:rsid w:val="00F2751F"/>
    <w:rsid w:val="00F32831"/>
    <w:rsid w:val="00F41529"/>
    <w:rsid w:val="00F42750"/>
    <w:rsid w:val="00F45E96"/>
    <w:rsid w:val="00F5026B"/>
    <w:rsid w:val="00F50406"/>
    <w:rsid w:val="00F50B68"/>
    <w:rsid w:val="00F52766"/>
    <w:rsid w:val="00F537CF"/>
    <w:rsid w:val="00F56770"/>
    <w:rsid w:val="00F667D7"/>
    <w:rsid w:val="00F71D4D"/>
    <w:rsid w:val="00F76F2C"/>
    <w:rsid w:val="00F773BE"/>
    <w:rsid w:val="00F77B2C"/>
    <w:rsid w:val="00F804D3"/>
    <w:rsid w:val="00F85E54"/>
    <w:rsid w:val="00F9085F"/>
    <w:rsid w:val="00F90C69"/>
    <w:rsid w:val="00F91490"/>
    <w:rsid w:val="00F925BA"/>
    <w:rsid w:val="00F937A7"/>
    <w:rsid w:val="00F947E2"/>
    <w:rsid w:val="00F97EA2"/>
    <w:rsid w:val="00FA28AE"/>
    <w:rsid w:val="00FA35A9"/>
    <w:rsid w:val="00FA5D55"/>
    <w:rsid w:val="00FA5F6A"/>
    <w:rsid w:val="00FA7710"/>
    <w:rsid w:val="00FB3A9D"/>
    <w:rsid w:val="00FB6D44"/>
    <w:rsid w:val="00FB7488"/>
    <w:rsid w:val="00FC0100"/>
    <w:rsid w:val="00FC2924"/>
    <w:rsid w:val="00FC48CD"/>
    <w:rsid w:val="00FC4DD1"/>
    <w:rsid w:val="00FC5124"/>
    <w:rsid w:val="00FC6912"/>
    <w:rsid w:val="00FC70D9"/>
    <w:rsid w:val="00FD3FE8"/>
    <w:rsid w:val="00FD6A7E"/>
    <w:rsid w:val="00FD7B8F"/>
    <w:rsid w:val="00FE1CCC"/>
    <w:rsid w:val="00FE2B3B"/>
    <w:rsid w:val="00FF19D7"/>
    <w:rsid w:val="00FF2BC9"/>
    <w:rsid w:val="00FF31B0"/>
    <w:rsid w:val="00FF711D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5"/>
      </w:numPr>
      <w:outlineLvl w:val="0"/>
    </w:pPr>
    <w:rPr>
      <w:b/>
      <w:bCs/>
      <w:sz w:val="28"/>
      <w:szCs w:val="28"/>
      <w:lang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z w:val="24"/>
      <w:lang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dpis5">
    <w:name w:val="heading 5"/>
    <w:basedOn w:val="Normln"/>
    <w:next w:val="Normln"/>
    <w:qFormat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qFormat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Nadpis7">
    <w:name w:val="heading 7"/>
    <w:basedOn w:val="Normln"/>
    <w:next w:val="Normln"/>
    <w:qFormat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lang/>
    </w:rPr>
  </w:style>
  <w:style w:type="paragraph" w:styleId="Nadpis8">
    <w:name w:val="heading 8"/>
    <w:basedOn w:val="Normln"/>
    <w:next w:val="Normln"/>
    <w:qFormat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lang/>
    </w:rPr>
  </w:style>
  <w:style w:type="paragraph" w:styleId="Nadpis9">
    <w:name w:val="heading 9"/>
    <w:basedOn w:val="Normln"/>
    <w:next w:val="Normln"/>
    <w:qFormat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tyl1">
    <w:name w:val="Styl1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 w:val="28"/>
      <w:szCs w:val="28"/>
    </w:rPr>
  </w:style>
  <w:style w:type="paragraph" w:styleId="Textpoznpodarou">
    <w:name w:val="footnote text"/>
    <w:aliases w:val="Text pozn. pod čarou_martin_ang"/>
    <w:basedOn w:val="Normln"/>
    <w:semiHidden/>
    <w:pPr>
      <w:jc w:val="left"/>
    </w:pPr>
    <w:rPr>
      <w:szCs w:val="20"/>
      <w:lang/>
    </w:rPr>
  </w:style>
  <w:style w:type="character" w:customStyle="1" w:styleId="TextpoznpodarouChar">
    <w:name w:val="Text pozn. pod čarou Char"/>
    <w:aliases w:val="Text pozn. pod čarou_martin_ang Char1"/>
    <w:semiHidden/>
    <w:rPr>
      <w:rFonts w:ascii="Arial" w:eastAsia="Times New Roman" w:hAnsi="Arial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qFormat/>
    <w:pPr>
      <w:ind w:left="708"/>
      <w:jc w:val="left"/>
    </w:pPr>
    <w:rPr>
      <w:sz w:val="18"/>
      <w:szCs w:val="20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pPr>
      <w:jc w:val="left"/>
    </w:pPr>
    <w:rPr>
      <w:szCs w:val="20"/>
      <w:lang/>
    </w:rPr>
  </w:style>
  <w:style w:type="character" w:customStyle="1" w:styleId="TextkomenteChar">
    <w:name w:val="Text komentáře Char"/>
    <w:semiHidden/>
    <w:rPr>
      <w:rFonts w:ascii="Arial" w:eastAsia="Times New Roman" w:hAnsi="Arial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semiHidden/>
    <w:unhideWhenUsed/>
    <w:qFormat/>
    <w:pPr>
      <w:tabs>
        <w:tab w:val="left" w:pos="880"/>
        <w:tab w:val="right" w:leader="dot" w:pos="9628"/>
      </w:tabs>
      <w:spacing w:after="100" w:line="276" w:lineRule="auto"/>
      <w:ind w:left="851" w:hanging="567"/>
      <w:jc w:val="left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628"/>
      </w:tabs>
      <w:spacing w:after="100" w:line="276" w:lineRule="auto"/>
      <w:jc w:val="left"/>
    </w:pPr>
    <w:rPr>
      <w:szCs w:val="22"/>
    </w:rPr>
  </w:style>
  <w:style w:type="paragraph" w:styleId="Obsah3">
    <w:name w:val="toc 3"/>
    <w:basedOn w:val="Normln"/>
    <w:next w:val="Normln"/>
    <w:autoRedefine/>
    <w:semiHidden/>
    <w:unhideWhenUsed/>
    <w:qFormat/>
    <w:pPr>
      <w:tabs>
        <w:tab w:val="right" w:leader="dot" w:pos="9638"/>
      </w:tabs>
      <w:spacing w:after="100" w:line="276" w:lineRule="auto"/>
      <w:ind w:left="446"/>
      <w:jc w:val="left"/>
    </w:pPr>
    <w:rPr>
      <w:rFonts w:ascii="Calibri" w:hAnsi="Calibri"/>
      <w:sz w:val="22"/>
      <w:szCs w:val="22"/>
    </w:rPr>
  </w:style>
  <w:style w:type="paragraph" w:styleId="Bezmezer">
    <w:name w:val="No Spacing"/>
    <w:qFormat/>
    <w:pPr>
      <w:jc w:val="both"/>
    </w:pPr>
    <w:rPr>
      <w:rFonts w:ascii="Arial" w:eastAsia="Times New Roman" w:hAnsi="Arial"/>
      <w:szCs w:val="24"/>
    </w:rPr>
  </w:style>
  <w:style w:type="paragraph" w:styleId="Obsah10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498"/>
      </w:tabs>
      <w:spacing w:after="100" w:line="276" w:lineRule="auto"/>
      <w:jc w:val="left"/>
    </w:pPr>
    <w:rPr>
      <w:szCs w:val="22"/>
    </w:rPr>
  </w:style>
  <w:style w:type="paragraph" w:styleId="Zkladntext">
    <w:name w:val="Body Text"/>
    <w:basedOn w:val="Normln"/>
    <w:semiHidden/>
    <w:rPr>
      <w:color w:val="000000"/>
    </w:rPr>
  </w:style>
  <w:style w:type="paragraph" w:styleId="Zkladntext3">
    <w:name w:val="Body Text 3"/>
    <w:basedOn w:val="Normln"/>
    <w:semiHidden/>
    <w:rPr>
      <w:sz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card">
    <w:name w:val="card"/>
    <w:basedOn w:val="Standardnpsmoodstavce"/>
  </w:style>
  <w:style w:type="paragraph" w:styleId="Zkladntext2">
    <w:name w:val="Body Text 2"/>
    <w:basedOn w:val="Normln"/>
    <w:semiHidden/>
    <w:pPr>
      <w:jc w:val="left"/>
    </w:pPr>
    <w:rPr>
      <w:b/>
      <w:bCs/>
    </w:rPr>
  </w:style>
  <w:style w:type="paragraph" w:customStyle="1" w:styleId="normalnsodrkami">
    <w:name w:val="normalní s odrážkami"/>
    <w:basedOn w:val="Normln"/>
    <w:pPr>
      <w:numPr>
        <w:numId w:val="19"/>
      </w:numPr>
    </w:p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Default">
    <w:name w:val="Default"/>
    <w:rsid w:val="004D03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3D1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3D1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E13D1"/>
    <w:rPr>
      <w:vertAlign w:val="superscript"/>
    </w:rPr>
  </w:style>
  <w:style w:type="character" w:customStyle="1" w:styleId="hps">
    <w:name w:val="hps"/>
    <w:basedOn w:val="Standardnpsmoodstavce"/>
    <w:rsid w:val="00FF1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8B038-3246-4AA7-8022-93AB3C9D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</vt:lpstr>
    </vt:vector>
  </TitlesOfParts>
  <Company>ČSÚ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</dc:title>
  <dc:creator>SystemService</dc:creator>
  <cp:lastModifiedBy>Jiří Kamenický</cp:lastModifiedBy>
  <cp:revision>2</cp:revision>
  <cp:lastPrinted>2014-06-02T17:09:00Z</cp:lastPrinted>
  <dcterms:created xsi:type="dcterms:W3CDTF">2014-10-24T06:31:00Z</dcterms:created>
  <dcterms:modified xsi:type="dcterms:W3CDTF">2014-10-24T06:31:00Z</dcterms:modified>
</cp:coreProperties>
</file>