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8" w:type="dxa"/>
        <w:tblInd w:w="-30" w:type="dxa"/>
        <w:tblCellMar>
          <w:left w:w="0" w:type="dxa"/>
          <w:right w:w="0" w:type="dxa"/>
        </w:tblCellMar>
        <w:tblLook w:val="00A0" w:firstRow="1" w:lastRow="0" w:firstColumn="1" w:lastColumn="0" w:noHBand="0" w:noVBand="0"/>
      </w:tblPr>
      <w:tblGrid>
        <w:gridCol w:w="9656"/>
        <w:gridCol w:w="6"/>
        <w:gridCol w:w="6"/>
      </w:tblGrid>
      <w:tr w:rsidR="00485E82" w:rsidRPr="00C41D54" w14:paraId="4936FC4B" w14:textId="77777777" w:rsidTr="00B63494">
        <w:trPr>
          <w:trHeight w:val="145"/>
        </w:trPr>
        <w:tc>
          <w:tcPr>
            <w:tcW w:w="9656" w:type="dxa"/>
            <w:shd w:val="clear" w:color="auto" w:fill="auto"/>
            <w:tcMar>
              <w:left w:w="0" w:type="dxa"/>
            </w:tcMar>
          </w:tcPr>
          <w:p w14:paraId="103ADE19" w14:textId="316BECAC" w:rsidR="00A96422" w:rsidRPr="00B43216" w:rsidRDefault="00A96422" w:rsidP="00A96422">
            <w:pPr>
              <w:pStyle w:val="Nadpis11"/>
            </w:pPr>
            <w:bookmarkStart w:id="0" w:name="_Toc532558287"/>
            <w:bookmarkStart w:id="1" w:name="_Toc42852412"/>
            <w:r w:rsidRPr="00B43216">
              <w:t>6. Trh práce</w:t>
            </w:r>
            <w:bookmarkEnd w:id="1"/>
          </w:p>
          <w:tbl>
            <w:tblPr>
              <w:tblW w:w="9664" w:type="dxa"/>
              <w:tblCellMar>
                <w:left w:w="0" w:type="dxa"/>
                <w:right w:w="0" w:type="dxa"/>
              </w:tblCellMar>
              <w:tblLook w:val="00A0" w:firstRow="1" w:lastRow="0" w:firstColumn="1" w:lastColumn="0" w:noHBand="0" w:noVBand="0"/>
            </w:tblPr>
            <w:tblGrid>
              <w:gridCol w:w="1792"/>
              <w:gridCol w:w="216"/>
              <w:gridCol w:w="7656"/>
            </w:tblGrid>
            <w:tr w:rsidR="00A96422" w:rsidRPr="00B43216" w14:paraId="6BDAECC5" w14:textId="77777777" w:rsidTr="0002669F">
              <w:trPr>
                <w:trHeight w:val="145"/>
              </w:trPr>
              <w:tc>
                <w:tcPr>
                  <w:tcW w:w="1792" w:type="dxa"/>
                  <w:shd w:val="clear" w:color="auto" w:fill="auto"/>
                  <w:tcMar>
                    <w:left w:w="0" w:type="dxa"/>
                  </w:tcMar>
                </w:tcPr>
                <w:p w14:paraId="3D6717F5" w14:textId="77777777" w:rsidR="00A96422" w:rsidRDefault="00A96422" w:rsidP="00A96422">
                  <w:pPr>
                    <w:pStyle w:val="Marginlie"/>
                  </w:pPr>
                  <w:r>
                    <w:t>Souhrnné údaje zatím zásadní obrat ve vývoji tuzemského trhu práce nenaznačovaly.</w:t>
                  </w:r>
                </w:p>
              </w:tc>
              <w:tc>
                <w:tcPr>
                  <w:tcW w:w="216" w:type="dxa"/>
                  <w:shd w:val="clear" w:color="auto" w:fill="auto"/>
                  <w:tcMar>
                    <w:left w:w="0" w:type="dxa"/>
                  </w:tcMar>
                </w:tcPr>
                <w:p w14:paraId="370EF8A8" w14:textId="77777777" w:rsidR="00A96422" w:rsidRPr="00B43216" w:rsidRDefault="00A96422" w:rsidP="00A96422">
                  <w:pPr>
                    <w:pStyle w:val="Textpoznpodarou"/>
                    <w:jc w:val="both"/>
                    <w:rPr>
                      <w:spacing w:val="-4"/>
                    </w:rPr>
                  </w:pPr>
                </w:p>
              </w:tc>
              <w:tc>
                <w:tcPr>
                  <w:tcW w:w="7656" w:type="dxa"/>
                  <w:shd w:val="clear" w:color="auto" w:fill="auto"/>
                  <w:tcMar>
                    <w:left w:w="0" w:type="dxa"/>
                  </w:tcMar>
                </w:tcPr>
                <w:p w14:paraId="54661906" w14:textId="77777777" w:rsidR="00A96422" w:rsidRPr="006237E6" w:rsidRDefault="00A96422" w:rsidP="00A96422">
                  <w:pPr>
                    <w:spacing w:after="200"/>
                    <w:rPr>
                      <w:spacing w:val="-3"/>
                    </w:rPr>
                  </w:pPr>
                  <w:r w:rsidRPr="006237E6">
                    <w:rPr>
                      <w:spacing w:val="-3"/>
                    </w:rPr>
                    <w:t>Přestože striktní a</w:t>
                  </w:r>
                  <w:r>
                    <w:rPr>
                      <w:spacing w:val="-3"/>
                    </w:rPr>
                    <w:t> v</w:t>
                  </w:r>
                  <w:r w:rsidRPr="006237E6">
                    <w:rPr>
                      <w:spacing w:val="-3"/>
                    </w:rPr>
                    <w:t xml:space="preserve">časně aplikovaná protipandemická opatření citelně zasáhla </w:t>
                  </w:r>
                  <w:r>
                    <w:rPr>
                      <w:spacing w:val="-3"/>
                    </w:rPr>
                    <w:t xml:space="preserve">již během 1. čtvrtletí </w:t>
                  </w:r>
                  <w:r w:rsidRPr="006237E6">
                    <w:rPr>
                      <w:spacing w:val="-3"/>
                    </w:rPr>
                    <w:t xml:space="preserve">do rozsahu i formy pracovních aktivit většiny lidí, dosud známé souhrnné údaje zlom </w:t>
                  </w:r>
                  <w:r>
                    <w:rPr>
                      <w:spacing w:val="-3"/>
                    </w:rPr>
                    <w:t>ve vývoji</w:t>
                  </w:r>
                  <w:r w:rsidRPr="006237E6">
                    <w:rPr>
                      <w:spacing w:val="-3"/>
                    </w:rPr>
                    <w:t xml:space="preserve"> na tuzemském trhu práce příliš nenaznačovaly. Bylo tomu tak i</w:t>
                  </w:r>
                  <w:r>
                    <w:rPr>
                      <w:spacing w:val="-3"/>
                    </w:rPr>
                    <w:t> </w:t>
                  </w:r>
                  <w:r w:rsidRPr="006237E6">
                    <w:rPr>
                      <w:spacing w:val="-3"/>
                    </w:rPr>
                    <w:t>proto, že k částečnému „ochlazení“ trhu (hlavně v oblasti zaměstnanosti) došlo vlivem slábnoucí zahraniční poptávky v ekonomice již na sklonku loňského roku. Projevila se i</w:t>
                  </w:r>
                  <w:r>
                    <w:rPr>
                      <w:spacing w:val="-3"/>
                    </w:rPr>
                    <w:t> </w:t>
                  </w:r>
                  <w:r w:rsidRPr="006237E6">
                    <w:rPr>
                      <w:spacing w:val="-3"/>
                    </w:rPr>
                    <w:t>určitá rigidita pracovního trhu doprovázená vyčkávací strategií zaměstnavatelů související s nejisto</w:t>
                  </w:r>
                  <w:r>
                    <w:rPr>
                      <w:spacing w:val="-3"/>
                    </w:rPr>
                    <w:t>to</w:t>
                  </w:r>
                  <w:r w:rsidRPr="006237E6">
                    <w:rPr>
                      <w:spacing w:val="-3"/>
                    </w:rPr>
                    <w:t>u v délce i dopadech</w:t>
                  </w:r>
                  <w:r>
                    <w:rPr>
                      <w:spacing w:val="-3"/>
                    </w:rPr>
                    <w:t xml:space="preserve"> vládních</w:t>
                  </w:r>
                  <w:r w:rsidRPr="006237E6">
                    <w:rPr>
                      <w:spacing w:val="-3"/>
                    </w:rPr>
                    <w:t xml:space="preserve"> restriktivních opatření, ale i</w:t>
                  </w:r>
                  <w:r>
                    <w:rPr>
                      <w:spacing w:val="-3"/>
                    </w:rPr>
                    <w:t> </w:t>
                  </w:r>
                  <w:r w:rsidRPr="006237E6">
                    <w:rPr>
                      <w:spacing w:val="-3"/>
                    </w:rPr>
                    <w:t>s</w:t>
                  </w:r>
                  <w:r>
                    <w:rPr>
                      <w:spacing w:val="-3"/>
                    </w:rPr>
                    <w:t> </w:t>
                  </w:r>
                  <w:r w:rsidRPr="006237E6">
                    <w:rPr>
                      <w:spacing w:val="-3"/>
                    </w:rPr>
                    <w:t>očekáváním pomoci od státu. Zachycení prvotních změn v detailnějších strukturách trhu práce znesnadňovaly i</w:t>
                  </w:r>
                  <w:r>
                    <w:rPr>
                      <w:spacing w:val="-3"/>
                    </w:rPr>
                    <w:t> </w:t>
                  </w:r>
                  <w:r w:rsidRPr="006237E6">
                    <w:rPr>
                      <w:spacing w:val="-3"/>
                    </w:rPr>
                    <w:t>zhoršené podmínky při sběru dat jak v podnicích, tak zejména v</w:t>
                  </w:r>
                  <w:r>
                    <w:rPr>
                      <w:spacing w:val="-3"/>
                    </w:rPr>
                    <w:t> </w:t>
                  </w:r>
                  <w:r w:rsidRPr="006237E6">
                    <w:rPr>
                      <w:spacing w:val="-3"/>
                    </w:rPr>
                    <w:t>domácnostech.</w:t>
                  </w:r>
                </w:p>
              </w:tc>
            </w:tr>
            <w:tr w:rsidR="00A96422" w:rsidRPr="00B43216" w14:paraId="028285A3" w14:textId="77777777" w:rsidTr="0002669F">
              <w:trPr>
                <w:trHeight w:val="145"/>
              </w:trPr>
              <w:tc>
                <w:tcPr>
                  <w:tcW w:w="1792" w:type="dxa"/>
                  <w:shd w:val="clear" w:color="auto" w:fill="auto"/>
                  <w:tcMar>
                    <w:left w:w="0" w:type="dxa"/>
                  </w:tcMar>
                </w:tcPr>
                <w:p w14:paraId="48BA297E" w14:textId="77777777" w:rsidR="00A96422" w:rsidRDefault="00A96422" w:rsidP="00A96422">
                  <w:pPr>
                    <w:pStyle w:val="Marginlie"/>
                  </w:pPr>
                  <w:r>
                    <w:t>Celková zaměstnanost poprvé od počátku roku 2012 meziročně klesla.</w:t>
                  </w:r>
                </w:p>
                <w:p w14:paraId="28D69E37" w14:textId="77777777" w:rsidR="00A96422" w:rsidRDefault="00A96422" w:rsidP="00A96422">
                  <w:pPr>
                    <w:pStyle w:val="Marginlie"/>
                  </w:pPr>
                </w:p>
                <w:p w14:paraId="4C807CD8" w14:textId="77777777" w:rsidR="00A96422" w:rsidRDefault="00A96422" w:rsidP="00A96422">
                  <w:pPr>
                    <w:pStyle w:val="Marginlie"/>
                  </w:pPr>
                </w:p>
                <w:p w14:paraId="784254A4" w14:textId="77777777" w:rsidR="00A96422" w:rsidRDefault="00A96422" w:rsidP="00A96422">
                  <w:pPr>
                    <w:pStyle w:val="Marginlie"/>
                  </w:pPr>
                </w:p>
                <w:p w14:paraId="23B6002E" w14:textId="77777777" w:rsidR="00A96422" w:rsidRDefault="00A96422" w:rsidP="00A96422">
                  <w:pPr>
                    <w:pStyle w:val="Marginlie"/>
                  </w:pPr>
                </w:p>
                <w:p w14:paraId="1831AE12" w14:textId="77777777" w:rsidR="00A96422" w:rsidRDefault="00A96422" w:rsidP="00A96422">
                  <w:pPr>
                    <w:pStyle w:val="Marginlie"/>
                  </w:pPr>
                </w:p>
                <w:p w14:paraId="44EF9559" w14:textId="77777777" w:rsidR="00A96422" w:rsidRDefault="00A96422" w:rsidP="00A96422">
                  <w:pPr>
                    <w:pStyle w:val="Marginlie"/>
                  </w:pPr>
                  <w:r>
                    <w:t>Relativně nejvíce ztrácel pracovní místa primární sektor a zpracovatelský průmysl. Sektor služeb mírně rostl, situace se však výrazně lišila dle odvětví.</w:t>
                  </w:r>
                </w:p>
              </w:tc>
              <w:tc>
                <w:tcPr>
                  <w:tcW w:w="216" w:type="dxa"/>
                  <w:shd w:val="clear" w:color="auto" w:fill="auto"/>
                  <w:tcMar>
                    <w:left w:w="0" w:type="dxa"/>
                  </w:tcMar>
                </w:tcPr>
                <w:p w14:paraId="364142A3" w14:textId="77777777" w:rsidR="00A96422" w:rsidRPr="00B43216" w:rsidRDefault="00A96422" w:rsidP="00A96422">
                  <w:pPr>
                    <w:pStyle w:val="Textpoznpodarou"/>
                    <w:jc w:val="both"/>
                    <w:rPr>
                      <w:spacing w:val="-4"/>
                    </w:rPr>
                  </w:pPr>
                </w:p>
              </w:tc>
              <w:tc>
                <w:tcPr>
                  <w:tcW w:w="7656" w:type="dxa"/>
                  <w:shd w:val="clear" w:color="auto" w:fill="auto"/>
                  <w:tcMar>
                    <w:left w:w="0" w:type="dxa"/>
                  </w:tcMar>
                </w:tcPr>
                <w:p w14:paraId="00A62FC0" w14:textId="77777777" w:rsidR="00A96422" w:rsidRPr="004E68B1" w:rsidRDefault="00A96422" w:rsidP="00A96422">
                  <w:pPr>
                    <w:spacing w:after="200"/>
                    <w:rPr>
                      <w:spacing w:val="-4"/>
                    </w:rPr>
                  </w:pPr>
                  <w:r w:rsidRPr="004E68B1">
                    <w:rPr>
                      <w:spacing w:val="-4"/>
                    </w:rPr>
                    <w:t>V 1. čtvrtletí 2020 dosáhl počet všech pracujících</w:t>
                  </w:r>
                  <w:r w:rsidRPr="004E68B1">
                    <w:rPr>
                      <w:spacing w:val="-4"/>
                      <w:vertAlign w:val="superscript"/>
                    </w:rPr>
                    <w:footnoteReference w:id="1"/>
                  </w:r>
                  <w:r w:rsidRPr="004E68B1">
                    <w:rPr>
                      <w:spacing w:val="-4"/>
                    </w:rPr>
                    <w:t xml:space="preserve"> v ČR 5 439 tis. osob a oproti rekordní úrovni z 1. loňského kvartálu byl nižší o 0,5 %. Dosud poslední meziroční pokles byl datován počátkem roku 2012. V mezičtvrtletním vyjádření došlo k mírné redukci již v druhé půlce roku 2019, primárně vlivem vývoje ve zpracovatelském průmyslu. Ačkoliv nejhlubší </w:t>
                  </w:r>
                  <w:r w:rsidRPr="004E68B1">
                    <w:rPr>
                      <w:spacing w:val="-1"/>
                    </w:rPr>
                    <w:t>meziroční pokles si v 1. čtvrtletí 2020 zapsalo odvětví zemědělství, lesnictví a rybářství (–4,2 %),</w:t>
                  </w:r>
                  <w:r w:rsidRPr="004E68B1">
                    <w:rPr>
                      <w:spacing w:val="-4"/>
                    </w:rPr>
                    <w:t xml:space="preserve"> celou ekonomiku ovlivnil nejvíce zpracovatelský průmysl (–2,6 %, desetileté minimum). Naopak ve stavebnictví pokračovalo loňské zrychlování růstu a pracovníků zde v 1. čtvrtletí bylo meziročně o 3,2 % více (maximum od konce roku 2009). V sektoru služeb růst přetrval (0,2 %), byl však nejslabší od půle roku 2012. V rámci jednotlivých odvětví služeb byla situace rozdílná. V profesních, vědeckých, technických a administrativních činnostech došlo k poklesu o 2,8 %, ve váhově dominantním segmentu obchod, doprava, ubytování a pohostinství o 1,3 %. Na druhé straně pokračoval rozvoj informačních a komunikačních činností (+4,7 %) či oblasti nemovitostí (+3,7 %).. Stabilní růst si od konce poslední recese drží odvětví s dominancí veřejného sektoru. Dokládá to fakt, že zaměstnanost zde letos rostla i ve srovnání s koncem roku 2019 (jako v jednom z mála segmentů služeb). Nejvíce se o to zasloužil růst pracovních příležitostí ve vzdělávání.</w:t>
                  </w:r>
                </w:p>
              </w:tc>
            </w:tr>
            <w:tr w:rsidR="00A96422" w:rsidRPr="00B43216" w14:paraId="2D330394" w14:textId="77777777" w:rsidTr="0002669F">
              <w:trPr>
                <w:trHeight w:val="145"/>
              </w:trPr>
              <w:tc>
                <w:tcPr>
                  <w:tcW w:w="1792" w:type="dxa"/>
                  <w:shd w:val="clear" w:color="auto" w:fill="auto"/>
                  <w:tcMar>
                    <w:left w:w="0" w:type="dxa"/>
                  </w:tcMar>
                </w:tcPr>
                <w:p w14:paraId="644D6A1F" w14:textId="77777777" w:rsidR="00A96422" w:rsidRDefault="00A96422" w:rsidP="00A96422">
                  <w:pPr>
                    <w:pStyle w:val="Marginlie"/>
                  </w:pPr>
                  <w:r>
                    <w:t>Počet odpracovaných hodin klesl mezičtvrtletně o téměř 5 %, nejvíce v historii sledování.</w:t>
                  </w:r>
                </w:p>
                <w:p w14:paraId="08ED1D8A" w14:textId="77777777" w:rsidR="00A96422" w:rsidRDefault="00A96422" w:rsidP="00A96422">
                  <w:pPr>
                    <w:pStyle w:val="Marginlie"/>
                  </w:pPr>
                </w:p>
                <w:p w14:paraId="0B92DC13" w14:textId="77777777" w:rsidR="00A96422" w:rsidRDefault="00A96422" w:rsidP="00A96422">
                  <w:pPr>
                    <w:pStyle w:val="Marginlie"/>
                  </w:pPr>
                </w:p>
                <w:p w14:paraId="1C118D6F" w14:textId="77777777" w:rsidR="00A96422" w:rsidRDefault="00A96422" w:rsidP="00A96422">
                  <w:pPr>
                    <w:pStyle w:val="Marginlie"/>
                  </w:pPr>
                </w:p>
                <w:p w14:paraId="686BAE91" w14:textId="77777777" w:rsidR="00A96422" w:rsidRDefault="00A96422" w:rsidP="00A96422">
                  <w:pPr>
                    <w:pStyle w:val="Marginlie"/>
                  </w:pPr>
                  <w:r>
                    <w:t>Krátkodobá očekávání zaměstnanosti se citelně zhoršila ve službách s vazbou na cestovní ruch, v dubnu následně ve zpracovatelském průmyslu i obchodu.</w:t>
                  </w:r>
                </w:p>
              </w:tc>
              <w:tc>
                <w:tcPr>
                  <w:tcW w:w="216" w:type="dxa"/>
                  <w:shd w:val="clear" w:color="auto" w:fill="auto"/>
                  <w:tcMar>
                    <w:left w:w="0" w:type="dxa"/>
                  </w:tcMar>
                </w:tcPr>
                <w:p w14:paraId="0614E950" w14:textId="77777777" w:rsidR="00A96422" w:rsidRPr="00B43216" w:rsidRDefault="00A96422" w:rsidP="00A96422">
                  <w:pPr>
                    <w:pStyle w:val="Textpoznpodarou"/>
                    <w:jc w:val="both"/>
                    <w:rPr>
                      <w:spacing w:val="-4"/>
                    </w:rPr>
                  </w:pPr>
                </w:p>
              </w:tc>
              <w:tc>
                <w:tcPr>
                  <w:tcW w:w="7656" w:type="dxa"/>
                  <w:shd w:val="clear" w:color="auto" w:fill="auto"/>
                  <w:tcMar>
                    <w:left w:w="0" w:type="dxa"/>
                  </w:tcMar>
                </w:tcPr>
                <w:p w14:paraId="6B476678" w14:textId="77777777" w:rsidR="00A96422" w:rsidRPr="004A6979" w:rsidRDefault="00A96422" w:rsidP="00A96422">
                  <w:pPr>
                    <w:spacing w:after="200"/>
                    <w:rPr>
                      <w:spacing w:val="-2"/>
                    </w:rPr>
                  </w:pPr>
                  <w:r w:rsidRPr="004A6979">
                    <w:rPr>
                      <w:spacing w:val="-2"/>
                    </w:rPr>
                    <w:t>Na nižší</w:t>
                  </w:r>
                  <w:r>
                    <w:rPr>
                      <w:spacing w:val="-2"/>
                    </w:rPr>
                    <w:t xml:space="preserve"> zaměstnanosti</w:t>
                  </w:r>
                  <w:r w:rsidRPr="004A6979">
                    <w:rPr>
                      <w:spacing w:val="-2"/>
                    </w:rPr>
                    <w:t xml:space="preserve"> se v 1.</w:t>
                  </w:r>
                  <w:r>
                    <w:rPr>
                      <w:spacing w:val="-2"/>
                    </w:rPr>
                    <w:t> čtvrtlet</w:t>
                  </w:r>
                  <w:r w:rsidRPr="004A6979">
                    <w:rPr>
                      <w:spacing w:val="-2"/>
                    </w:rPr>
                    <w:t>í 2020 podíleli jak zaměstnanci (jichž meziročně ubylo o</w:t>
                  </w:r>
                  <w:r>
                    <w:rPr>
                      <w:spacing w:val="-2"/>
                    </w:rPr>
                    <w:t> </w:t>
                  </w:r>
                  <w:r w:rsidRPr="004A6979">
                    <w:rPr>
                      <w:spacing w:val="-2"/>
                    </w:rPr>
                    <w:t>0,4</w:t>
                  </w:r>
                  <w:r>
                    <w:rPr>
                      <w:spacing w:val="-2"/>
                    </w:rPr>
                    <w:t> %), tak sebezaměstnaní (–0,7 %),</w:t>
                  </w:r>
                  <w:r w:rsidRPr="004A6979">
                    <w:rPr>
                      <w:spacing w:val="-2"/>
                    </w:rPr>
                    <w:t xml:space="preserve"> u</w:t>
                  </w:r>
                  <w:r>
                    <w:rPr>
                      <w:spacing w:val="-2"/>
                    </w:rPr>
                    <w:t> </w:t>
                  </w:r>
                  <w:r w:rsidRPr="004A6979">
                    <w:rPr>
                      <w:spacing w:val="-2"/>
                    </w:rPr>
                    <w:t>nichž hlubší pokles v primárním sektoru, ve zpracovatelském průmyslu a</w:t>
                  </w:r>
                  <w:r>
                    <w:rPr>
                      <w:spacing w:val="-2"/>
                    </w:rPr>
                    <w:t> </w:t>
                  </w:r>
                  <w:r w:rsidRPr="004A6979">
                    <w:rPr>
                      <w:spacing w:val="-2"/>
                    </w:rPr>
                    <w:t>v segmentu obchod, doprava, u</w:t>
                  </w:r>
                  <w:r>
                    <w:rPr>
                      <w:spacing w:val="-2"/>
                    </w:rPr>
                    <w:t>bytování a pohostinství převážil</w:t>
                  </w:r>
                  <w:r w:rsidRPr="004A6979">
                    <w:rPr>
                      <w:spacing w:val="-2"/>
                    </w:rPr>
                    <w:t xml:space="preserve"> </w:t>
                  </w:r>
                  <w:r>
                    <w:rPr>
                      <w:spacing w:val="-2"/>
                    </w:rPr>
                    <w:t xml:space="preserve">nad </w:t>
                  </w:r>
                  <w:r w:rsidRPr="004A6979">
                    <w:rPr>
                      <w:spacing w:val="-2"/>
                    </w:rPr>
                    <w:t>růst</w:t>
                  </w:r>
                  <w:r>
                    <w:rPr>
                      <w:spacing w:val="-2"/>
                    </w:rPr>
                    <w:t>em</w:t>
                  </w:r>
                  <w:r w:rsidRPr="004A6979">
                    <w:rPr>
                      <w:spacing w:val="-2"/>
                    </w:rPr>
                    <w:t xml:space="preserve"> ve stavebnictví, IT či </w:t>
                  </w:r>
                  <w:r>
                    <w:rPr>
                      <w:spacing w:val="-2"/>
                    </w:rPr>
                    <w:t>u </w:t>
                  </w:r>
                  <w:r w:rsidRPr="004A6979">
                    <w:rPr>
                      <w:spacing w:val="-2"/>
                    </w:rPr>
                    <w:t xml:space="preserve">nemovitostí. </w:t>
                  </w:r>
                  <w:r>
                    <w:rPr>
                      <w:spacing w:val="-2"/>
                    </w:rPr>
                    <w:t>Údaje za celé 1. čtvrtletí jsou ovlivněny relativně příznivým vývojem během ledna i února, v březnu došlo ke zhoršení</w:t>
                  </w:r>
                  <w:r w:rsidRPr="00A077CC">
                    <w:rPr>
                      <w:rStyle w:val="Znakapoznpodarou"/>
                      <w:color w:val="0D0D0D" w:themeColor="text1" w:themeTint="F2"/>
                      <w:spacing w:val="-4"/>
                    </w:rPr>
                    <w:footnoteReference w:id="2"/>
                  </w:r>
                  <w:r>
                    <w:rPr>
                      <w:spacing w:val="-2"/>
                    </w:rPr>
                    <w:t>. Vliv restrikcí je mnohem plastičtěji vyjádřen poklesem odpracovaných hodin (mezikvartálně o</w:t>
                  </w:r>
                  <w:r w:rsidRPr="004A6979">
                    <w:rPr>
                      <w:spacing w:val="-2"/>
                    </w:rPr>
                    <w:t> </w:t>
                  </w:r>
                  <w:r>
                    <w:rPr>
                      <w:spacing w:val="-2"/>
                    </w:rPr>
                    <w:t>4,7 %</w:t>
                  </w:r>
                  <w:r w:rsidRPr="00A077CC">
                    <w:rPr>
                      <w:rStyle w:val="Znakapoznpodarou"/>
                      <w:color w:val="0D0D0D" w:themeColor="text1" w:themeTint="F2"/>
                      <w:spacing w:val="-4"/>
                    </w:rPr>
                    <w:footnoteReference w:id="3"/>
                  </w:r>
                  <w:r>
                    <w:rPr>
                      <w:spacing w:val="-2"/>
                    </w:rPr>
                    <w:t>, nejvíce v dostupné řadě od roku 1996). Změnila se také k</w:t>
                  </w:r>
                  <w:r w:rsidRPr="00A077CC">
                    <w:rPr>
                      <w:spacing w:val="-4"/>
                    </w:rPr>
                    <w:t>rátkodobá očekávání v oblasti zaměstnanosti vyjadřovaná podniky v</w:t>
                  </w:r>
                  <w:r>
                    <w:rPr>
                      <w:spacing w:val="-4"/>
                    </w:rPr>
                    <w:t> </w:t>
                  </w:r>
                  <w:r w:rsidRPr="00A077CC">
                    <w:rPr>
                      <w:spacing w:val="-4"/>
                    </w:rPr>
                    <w:t>konjunkturálních šetřeních</w:t>
                  </w:r>
                  <w:r w:rsidRPr="00A077CC">
                    <w:rPr>
                      <w:rStyle w:val="Znakapoznpodarou"/>
                      <w:color w:val="0D0D0D" w:themeColor="text1" w:themeTint="F2"/>
                      <w:spacing w:val="-4"/>
                    </w:rPr>
                    <w:footnoteReference w:id="4"/>
                  </w:r>
                  <w:r>
                    <w:rPr>
                      <w:spacing w:val="-4"/>
                    </w:rPr>
                    <w:t>. V 1. čtvrtletí bylo citelnější zhoršení patrné jen v tržních službách</w:t>
                  </w:r>
                  <w:r w:rsidRPr="00A077CC">
                    <w:rPr>
                      <w:rStyle w:val="Znakapoznpodarou"/>
                      <w:color w:val="0D0D0D" w:themeColor="text1" w:themeTint="F2"/>
                      <w:spacing w:val="-4"/>
                    </w:rPr>
                    <w:footnoteReference w:id="5"/>
                  </w:r>
                  <w:r>
                    <w:rPr>
                      <w:spacing w:val="-4"/>
                    </w:rPr>
                    <w:t xml:space="preserve"> (z </w:t>
                  </w:r>
                  <w:r>
                    <w:rPr>
                      <w:spacing w:val="-2"/>
                    </w:rPr>
                    <w:t>–</w:t>
                  </w:r>
                  <w:r>
                    <w:rPr>
                      <w:spacing w:val="-4"/>
                    </w:rPr>
                    <w:t>12 bodů v prosinci 2019 na</w:t>
                  </w:r>
                  <w:r>
                    <w:rPr>
                      <w:spacing w:val="-2"/>
                    </w:rPr>
                    <w:t xml:space="preserve"> –</w:t>
                  </w:r>
                  <w:r>
                    <w:rPr>
                      <w:spacing w:val="-4"/>
                    </w:rPr>
                    <w:t>21 bodů v březnu 2020), zejména těch s vazbou na cestovní ruch. Dubnová očekávání za celou ekonomiku byla již nejslabší od října 2010, zejména vlivem náhlého zhoršení ve zpracovatelském průmyslu a obchodu</w:t>
                  </w:r>
                  <w:r w:rsidRPr="00A077CC">
                    <w:rPr>
                      <w:rStyle w:val="Znakapoznpodarou"/>
                      <w:color w:val="0D0D0D" w:themeColor="text1" w:themeTint="F2"/>
                      <w:spacing w:val="-4"/>
                    </w:rPr>
                    <w:footnoteReference w:id="6"/>
                  </w:r>
                  <w:r>
                    <w:rPr>
                      <w:spacing w:val="-4"/>
                    </w:rPr>
                    <w:t>.</w:t>
                  </w:r>
                </w:p>
              </w:tc>
            </w:tr>
            <w:tr w:rsidR="00A96422" w:rsidRPr="00B43216" w14:paraId="294A8E9F" w14:textId="77777777" w:rsidTr="0002669F">
              <w:trPr>
                <w:trHeight w:val="145"/>
              </w:trPr>
              <w:tc>
                <w:tcPr>
                  <w:tcW w:w="1792" w:type="dxa"/>
                  <w:shd w:val="clear" w:color="auto" w:fill="auto"/>
                  <w:tcMar>
                    <w:left w:w="0" w:type="dxa"/>
                  </w:tcMar>
                </w:tcPr>
                <w:p w14:paraId="191D1385" w14:textId="77777777" w:rsidR="00A96422" w:rsidRDefault="00A96422" w:rsidP="00A96422">
                  <w:pPr>
                    <w:pStyle w:val="Marginlie"/>
                  </w:pPr>
                  <w:r>
                    <w:t>Podíl podniků, pro něž představoval nedostatek pracovníků bariéru růstu, citelně klesl, především v průmyslu. Během dubna se snížil i počet cizinců registrovaných na úřadech práce.</w:t>
                  </w:r>
                </w:p>
              </w:tc>
              <w:tc>
                <w:tcPr>
                  <w:tcW w:w="216" w:type="dxa"/>
                  <w:shd w:val="clear" w:color="auto" w:fill="auto"/>
                  <w:tcMar>
                    <w:left w:w="0" w:type="dxa"/>
                  </w:tcMar>
                </w:tcPr>
                <w:p w14:paraId="0B828520" w14:textId="77777777" w:rsidR="00A96422" w:rsidRPr="00B43216" w:rsidRDefault="00A96422" w:rsidP="00A96422">
                  <w:pPr>
                    <w:pStyle w:val="Textpoznpodarou"/>
                    <w:jc w:val="both"/>
                    <w:rPr>
                      <w:spacing w:val="-4"/>
                    </w:rPr>
                  </w:pPr>
                </w:p>
              </w:tc>
              <w:tc>
                <w:tcPr>
                  <w:tcW w:w="7656" w:type="dxa"/>
                  <w:shd w:val="clear" w:color="auto" w:fill="auto"/>
                  <w:tcMar>
                    <w:left w:w="0" w:type="dxa"/>
                  </w:tcMar>
                </w:tcPr>
                <w:p w14:paraId="2939CBC2" w14:textId="77777777" w:rsidR="00A96422" w:rsidRDefault="00A96422" w:rsidP="00A96422">
                  <w:pPr>
                    <w:spacing w:after="210"/>
                    <w:rPr>
                      <w:spacing w:val="-4"/>
                    </w:rPr>
                  </w:pPr>
                  <w:r>
                    <w:rPr>
                      <w:spacing w:val="-4"/>
                    </w:rPr>
                    <w:t>Byť počet volných pracovních míst v nabídce úřadů práce zatím nedoznal významnějších změn, silné napětí na trhu práce, patrné ještě na konci loňského roku, citelně polevilo. To platilo především v průmyslu, kde na počátku 2. čtvrtletí 2020 považovala nedostatek pracovníků za významnou bariéru jen šestina podniků (o půl roku dříve 37 %). V tržních službách (mimo obchod) byly obdobné podíly 12 % a 19 %. Výjimku představovalo stavebnictví, kde tento podíl již téměř po 12 měsíců osciloval kolem 50 %. Pokles poptávky v některých odvětvích (nikoliv ve stavebnictví a v primárním sektoru), citelné omezení pendlerství i dočasné zastavení vydávání pracovních víz se projevily na počtu cizinců v zaměstnaneckém postavení registrovaných na ÚP. Zatímco během února a března jejich stavy rostly a přiblížily se 650 tis. (dosud rekordní úrovni z konce října 2019), v dubnu došlo k poklesu o 13 tis., resp. 2,1 %, zejména u mimounijních evropských pracovníků.</w:t>
                  </w:r>
                </w:p>
              </w:tc>
            </w:tr>
            <w:tr w:rsidR="00A96422" w:rsidRPr="00B43216" w14:paraId="21358C81" w14:textId="77777777" w:rsidTr="0002669F">
              <w:trPr>
                <w:trHeight w:val="145"/>
              </w:trPr>
              <w:tc>
                <w:tcPr>
                  <w:tcW w:w="1792" w:type="dxa"/>
                  <w:shd w:val="clear" w:color="auto" w:fill="auto"/>
                  <w:tcMar>
                    <w:left w:w="0" w:type="dxa"/>
                  </w:tcMar>
                </w:tcPr>
                <w:p w14:paraId="2C4E25A2" w14:textId="77777777" w:rsidR="00A96422" w:rsidRDefault="00A96422" w:rsidP="00A96422">
                  <w:pPr>
                    <w:pStyle w:val="Marginlie"/>
                  </w:pPr>
                  <w:r>
                    <w:lastRenderedPageBreak/>
                    <w:t>Míra zaměstnanosti lidí v produktivním věku meziročně mírně klesla.</w:t>
                  </w:r>
                </w:p>
              </w:tc>
              <w:tc>
                <w:tcPr>
                  <w:tcW w:w="216" w:type="dxa"/>
                  <w:shd w:val="clear" w:color="auto" w:fill="auto"/>
                  <w:tcMar>
                    <w:left w:w="0" w:type="dxa"/>
                  </w:tcMar>
                </w:tcPr>
                <w:p w14:paraId="4D067059" w14:textId="77777777" w:rsidR="00A96422" w:rsidRPr="00B43216" w:rsidRDefault="00A96422" w:rsidP="00A96422">
                  <w:pPr>
                    <w:pStyle w:val="Textpoznpodarou"/>
                    <w:jc w:val="both"/>
                    <w:rPr>
                      <w:spacing w:val="-4"/>
                    </w:rPr>
                  </w:pPr>
                </w:p>
              </w:tc>
              <w:tc>
                <w:tcPr>
                  <w:tcW w:w="7656" w:type="dxa"/>
                  <w:shd w:val="clear" w:color="auto" w:fill="auto"/>
                  <w:tcMar>
                    <w:left w:w="0" w:type="dxa"/>
                  </w:tcMar>
                </w:tcPr>
                <w:p w14:paraId="0B10DE87" w14:textId="77777777" w:rsidR="00A96422" w:rsidRPr="00A077CC" w:rsidRDefault="00A96422" w:rsidP="00A96422">
                  <w:pPr>
                    <w:spacing w:after="210"/>
                    <w:rPr>
                      <w:spacing w:val="-4"/>
                    </w:rPr>
                  </w:pPr>
                  <w:r>
                    <w:rPr>
                      <w:spacing w:val="-2"/>
                    </w:rPr>
                    <w:t>V 1. čtvrtletí 2020 dosahovala míra zaměstnanosti osob ve věku 15 až 64 let (dle sezónně očištěných údajů z VŠPS) 75,2 % a ve srovnání s koncem loňského roku se nezměnila. V meziroční relaci došlo k mírnému poklesu již druhé čtvrtletí v řadě (předtím se zaměstnanost snižovala naposledy v první polovině roku 2010). Rychleji klesla letos míra u žen (–0,3 p. b.) než u mužů (–0,1 p. b.). Trend snižování rozdílu míry zaměstnanosti mezi pohlavími, patrný po celou poslední dekádu, se tak zřejmě dočasně zastavil.</w:t>
                  </w:r>
                </w:p>
              </w:tc>
            </w:tr>
            <w:tr w:rsidR="00A96422" w:rsidRPr="00B43216" w14:paraId="147657B4" w14:textId="77777777" w:rsidTr="0002669F">
              <w:trPr>
                <w:trHeight w:val="145"/>
              </w:trPr>
              <w:tc>
                <w:tcPr>
                  <w:tcW w:w="1792" w:type="dxa"/>
                  <w:shd w:val="clear" w:color="auto" w:fill="auto"/>
                  <w:tcMar>
                    <w:left w:w="0" w:type="dxa"/>
                  </w:tcMar>
                </w:tcPr>
                <w:p w14:paraId="1E5BF1D4" w14:textId="77777777" w:rsidR="00A96422" w:rsidRDefault="00A96422" w:rsidP="00A96422">
                  <w:pPr>
                    <w:pStyle w:val="Marginlie"/>
                  </w:pPr>
                </w:p>
              </w:tc>
              <w:tc>
                <w:tcPr>
                  <w:tcW w:w="216" w:type="dxa"/>
                  <w:shd w:val="clear" w:color="auto" w:fill="auto"/>
                  <w:tcMar>
                    <w:left w:w="0" w:type="dxa"/>
                  </w:tcMar>
                </w:tcPr>
                <w:p w14:paraId="48591800" w14:textId="77777777" w:rsidR="00A96422" w:rsidRPr="00B43216" w:rsidRDefault="00A96422" w:rsidP="00A96422">
                  <w:pPr>
                    <w:pStyle w:val="Textpoznpodarou"/>
                    <w:jc w:val="both"/>
                    <w:rPr>
                      <w:spacing w:val="-4"/>
                    </w:rPr>
                  </w:pPr>
                </w:p>
              </w:tc>
              <w:tc>
                <w:tcPr>
                  <w:tcW w:w="7656" w:type="dxa"/>
                  <w:shd w:val="clear" w:color="auto" w:fill="auto"/>
                  <w:tcMar>
                    <w:left w:w="0" w:type="dxa"/>
                  </w:tcMar>
                </w:tcPr>
                <w:p w14:paraId="1CFA8481" w14:textId="77777777" w:rsidR="00A96422" w:rsidRDefault="00A96422" w:rsidP="00A96422">
                  <w:pPr>
                    <w:spacing w:after="0"/>
                    <w:rPr>
                      <w:spacing w:val="-2"/>
                    </w:rPr>
                  </w:pPr>
                  <w:r w:rsidRPr="0068569E">
                    <w:rPr>
                      <w:rFonts w:cs="Arial"/>
                      <w:b/>
                      <w:bCs/>
                      <w:color w:val="000000"/>
                      <w:szCs w:val="20"/>
                    </w:rPr>
                    <w:t>Graf č. 13</w:t>
                  </w:r>
                  <w:r w:rsidRPr="0068569E">
                    <w:rPr>
                      <w:rFonts w:cs="Arial"/>
                      <w:b/>
                      <w:bCs/>
                      <w:color w:val="000000"/>
                      <w:sz w:val="18"/>
                      <w:szCs w:val="18"/>
                    </w:rPr>
                    <w:t xml:space="preserve">  </w:t>
                  </w:r>
                  <w:r w:rsidRPr="0068569E">
                    <w:rPr>
                      <w:b/>
                      <w:bCs/>
                      <w:lang w:eastAsia="en-US"/>
                    </w:rPr>
                    <w:t xml:space="preserve">Celková zaměstnanost </w:t>
                  </w:r>
                  <w:r w:rsidRPr="0068569E">
                    <w:rPr>
                      <w:lang w:eastAsia="en-US"/>
                    </w:rPr>
                    <w:t>(</w:t>
                  </w:r>
                  <w:r w:rsidRPr="0068569E">
                    <w:rPr>
                      <w:spacing w:val="-2"/>
                    </w:rPr>
                    <w:t>meziročně v</w:t>
                  </w:r>
                  <w:r>
                    <w:rPr>
                      <w:spacing w:val="-2"/>
                    </w:rPr>
                    <w:t> %</w:t>
                  </w:r>
                  <w:r w:rsidRPr="0068569E">
                    <w:rPr>
                      <w:spacing w:val="-2"/>
                    </w:rPr>
                    <w:t>)</w:t>
                  </w:r>
                  <w:r w:rsidRPr="0068569E">
                    <w:rPr>
                      <w:b/>
                      <w:bCs/>
                      <w:spacing w:val="-2"/>
                    </w:rPr>
                    <w:t xml:space="preserve">, </w:t>
                  </w:r>
                  <w:r>
                    <w:rPr>
                      <w:b/>
                      <w:bCs/>
                      <w:spacing w:val="-2"/>
                    </w:rPr>
                    <w:t xml:space="preserve">příspěvky </w:t>
                  </w:r>
                  <w:r w:rsidRPr="0068569E">
                    <w:rPr>
                      <w:b/>
                      <w:bCs/>
                      <w:spacing w:val="-2"/>
                    </w:rPr>
                    <w:t xml:space="preserve">odvětví k meziroční změně zaměstnanosti </w:t>
                  </w:r>
                  <w:r w:rsidRPr="0068569E">
                    <w:rPr>
                      <w:spacing w:val="-2"/>
                    </w:rPr>
                    <w:t>(v</w:t>
                  </w:r>
                  <w:r>
                    <w:rPr>
                      <w:spacing w:val="-2"/>
                    </w:rPr>
                    <w:t> p. b.</w:t>
                  </w:r>
                  <w:r w:rsidRPr="0068569E">
                    <w:rPr>
                      <w:spacing w:val="-2"/>
                    </w:rPr>
                    <w:t>)</w:t>
                  </w:r>
                  <w:r w:rsidRPr="0068569E">
                    <w:rPr>
                      <w:b/>
                      <w:bCs/>
                      <w:spacing w:val="-2"/>
                    </w:rPr>
                    <w:t xml:space="preserve"> a očekávání vývoje zaměst</w:t>
                  </w:r>
                  <w:r>
                    <w:rPr>
                      <w:b/>
                      <w:bCs/>
                      <w:spacing w:val="-2"/>
                    </w:rPr>
                    <w:t>nanosti</w:t>
                  </w:r>
                  <w:r w:rsidRPr="0068569E">
                    <w:rPr>
                      <w:b/>
                      <w:bCs/>
                      <w:spacing w:val="-2"/>
                    </w:rPr>
                    <w:t xml:space="preserve"> </w:t>
                  </w:r>
                  <w:r w:rsidRPr="0068569E">
                    <w:rPr>
                      <w:spacing w:val="-2"/>
                    </w:rPr>
                    <w:t>(saldo v</w:t>
                  </w:r>
                  <w:r>
                    <w:rPr>
                      <w:spacing w:val="-2"/>
                    </w:rPr>
                    <w:t> p. b.)</w:t>
                  </w:r>
                </w:p>
                <w:p w14:paraId="51BA0DCC" w14:textId="77777777" w:rsidR="00A96422" w:rsidRDefault="00A96422" w:rsidP="00A96422">
                  <w:pPr>
                    <w:spacing w:after="0"/>
                    <w:rPr>
                      <w:spacing w:val="-4"/>
                    </w:rPr>
                  </w:pPr>
                  <w:r>
                    <w:rPr>
                      <w:noProof/>
                    </w:rPr>
                    <w:drawing>
                      <wp:inline distT="0" distB="0" distL="0" distR="0" wp14:anchorId="20DA9BAA" wp14:editId="7D928EBD">
                        <wp:extent cx="4741545" cy="3382719"/>
                        <wp:effectExtent l="0" t="0" r="1905" b="8255"/>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9B02924" w14:textId="77777777" w:rsidR="00A96422" w:rsidRDefault="00A96422" w:rsidP="00A96422">
                  <w:pPr>
                    <w:spacing w:after="0" w:line="240" w:lineRule="auto"/>
                    <w:rPr>
                      <w:rFonts w:cs="Arial"/>
                      <w:sz w:val="14"/>
                      <w:szCs w:val="14"/>
                    </w:rPr>
                  </w:pPr>
                  <w:r w:rsidRPr="004E68B1">
                    <w:rPr>
                      <w:spacing w:val="-4"/>
                      <w:sz w:val="14"/>
                      <w:szCs w:val="14"/>
                    </w:rPr>
                    <w:t>*</w:t>
                  </w:r>
                  <w:r w:rsidRPr="00862F17">
                    <w:rPr>
                      <w:rFonts w:cs="Arial"/>
                      <w:sz w:val="14"/>
                      <w:szCs w:val="14"/>
                    </w:rPr>
                    <w:t>Těžba a</w:t>
                  </w:r>
                  <w:r>
                    <w:rPr>
                      <w:rFonts w:cs="Arial"/>
                      <w:sz w:val="14"/>
                      <w:szCs w:val="14"/>
                    </w:rPr>
                    <w:t> </w:t>
                  </w:r>
                  <w:r w:rsidRPr="00862F17">
                    <w:rPr>
                      <w:rFonts w:cs="Arial"/>
                      <w:sz w:val="14"/>
                      <w:szCs w:val="14"/>
                    </w:rPr>
                    <w:t>energetika, Peněžnictví a</w:t>
                  </w:r>
                  <w:r>
                    <w:rPr>
                      <w:rFonts w:cs="Arial"/>
                      <w:sz w:val="14"/>
                      <w:szCs w:val="14"/>
                    </w:rPr>
                    <w:t> </w:t>
                  </w:r>
                  <w:r w:rsidRPr="00862F17">
                    <w:rPr>
                      <w:rFonts w:cs="Arial"/>
                      <w:sz w:val="14"/>
                      <w:szCs w:val="14"/>
                    </w:rPr>
                    <w:t>pojišťovnictví, Činnosti v</w:t>
                  </w:r>
                  <w:r>
                    <w:rPr>
                      <w:rFonts w:cs="Arial"/>
                      <w:sz w:val="14"/>
                      <w:szCs w:val="14"/>
                    </w:rPr>
                    <w:t> </w:t>
                  </w:r>
                  <w:r w:rsidRPr="00862F17">
                    <w:rPr>
                      <w:rFonts w:cs="Arial"/>
                      <w:sz w:val="14"/>
                      <w:szCs w:val="14"/>
                    </w:rPr>
                    <w:t>oblasti nemovitostí, Kulturní, zábavní a</w:t>
                  </w:r>
                  <w:r w:rsidRPr="00D47653">
                    <w:rPr>
                      <w:sz w:val="14"/>
                      <w:szCs w:val="14"/>
                    </w:rPr>
                    <w:t> </w:t>
                  </w:r>
                  <w:r w:rsidRPr="00862F17">
                    <w:rPr>
                      <w:rFonts w:cs="Arial"/>
                      <w:sz w:val="14"/>
                      <w:szCs w:val="14"/>
                    </w:rPr>
                    <w:t>rekreační činnosti</w:t>
                  </w:r>
                  <w:r>
                    <w:rPr>
                      <w:rFonts w:cs="Arial"/>
                      <w:sz w:val="14"/>
                      <w:szCs w:val="14"/>
                    </w:rPr>
                    <w:t>.</w:t>
                  </w:r>
                </w:p>
                <w:p w14:paraId="262748B5" w14:textId="77777777" w:rsidR="00A96422" w:rsidRDefault="00A96422" w:rsidP="00A96422">
                  <w:pPr>
                    <w:spacing w:after="0" w:line="240" w:lineRule="auto"/>
                    <w:rPr>
                      <w:rFonts w:cs="Arial"/>
                      <w:sz w:val="14"/>
                      <w:szCs w:val="14"/>
                    </w:rPr>
                  </w:pPr>
                  <w:r>
                    <w:rPr>
                      <w:rFonts w:cs="Arial"/>
                      <w:sz w:val="14"/>
                      <w:szCs w:val="14"/>
                    </w:rPr>
                    <w:t xml:space="preserve">Poznámka: Saldo </w:t>
                  </w:r>
                  <w:r>
                    <w:rPr>
                      <w:rFonts w:cs="Arial"/>
                      <w:color w:val="0D0D0D" w:themeColor="text1" w:themeTint="F2"/>
                      <w:sz w:val="14"/>
                      <w:szCs w:val="14"/>
                    </w:rPr>
                    <w:t>očekávání vyjadřuje rozdíl v p. b. mezi kategoriemi růst versus pokles zaměstnanosti v nejbližších třech měsících. Údaje jsou sezónně očištěny a vztahují se k poslednímu měsíci daného čtvrtletí.</w:t>
                  </w:r>
                </w:p>
                <w:p w14:paraId="4C1D208B" w14:textId="77777777" w:rsidR="00A96422" w:rsidRPr="00C10649" w:rsidRDefault="00A96422" w:rsidP="00A96422">
                  <w:pPr>
                    <w:spacing w:after="200"/>
                    <w:rPr>
                      <w:spacing w:val="-4"/>
                    </w:rPr>
                  </w:pPr>
                  <w:r w:rsidRPr="00862F17">
                    <w:rPr>
                      <w:rFonts w:cs="Arial"/>
                      <w:sz w:val="14"/>
                      <w:szCs w:val="14"/>
                    </w:rPr>
                    <w:t>Zdroj: ČSÚ (národní účty</w:t>
                  </w:r>
                  <w:r>
                    <w:rPr>
                      <w:rFonts w:cs="Arial"/>
                      <w:sz w:val="14"/>
                      <w:szCs w:val="14"/>
                    </w:rPr>
                    <w:t>, konjunkturální průzkumy)</w:t>
                  </w:r>
                </w:p>
              </w:tc>
            </w:tr>
            <w:tr w:rsidR="00A96422" w:rsidRPr="00B43216" w14:paraId="30B80609" w14:textId="77777777" w:rsidTr="0002669F">
              <w:trPr>
                <w:trHeight w:val="145"/>
              </w:trPr>
              <w:tc>
                <w:tcPr>
                  <w:tcW w:w="1792" w:type="dxa"/>
                  <w:shd w:val="clear" w:color="auto" w:fill="auto"/>
                  <w:tcMar>
                    <w:left w:w="0" w:type="dxa"/>
                  </w:tcMar>
                </w:tcPr>
                <w:p w14:paraId="1B0F5AC0" w14:textId="77777777" w:rsidR="00A96422" w:rsidRDefault="00A96422" w:rsidP="00A96422">
                  <w:pPr>
                    <w:pStyle w:val="Marginlie"/>
                  </w:pPr>
                  <w:r>
                    <w:t>Obecná míra nezaměstnanosti během 1. čtvrtletí stagnovala. Mírně vzrostla až v dubnu, kdy prudce posílily obavy domácností z růstu nezaměstnanosti.</w:t>
                  </w:r>
                </w:p>
              </w:tc>
              <w:tc>
                <w:tcPr>
                  <w:tcW w:w="216" w:type="dxa"/>
                  <w:shd w:val="clear" w:color="auto" w:fill="auto"/>
                  <w:tcMar>
                    <w:left w:w="0" w:type="dxa"/>
                  </w:tcMar>
                </w:tcPr>
                <w:p w14:paraId="371940BB" w14:textId="77777777" w:rsidR="00A96422" w:rsidRPr="00B43216" w:rsidRDefault="00A96422" w:rsidP="00A96422">
                  <w:pPr>
                    <w:pStyle w:val="Textpoznpodarou"/>
                    <w:jc w:val="both"/>
                    <w:rPr>
                      <w:spacing w:val="-4"/>
                    </w:rPr>
                  </w:pPr>
                </w:p>
              </w:tc>
              <w:tc>
                <w:tcPr>
                  <w:tcW w:w="7656" w:type="dxa"/>
                  <w:shd w:val="clear" w:color="auto" w:fill="auto"/>
                  <w:tcMar>
                    <w:left w:w="0" w:type="dxa"/>
                  </w:tcMar>
                </w:tcPr>
                <w:p w14:paraId="5ED51CA0" w14:textId="77777777" w:rsidR="00A96422" w:rsidRPr="00C10649" w:rsidRDefault="00A96422" w:rsidP="00A96422">
                  <w:pPr>
                    <w:spacing w:after="0"/>
                    <w:rPr>
                      <w:spacing w:val="-4"/>
                    </w:rPr>
                  </w:pPr>
                  <w:r w:rsidRPr="00C10649">
                    <w:rPr>
                      <w:spacing w:val="-4"/>
                    </w:rPr>
                    <w:t>Obecná míra nezaměstnanosti</w:t>
                  </w:r>
                  <w:r w:rsidRPr="00C10649">
                    <w:rPr>
                      <w:rStyle w:val="Znakapoznpodarou"/>
                      <w:color w:val="0D0D0D" w:themeColor="text1" w:themeTint="F2"/>
                      <w:spacing w:val="-4"/>
                    </w:rPr>
                    <w:footnoteReference w:id="7"/>
                  </w:r>
                  <w:r w:rsidRPr="00C10649">
                    <w:rPr>
                      <w:spacing w:val="-4"/>
                    </w:rPr>
                    <w:t xml:space="preserve"> se během 1.</w:t>
                  </w:r>
                  <w:r>
                    <w:rPr>
                      <w:spacing w:val="-4"/>
                    </w:rPr>
                    <w:t> čtvrtlet</w:t>
                  </w:r>
                  <w:r w:rsidRPr="00C10649">
                    <w:rPr>
                      <w:spacing w:val="-4"/>
                    </w:rPr>
                    <w:t>í 2020 (podobně jako po celý loňský rok) prakticky nezmě</w:t>
                  </w:r>
                  <w:r>
                    <w:rPr>
                      <w:spacing w:val="-4"/>
                    </w:rPr>
                    <w:t>nila. K mírnému navýšení došlo až v </w:t>
                  </w:r>
                  <w:r w:rsidRPr="00C10649">
                    <w:rPr>
                      <w:spacing w:val="-4"/>
                    </w:rPr>
                    <w:t>dubnu (o</w:t>
                  </w:r>
                  <w:r>
                    <w:rPr>
                      <w:spacing w:val="-4"/>
                    </w:rPr>
                    <w:t> </w:t>
                  </w:r>
                  <w:r w:rsidRPr="00C10649">
                    <w:rPr>
                      <w:spacing w:val="-4"/>
                    </w:rPr>
                    <w:t>0,3</w:t>
                  </w:r>
                  <w:r>
                    <w:rPr>
                      <w:spacing w:val="-4"/>
                    </w:rPr>
                    <w:t> p. b.</w:t>
                  </w:r>
                  <w:r w:rsidRPr="00C10649">
                    <w:rPr>
                      <w:spacing w:val="-4"/>
                    </w:rPr>
                    <w:t xml:space="preserve"> na 2,3</w:t>
                  </w:r>
                  <w:r>
                    <w:rPr>
                      <w:spacing w:val="-4"/>
                    </w:rPr>
                    <w:t> %</w:t>
                  </w:r>
                  <w:r w:rsidRPr="00C10649">
                    <w:rPr>
                      <w:spacing w:val="-4"/>
                    </w:rPr>
                    <w:t>), a</w:t>
                  </w:r>
                  <w:r>
                    <w:rPr>
                      <w:spacing w:val="-4"/>
                    </w:rPr>
                    <w:t> </w:t>
                  </w:r>
                  <w:r w:rsidRPr="00C10649">
                    <w:rPr>
                      <w:spacing w:val="-4"/>
                    </w:rPr>
                    <w:t>to primárně vlivem vývoje u</w:t>
                  </w:r>
                  <w:r>
                    <w:rPr>
                      <w:spacing w:val="-4"/>
                    </w:rPr>
                    <w:t> </w:t>
                  </w:r>
                  <w:r w:rsidRPr="00C10649">
                    <w:rPr>
                      <w:spacing w:val="-4"/>
                    </w:rPr>
                    <w:t>žen (+0,5</w:t>
                  </w:r>
                  <w:r>
                    <w:rPr>
                      <w:spacing w:val="-4"/>
                    </w:rPr>
                    <w:t> p. b.</w:t>
                  </w:r>
                  <w:r w:rsidRPr="00C10649">
                    <w:rPr>
                      <w:spacing w:val="-4"/>
                    </w:rPr>
                    <w:t>). To souvisí s</w:t>
                  </w:r>
                  <w:r>
                    <w:rPr>
                      <w:spacing w:val="-4"/>
                    </w:rPr>
                    <w:t> </w:t>
                  </w:r>
                  <w:r w:rsidRPr="00C10649">
                    <w:rPr>
                      <w:spacing w:val="-4"/>
                    </w:rPr>
                    <w:t>tím, že prvotní dopady restriktivních opatření citelněji zasáhly odvětví většin</w:t>
                  </w:r>
                  <w:r>
                    <w:rPr>
                      <w:spacing w:val="-4"/>
                    </w:rPr>
                    <w:t>y</w:t>
                  </w:r>
                  <w:r w:rsidRPr="00C10649">
                    <w:rPr>
                      <w:spacing w:val="-4"/>
                    </w:rPr>
                    <w:t xml:space="preserve"> tržních služeb. I</w:t>
                  </w:r>
                  <w:r>
                    <w:rPr>
                      <w:spacing w:val="-4"/>
                    </w:rPr>
                    <w:t> </w:t>
                  </w:r>
                  <w:r w:rsidRPr="00C10649">
                    <w:rPr>
                      <w:spacing w:val="-4"/>
                    </w:rPr>
                    <w:t>tak se ale nezaměstnanost žen výrazně neod</w:t>
                  </w:r>
                  <w:r>
                    <w:rPr>
                      <w:spacing w:val="-4"/>
                    </w:rPr>
                    <w:t>chylovala o</w:t>
                  </w:r>
                  <w:r w:rsidRPr="00C10649">
                    <w:rPr>
                      <w:spacing w:val="-4"/>
                    </w:rPr>
                    <w:t>d hodnot z jarního období roku 2019. Pozitivní bylo i</w:t>
                  </w:r>
                  <w:r>
                    <w:rPr>
                      <w:spacing w:val="-4"/>
                    </w:rPr>
                    <w:t> </w:t>
                  </w:r>
                  <w:r w:rsidRPr="00C10649">
                    <w:rPr>
                      <w:spacing w:val="-4"/>
                    </w:rPr>
                    <w:t>to, že dále mírně klesal</w:t>
                  </w:r>
                  <w:r>
                    <w:rPr>
                      <w:spacing w:val="-4"/>
                    </w:rPr>
                    <w:t xml:space="preserve"> podíl</w:t>
                  </w:r>
                  <w:r w:rsidRPr="00C10649">
                    <w:rPr>
                      <w:spacing w:val="-4"/>
                    </w:rPr>
                    <w:t xml:space="preserve"> dlouhodobě nezaměstnaných</w:t>
                  </w:r>
                  <w:r>
                    <w:rPr>
                      <w:spacing w:val="-4"/>
                    </w:rPr>
                    <w:t> </w:t>
                  </w:r>
                  <w:r w:rsidRPr="00C10649">
                    <w:rPr>
                      <w:spacing w:val="-4"/>
                    </w:rPr>
                    <w:t>– v 1.</w:t>
                  </w:r>
                  <w:r>
                    <w:rPr>
                      <w:spacing w:val="-4"/>
                    </w:rPr>
                    <w:t> čtvrtlet</w:t>
                  </w:r>
                  <w:r w:rsidRPr="00C10649">
                    <w:rPr>
                      <w:spacing w:val="-4"/>
                    </w:rPr>
                    <w:t>í na 27</w:t>
                  </w:r>
                  <w:r>
                    <w:rPr>
                      <w:spacing w:val="-4"/>
                    </w:rPr>
                    <w:t>,0 %</w:t>
                  </w:r>
                  <w:r w:rsidRPr="00C10649">
                    <w:rPr>
                      <w:spacing w:val="-4"/>
                    </w:rPr>
                    <w:t xml:space="preserve"> ze všech nezaměstnaných, tedy blízko hi</w:t>
                  </w:r>
                  <w:r>
                    <w:rPr>
                      <w:spacing w:val="-4"/>
                    </w:rPr>
                    <w:t>storických minim v éře</w:t>
                  </w:r>
                  <w:r w:rsidRPr="00C10649">
                    <w:rPr>
                      <w:spacing w:val="-4"/>
                    </w:rPr>
                    <w:t xml:space="preserve"> ČR. Obavy domácností z růstu nezaměstnanosti </w:t>
                  </w:r>
                  <w:r>
                    <w:rPr>
                      <w:spacing w:val="-4"/>
                    </w:rPr>
                    <w:t>v nejbližších 12 </w:t>
                  </w:r>
                  <w:r w:rsidRPr="00C10649">
                    <w:rPr>
                      <w:spacing w:val="-4"/>
                    </w:rPr>
                    <w:t>měsících</w:t>
                  </w:r>
                  <w:r>
                    <w:rPr>
                      <w:spacing w:val="-4"/>
                    </w:rPr>
                    <w:t>,</w:t>
                  </w:r>
                  <w:r w:rsidRPr="00C10649">
                    <w:rPr>
                      <w:spacing w:val="-4"/>
                    </w:rPr>
                    <w:t xml:space="preserve"> </w:t>
                  </w:r>
                  <w:r>
                    <w:rPr>
                      <w:spacing w:val="-4"/>
                    </w:rPr>
                    <w:t>uvedené</w:t>
                  </w:r>
                  <w:r w:rsidRPr="00C10649">
                    <w:rPr>
                      <w:spacing w:val="-4"/>
                    </w:rPr>
                    <w:t xml:space="preserve"> v konjunkturálních šetřeních</w:t>
                  </w:r>
                  <w:r>
                    <w:rPr>
                      <w:spacing w:val="-4"/>
                    </w:rPr>
                    <w:t>, v dubnu prudce vzrostly (o 42 p. b. na 58 bodů, nejvíce v historii sledování od roku 1995), v květnu v souvislosti s postupným uvolňováním restrikcí došlo k mírnému „zklidnění“ (49 bodů).</w:t>
                  </w:r>
                </w:p>
              </w:tc>
            </w:tr>
            <w:tr w:rsidR="00A96422" w:rsidRPr="00B43216" w14:paraId="29CCCD3E" w14:textId="77777777" w:rsidTr="0002669F">
              <w:trPr>
                <w:trHeight w:val="145"/>
              </w:trPr>
              <w:tc>
                <w:tcPr>
                  <w:tcW w:w="1792" w:type="dxa"/>
                  <w:shd w:val="clear" w:color="auto" w:fill="auto"/>
                  <w:tcMar>
                    <w:left w:w="0" w:type="dxa"/>
                  </w:tcMar>
                </w:tcPr>
                <w:p w14:paraId="1ECC4DEE" w14:textId="77777777" w:rsidR="00A96422" w:rsidRDefault="00A96422" w:rsidP="00A96422">
                  <w:pPr>
                    <w:pStyle w:val="Marginlie"/>
                  </w:pPr>
                  <w:r>
                    <w:lastRenderedPageBreak/>
                    <w:t>Míra nezaměstnanosti vzrostla od počátku roku ve většině zemí EU jen mírně. Naopak v USA již došlo k prudké reakci trhu práce.</w:t>
                  </w:r>
                </w:p>
              </w:tc>
              <w:tc>
                <w:tcPr>
                  <w:tcW w:w="216" w:type="dxa"/>
                  <w:shd w:val="clear" w:color="auto" w:fill="auto"/>
                  <w:tcMar>
                    <w:left w:w="0" w:type="dxa"/>
                  </w:tcMar>
                </w:tcPr>
                <w:p w14:paraId="1ED661F4" w14:textId="77777777" w:rsidR="00A96422" w:rsidRPr="00B43216" w:rsidRDefault="00A96422" w:rsidP="00A96422">
                  <w:pPr>
                    <w:pStyle w:val="Textpoznpodarou"/>
                    <w:jc w:val="both"/>
                    <w:rPr>
                      <w:spacing w:val="-4"/>
                    </w:rPr>
                  </w:pPr>
                </w:p>
              </w:tc>
              <w:tc>
                <w:tcPr>
                  <w:tcW w:w="7656" w:type="dxa"/>
                  <w:shd w:val="clear" w:color="auto" w:fill="auto"/>
                  <w:tcMar>
                    <w:left w:w="0" w:type="dxa"/>
                  </w:tcMar>
                </w:tcPr>
                <w:p w14:paraId="217893DA" w14:textId="77777777" w:rsidR="00A96422" w:rsidRPr="004E68B1" w:rsidRDefault="00A96422" w:rsidP="00A96422">
                  <w:pPr>
                    <w:spacing w:after="210"/>
                    <w:rPr>
                      <w:spacing w:val="-4"/>
                    </w:rPr>
                  </w:pPr>
                  <w:r w:rsidRPr="004E68B1">
                    <w:rPr>
                      <w:spacing w:val="-4"/>
                    </w:rPr>
                    <w:t>V celé EU činila v dubnu 2020 obecná míra nezaměstnanosti</w:t>
                  </w:r>
                  <w:r w:rsidRPr="004E68B1">
                    <w:rPr>
                      <w:rStyle w:val="Znakapoznpodarou"/>
                      <w:color w:val="0D0D0D" w:themeColor="text1" w:themeTint="F2"/>
                      <w:spacing w:val="-4"/>
                    </w:rPr>
                    <w:footnoteReference w:id="8"/>
                  </w:r>
                  <w:r w:rsidRPr="004E68B1">
                    <w:rPr>
                      <w:spacing w:val="-4"/>
                    </w:rPr>
                    <w:t xml:space="preserve"> 6,6 %, meziměsíčně se zvýšila o 0,2 p. b., od počátku roku o 0,1 p. b. Proti konci loňského roku došlo k nejvyššímu růstu</w:t>
                  </w:r>
                  <w:r w:rsidRPr="004E68B1">
                    <w:rPr>
                      <w:rStyle w:val="Znakapoznpodarou"/>
                      <w:color w:val="0D0D0D" w:themeColor="text1" w:themeTint="F2"/>
                      <w:spacing w:val="-4"/>
                    </w:rPr>
                    <w:footnoteReference w:id="9"/>
                  </w:r>
                  <w:r w:rsidRPr="004E68B1">
                    <w:rPr>
                      <w:spacing w:val="-4"/>
                    </w:rPr>
                    <w:t xml:space="preserve"> na Kypru (2,6 p. b.), v Lotyšsku (2,5) a Litvě (2,2). V dalších šesti zemích se nárůst pohyboval v pásmu 1 až 2 p. b., například na Slovensku (z 5,6 % na 6,8 %), z větších ekonomik ve Španělsku (z 13,7 % na 14,8 %). Jen malý pohyb </w:t>
                  </w:r>
                  <w:r>
                    <w:rPr>
                      <w:spacing w:val="-4"/>
                    </w:rPr>
                    <w:t>mělo</w:t>
                  </w:r>
                  <w:r w:rsidRPr="004E68B1">
                    <w:rPr>
                      <w:spacing w:val="-4"/>
                    </w:rPr>
                    <w:t xml:space="preserve"> Německo (+0,2 p. b.), v Polsku nezaměstnanost stagnovala na historickém minimu (2,9 %). V některých zemích více zasáhla nezaměstnanost specifické skupiny pracovníků (např</w:t>
                  </w:r>
                  <w:r>
                    <w:rPr>
                      <w:spacing w:val="-4"/>
                    </w:rPr>
                    <w:t>.</w:t>
                  </w:r>
                  <w:r w:rsidRPr="004E68B1">
                    <w:rPr>
                      <w:spacing w:val="-4"/>
                    </w:rPr>
                    <w:t xml:space="preserve"> v Bulharsku mladé do 25 let). I přes pozdější nástup restriktivních opatření došlo v USA (proti Evropě či Japonsku) k prudkému nárůstu míry nezaměstnanosti (ze 4,4 % v březnu na 14,7 % v dubnu).</w:t>
                  </w:r>
                </w:p>
              </w:tc>
            </w:tr>
            <w:tr w:rsidR="00A96422" w:rsidRPr="00B43216" w14:paraId="6CFEDC63" w14:textId="77777777" w:rsidTr="0002669F">
              <w:trPr>
                <w:trHeight w:val="145"/>
              </w:trPr>
              <w:tc>
                <w:tcPr>
                  <w:tcW w:w="1792" w:type="dxa"/>
                  <w:shd w:val="clear" w:color="auto" w:fill="auto"/>
                  <w:tcMar>
                    <w:left w:w="0" w:type="dxa"/>
                  </w:tcMar>
                </w:tcPr>
                <w:p w14:paraId="30EA7C18" w14:textId="77777777" w:rsidR="00A96422" w:rsidRDefault="00A96422" w:rsidP="00A96422">
                  <w:pPr>
                    <w:pStyle w:val="Marginlie"/>
                  </w:pPr>
                  <w:r>
                    <w:t>Nízká hladina nezaměstnanosti přetrvala i vlivem odchodu propuštěných osob do neaktivity.</w:t>
                  </w:r>
                </w:p>
              </w:tc>
              <w:tc>
                <w:tcPr>
                  <w:tcW w:w="216" w:type="dxa"/>
                  <w:shd w:val="clear" w:color="auto" w:fill="auto"/>
                  <w:tcMar>
                    <w:left w:w="0" w:type="dxa"/>
                  </w:tcMar>
                </w:tcPr>
                <w:p w14:paraId="2EA783E1" w14:textId="77777777" w:rsidR="00A96422" w:rsidRPr="00B43216" w:rsidRDefault="00A96422" w:rsidP="00A96422">
                  <w:pPr>
                    <w:pStyle w:val="Textpoznpodarou"/>
                    <w:jc w:val="both"/>
                    <w:rPr>
                      <w:spacing w:val="-4"/>
                    </w:rPr>
                  </w:pPr>
                </w:p>
              </w:tc>
              <w:tc>
                <w:tcPr>
                  <w:tcW w:w="7656" w:type="dxa"/>
                  <w:shd w:val="clear" w:color="auto" w:fill="auto"/>
                  <w:tcMar>
                    <w:left w:w="0" w:type="dxa"/>
                  </w:tcMar>
                </w:tcPr>
                <w:p w14:paraId="6B7B1C70" w14:textId="77777777" w:rsidR="00A96422" w:rsidRPr="008E5287" w:rsidRDefault="00A96422" w:rsidP="00A96422">
                  <w:pPr>
                    <w:spacing w:after="210"/>
                    <w:rPr>
                      <w:spacing w:val="-3"/>
                    </w:rPr>
                  </w:pPr>
                  <w:r>
                    <w:rPr>
                      <w:spacing w:val="-3"/>
                    </w:rPr>
                    <w:t>Vedle vládních opatření (např. kurzarbeit či čerpání ošetřovného pro osoby pečující o děti školního věku) je jedním z důvodů</w:t>
                  </w:r>
                  <w:r w:rsidRPr="008E5287">
                    <w:rPr>
                      <w:spacing w:val="-3"/>
                    </w:rPr>
                    <w:t xml:space="preserve"> stability nezaměstnanosti v Česku </w:t>
                  </w:r>
                  <w:r>
                    <w:rPr>
                      <w:spacing w:val="-3"/>
                    </w:rPr>
                    <w:t>také</w:t>
                  </w:r>
                  <w:r w:rsidRPr="008E5287">
                    <w:rPr>
                      <w:spacing w:val="-3"/>
                    </w:rPr>
                    <w:t xml:space="preserve"> fakt, že část osob, které přišly o své zaměstnání, již nemusela usilovat o</w:t>
                  </w:r>
                  <w:r>
                    <w:rPr>
                      <w:spacing w:val="-3"/>
                    </w:rPr>
                    <w:t> </w:t>
                  </w:r>
                  <w:r w:rsidRPr="008E5287">
                    <w:rPr>
                      <w:spacing w:val="-3"/>
                    </w:rPr>
                    <w:t>okamžitý návrat na tuzemský pracovní trh (pracující studenti, senioři, cizinci)</w:t>
                  </w:r>
                  <w:r w:rsidRPr="008E5287">
                    <w:rPr>
                      <w:rStyle w:val="Znakapoznpodarou"/>
                      <w:color w:val="0D0D0D" w:themeColor="text1" w:themeTint="F2"/>
                      <w:spacing w:val="-3"/>
                    </w:rPr>
                    <w:footnoteReference w:id="10"/>
                  </w:r>
                  <w:r w:rsidRPr="008E5287">
                    <w:rPr>
                      <w:spacing w:val="-3"/>
                    </w:rPr>
                    <w:t>. Někteří zaměstnanci v silně zasažených odvětvích služeb uvyklí na flexibilnější režim</w:t>
                  </w:r>
                  <w:r w:rsidRPr="008E5287">
                    <w:rPr>
                      <w:rStyle w:val="Znakapoznpodarou"/>
                      <w:color w:val="0D0D0D" w:themeColor="text1" w:themeTint="F2"/>
                      <w:spacing w:val="-3"/>
                    </w:rPr>
                    <w:footnoteReference w:id="11"/>
                  </w:r>
                  <w:r w:rsidRPr="008E5287">
                    <w:rPr>
                      <w:spacing w:val="-3"/>
                    </w:rPr>
                    <w:t xml:space="preserve"> mohli nalézt uplatnění v příbuzných aktiv</w:t>
                  </w:r>
                  <w:r>
                    <w:rPr>
                      <w:spacing w:val="-3"/>
                    </w:rPr>
                    <w:t>it</w:t>
                  </w:r>
                  <w:r w:rsidRPr="008E5287">
                    <w:rPr>
                      <w:spacing w:val="-3"/>
                    </w:rPr>
                    <w:t>ách, v nichž poptávka po pracovnících neklesla (logistika, obchodn</w:t>
                  </w:r>
                  <w:r>
                    <w:rPr>
                      <w:spacing w:val="-3"/>
                    </w:rPr>
                    <w:t>í</w:t>
                  </w:r>
                  <w:r w:rsidRPr="008E5287">
                    <w:rPr>
                      <w:spacing w:val="-3"/>
                    </w:rPr>
                    <w:t xml:space="preserve"> řetězce, internetový obchod). Pro osoby z průmyslu se v některých regionech nabízela možnost dočasné </w:t>
                  </w:r>
                  <w:r>
                    <w:rPr>
                      <w:spacing w:val="-3"/>
                    </w:rPr>
                    <w:t>náhrady</w:t>
                  </w:r>
                  <w:r w:rsidRPr="008E5287">
                    <w:rPr>
                      <w:spacing w:val="-3"/>
                    </w:rPr>
                    <w:t xml:space="preserve"> za chybějící zahraniční pracovníky v primárním sektoru či stavebnictví.</w:t>
                  </w:r>
                </w:p>
              </w:tc>
            </w:tr>
            <w:tr w:rsidR="00A96422" w:rsidRPr="00B43216" w14:paraId="16554938" w14:textId="77777777" w:rsidTr="0002669F">
              <w:trPr>
                <w:trHeight w:val="155"/>
              </w:trPr>
              <w:tc>
                <w:tcPr>
                  <w:tcW w:w="1792" w:type="dxa"/>
                  <w:vMerge w:val="restart"/>
                  <w:shd w:val="clear" w:color="auto" w:fill="auto"/>
                  <w:tcMar>
                    <w:left w:w="0" w:type="dxa"/>
                  </w:tcMar>
                </w:tcPr>
                <w:p w14:paraId="0859AACB" w14:textId="77777777" w:rsidR="00A96422" w:rsidRPr="00B43216" w:rsidRDefault="00A96422" w:rsidP="00A96422">
                  <w:pPr>
                    <w:pStyle w:val="Marginlie"/>
                    <w:rPr>
                      <w:spacing w:val="-4"/>
                    </w:rPr>
                  </w:pPr>
                </w:p>
              </w:tc>
              <w:tc>
                <w:tcPr>
                  <w:tcW w:w="216" w:type="dxa"/>
                  <w:vMerge w:val="restart"/>
                  <w:shd w:val="clear" w:color="auto" w:fill="auto"/>
                  <w:tcMar>
                    <w:left w:w="0" w:type="dxa"/>
                  </w:tcMar>
                </w:tcPr>
                <w:p w14:paraId="72F9E5B7" w14:textId="77777777" w:rsidR="00A96422" w:rsidRPr="00B43216" w:rsidRDefault="00A96422" w:rsidP="00A96422">
                  <w:pPr>
                    <w:pStyle w:val="Textpoznpodarou"/>
                    <w:jc w:val="both"/>
                    <w:rPr>
                      <w:spacing w:val="-4"/>
                    </w:rPr>
                  </w:pPr>
                </w:p>
              </w:tc>
              <w:tc>
                <w:tcPr>
                  <w:tcW w:w="7656" w:type="dxa"/>
                  <w:shd w:val="clear" w:color="auto" w:fill="auto"/>
                  <w:tcMar>
                    <w:left w:w="0" w:type="dxa"/>
                  </w:tcMar>
                </w:tcPr>
                <w:p w14:paraId="77EE919E" w14:textId="77777777" w:rsidR="00A96422" w:rsidRPr="009F2A8A" w:rsidRDefault="00A96422" w:rsidP="00A96422">
                  <w:pPr>
                    <w:spacing w:after="0"/>
                    <w:rPr>
                      <w:b/>
                      <w:spacing w:val="-2"/>
                    </w:rPr>
                  </w:pPr>
                  <w:r w:rsidRPr="009F2A8A">
                    <w:rPr>
                      <w:b/>
                      <w:spacing w:val="-2"/>
                    </w:rPr>
                    <w:t xml:space="preserve">Graf č. 14  </w:t>
                  </w:r>
                  <w:r w:rsidRPr="009F2A8A">
                    <w:rPr>
                      <w:rFonts w:cs="Arial"/>
                      <w:b/>
                      <w:spacing w:val="-2"/>
                    </w:rPr>
                    <w:t xml:space="preserve">Obecná míra nezaměstnanosti </w:t>
                  </w:r>
                  <w:r w:rsidRPr="009F2A8A">
                    <w:rPr>
                      <w:rFonts w:cs="Arial"/>
                      <w:bCs/>
                      <w:spacing w:val="-2"/>
                    </w:rPr>
                    <w:t>(v</w:t>
                  </w:r>
                  <w:r>
                    <w:rPr>
                      <w:rFonts w:cs="Arial"/>
                      <w:bCs/>
                      <w:spacing w:val="-2"/>
                    </w:rPr>
                    <w:t> %</w:t>
                  </w:r>
                  <w:r w:rsidRPr="009F2A8A">
                    <w:rPr>
                      <w:rFonts w:cs="Arial"/>
                      <w:bCs/>
                      <w:spacing w:val="-2"/>
                    </w:rPr>
                    <w:t>)</w:t>
                  </w:r>
                  <w:r w:rsidRPr="009F2A8A">
                    <w:rPr>
                      <w:rFonts w:cs="Arial"/>
                      <w:b/>
                      <w:spacing w:val="-2"/>
                    </w:rPr>
                    <w:t>, podíl dlouhodobě nezaměstnaných</w:t>
                  </w:r>
                  <w:r>
                    <w:rPr>
                      <w:rFonts w:cs="Arial"/>
                      <w:b/>
                      <w:spacing w:val="-2"/>
                    </w:rPr>
                    <w:t xml:space="preserve"> </w:t>
                  </w:r>
                  <w:r w:rsidRPr="009F2A8A">
                    <w:rPr>
                      <w:rFonts w:cs="Arial"/>
                      <w:b/>
                      <w:spacing w:val="-2"/>
                    </w:rPr>
                    <w:t>a</w:t>
                  </w:r>
                  <w:r>
                    <w:rPr>
                      <w:rFonts w:cs="Arial"/>
                      <w:b/>
                      <w:spacing w:val="-2"/>
                    </w:rPr>
                    <w:t> </w:t>
                  </w:r>
                  <w:r w:rsidRPr="009F2A8A">
                    <w:rPr>
                      <w:rFonts w:cs="Arial"/>
                      <w:b/>
                      <w:spacing w:val="-2"/>
                    </w:rPr>
                    <w:t>osob ve věku 50 a</w:t>
                  </w:r>
                  <w:r>
                    <w:rPr>
                      <w:rFonts w:cs="Arial"/>
                      <w:b/>
                      <w:spacing w:val="-2"/>
                    </w:rPr>
                    <w:t> </w:t>
                  </w:r>
                  <w:r w:rsidRPr="009F2A8A">
                    <w:rPr>
                      <w:rFonts w:cs="Arial"/>
                      <w:b/>
                      <w:spacing w:val="-2"/>
                    </w:rPr>
                    <w:t>více let mezi uchazeči o</w:t>
                  </w:r>
                  <w:r>
                    <w:rPr>
                      <w:rFonts w:cs="Arial"/>
                      <w:b/>
                      <w:spacing w:val="-2"/>
                    </w:rPr>
                    <w:t> </w:t>
                  </w:r>
                  <w:r w:rsidRPr="009F2A8A">
                    <w:rPr>
                      <w:rFonts w:cs="Arial"/>
                      <w:b/>
                      <w:spacing w:val="-2"/>
                    </w:rPr>
                    <w:t xml:space="preserve">práci </w:t>
                  </w:r>
                  <w:r w:rsidRPr="009F2A8A">
                    <w:rPr>
                      <w:rFonts w:cs="Arial"/>
                      <w:bCs/>
                      <w:spacing w:val="-2"/>
                    </w:rPr>
                    <w:t>(v</w:t>
                  </w:r>
                  <w:r>
                    <w:rPr>
                      <w:rFonts w:cs="Arial"/>
                      <w:bCs/>
                      <w:spacing w:val="-2"/>
                    </w:rPr>
                    <w:t> %</w:t>
                  </w:r>
                  <w:r w:rsidRPr="009F2A8A">
                    <w:rPr>
                      <w:rFonts w:cs="Arial"/>
                      <w:bCs/>
                      <w:spacing w:val="-2"/>
                    </w:rPr>
                    <w:t>)</w:t>
                  </w:r>
                  <w:r w:rsidRPr="009F2A8A">
                    <w:rPr>
                      <w:rFonts w:cs="Arial"/>
                      <w:b/>
                      <w:spacing w:val="-2"/>
                    </w:rPr>
                    <w:t>, volná pracovní místa v evidenci ÚP a</w:t>
                  </w:r>
                  <w:r>
                    <w:rPr>
                      <w:rFonts w:cs="Arial"/>
                      <w:b/>
                      <w:spacing w:val="-2"/>
                    </w:rPr>
                    <w:t> </w:t>
                  </w:r>
                  <w:r w:rsidRPr="009F2A8A">
                    <w:rPr>
                      <w:rFonts w:cs="Arial"/>
                      <w:b/>
                      <w:spacing w:val="-2"/>
                    </w:rPr>
                    <w:t xml:space="preserve">ekonomicky neaktivní chtějící pracovat </w:t>
                  </w:r>
                  <w:r w:rsidRPr="009F2A8A">
                    <w:rPr>
                      <w:rFonts w:cs="Arial"/>
                      <w:bCs/>
                      <w:spacing w:val="-2"/>
                    </w:rPr>
                    <w:t>(v</w:t>
                  </w:r>
                  <w:r>
                    <w:rPr>
                      <w:rFonts w:cs="Arial"/>
                      <w:bCs/>
                      <w:spacing w:val="-2"/>
                    </w:rPr>
                    <w:t> tis.</w:t>
                  </w:r>
                  <w:r w:rsidRPr="009F2A8A">
                    <w:rPr>
                      <w:rFonts w:cs="Arial"/>
                      <w:bCs/>
                      <w:spacing w:val="-2"/>
                    </w:rPr>
                    <w:t>)</w:t>
                  </w:r>
                </w:p>
              </w:tc>
            </w:tr>
            <w:tr w:rsidR="00A96422" w:rsidRPr="00B43216" w14:paraId="45405F05" w14:textId="77777777" w:rsidTr="0002669F">
              <w:tblPrEx>
                <w:tblCellMar>
                  <w:left w:w="70" w:type="dxa"/>
                  <w:right w:w="70" w:type="dxa"/>
                </w:tblCellMar>
              </w:tblPrEx>
              <w:trPr>
                <w:trHeight w:val="155"/>
              </w:trPr>
              <w:tc>
                <w:tcPr>
                  <w:tcW w:w="1792" w:type="dxa"/>
                  <w:vMerge/>
                  <w:shd w:val="clear" w:color="auto" w:fill="auto"/>
                </w:tcPr>
                <w:p w14:paraId="60E6B5B2" w14:textId="77777777" w:rsidR="00A96422" w:rsidRPr="00B43216" w:rsidRDefault="00A96422" w:rsidP="00A96422">
                  <w:pPr>
                    <w:pStyle w:val="Marginlie"/>
                    <w:rPr>
                      <w:spacing w:val="-4"/>
                    </w:rPr>
                  </w:pPr>
                </w:p>
              </w:tc>
              <w:tc>
                <w:tcPr>
                  <w:tcW w:w="216" w:type="dxa"/>
                  <w:vMerge/>
                  <w:shd w:val="clear" w:color="auto" w:fill="auto"/>
                </w:tcPr>
                <w:p w14:paraId="0DD54B07" w14:textId="77777777" w:rsidR="00A96422" w:rsidRPr="00B43216" w:rsidRDefault="00A96422" w:rsidP="00A96422">
                  <w:pPr>
                    <w:pStyle w:val="Textpoznpodarou"/>
                    <w:jc w:val="both"/>
                    <w:rPr>
                      <w:spacing w:val="-4"/>
                    </w:rPr>
                  </w:pPr>
                </w:p>
              </w:tc>
              <w:tc>
                <w:tcPr>
                  <w:tcW w:w="7656" w:type="dxa"/>
                  <w:shd w:val="clear" w:color="auto" w:fill="auto"/>
                </w:tcPr>
                <w:p w14:paraId="4AAC0B75" w14:textId="77777777" w:rsidR="00A96422" w:rsidRPr="00B43216" w:rsidRDefault="00A96422" w:rsidP="00A96422">
                  <w:pPr>
                    <w:spacing w:after="0"/>
                    <w:rPr>
                      <w:spacing w:val="-4"/>
                    </w:rPr>
                  </w:pPr>
                  <w:r>
                    <w:rPr>
                      <w:noProof/>
                    </w:rPr>
                    <w:drawing>
                      <wp:inline distT="0" distB="0" distL="0" distR="0" wp14:anchorId="7A7ADB86" wp14:editId="033B9303">
                        <wp:extent cx="4715510" cy="3152899"/>
                        <wp:effectExtent l="0" t="0" r="8890" b="0"/>
                        <wp:docPr id="24" name="Graf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A96422" w:rsidRPr="00B43216" w14:paraId="135C6129" w14:textId="77777777" w:rsidTr="0002669F">
              <w:trPr>
                <w:trHeight w:val="933"/>
              </w:trPr>
              <w:tc>
                <w:tcPr>
                  <w:tcW w:w="1792" w:type="dxa"/>
                  <w:vMerge/>
                  <w:shd w:val="clear" w:color="auto" w:fill="auto"/>
                  <w:tcMar>
                    <w:left w:w="0" w:type="dxa"/>
                  </w:tcMar>
                </w:tcPr>
                <w:p w14:paraId="518A22A6" w14:textId="77777777" w:rsidR="00A96422" w:rsidRPr="00B43216" w:rsidRDefault="00A96422" w:rsidP="00A96422">
                  <w:pPr>
                    <w:pStyle w:val="Marginlie"/>
                    <w:rPr>
                      <w:spacing w:val="-4"/>
                    </w:rPr>
                  </w:pPr>
                </w:p>
              </w:tc>
              <w:tc>
                <w:tcPr>
                  <w:tcW w:w="216" w:type="dxa"/>
                  <w:vMerge/>
                  <w:shd w:val="clear" w:color="auto" w:fill="auto"/>
                  <w:tcMar>
                    <w:left w:w="0" w:type="dxa"/>
                  </w:tcMar>
                </w:tcPr>
                <w:p w14:paraId="3B60205C" w14:textId="77777777" w:rsidR="00A96422" w:rsidRPr="00B43216" w:rsidRDefault="00A96422" w:rsidP="00A96422">
                  <w:pPr>
                    <w:pStyle w:val="Textpoznpodarou"/>
                    <w:jc w:val="both"/>
                    <w:rPr>
                      <w:spacing w:val="-4"/>
                    </w:rPr>
                  </w:pPr>
                </w:p>
              </w:tc>
              <w:tc>
                <w:tcPr>
                  <w:tcW w:w="7656" w:type="dxa"/>
                  <w:shd w:val="clear" w:color="auto" w:fill="auto"/>
                  <w:tcMar>
                    <w:left w:w="0" w:type="dxa"/>
                  </w:tcMar>
                </w:tcPr>
                <w:p w14:paraId="71C62C08" w14:textId="77777777" w:rsidR="00A96422" w:rsidRPr="004E68B1" w:rsidRDefault="00A96422" w:rsidP="00A96422">
                  <w:pPr>
                    <w:spacing w:after="0" w:line="240" w:lineRule="auto"/>
                    <w:rPr>
                      <w:rFonts w:cs="Arial"/>
                      <w:color w:val="0D0D0D" w:themeColor="text1" w:themeTint="F2"/>
                      <w:spacing w:val="-2"/>
                      <w:sz w:val="14"/>
                      <w:szCs w:val="14"/>
                    </w:rPr>
                  </w:pPr>
                  <w:r w:rsidRPr="004E68B1">
                    <w:rPr>
                      <w:rFonts w:cs="Arial"/>
                      <w:color w:val="0D0D0D" w:themeColor="text1" w:themeTint="F2"/>
                      <w:spacing w:val="-2"/>
                      <w:sz w:val="14"/>
                      <w:szCs w:val="14"/>
                    </w:rPr>
                    <w:t>Pozn.: Údaje o míře nezaměstnanosti jsou po sezónním očištění, ostatní ukazatele nikoliv.</w:t>
                  </w:r>
                </w:p>
                <w:p w14:paraId="5A941B1A" w14:textId="77777777" w:rsidR="00A96422" w:rsidRPr="004E68B1" w:rsidRDefault="00A96422" w:rsidP="00A96422">
                  <w:pPr>
                    <w:spacing w:after="0" w:line="240" w:lineRule="auto"/>
                    <w:rPr>
                      <w:rFonts w:cs="Arial"/>
                      <w:color w:val="0D0D0D" w:themeColor="text1" w:themeTint="F2"/>
                      <w:spacing w:val="-2"/>
                      <w:sz w:val="14"/>
                      <w:szCs w:val="14"/>
                    </w:rPr>
                  </w:pPr>
                  <w:r w:rsidRPr="004E68B1">
                    <w:rPr>
                      <w:rFonts w:cs="Arial"/>
                      <w:color w:val="0D0D0D" w:themeColor="text1" w:themeTint="F2"/>
                      <w:spacing w:val="-2"/>
                      <w:sz w:val="14"/>
                      <w:szCs w:val="14"/>
                    </w:rPr>
                    <w:t>*Místa, u nichž je vyžadováno vyšší stupeň vzdělání než základní. Počet volných míst vyjadřuje stav na konci příslušných čtvrtletí.</w:t>
                  </w:r>
                </w:p>
                <w:p w14:paraId="7EE0995F" w14:textId="77777777" w:rsidR="00A96422" w:rsidRPr="004E68B1" w:rsidRDefault="00A96422" w:rsidP="00A96422">
                  <w:pPr>
                    <w:spacing w:after="0" w:line="240" w:lineRule="auto"/>
                    <w:rPr>
                      <w:rFonts w:cs="Arial"/>
                      <w:color w:val="0D0D0D" w:themeColor="text1" w:themeTint="F2"/>
                      <w:spacing w:val="-2"/>
                      <w:sz w:val="14"/>
                      <w:szCs w:val="14"/>
                    </w:rPr>
                  </w:pPr>
                  <w:r w:rsidRPr="004E68B1">
                    <w:rPr>
                      <w:rFonts w:cs="Arial"/>
                      <w:bCs/>
                      <w:color w:val="0D0D0D" w:themeColor="text1" w:themeTint="F2"/>
                      <w:spacing w:val="-2"/>
                      <w:sz w:val="14"/>
                      <w:szCs w:val="14"/>
                    </w:rPr>
                    <w:t>**Jde o osoby, které nepracují, aktivně práci nehledají,</w:t>
                  </w:r>
                  <w:r w:rsidRPr="004E68B1">
                    <w:rPr>
                      <w:rFonts w:cs="Arial"/>
                      <w:color w:val="0D0D0D" w:themeColor="text1" w:themeTint="F2"/>
                      <w:spacing w:val="-2"/>
                      <w:sz w:val="14"/>
                      <w:szCs w:val="14"/>
                    </w:rPr>
                    <w:t xml:space="preserve"> ale přitom uvádějí, že by chtěly pracovat.</w:t>
                  </w:r>
                </w:p>
                <w:p w14:paraId="0968C50E" w14:textId="77777777" w:rsidR="00A96422" w:rsidRPr="002A01E3" w:rsidRDefault="00A96422" w:rsidP="00A96422">
                  <w:pPr>
                    <w:spacing w:after="0" w:line="240" w:lineRule="auto"/>
                    <w:rPr>
                      <w:rFonts w:cs="Arial"/>
                      <w:color w:val="0D0D0D" w:themeColor="text1" w:themeTint="F2"/>
                      <w:sz w:val="14"/>
                      <w:szCs w:val="14"/>
                    </w:rPr>
                  </w:pPr>
                  <w:r w:rsidRPr="004E68B1">
                    <w:rPr>
                      <w:rFonts w:cs="Arial"/>
                      <w:color w:val="0D0D0D" w:themeColor="text1" w:themeTint="F2"/>
                      <w:spacing w:val="-2"/>
                      <w:sz w:val="14"/>
                      <w:szCs w:val="14"/>
                    </w:rPr>
                    <w:t>Zdroj: ČSÚ (VŠPS), MPSV (ÚP – úřady práce)</w:t>
                  </w:r>
                </w:p>
              </w:tc>
            </w:tr>
            <w:tr w:rsidR="00A96422" w:rsidRPr="00191C35" w14:paraId="508A02F9" w14:textId="77777777" w:rsidTr="0002669F">
              <w:trPr>
                <w:trHeight w:val="145"/>
              </w:trPr>
              <w:tc>
                <w:tcPr>
                  <w:tcW w:w="1792" w:type="dxa"/>
                  <w:shd w:val="clear" w:color="auto" w:fill="auto"/>
                  <w:tcMar>
                    <w:left w:w="0" w:type="dxa"/>
                  </w:tcMar>
                </w:tcPr>
                <w:p w14:paraId="5A0828C7" w14:textId="77777777" w:rsidR="00A96422" w:rsidRDefault="00A96422" w:rsidP="00A96422">
                  <w:pPr>
                    <w:pStyle w:val="Marginlie"/>
                  </w:pPr>
                  <w:r>
                    <w:t>Bezmála dva roky trvající trend oslabování mzdové dynamiky se v 1. čtvrtletí prohloubil.</w:t>
                  </w:r>
                </w:p>
              </w:tc>
              <w:tc>
                <w:tcPr>
                  <w:tcW w:w="216" w:type="dxa"/>
                  <w:shd w:val="clear" w:color="auto" w:fill="auto"/>
                  <w:tcMar>
                    <w:left w:w="0" w:type="dxa"/>
                  </w:tcMar>
                </w:tcPr>
                <w:p w14:paraId="06112DB1" w14:textId="77777777" w:rsidR="00A96422" w:rsidRPr="00B43216" w:rsidRDefault="00A96422" w:rsidP="00A96422">
                  <w:pPr>
                    <w:pStyle w:val="Textpoznpodarou"/>
                    <w:jc w:val="both"/>
                    <w:rPr>
                      <w:spacing w:val="-4"/>
                    </w:rPr>
                  </w:pPr>
                </w:p>
              </w:tc>
              <w:tc>
                <w:tcPr>
                  <w:tcW w:w="7656" w:type="dxa"/>
                  <w:shd w:val="clear" w:color="auto" w:fill="auto"/>
                  <w:tcMar>
                    <w:left w:w="0" w:type="dxa"/>
                  </w:tcMar>
                </w:tcPr>
                <w:p w14:paraId="5C129925" w14:textId="77777777" w:rsidR="00A96422" w:rsidRPr="003B6B9D" w:rsidRDefault="00A96422" w:rsidP="00A96422">
                  <w:pPr>
                    <w:spacing w:after="200"/>
                    <w:rPr>
                      <w:spacing w:val="-4"/>
                    </w:rPr>
                  </w:pPr>
                  <w:r w:rsidRPr="003B6B9D">
                    <w:rPr>
                      <w:spacing w:val="-4"/>
                    </w:rPr>
                    <w:t xml:space="preserve">Průměrná hrubá nominální měsíční mzda zaměstnance vzrostla </w:t>
                  </w:r>
                  <w:r>
                    <w:rPr>
                      <w:spacing w:val="-4"/>
                    </w:rPr>
                    <w:t xml:space="preserve">(dle podnikových statistik) v 1. čtvrtletí 2020 meziročně o 5,0 % (na 34 077 korun). Pokračoval tak již dva roky trvající trend oslabující mzdové dynamiky, jenž se letos prohloubil. Dosažené tempo bylo nejnižší od konce roku 2016. Projevil se hlubší pokles počtu odpracovaných hodin. Utlumení či </w:t>
                  </w:r>
                  <w:r>
                    <w:rPr>
                      <w:spacing w:val="-4"/>
                    </w:rPr>
                    <w:lastRenderedPageBreak/>
                    <w:t>dokonce pozastavení činnosti některých významných podniků ve spojení s očekáváním citelného zhoršení hospodářských výsledků se mohlo projevit také redukcí nenárokových složek mzdy (včetně mimořádných odměn).</w:t>
                  </w:r>
                </w:p>
              </w:tc>
            </w:tr>
            <w:tr w:rsidR="00A96422" w:rsidRPr="00191C35" w14:paraId="0577A11C" w14:textId="77777777" w:rsidTr="0002669F">
              <w:trPr>
                <w:trHeight w:val="145"/>
              </w:trPr>
              <w:tc>
                <w:tcPr>
                  <w:tcW w:w="1792" w:type="dxa"/>
                  <w:shd w:val="clear" w:color="auto" w:fill="auto"/>
                  <w:tcMar>
                    <w:left w:w="0" w:type="dxa"/>
                  </w:tcMar>
                </w:tcPr>
                <w:p w14:paraId="59A0DED3" w14:textId="77777777" w:rsidR="00A96422" w:rsidRDefault="00A96422" w:rsidP="00A96422">
                  <w:pPr>
                    <w:pStyle w:val="Marginlie"/>
                  </w:pPr>
                  <w:r>
                    <w:lastRenderedPageBreak/>
                    <w:t>Objem vyplacených mezd ve zpracovatelském průmyslu vzrostl meziročně nejméně za posledních sedm let.</w:t>
                  </w:r>
                </w:p>
                <w:p w14:paraId="0B9132BA" w14:textId="77777777" w:rsidR="00A96422" w:rsidRDefault="00A96422" w:rsidP="00A96422">
                  <w:pPr>
                    <w:pStyle w:val="Marginlie"/>
                  </w:pPr>
                </w:p>
                <w:p w14:paraId="5C53B687" w14:textId="77777777" w:rsidR="00A96422" w:rsidRDefault="00A96422" w:rsidP="00A96422">
                  <w:pPr>
                    <w:pStyle w:val="Marginlie"/>
                    <w:rPr>
                      <w:color w:val="0D0D0D" w:themeColor="text1" w:themeTint="F2"/>
                    </w:rPr>
                  </w:pPr>
                </w:p>
                <w:p w14:paraId="128E3249" w14:textId="77777777" w:rsidR="00A96422" w:rsidRDefault="00A96422" w:rsidP="00A96422">
                  <w:pPr>
                    <w:pStyle w:val="Marginlie"/>
                    <w:rPr>
                      <w:color w:val="0D0D0D" w:themeColor="text1" w:themeTint="F2"/>
                    </w:rPr>
                  </w:pPr>
                </w:p>
                <w:p w14:paraId="742BDACE" w14:textId="77777777" w:rsidR="00A96422" w:rsidRDefault="00A96422" w:rsidP="00A96422">
                  <w:pPr>
                    <w:pStyle w:val="Marginlie"/>
                    <w:rPr>
                      <w:color w:val="0D0D0D" w:themeColor="text1" w:themeTint="F2"/>
                    </w:rPr>
                  </w:pPr>
                </w:p>
                <w:p w14:paraId="51760B31" w14:textId="77777777" w:rsidR="00A96422" w:rsidRDefault="00A96422" w:rsidP="00A96422">
                  <w:pPr>
                    <w:pStyle w:val="Marginlie"/>
                    <w:rPr>
                      <w:color w:val="0D0D0D" w:themeColor="text1" w:themeTint="F2"/>
                    </w:rPr>
                  </w:pPr>
                </w:p>
                <w:p w14:paraId="38984878" w14:textId="77777777" w:rsidR="00A96422" w:rsidRDefault="00A96422" w:rsidP="00A96422">
                  <w:pPr>
                    <w:pStyle w:val="Marginlie"/>
                    <w:rPr>
                      <w:color w:val="0D0D0D" w:themeColor="text1" w:themeTint="F2"/>
                    </w:rPr>
                  </w:pPr>
                </w:p>
                <w:p w14:paraId="4520EC20" w14:textId="77777777" w:rsidR="00A96422" w:rsidRPr="00C3617D" w:rsidRDefault="00A96422" w:rsidP="00A96422">
                  <w:pPr>
                    <w:pStyle w:val="Marginlie"/>
                    <w:rPr>
                      <w:color w:val="0D0D0D" w:themeColor="text1" w:themeTint="F2"/>
                    </w:rPr>
                  </w:pPr>
                </w:p>
                <w:p w14:paraId="1B0F5ADF" w14:textId="77777777" w:rsidR="00A96422" w:rsidRDefault="00A96422" w:rsidP="00A96422">
                  <w:pPr>
                    <w:pStyle w:val="Marginlie"/>
                  </w:pPr>
                </w:p>
                <w:p w14:paraId="371DEF49" w14:textId="77777777" w:rsidR="00A96422" w:rsidRDefault="00A96422" w:rsidP="00A96422">
                  <w:pPr>
                    <w:pStyle w:val="Marginlie"/>
                  </w:pPr>
                  <w:r>
                    <w:t>Nejrychleji rostly průměrné mzdy v administrativních a podpůrných činnostech, energetice a v oblasti IT.</w:t>
                  </w:r>
                </w:p>
                <w:p w14:paraId="127187EF" w14:textId="77777777" w:rsidR="00A96422" w:rsidRDefault="00A96422" w:rsidP="00A96422">
                  <w:pPr>
                    <w:pStyle w:val="Marginlie"/>
                  </w:pPr>
                </w:p>
                <w:p w14:paraId="28788915" w14:textId="77777777" w:rsidR="00A96422" w:rsidRDefault="00A96422" w:rsidP="00A96422">
                  <w:pPr>
                    <w:pStyle w:val="Marginlie"/>
                  </w:pPr>
                </w:p>
                <w:p w14:paraId="332FB961" w14:textId="77777777" w:rsidR="00A96422" w:rsidRDefault="00A96422" w:rsidP="00A96422">
                  <w:pPr>
                    <w:pStyle w:val="Marginlie"/>
                  </w:pPr>
                  <w:r>
                    <w:t>Celkové mzdové diference se mírně snížily, podobně jako rozdíl mezi středními výdělky mužů a žen.</w:t>
                  </w:r>
                </w:p>
                <w:p w14:paraId="48E79468" w14:textId="77777777" w:rsidR="00A96422" w:rsidRDefault="00A96422" w:rsidP="00A96422">
                  <w:pPr>
                    <w:pStyle w:val="Marginlie"/>
                  </w:pPr>
                </w:p>
                <w:p w14:paraId="77352F45" w14:textId="77777777" w:rsidR="00A96422" w:rsidRDefault="00A96422" w:rsidP="00A96422">
                  <w:pPr>
                    <w:pStyle w:val="Marginlie"/>
                  </w:pPr>
                </w:p>
                <w:p w14:paraId="4E6373EF" w14:textId="77777777" w:rsidR="00A96422" w:rsidRDefault="00A96422" w:rsidP="00A96422">
                  <w:pPr>
                    <w:pStyle w:val="Marginlie"/>
                  </w:pPr>
                  <w:r>
                    <w:t>Kupní síla zaměstnaneckých výdělků vzrostla nejméně od konce roku 2013.</w:t>
                  </w:r>
                </w:p>
              </w:tc>
              <w:tc>
                <w:tcPr>
                  <w:tcW w:w="216" w:type="dxa"/>
                  <w:shd w:val="clear" w:color="auto" w:fill="auto"/>
                  <w:tcMar>
                    <w:left w:w="0" w:type="dxa"/>
                  </w:tcMar>
                </w:tcPr>
                <w:p w14:paraId="58637A0E" w14:textId="77777777" w:rsidR="00A96422" w:rsidRPr="00B43216" w:rsidRDefault="00A96422" w:rsidP="00A96422">
                  <w:pPr>
                    <w:pStyle w:val="Textpoznpodarou"/>
                    <w:jc w:val="both"/>
                    <w:rPr>
                      <w:spacing w:val="-4"/>
                    </w:rPr>
                  </w:pPr>
                </w:p>
              </w:tc>
              <w:tc>
                <w:tcPr>
                  <w:tcW w:w="7656" w:type="dxa"/>
                  <w:shd w:val="clear" w:color="auto" w:fill="auto"/>
                  <w:tcMar>
                    <w:left w:w="0" w:type="dxa"/>
                  </w:tcMar>
                </w:tcPr>
                <w:p w14:paraId="7B4E49F1" w14:textId="2844E76E" w:rsidR="00A96422" w:rsidRPr="00F23367" w:rsidRDefault="00A96422" w:rsidP="00A96422">
                  <w:pPr>
                    <w:spacing w:after="200"/>
                    <w:rPr>
                      <w:spacing w:val="-4"/>
                    </w:rPr>
                  </w:pPr>
                  <w:r w:rsidRPr="00F23367">
                    <w:rPr>
                      <w:spacing w:val="-4"/>
                    </w:rPr>
                    <w:t>K</w:t>
                  </w:r>
                  <w:r>
                    <w:rPr>
                      <w:spacing w:val="-4"/>
                    </w:rPr>
                    <w:t> </w:t>
                  </w:r>
                  <w:r w:rsidRPr="00F23367">
                    <w:rPr>
                      <w:spacing w:val="-4"/>
                    </w:rPr>
                    <w:t xml:space="preserve">výraznějšímu zvolnění meziročního tempa </w:t>
                  </w:r>
                  <w:r>
                    <w:rPr>
                      <w:spacing w:val="-4"/>
                    </w:rPr>
                    <w:t xml:space="preserve">růstu </w:t>
                  </w:r>
                  <w:r w:rsidRPr="00F23367">
                    <w:rPr>
                      <w:spacing w:val="-4"/>
                    </w:rPr>
                    <w:t>průměrných mezd došlo ve zpracovatelském průmyslu (z 5,8</w:t>
                  </w:r>
                  <w:r>
                    <w:rPr>
                      <w:spacing w:val="-4"/>
                    </w:rPr>
                    <w:t> %</w:t>
                  </w:r>
                  <w:r w:rsidRPr="00F23367">
                    <w:rPr>
                      <w:spacing w:val="-4"/>
                    </w:rPr>
                    <w:t xml:space="preserve"> </w:t>
                  </w:r>
                  <w:r>
                    <w:rPr>
                      <w:spacing w:val="-4"/>
                    </w:rPr>
                    <w:t>v</w:t>
                  </w:r>
                  <w:r w:rsidRPr="00F23367">
                    <w:rPr>
                      <w:spacing w:val="-4"/>
                    </w:rPr>
                    <w:t> 1.</w:t>
                  </w:r>
                  <w:r>
                    <w:rPr>
                      <w:spacing w:val="-4"/>
                    </w:rPr>
                    <w:t> čtvrtlet</w:t>
                  </w:r>
                  <w:r w:rsidRPr="00F23367">
                    <w:rPr>
                      <w:spacing w:val="-4"/>
                    </w:rPr>
                    <w:t>í 2019</w:t>
                  </w:r>
                  <w:r>
                    <w:rPr>
                      <w:spacing w:val="-4"/>
                    </w:rPr>
                    <w:t xml:space="preserve"> </w:t>
                  </w:r>
                  <w:r w:rsidRPr="00F23367">
                    <w:rPr>
                      <w:spacing w:val="-4"/>
                    </w:rPr>
                    <w:t>na 4,0</w:t>
                  </w:r>
                  <w:r>
                    <w:rPr>
                      <w:spacing w:val="-4"/>
                    </w:rPr>
                    <w:t> %</w:t>
                  </w:r>
                  <w:r w:rsidRPr="00F23367">
                    <w:rPr>
                      <w:spacing w:val="-4"/>
                    </w:rPr>
                    <w:t xml:space="preserve">). Při zohlednění větší redukce zaměstnanosti zde objem vyplacených mezd vzrostl jen </w:t>
                  </w:r>
                  <w:r>
                    <w:rPr>
                      <w:spacing w:val="-4"/>
                    </w:rPr>
                    <w:t>o </w:t>
                  </w:r>
                  <w:r w:rsidRPr="00F23367">
                    <w:rPr>
                      <w:spacing w:val="-4"/>
                    </w:rPr>
                    <w:t>0,5</w:t>
                  </w:r>
                  <w:r>
                    <w:rPr>
                      <w:spacing w:val="-4"/>
                    </w:rPr>
                    <w:t> %</w:t>
                  </w:r>
                  <w:r w:rsidRPr="00F23367">
                    <w:rPr>
                      <w:spacing w:val="-4"/>
                    </w:rPr>
                    <w:t>, nejméně od konce krizového roku 2013. Tempo i hladina průměrných mezd zůstaly v tomto odvětví letos, stejně jako v letech 2018 i</w:t>
                  </w:r>
                  <w:r>
                    <w:rPr>
                      <w:spacing w:val="-4"/>
                    </w:rPr>
                    <w:t> </w:t>
                  </w:r>
                  <w:r w:rsidRPr="00F23367">
                    <w:rPr>
                      <w:spacing w:val="-4"/>
                    </w:rPr>
                    <w:t>2019, lehce pod úrovní celé ekonomiky. Situaci v průmyslu do značné míry kopíroval vývoj v dopravě a</w:t>
                  </w:r>
                  <w:r>
                    <w:rPr>
                      <w:spacing w:val="-4"/>
                    </w:rPr>
                    <w:t> </w:t>
                  </w:r>
                  <w:r w:rsidRPr="00F23367">
                    <w:rPr>
                      <w:spacing w:val="-4"/>
                    </w:rPr>
                    <w:t>skladování. Významného zvolnění mzdového tempa docílilo i</w:t>
                  </w:r>
                  <w:r>
                    <w:rPr>
                      <w:spacing w:val="-4"/>
                    </w:rPr>
                    <w:t> </w:t>
                  </w:r>
                  <w:r w:rsidRPr="00F23367">
                    <w:rPr>
                      <w:spacing w:val="-4"/>
                    </w:rPr>
                    <w:t xml:space="preserve">nosné </w:t>
                  </w:r>
                  <w:r>
                    <w:rPr>
                      <w:spacing w:val="-4"/>
                    </w:rPr>
                    <w:t>odvětví obchodu (ze</w:t>
                  </w:r>
                  <w:r w:rsidRPr="00F23367">
                    <w:rPr>
                      <w:spacing w:val="-4"/>
                    </w:rPr>
                    <w:t xml:space="preserve"> 7,8</w:t>
                  </w:r>
                  <w:r>
                    <w:rPr>
                      <w:spacing w:val="-4"/>
                    </w:rPr>
                    <w:t> % na 4,6 %</w:t>
                  </w:r>
                  <w:r w:rsidRPr="00F23367">
                    <w:rPr>
                      <w:spacing w:val="-4"/>
                    </w:rPr>
                    <w:t>). Počet zaměstnanců zde však zůstal stabilizovaný. To zdaleka neplatilo o</w:t>
                  </w:r>
                  <w:r>
                    <w:rPr>
                      <w:spacing w:val="-4"/>
                    </w:rPr>
                    <w:t> </w:t>
                  </w:r>
                  <w:r w:rsidRPr="00F23367">
                    <w:rPr>
                      <w:spacing w:val="-4"/>
                    </w:rPr>
                    <w:t>restrikcemi silně zasaženém ubytování, stravování a pohostinství. I přes téměř 4% růst průměrných mezd (podporovaný administrativním navýšením minimální mzdy) se zde celkový objem mezd meziročně snížil</w:t>
                  </w:r>
                  <w:r w:rsidRPr="00F23367">
                    <w:rPr>
                      <w:rStyle w:val="Znakapoznpodarou"/>
                      <w:color w:val="0D0D0D" w:themeColor="text1" w:themeTint="F2"/>
                      <w:spacing w:val="-4"/>
                    </w:rPr>
                    <w:footnoteReference w:id="12"/>
                  </w:r>
                  <w:r w:rsidRPr="00F23367">
                    <w:rPr>
                      <w:spacing w:val="-4"/>
                    </w:rPr>
                    <w:t>. Slabší růst průměrných mezd měly i</w:t>
                  </w:r>
                  <w:r>
                    <w:rPr>
                      <w:spacing w:val="-4"/>
                    </w:rPr>
                    <w:t> </w:t>
                  </w:r>
                  <w:r w:rsidRPr="00F23367">
                    <w:rPr>
                      <w:spacing w:val="-4"/>
                    </w:rPr>
                    <w:t>profesní, vědecké a</w:t>
                  </w:r>
                  <w:r>
                    <w:rPr>
                      <w:spacing w:val="-4"/>
                    </w:rPr>
                    <w:t> </w:t>
                  </w:r>
                  <w:r w:rsidRPr="00F23367">
                    <w:rPr>
                      <w:spacing w:val="-4"/>
                    </w:rPr>
                    <w:t>technické činnosti (3,2</w:t>
                  </w:r>
                  <w:r>
                    <w:rPr>
                      <w:spacing w:val="-4"/>
                    </w:rPr>
                    <w:t> %</w:t>
                  </w:r>
                  <w:r w:rsidRPr="00F23367">
                    <w:rPr>
                      <w:spacing w:val="-4"/>
                    </w:rPr>
                    <w:t xml:space="preserve">). </w:t>
                  </w:r>
                  <w:r>
                    <w:rPr>
                      <w:spacing w:val="-4"/>
                    </w:rPr>
                    <w:t>Mzdy naopak</w:t>
                  </w:r>
                  <w:r w:rsidRPr="00F23367">
                    <w:rPr>
                      <w:spacing w:val="-4"/>
                    </w:rPr>
                    <w:t xml:space="preserve"> </w:t>
                  </w:r>
                  <w:r>
                    <w:rPr>
                      <w:spacing w:val="-4"/>
                    </w:rPr>
                    <w:t>nejvíce</w:t>
                  </w:r>
                  <w:r w:rsidRPr="00F23367">
                    <w:rPr>
                      <w:spacing w:val="-4"/>
                    </w:rPr>
                    <w:t xml:space="preserve"> </w:t>
                  </w:r>
                  <w:r>
                    <w:rPr>
                      <w:spacing w:val="-4"/>
                    </w:rPr>
                    <w:t>sílily</w:t>
                  </w:r>
                  <w:r w:rsidRPr="00F23367">
                    <w:rPr>
                      <w:spacing w:val="-4"/>
                    </w:rPr>
                    <w:t xml:space="preserve"> v „nízkovýdělkovém“ odvětví administr</w:t>
                  </w:r>
                  <w:r>
                    <w:rPr>
                      <w:spacing w:val="-4"/>
                    </w:rPr>
                    <w:t>ativních a podpůrných činností</w:t>
                  </w:r>
                  <w:r w:rsidRPr="00F23367">
                    <w:rPr>
                      <w:spacing w:val="-4"/>
                    </w:rPr>
                    <w:t xml:space="preserve"> (o</w:t>
                  </w:r>
                  <w:r>
                    <w:rPr>
                      <w:spacing w:val="-4"/>
                    </w:rPr>
                    <w:t> </w:t>
                  </w:r>
                  <w:r w:rsidRPr="00F23367">
                    <w:rPr>
                      <w:spacing w:val="-4"/>
                    </w:rPr>
                    <w:t>11,8</w:t>
                  </w:r>
                  <w:r>
                    <w:rPr>
                      <w:spacing w:val="-4"/>
                    </w:rPr>
                    <w:t> %</w:t>
                  </w:r>
                  <w:r w:rsidRPr="00F23367">
                    <w:rPr>
                      <w:spacing w:val="-4"/>
                    </w:rPr>
                    <w:t xml:space="preserve">). Nelze vyloučit, že to bylo výsledkem propouštění </w:t>
                  </w:r>
                  <w:r>
                    <w:rPr>
                      <w:spacing w:val="-4"/>
                    </w:rPr>
                    <w:t xml:space="preserve">agenturních pracovníků s nízkou kvalifikací. Naopak o příznivém vývoji odvětví vypovídal svižný růst průměrných mezd v informačních a komunikačních činnostech (7,1 %) i v energetice (10,8 %). Naopak ve finančním sektoru nedosáhl růst ani 2 %. Projevila se vyšší srovnávací základna i hlubší letošní pokles počtu odpracovaných hodin. Mírně ale rostl počet zaměstnanců. To platilo i ve všech odvětvích s převahou veřejného sektoru. V nich se podobně jako loni uplatnil </w:t>
                  </w:r>
                  <w:r>
                    <w:rPr>
                      <w:spacing w:val="-3"/>
                    </w:rPr>
                    <w:t xml:space="preserve">selektivnější přístup k navýšení odměňování. Přestože průměrné platy ve vzdělávání rostly letos nejméně za poslední tři roky (+7,0 %), jejich úroveň (33 425 korun) překonala výši výdělků ve zpracovatelském průmyslu, což přispělo k mírnému snížení rozdílů mezi celkovými mzdami mužů a žen. Celková </w:t>
                  </w:r>
                  <w:r>
                    <w:rPr>
                      <w:spacing w:val="-4"/>
                    </w:rPr>
                    <w:t xml:space="preserve">mzdová </w:t>
                  </w:r>
                  <w:r w:rsidRPr="00834131">
                    <w:rPr>
                      <w:spacing w:val="-6"/>
                    </w:rPr>
                    <w:t>diferenciace v ekonomice se v 1.</w:t>
                  </w:r>
                  <w:r>
                    <w:rPr>
                      <w:spacing w:val="-6"/>
                    </w:rPr>
                    <w:t> čtvrtlet</w:t>
                  </w:r>
                  <w:r w:rsidRPr="00834131">
                    <w:rPr>
                      <w:spacing w:val="-6"/>
                    </w:rPr>
                    <w:t xml:space="preserve">í neprohlubovala, </w:t>
                  </w:r>
                  <w:r>
                    <w:rPr>
                      <w:spacing w:val="-6"/>
                    </w:rPr>
                    <w:t>dol</w:t>
                  </w:r>
                  <w:r w:rsidRPr="00834131">
                    <w:rPr>
                      <w:spacing w:val="-6"/>
                    </w:rPr>
                    <w:t>ní mzdový decil vzrostl o</w:t>
                  </w:r>
                  <w:r>
                    <w:rPr>
                      <w:spacing w:val="-6"/>
                    </w:rPr>
                    <w:t> </w:t>
                  </w:r>
                  <w:r w:rsidRPr="00834131">
                    <w:rPr>
                      <w:spacing w:val="-6"/>
                    </w:rPr>
                    <w:t>9,9</w:t>
                  </w:r>
                  <w:r>
                    <w:rPr>
                      <w:spacing w:val="-6"/>
                    </w:rPr>
                    <w:t> %</w:t>
                  </w:r>
                  <w:r w:rsidRPr="00834131">
                    <w:rPr>
                      <w:spacing w:val="-6"/>
                    </w:rPr>
                    <w:t>,</w:t>
                  </w:r>
                  <w:r>
                    <w:rPr>
                      <w:spacing w:val="-4"/>
                    </w:rPr>
                    <w:t xml:space="preserve"> nejvyšší decil jen o 4,7 %. Sílící inflace se citelně podepsala na růstu kupní síly mezd. Ta v 1. čtvrtletí vzrostla meziročně o 1,4 %, což bylo nejméně od konce krizového roku 2013.</w:t>
                  </w:r>
                </w:p>
              </w:tc>
            </w:tr>
            <w:tr w:rsidR="00A96422" w:rsidRPr="00F32B6E" w14:paraId="7B95A359" w14:textId="77777777" w:rsidTr="0002669F">
              <w:trPr>
                <w:trHeight w:val="145"/>
              </w:trPr>
              <w:tc>
                <w:tcPr>
                  <w:tcW w:w="1792" w:type="dxa"/>
                  <w:shd w:val="clear" w:color="auto" w:fill="auto"/>
                  <w:tcMar>
                    <w:left w:w="0" w:type="dxa"/>
                  </w:tcMar>
                </w:tcPr>
                <w:p w14:paraId="596C5AB4" w14:textId="77777777" w:rsidR="00A96422" w:rsidRPr="00F32B6E" w:rsidRDefault="00A96422" w:rsidP="00A96422">
                  <w:pPr>
                    <w:pStyle w:val="Marginlie"/>
                  </w:pPr>
                </w:p>
              </w:tc>
              <w:tc>
                <w:tcPr>
                  <w:tcW w:w="216" w:type="dxa"/>
                  <w:shd w:val="clear" w:color="auto" w:fill="auto"/>
                  <w:tcMar>
                    <w:left w:w="0" w:type="dxa"/>
                  </w:tcMar>
                </w:tcPr>
                <w:p w14:paraId="2CE099B0" w14:textId="77777777" w:rsidR="00A96422" w:rsidRPr="00F32B6E" w:rsidRDefault="00A96422" w:rsidP="00A96422">
                  <w:pPr>
                    <w:pStyle w:val="Textpoznpodarou"/>
                    <w:jc w:val="both"/>
                    <w:rPr>
                      <w:rFonts w:eastAsia="Times New Roman"/>
                      <w:spacing w:val="-2"/>
                      <w:sz w:val="16"/>
                      <w:szCs w:val="16"/>
                    </w:rPr>
                  </w:pPr>
                </w:p>
              </w:tc>
              <w:tc>
                <w:tcPr>
                  <w:tcW w:w="7656" w:type="dxa"/>
                  <w:shd w:val="clear" w:color="auto" w:fill="auto"/>
                  <w:tcMar>
                    <w:left w:w="0" w:type="dxa"/>
                  </w:tcMar>
                </w:tcPr>
                <w:p w14:paraId="3F74B6CD" w14:textId="77777777" w:rsidR="00A96422" w:rsidRPr="00F32B6E" w:rsidRDefault="00A96422" w:rsidP="00A96422">
                  <w:pPr>
                    <w:spacing w:after="0"/>
                    <w:rPr>
                      <w:spacing w:val="-2"/>
                      <w:sz w:val="16"/>
                      <w:szCs w:val="16"/>
                    </w:rPr>
                  </w:pPr>
                  <w:r w:rsidRPr="00AB0365">
                    <w:rPr>
                      <w:b/>
                      <w:spacing w:val="-2"/>
                    </w:rPr>
                    <w:t xml:space="preserve">Graf </w:t>
                  </w:r>
                  <w:r>
                    <w:rPr>
                      <w:b/>
                      <w:spacing w:val="-2"/>
                    </w:rPr>
                    <w:t>č. </w:t>
                  </w:r>
                  <w:r w:rsidRPr="00AB0365">
                    <w:rPr>
                      <w:b/>
                      <w:spacing w:val="-2"/>
                    </w:rPr>
                    <w:t>15</w:t>
                  </w:r>
                  <w:r>
                    <w:rPr>
                      <w:b/>
                      <w:spacing w:val="-2"/>
                    </w:rPr>
                    <w:t xml:space="preserve">  Průměrná</w:t>
                  </w:r>
                  <w:r w:rsidRPr="00AB0365">
                    <w:rPr>
                      <w:b/>
                      <w:spacing w:val="-2"/>
                    </w:rPr>
                    <w:t xml:space="preserve"> nominální a</w:t>
                  </w:r>
                  <w:r>
                    <w:rPr>
                      <w:b/>
                      <w:spacing w:val="-2"/>
                    </w:rPr>
                    <w:t> </w:t>
                  </w:r>
                  <w:r w:rsidRPr="00AB0365">
                    <w:rPr>
                      <w:b/>
                      <w:spacing w:val="-2"/>
                    </w:rPr>
                    <w:t>re</w:t>
                  </w:r>
                  <w:r>
                    <w:rPr>
                      <w:b/>
                      <w:spacing w:val="-2"/>
                    </w:rPr>
                    <w:t>álná mzda, produktivita práce</w:t>
                  </w:r>
                  <w:r w:rsidRPr="00AB0365">
                    <w:rPr>
                      <w:spacing w:val="-2"/>
                    </w:rPr>
                    <w:t xml:space="preserve"> (meziročně, v</w:t>
                  </w:r>
                  <w:r>
                    <w:rPr>
                      <w:spacing w:val="-2"/>
                    </w:rPr>
                    <w:t> %</w:t>
                  </w:r>
                  <w:r w:rsidRPr="00AB0365">
                    <w:rPr>
                      <w:spacing w:val="-2"/>
                    </w:rPr>
                    <w:t>)</w:t>
                  </w:r>
                </w:p>
              </w:tc>
            </w:tr>
            <w:tr w:rsidR="00A96422" w:rsidRPr="00F32B6E" w14:paraId="650E4F10" w14:textId="77777777" w:rsidTr="0002669F">
              <w:tblPrEx>
                <w:tblCellMar>
                  <w:left w:w="70" w:type="dxa"/>
                  <w:right w:w="70" w:type="dxa"/>
                </w:tblCellMar>
              </w:tblPrEx>
              <w:trPr>
                <w:trHeight w:val="145"/>
              </w:trPr>
              <w:tc>
                <w:tcPr>
                  <w:tcW w:w="1792" w:type="dxa"/>
                  <w:shd w:val="clear" w:color="auto" w:fill="auto"/>
                </w:tcPr>
                <w:p w14:paraId="36A8751C" w14:textId="77777777" w:rsidR="00A96422" w:rsidRPr="00F32B6E" w:rsidRDefault="00A96422" w:rsidP="00A96422">
                  <w:pPr>
                    <w:pStyle w:val="Marginlie"/>
                  </w:pPr>
                </w:p>
              </w:tc>
              <w:tc>
                <w:tcPr>
                  <w:tcW w:w="216" w:type="dxa"/>
                  <w:shd w:val="clear" w:color="auto" w:fill="auto"/>
                </w:tcPr>
                <w:p w14:paraId="77A17CAC" w14:textId="77777777" w:rsidR="00A96422" w:rsidRPr="00F32B6E" w:rsidRDefault="00A96422" w:rsidP="00A96422">
                  <w:pPr>
                    <w:pStyle w:val="Textpoznpodarou"/>
                    <w:jc w:val="both"/>
                    <w:rPr>
                      <w:rFonts w:eastAsia="Times New Roman"/>
                      <w:spacing w:val="-2"/>
                      <w:sz w:val="16"/>
                      <w:szCs w:val="16"/>
                    </w:rPr>
                  </w:pPr>
                </w:p>
              </w:tc>
              <w:tc>
                <w:tcPr>
                  <w:tcW w:w="7656" w:type="dxa"/>
                  <w:shd w:val="clear" w:color="auto" w:fill="auto"/>
                </w:tcPr>
                <w:p w14:paraId="0938D9F5" w14:textId="77777777" w:rsidR="00A96422" w:rsidRPr="00F32B6E" w:rsidRDefault="00A96422" w:rsidP="00A96422">
                  <w:pPr>
                    <w:spacing w:after="0"/>
                    <w:rPr>
                      <w:spacing w:val="-2"/>
                      <w:sz w:val="16"/>
                      <w:szCs w:val="16"/>
                    </w:rPr>
                  </w:pPr>
                  <w:r>
                    <w:rPr>
                      <w:noProof/>
                    </w:rPr>
                    <w:drawing>
                      <wp:inline distT="0" distB="0" distL="0" distR="0" wp14:anchorId="1F30CACE" wp14:editId="7C2FBC4C">
                        <wp:extent cx="4759960" cy="3236026"/>
                        <wp:effectExtent l="0" t="0" r="2540" b="2540"/>
                        <wp:docPr id="26" name="Graf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A96422" w:rsidRPr="00F32B6E" w14:paraId="74127BBC" w14:textId="77777777" w:rsidTr="0002669F">
              <w:trPr>
                <w:trHeight w:val="145"/>
              </w:trPr>
              <w:tc>
                <w:tcPr>
                  <w:tcW w:w="1792" w:type="dxa"/>
                  <w:shd w:val="clear" w:color="auto" w:fill="auto"/>
                  <w:tcMar>
                    <w:left w:w="0" w:type="dxa"/>
                  </w:tcMar>
                </w:tcPr>
                <w:p w14:paraId="70FC0874" w14:textId="77777777" w:rsidR="00A96422" w:rsidRPr="00F32B6E" w:rsidRDefault="00A96422" w:rsidP="00A96422">
                  <w:pPr>
                    <w:pStyle w:val="Marginlie"/>
                  </w:pPr>
                </w:p>
              </w:tc>
              <w:tc>
                <w:tcPr>
                  <w:tcW w:w="216" w:type="dxa"/>
                  <w:shd w:val="clear" w:color="auto" w:fill="auto"/>
                  <w:tcMar>
                    <w:left w:w="0" w:type="dxa"/>
                  </w:tcMar>
                </w:tcPr>
                <w:p w14:paraId="0FDD3CB6" w14:textId="77777777" w:rsidR="00A96422" w:rsidRPr="00F32B6E" w:rsidRDefault="00A96422" w:rsidP="00A96422">
                  <w:pPr>
                    <w:pStyle w:val="Textpoznpodarou"/>
                    <w:jc w:val="both"/>
                    <w:rPr>
                      <w:rFonts w:eastAsia="Times New Roman"/>
                      <w:spacing w:val="-2"/>
                      <w:sz w:val="16"/>
                      <w:szCs w:val="16"/>
                    </w:rPr>
                  </w:pPr>
                </w:p>
              </w:tc>
              <w:tc>
                <w:tcPr>
                  <w:tcW w:w="7656" w:type="dxa"/>
                  <w:shd w:val="clear" w:color="auto" w:fill="auto"/>
                  <w:tcMar>
                    <w:left w:w="0" w:type="dxa"/>
                  </w:tcMar>
                </w:tcPr>
                <w:p w14:paraId="356EBB41" w14:textId="77777777" w:rsidR="00A96422" w:rsidRPr="00DB1806" w:rsidRDefault="00A96422" w:rsidP="00A96422">
                  <w:pPr>
                    <w:spacing w:after="0"/>
                    <w:rPr>
                      <w:spacing w:val="-3"/>
                      <w:sz w:val="14"/>
                      <w:szCs w:val="14"/>
                    </w:rPr>
                  </w:pPr>
                  <w:r>
                    <w:rPr>
                      <w:spacing w:val="-3"/>
                      <w:sz w:val="14"/>
                      <w:szCs w:val="14"/>
                    </w:rPr>
                    <w:t>*</w:t>
                  </w:r>
                  <w:r w:rsidRPr="00AB5C0C">
                    <w:rPr>
                      <w:rFonts w:cs="Arial"/>
                      <w:spacing w:val="-3"/>
                      <w:sz w:val="14"/>
                      <w:szCs w:val="14"/>
                    </w:rPr>
                    <w:t xml:space="preserve"> </w:t>
                  </w:r>
                  <w:r>
                    <w:rPr>
                      <w:rFonts w:cs="Arial"/>
                      <w:spacing w:val="-3"/>
                      <w:sz w:val="14"/>
                      <w:szCs w:val="14"/>
                    </w:rPr>
                    <w:t>Zahrnuje odvětví: Veřejná</w:t>
                  </w:r>
                  <w:r w:rsidRPr="00AB5C0C">
                    <w:rPr>
                      <w:rFonts w:cs="Arial"/>
                      <w:spacing w:val="-3"/>
                      <w:sz w:val="14"/>
                      <w:szCs w:val="14"/>
                    </w:rPr>
                    <w:t xml:space="preserve"> správa, obrana, soc. zabezpečení; Vzdělávání; Zdravotní a</w:t>
                  </w:r>
                  <w:r>
                    <w:rPr>
                      <w:rFonts w:cs="Arial"/>
                      <w:spacing w:val="-3"/>
                      <w:sz w:val="14"/>
                      <w:szCs w:val="14"/>
                    </w:rPr>
                    <w:t> </w:t>
                  </w:r>
                  <w:r w:rsidRPr="00AB5C0C">
                    <w:rPr>
                      <w:rFonts w:cs="Arial"/>
                      <w:spacing w:val="-3"/>
                      <w:sz w:val="14"/>
                      <w:szCs w:val="14"/>
                    </w:rPr>
                    <w:t>soc.</w:t>
                  </w:r>
                  <w:r>
                    <w:rPr>
                      <w:rFonts w:cs="Arial"/>
                      <w:spacing w:val="-3"/>
                      <w:sz w:val="14"/>
                      <w:szCs w:val="14"/>
                    </w:rPr>
                    <w:t xml:space="preserve"> péče; Kulturní, zábavní</w:t>
                  </w:r>
                  <w:r w:rsidRPr="00AB5C0C">
                    <w:rPr>
                      <w:rFonts w:cs="Arial"/>
                      <w:spacing w:val="-3"/>
                      <w:sz w:val="14"/>
                      <w:szCs w:val="14"/>
                    </w:rPr>
                    <w:t xml:space="preserve"> a</w:t>
                  </w:r>
                  <w:r>
                    <w:rPr>
                      <w:rFonts w:cs="Arial"/>
                      <w:spacing w:val="-3"/>
                      <w:sz w:val="14"/>
                      <w:szCs w:val="14"/>
                    </w:rPr>
                    <w:t> </w:t>
                  </w:r>
                  <w:r w:rsidRPr="00AB5C0C">
                    <w:rPr>
                      <w:rFonts w:cs="Arial"/>
                      <w:spacing w:val="-3"/>
                      <w:sz w:val="14"/>
                      <w:szCs w:val="14"/>
                    </w:rPr>
                    <w:t>r</w:t>
                  </w:r>
                  <w:r>
                    <w:rPr>
                      <w:rFonts w:cs="Arial"/>
                      <w:spacing w:val="-3"/>
                      <w:sz w:val="14"/>
                      <w:szCs w:val="14"/>
                    </w:rPr>
                    <w:t>ekreační</w:t>
                  </w:r>
                  <w:r w:rsidRPr="00AB5C0C">
                    <w:rPr>
                      <w:rFonts w:cs="Arial"/>
                      <w:spacing w:val="-3"/>
                      <w:sz w:val="14"/>
                      <w:szCs w:val="14"/>
                    </w:rPr>
                    <w:t xml:space="preserve"> </w:t>
                  </w:r>
                  <w:r>
                    <w:rPr>
                      <w:rFonts w:cs="Arial"/>
                      <w:spacing w:val="-3"/>
                      <w:sz w:val="14"/>
                      <w:szCs w:val="14"/>
                    </w:rPr>
                    <w:t>č</w:t>
                  </w:r>
                  <w:r w:rsidRPr="00AB5C0C">
                    <w:rPr>
                      <w:rFonts w:cs="Arial"/>
                      <w:spacing w:val="-3"/>
                      <w:sz w:val="14"/>
                      <w:szCs w:val="14"/>
                    </w:rPr>
                    <w:t>in</w:t>
                  </w:r>
                  <w:r>
                    <w:rPr>
                      <w:rFonts w:cs="Arial"/>
                      <w:spacing w:val="-3"/>
                      <w:sz w:val="14"/>
                      <w:szCs w:val="14"/>
                    </w:rPr>
                    <w:t xml:space="preserve">nosti.    </w:t>
                  </w:r>
                  <w:r w:rsidRPr="00990B08">
                    <w:rPr>
                      <w:spacing w:val="-3"/>
                      <w:sz w:val="14"/>
                      <w:szCs w:val="14"/>
                    </w:rPr>
                    <w:t>*</w:t>
                  </w:r>
                  <w:r>
                    <w:rPr>
                      <w:spacing w:val="-3"/>
                      <w:sz w:val="14"/>
                      <w:szCs w:val="14"/>
                    </w:rPr>
                    <w:t xml:space="preserve">* </w:t>
                  </w:r>
                  <w:r w:rsidRPr="00990B08">
                    <w:rPr>
                      <w:spacing w:val="-3"/>
                      <w:sz w:val="14"/>
                      <w:szCs w:val="14"/>
                    </w:rPr>
                    <w:t>Podíl sezónně neočištěného HDP a</w:t>
                  </w:r>
                  <w:r>
                    <w:rPr>
                      <w:spacing w:val="-3"/>
                      <w:sz w:val="14"/>
                      <w:szCs w:val="14"/>
                    </w:rPr>
                    <w:t> </w:t>
                  </w:r>
                  <w:r w:rsidRPr="00990B08">
                    <w:rPr>
                      <w:spacing w:val="-3"/>
                      <w:sz w:val="14"/>
                      <w:szCs w:val="14"/>
                    </w:rPr>
                    <w:t>zaměstnanosti</w:t>
                  </w:r>
                  <w:r>
                    <w:rPr>
                      <w:spacing w:val="-3"/>
                      <w:sz w:val="14"/>
                      <w:szCs w:val="14"/>
                    </w:rPr>
                    <w:t xml:space="preserve"> v celé ekonomice</w:t>
                  </w:r>
                  <w:r w:rsidRPr="00990B08">
                    <w:rPr>
                      <w:spacing w:val="-3"/>
                      <w:sz w:val="14"/>
                      <w:szCs w:val="14"/>
                    </w:rPr>
                    <w:t xml:space="preserve"> (v</w:t>
                  </w:r>
                  <w:r>
                    <w:rPr>
                      <w:spacing w:val="-3"/>
                      <w:sz w:val="14"/>
                      <w:szCs w:val="14"/>
                    </w:rPr>
                    <w:t> </w:t>
                  </w:r>
                  <w:r w:rsidRPr="00990B08">
                    <w:rPr>
                      <w:spacing w:val="-3"/>
                      <w:sz w:val="14"/>
                      <w:szCs w:val="14"/>
                    </w:rPr>
                    <w:t>pojetí národ</w:t>
                  </w:r>
                  <w:r>
                    <w:rPr>
                      <w:spacing w:val="-3"/>
                      <w:sz w:val="14"/>
                      <w:szCs w:val="14"/>
                    </w:rPr>
                    <w:t xml:space="preserve">ních účtů).                </w:t>
                  </w:r>
                  <w:r w:rsidRPr="00990B08">
                    <w:rPr>
                      <w:spacing w:val="-3"/>
                      <w:sz w:val="14"/>
                      <w:szCs w:val="14"/>
                    </w:rPr>
                    <w:t>Zdroj:</w:t>
                  </w:r>
                  <w:r>
                    <w:rPr>
                      <w:rFonts w:cs="Arial"/>
                      <w:sz w:val="14"/>
                      <w:szCs w:val="14"/>
                    </w:rPr>
                    <w:t xml:space="preserve"> ČSÚ</w:t>
                  </w:r>
                </w:p>
              </w:tc>
            </w:tr>
          </w:tbl>
          <w:p w14:paraId="7C637904" w14:textId="0CC6A38B" w:rsidR="00A96422" w:rsidRPr="00A96422" w:rsidRDefault="00A96422" w:rsidP="00485E82">
            <w:pPr>
              <w:pStyle w:val="Marginlie"/>
              <w:rPr>
                <w:sz w:val="2"/>
                <w:szCs w:val="2"/>
                <w:highlight w:val="yellow"/>
              </w:rPr>
            </w:pPr>
            <w:bookmarkStart w:id="2" w:name="_GoBack"/>
            <w:bookmarkEnd w:id="2"/>
          </w:p>
        </w:tc>
        <w:tc>
          <w:tcPr>
            <w:tcW w:w="6" w:type="dxa"/>
            <w:shd w:val="clear" w:color="auto" w:fill="auto"/>
            <w:tcMar>
              <w:left w:w="0" w:type="dxa"/>
            </w:tcMar>
          </w:tcPr>
          <w:p w14:paraId="0F268A17" w14:textId="77777777" w:rsidR="00485E82" w:rsidRPr="00C41D54" w:rsidRDefault="00485E82" w:rsidP="00485E82">
            <w:pPr>
              <w:pStyle w:val="Textpoznpodarou"/>
              <w:jc w:val="both"/>
              <w:rPr>
                <w:rFonts w:eastAsia="Times New Roman"/>
                <w:spacing w:val="-2"/>
                <w:sz w:val="16"/>
                <w:szCs w:val="16"/>
                <w:highlight w:val="yellow"/>
              </w:rPr>
            </w:pPr>
          </w:p>
        </w:tc>
        <w:tc>
          <w:tcPr>
            <w:tcW w:w="6" w:type="dxa"/>
            <w:shd w:val="clear" w:color="auto" w:fill="auto"/>
            <w:tcMar>
              <w:left w:w="0" w:type="dxa"/>
            </w:tcMar>
          </w:tcPr>
          <w:p w14:paraId="23031B31" w14:textId="6B3B3893" w:rsidR="00485E82" w:rsidRPr="00C41D54" w:rsidRDefault="00485E82" w:rsidP="00485E82">
            <w:pPr>
              <w:spacing w:after="0"/>
              <w:rPr>
                <w:spacing w:val="-2"/>
                <w:sz w:val="16"/>
                <w:szCs w:val="16"/>
                <w:highlight w:val="yellow"/>
              </w:rPr>
            </w:pPr>
          </w:p>
        </w:tc>
      </w:tr>
    </w:tbl>
    <w:p w14:paraId="68B675A8" w14:textId="77777777" w:rsidR="00A96422" w:rsidRDefault="00A96422" w:rsidP="00C41D54">
      <w:pPr>
        <w:pStyle w:val="Nadpis11"/>
        <w:sectPr w:rsidR="00A96422" w:rsidSect="00B63494">
          <w:headerReference w:type="even" r:id="rId12"/>
          <w:headerReference w:type="default" r:id="rId13"/>
          <w:footerReference w:type="even" r:id="rId14"/>
          <w:footerReference w:type="default" r:id="rId15"/>
          <w:pgSz w:w="11906" w:h="16838" w:code="9"/>
          <w:pgMar w:top="1134" w:right="1134" w:bottom="1418" w:left="1134" w:header="680" w:footer="737" w:gutter="0"/>
          <w:pgNumType w:start="23"/>
          <w:cols w:space="708"/>
          <w:docGrid w:linePitch="360"/>
        </w:sectPr>
      </w:pPr>
    </w:p>
    <w:bookmarkEnd w:id="0"/>
    <w:p w14:paraId="400EECF4" w14:textId="3CAC1181" w:rsidR="00965797" w:rsidRPr="00C41D54" w:rsidRDefault="00965797" w:rsidP="0067514E">
      <w:pPr>
        <w:pStyle w:val="Nadpis11"/>
        <w:rPr>
          <w:b w:val="0"/>
          <w:sz w:val="2"/>
          <w:szCs w:val="2"/>
          <w:highlight w:val="yellow"/>
        </w:rPr>
      </w:pPr>
    </w:p>
    <w:sectPr w:rsidR="00965797" w:rsidRPr="00C41D54" w:rsidSect="00A03B10">
      <w:pgSz w:w="11906" w:h="16838" w:code="9"/>
      <w:pgMar w:top="1134" w:right="1134" w:bottom="1418" w:left="1134"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412E2" w14:textId="77777777" w:rsidR="002F4E70" w:rsidRDefault="002F4E70" w:rsidP="00E71A58">
      <w:r>
        <w:separator/>
      </w:r>
    </w:p>
  </w:endnote>
  <w:endnote w:type="continuationSeparator" w:id="0">
    <w:p w14:paraId="352E873D" w14:textId="77777777" w:rsidR="002F4E70" w:rsidRDefault="002F4E70"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51A0D" w14:textId="7026CC1C" w:rsidR="00441F8B" w:rsidRPr="00932443" w:rsidRDefault="00441F8B" w:rsidP="00A418BC">
    <w:pPr>
      <w:pStyle w:val="Zpat"/>
      <w:rPr>
        <w:szCs w:val="16"/>
      </w:rPr>
    </w:pPr>
    <w:r>
      <w:rPr>
        <w:szCs w:val="16"/>
        <w:lang w:eastAsia="cs-CZ"/>
      </w:rPr>
      <w:drawing>
        <wp:anchor distT="0" distB="0" distL="114300" distR="114300" simplePos="0" relativeHeight="251667968" behindDoc="0" locked="0" layoutInCell="1" allowOverlap="1" wp14:anchorId="71F0B6E3" wp14:editId="3AA519D4">
          <wp:simplePos x="0" y="0"/>
          <wp:positionH relativeFrom="column">
            <wp:align>right</wp:align>
          </wp:positionH>
          <wp:positionV relativeFrom="paragraph">
            <wp:posOffset>-64770</wp:posOffset>
          </wp:positionV>
          <wp:extent cx="428625" cy="201295"/>
          <wp:effectExtent l="0" t="0" r="3175" b="1905"/>
          <wp:wrapNone/>
          <wp:docPr id="7"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B63494">
      <w:rPr>
        <w:szCs w:val="16"/>
      </w:rPr>
      <w:t>24</w:t>
    </w:r>
    <w:r w:rsidRPr="00932443">
      <w:rPr>
        <w:szCs w:val="16"/>
      </w:rPr>
      <w:fldChar w:fldCharType="end"/>
    </w:r>
    <w:r w:rsidRPr="00932443">
      <w:rPr>
        <w:szCs w:val="16"/>
      </w:rPr>
      <w:tab/>
    </w:r>
    <w:r>
      <w:rPr>
        <w:szCs w:val="16"/>
      </w:rPr>
      <w:t>1. čtvrtletí 2020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17E4B" w14:textId="64DE4A5C" w:rsidR="00441F8B" w:rsidRPr="00932443" w:rsidRDefault="00441F8B" w:rsidP="00FA6CB6">
    <w:pPr>
      <w:pStyle w:val="Zpat"/>
      <w:rPr>
        <w:szCs w:val="16"/>
      </w:rPr>
    </w:pPr>
    <w:r w:rsidRPr="00FA6CB6">
      <w:rPr>
        <w:szCs w:val="16"/>
      </w:rPr>
      <w:tab/>
    </w:r>
    <w:r>
      <w:rPr>
        <w:szCs w:val="16"/>
      </w:rPr>
      <w:t xml:space="preserve">1. čtvrtletí </w:t>
    </w:r>
    <w:r>
      <w:rPr>
        <w:szCs w:val="16"/>
        <w:lang w:eastAsia="cs-CZ"/>
      </w:rPr>
      <w:drawing>
        <wp:anchor distT="0" distB="0" distL="114300" distR="114300" simplePos="0" relativeHeight="251658752" behindDoc="0" locked="0" layoutInCell="1" allowOverlap="1" wp14:anchorId="6ADC9B20" wp14:editId="2C3814E9">
          <wp:simplePos x="0" y="0"/>
          <wp:positionH relativeFrom="column">
            <wp:align>left</wp:align>
          </wp:positionH>
          <wp:positionV relativeFrom="paragraph">
            <wp:posOffset>-122555</wp:posOffset>
          </wp:positionV>
          <wp:extent cx="510540" cy="272415"/>
          <wp:effectExtent l="0" t="0" r="0" b="6985"/>
          <wp:wrapNone/>
          <wp:docPr id="9" name="Picture 16"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anchor>
      </w:drawing>
    </w:r>
    <w:r>
      <w:rPr>
        <w:szCs w:val="16"/>
      </w:rPr>
      <w:t>2</w:t>
    </w:r>
    <w:r>
      <w:t>020</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B63494">
      <w:rPr>
        <w:rStyle w:val="ZpatChar"/>
        <w:szCs w:val="16"/>
      </w:rPr>
      <w:t>25</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09483" w14:textId="77777777" w:rsidR="002F4E70" w:rsidRDefault="002F4E70" w:rsidP="00A21B4D">
      <w:pPr>
        <w:spacing w:after="0"/>
      </w:pPr>
      <w:r>
        <w:separator/>
      </w:r>
    </w:p>
  </w:footnote>
  <w:footnote w:type="continuationSeparator" w:id="0">
    <w:p w14:paraId="3283EA2B" w14:textId="77777777" w:rsidR="002F4E70" w:rsidRDefault="002F4E70" w:rsidP="00E71A58">
      <w:r>
        <w:continuationSeparator/>
      </w:r>
    </w:p>
  </w:footnote>
  <w:footnote w:id="1">
    <w:p w14:paraId="2A3A508A" w14:textId="77777777" w:rsidR="00441F8B" w:rsidRPr="00363D19" w:rsidRDefault="00441F8B" w:rsidP="00A96422">
      <w:pPr>
        <w:pStyle w:val="Textpoznpodarou"/>
        <w:jc w:val="both"/>
        <w:rPr>
          <w:spacing w:val="-4"/>
          <w:sz w:val="16"/>
          <w:szCs w:val="16"/>
        </w:rPr>
      </w:pPr>
      <w:r w:rsidRPr="00363D19">
        <w:rPr>
          <w:rStyle w:val="Znakapoznpodarou"/>
          <w:spacing w:val="-4"/>
          <w:sz w:val="16"/>
          <w:szCs w:val="16"/>
        </w:rPr>
        <w:footnoteRef/>
      </w:r>
      <w:r w:rsidRPr="00363D19">
        <w:rPr>
          <w:spacing w:val="-4"/>
          <w:sz w:val="16"/>
          <w:szCs w:val="16"/>
        </w:rPr>
        <w:t xml:space="preserve"> Pokud není uvedeno jinak, jsou v této kapitole údaje o</w:t>
      </w:r>
      <w:r>
        <w:rPr>
          <w:spacing w:val="-4"/>
          <w:sz w:val="16"/>
          <w:szCs w:val="16"/>
        </w:rPr>
        <w:t> </w:t>
      </w:r>
      <w:r w:rsidRPr="00363D19">
        <w:rPr>
          <w:spacing w:val="-4"/>
          <w:sz w:val="16"/>
          <w:szCs w:val="16"/>
        </w:rPr>
        <w:t>zaměstnanosti uvedeny v pojetí národních účtů po očištění o</w:t>
      </w:r>
      <w:r>
        <w:rPr>
          <w:spacing w:val="-4"/>
          <w:sz w:val="16"/>
          <w:szCs w:val="16"/>
        </w:rPr>
        <w:t> </w:t>
      </w:r>
      <w:r w:rsidRPr="00363D19">
        <w:rPr>
          <w:spacing w:val="-4"/>
          <w:sz w:val="16"/>
          <w:szCs w:val="16"/>
        </w:rPr>
        <w:t>sezónní vlivy.</w:t>
      </w:r>
    </w:p>
  </w:footnote>
  <w:footnote w:id="2">
    <w:p w14:paraId="1A3077D5" w14:textId="77777777" w:rsidR="00441F8B" w:rsidRPr="00363D19" w:rsidRDefault="00441F8B" w:rsidP="00A96422">
      <w:pPr>
        <w:pStyle w:val="Textpoznpodarou"/>
        <w:jc w:val="both"/>
        <w:rPr>
          <w:spacing w:val="-4"/>
          <w:sz w:val="16"/>
          <w:szCs w:val="16"/>
        </w:rPr>
      </w:pPr>
      <w:r w:rsidRPr="00363D19">
        <w:rPr>
          <w:rStyle w:val="Znakapoznpodarou"/>
          <w:spacing w:val="-4"/>
          <w:sz w:val="16"/>
          <w:szCs w:val="16"/>
        </w:rPr>
        <w:footnoteRef/>
      </w:r>
      <w:r>
        <w:rPr>
          <w:spacing w:val="-4"/>
          <w:sz w:val="16"/>
          <w:szCs w:val="16"/>
        </w:rPr>
        <w:t xml:space="preserve"> Z předběžných výsledků podnikových statistik plyne, že například evidenční počet zaměstnanců ve stavebnictví</w:t>
      </w:r>
      <w:r w:rsidRPr="00363D19">
        <w:rPr>
          <w:spacing w:val="-4"/>
          <w:sz w:val="16"/>
          <w:szCs w:val="16"/>
        </w:rPr>
        <w:t xml:space="preserve"> </w:t>
      </w:r>
      <w:r>
        <w:rPr>
          <w:spacing w:val="-4"/>
          <w:sz w:val="16"/>
          <w:szCs w:val="16"/>
        </w:rPr>
        <w:t>v březnu 2020 meziročně klesl o 1,2 % (za celé 1. čtvrtletí jen o 0,2 %), v průmyslu činil pokles za březen 2,6 % a za celý kvartál 2,4 %.</w:t>
      </w:r>
      <w:r w:rsidRPr="00363D19">
        <w:rPr>
          <w:spacing w:val="-4"/>
          <w:sz w:val="16"/>
          <w:szCs w:val="16"/>
        </w:rPr>
        <w:t xml:space="preserve"> V tomto pojetí ale nejsou do průmyslu</w:t>
      </w:r>
      <w:r>
        <w:rPr>
          <w:spacing w:val="-4"/>
          <w:sz w:val="16"/>
          <w:szCs w:val="16"/>
        </w:rPr>
        <w:t xml:space="preserve"> ani stavebnictví</w:t>
      </w:r>
      <w:r w:rsidRPr="00363D19">
        <w:rPr>
          <w:spacing w:val="-4"/>
          <w:sz w:val="16"/>
          <w:szCs w:val="16"/>
        </w:rPr>
        <w:t xml:space="preserve"> zařazeni agenturní pracovníci a není zohledněn ani vliv šedé ekonomiky.</w:t>
      </w:r>
    </w:p>
  </w:footnote>
  <w:footnote w:id="3">
    <w:p w14:paraId="5071D49C" w14:textId="77777777" w:rsidR="00441F8B" w:rsidRPr="00363D19" w:rsidRDefault="00441F8B" w:rsidP="00A96422">
      <w:pPr>
        <w:pStyle w:val="Textpoznpodarou"/>
        <w:jc w:val="both"/>
        <w:rPr>
          <w:spacing w:val="-4"/>
          <w:sz w:val="16"/>
          <w:szCs w:val="16"/>
        </w:rPr>
      </w:pPr>
      <w:r w:rsidRPr="00363D19">
        <w:rPr>
          <w:rStyle w:val="Znakapoznpodarou"/>
          <w:spacing w:val="-4"/>
          <w:sz w:val="16"/>
          <w:szCs w:val="16"/>
        </w:rPr>
        <w:footnoteRef/>
      </w:r>
      <w:r>
        <w:rPr>
          <w:spacing w:val="-4"/>
          <w:sz w:val="16"/>
          <w:szCs w:val="16"/>
        </w:rPr>
        <w:t xml:space="preserve"> K více než 6% poklesu došlo dle dat národních účtů ve zpracovatelském průmyslu, p</w:t>
      </w:r>
      <w:r w:rsidRPr="00FE4421">
        <w:rPr>
          <w:spacing w:val="-4"/>
          <w:sz w:val="16"/>
          <w:szCs w:val="16"/>
        </w:rPr>
        <w:t>eněžnictví a</w:t>
      </w:r>
      <w:r>
        <w:rPr>
          <w:spacing w:val="-4"/>
          <w:sz w:val="16"/>
          <w:szCs w:val="16"/>
        </w:rPr>
        <w:t> </w:t>
      </w:r>
      <w:r w:rsidRPr="00FE4421">
        <w:rPr>
          <w:spacing w:val="-4"/>
          <w:sz w:val="16"/>
          <w:szCs w:val="16"/>
        </w:rPr>
        <w:t>pojišťovnictví</w:t>
      </w:r>
      <w:r>
        <w:rPr>
          <w:spacing w:val="-4"/>
          <w:sz w:val="16"/>
          <w:szCs w:val="16"/>
        </w:rPr>
        <w:t>, v odvětví p</w:t>
      </w:r>
      <w:r w:rsidRPr="00FE4421">
        <w:rPr>
          <w:spacing w:val="-4"/>
          <w:sz w:val="16"/>
          <w:szCs w:val="16"/>
        </w:rPr>
        <w:t>rofesní</w:t>
      </w:r>
      <w:r>
        <w:rPr>
          <w:spacing w:val="-4"/>
          <w:sz w:val="16"/>
          <w:szCs w:val="16"/>
        </w:rPr>
        <w:t>, vědecké, technické</w:t>
      </w:r>
      <w:r w:rsidRPr="00FE4421">
        <w:rPr>
          <w:spacing w:val="-4"/>
          <w:sz w:val="16"/>
          <w:szCs w:val="16"/>
        </w:rPr>
        <w:t xml:space="preserve"> a</w:t>
      </w:r>
      <w:r>
        <w:rPr>
          <w:spacing w:val="-4"/>
          <w:sz w:val="16"/>
          <w:szCs w:val="16"/>
        </w:rPr>
        <w:t> </w:t>
      </w:r>
      <w:r w:rsidRPr="00FE4421">
        <w:rPr>
          <w:spacing w:val="-4"/>
          <w:sz w:val="16"/>
          <w:szCs w:val="16"/>
        </w:rPr>
        <w:t>administrativní</w:t>
      </w:r>
      <w:r>
        <w:rPr>
          <w:spacing w:val="-4"/>
          <w:sz w:val="16"/>
          <w:szCs w:val="16"/>
        </w:rPr>
        <w:t xml:space="preserve"> činnosti a také v segmentu o</w:t>
      </w:r>
      <w:r w:rsidRPr="006353E8">
        <w:rPr>
          <w:spacing w:val="-4"/>
          <w:sz w:val="16"/>
          <w:szCs w:val="16"/>
        </w:rPr>
        <w:t>bchod, doprava, ubytování a</w:t>
      </w:r>
      <w:r>
        <w:rPr>
          <w:spacing w:val="-4"/>
          <w:sz w:val="16"/>
          <w:szCs w:val="16"/>
        </w:rPr>
        <w:t> </w:t>
      </w:r>
      <w:r w:rsidRPr="006353E8">
        <w:rPr>
          <w:spacing w:val="-4"/>
          <w:sz w:val="16"/>
          <w:szCs w:val="16"/>
        </w:rPr>
        <w:t>pohostinství</w:t>
      </w:r>
      <w:r>
        <w:rPr>
          <w:spacing w:val="-4"/>
          <w:sz w:val="16"/>
          <w:szCs w:val="16"/>
        </w:rPr>
        <w:t>. Podrobnější údaje z VŠPS dokládají, že v dubnu, jenž byl restriktivními opatřeními zasažen již naplno, klesla průměrná týdenní skutečná odpracovaná doba v celé ekonomice meziročně o 22 % (v kategorii podnikatelů a </w:t>
      </w:r>
      <w:r w:rsidRPr="006413A7">
        <w:rPr>
          <w:spacing w:val="-4"/>
          <w:sz w:val="16"/>
          <w:szCs w:val="16"/>
        </w:rPr>
        <w:t>pomáhajících rodinných příslušníků</w:t>
      </w:r>
      <w:r>
        <w:rPr>
          <w:spacing w:val="-4"/>
          <w:sz w:val="16"/>
          <w:szCs w:val="16"/>
        </w:rPr>
        <w:t xml:space="preserve"> dokonce o 31 %). V březnu činily obdobné podíly 10 % a 17 %.</w:t>
      </w:r>
    </w:p>
  </w:footnote>
  <w:footnote w:id="4">
    <w:p w14:paraId="39F64149" w14:textId="77777777" w:rsidR="00441F8B" w:rsidRPr="00363D19" w:rsidRDefault="00441F8B" w:rsidP="00A96422">
      <w:pPr>
        <w:pStyle w:val="Textpoznpodarou"/>
        <w:jc w:val="both"/>
        <w:rPr>
          <w:spacing w:val="-4"/>
          <w:sz w:val="16"/>
          <w:szCs w:val="16"/>
        </w:rPr>
      </w:pPr>
      <w:r w:rsidRPr="00363D19">
        <w:rPr>
          <w:rStyle w:val="Znakapoznpodarou"/>
          <w:spacing w:val="-4"/>
          <w:sz w:val="16"/>
          <w:szCs w:val="16"/>
        </w:rPr>
        <w:footnoteRef/>
      </w:r>
      <w:r w:rsidRPr="00363D19">
        <w:rPr>
          <w:spacing w:val="-4"/>
          <w:sz w:val="16"/>
          <w:szCs w:val="16"/>
        </w:rPr>
        <w:t xml:space="preserve"> T</w:t>
      </w:r>
      <w:r>
        <w:rPr>
          <w:spacing w:val="-4"/>
          <w:sz w:val="16"/>
          <w:szCs w:val="16"/>
        </w:rPr>
        <w:t>a</w:t>
      </w:r>
      <w:r w:rsidRPr="00363D19">
        <w:rPr>
          <w:spacing w:val="-4"/>
          <w:sz w:val="16"/>
          <w:szCs w:val="16"/>
        </w:rPr>
        <w:t xml:space="preserve"> jsou vyjádřen</w:t>
      </w:r>
      <w:r>
        <w:rPr>
          <w:spacing w:val="-4"/>
          <w:sz w:val="16"/>
          <w:szCs w:val="16"/>
        </w:rPr>
        <w:t>a</w:t>
      </w:r>
      <w:r w:rsidRPr="00363D19">
        <w:rPr>
          <w:spacing w:val="-4"/>
          <w:sz w:val="16"/>
          <w:szCs w:val="16"/>
        </w:rPr>
        <w:t xml:space="preserve"> pomocí sezónně očištěných údajů jako rozdíl (v</w:t>
      </w:r>
      <w:r>
        <w:rPr>
          <w:spacing w:val="-4"/>
          <w:sz w:val="16"/>
          <w:szCs w:val="16"/>
        </w:rPr>
        <w:t> p. b.</w:t>
      </w:r>
      <w:r w:rsidRPr="00363D19">
        <w:rPr>
          <w:spacing w:val="-4"/>
          <w:sz w:val="16"/>
          <w:szCs w:val="16"/>
        </w:rPr>
        <w:t>) mezi podílem podniků očekávajících v nejbližších třech měsících navýšení zaměstnanosti a podniků vyhlížejících naopak redukci stavu svých pracovníků.</w:t>
      </w:r>
      <w:r>
        <w:rPr>
          <w:spacing w:val="-4"/>
          <w:sz w:val="16"/>
          <w:szCs w:val="16"/>
        </w:rPr>
        <w:t xml:space="preserve"> Šetření je realizováno téměř výhradně v první polovině měsíce (například letošní březnová data vyjadřují postoje podniků zjištěná do 17. 3.).</w:t>
      </w:r>
    </w:p>
  </w:footnote>
  <w:footnote w:id="5">
    <w:p w14:paraId="3733547A" w14:textId="77777777" w:rsidR="00441F8B" w:rsidRPr="00363D19" w:rsidRDefault="00441F8B" w:rsidP="00A96422">
      <w:pPr>
        <w:pStyle w:val="Textpoznpodarou"/>
        <w:jc w:val="both"/>
        <w:rPr>
          <w:spacing w:val="-4"/>
          <w:sz w:val="16"/>
          <w:szCs w:val="16"/>
        </w:rPr>
      </w:pPr>
      <w:r w:rsidRPr="00363D19">
        <w:rPr>
          <w:rStyle w:val="Znakapoznpodarou"/>
          <w:spacing w:val="-4"/>
          <w:sz w:val="16"/>
          <w:szCs w:val="16"/>
        </w:rPr>
        <w:footnoteRef/>
      </w:r>
      <w:r>
        <w:rPr>
          <w:spacing w:val="-4"/>
          <w:sz w:val="16"/>
          <w:szCs w:val="16"/>
        </w:rPr>
        <w:t xml:space="preserve"> </w:t>
      </w:r>
      <w:r>
        <w:rPr>
          <w:sz w:val="16"/>
          <w:szCs w:val="16"/>
        </w:rPr>
        <w:t>Zahrnují všechna odvětví služeb</w:t>
      </w:r>
      <w:r w:rsidRPr="00A5378E">
        <w:rPr>
          <w:sz w:val="16"/>
          <w:szCs w:val="16"/>
        </w:rPr>
        <w:t xml:space="preserve"> vyjma </w:t>
      </w:r>
      <w:r>
        <w:rPr>
          <w:sz w:val="16"/>
          <w:szCs w:val="16"/>
        </w:rPr>
        <w:t xml:space="preserve">těch s převahou veřejného sektoru (sekce O až </w:t>
      </w:r>
      <w:r w:rsidRPr="00A5378E">
        <w:rPr>
          <w:sz w:val="16"/>
          <w:szCs w:val="16"/>
        </w:rPr>
        <w:t>R) a</w:t>
      </w:r>
      <w:r>
        <w:rPr>
          <w:sz w:val="16"/>
          <w:szCs w:val="16"/>
        </w:rPr>
        <w:t> dále</w:t>
      </w:r>
      <w:r w:rsidRPr="00A5378E">
        <w:rPr>
          <w:sz w:val="16"/>
          <w:szCs w:val="16"/>
        </w:rPr>
        <w:t xml:space="preserve"> obchodu (samostatná kategorie).</w:t>
      </w:r>
    </w:p>
  </w:footnote>
  <w:footnote w:id="6">
    <w:p w14:paraId="473CA6AF" w14:textId="77777777" w:rsidR="00441F8B" w:rsidRPr="00363D19" w:rsidRDefault="00441F8B" w:rsidP="00A96422">
      <w:pPr>
        <w:pStyle w:val="Textpoznpodarou"/>
        <w:jc w:val="both"/>
        <w:rPr>
          <w:spacing w:val="-4"/>
          <w:sz w:val="16"/>
          <w:szCs w:val="16"/>
        </w:rPr>
      </w:pPr>
      <w:r w:rsidRPr="00363D19">
        <w:rPr>
          <w:rStyle w:val="Znakapoznpodarou"/>
          <w:spacing w:val="-4"/>
          <w:sz w:val="16"/>
          <w:szCs w:val="16"/>
        </w:rPr>
        <w:footnoteRef/>
      </w:r>
      <w:r>
        <w:rPr>
          <w:spacing w:val="-4"/>
          <w:sz w:val="16"/>
          <w:szCs w:val="16"/>
        </w:rPr>
        <w:t xml:space="preserve"> </w:t>
      </w:r>
      <w:r w:rsidRPr="00B01F57">
        <w:rPr>
          <w:spacing w:val="-4"/>
          <w:sz w:val="16"/>
          <w:szCs w:val="16"/>
        </w:rPr>
        <w:t>V</w:t>
      </w:r>
      <w:r>
        <w:rPr>
          <w:spacing w:val="-4"/>
          <w:sz w:val="16"/>
          <w:szCs w:val="16"/>
        </w:rPr>
        <w:t> </w:t>
      </w:r>
      <w:r w:rsidRPr="00B01F57">
        <w:rPr>
          <w:spacing w:val="-4"/>
          <w:sz w:val="16"/>
          <w:szCs w:val="16"/>
        </w:rPr>
        <w:t xml:space="preserve">průmyslu došlo k propadu </w:t>
      </w:r>
      <w:r>
        <w:rPr>
          <w:spacing w:val="-4"/>
          <w:sz w:val="16"/>
          <w:szCs w:val="16"/>
        </w:rPr>
        <w:t>z </w:t>
      </w:r>
      <w:r w:rsidRPr="00B01F57">
        <w:rPr>
          <w:spacing w:val="-4"/>
          <w:sz w:val="16"/>
          <w:szCs w:val="16"/>
        </w:rPr>
        <w:t>–</w:t>
      </w:r>
      <w:r>
        <w:rPr>
          <w:spacing w:val="-4"/>
          <w:sz w:val="16"/>
          <w:szCs w:val="16"/>
        </w:rPr>
        <w:t>1 </w:t>
      </w:r>
      <w:r w:rsidRPr="00B01F57">
        <w:rPr>
          <w:spacing w:val="-4"/>
          <w:sz w:val="16"/>
          <w:szCs w:val="16"/>
        </w:rPr>
        <w:t>bodu v březnu na –25</w:t>
      </w:r>
      <w:r>
        <w:rPr>
          <w:spacing w:val="-4"/>
          <w:sz w:val="16"/>
          <w:szCs w:val="16"/>
        </w:rPr>
        <w:t> </w:t>
      </w:r>
      <w:r w:rsidRPr="00B01F57">
        <w:rPr>
          <w:spacing w:val="-4"/>
          <w:sz w:val="16"/>
          <w:szCs w:val="16"/>
        </w:rPr>
        <w:t>bod</w:t>
      </w:r>
      <w:r>
        <w:rPr>
          <w:spacing w:val="-4"/>
          <w:sz w:val="16"/>
          <w:szCs w:val="16"/>
        </w:rPr>
        <w:t>ů</w:t>
      </w:r>
      <w:r w:rsidRPr="00B01F57">
        <w:rPr>
          <w:spacing w:val="-4"/>
          <w:sz w:val="16"/>
          <w:szCs w:val="16"/>
        </w:rPr>
        <w:t xml:space="preserve"> v</w:t>
      </w:r>
      <w:r>
        <w:rPr>
          <w:spacing w:val="-4"/>
          <w:sz w:val="16"/>
          <w:szCs w:val="16"/>
        </w:rPr>
        <w:t> </w:t>
      </w:r>
      <w:r w:rsidRPr="00B01F57">
        <w:rPr>
          <w:spacing w:val="-4"/>
          <w:sz w:val="16"/>
          <w:szCs w:val="16"/>
        </w:rPr>
        <w:t xml:space="preserve">dubnu (nejméně </w:t>
      </w:r>
      <w:r>
        <w:rPr>
          <w:spacing w:val="-4"/>
          <w:sz w:val="16"/>
          <w:szCs w:val="16"/>
        </w:rPr>
        <w:t>od podzimu roku 2009). Pesimismus vnímaly</w:t>
      </w:r>
      <w:r w:rsidRPr="00B01F57">
        <w:rPr>
          <w:spacing w:val="-4"/>
          <w:sz w:val="16"/>
          <w:szCs w:val="16"/>
        </w:rPr>
        <w:t xml:space="preserve"> </w:t>
      </w:r>
      <w:r>
        <w:rPr>
          <w:spacing w:val="-4"/>
          <w:sz w:val="16"/>
          <w:szCs w:val="16"/>
        </w:rPr>
        <w:t>i </w:t>
      </w:r>
      <w:r w:rsidRPr="00B01F57">
        <w:rPr>
          <w:spacing w:val="-4"/>
          <w:sz w:val="16"/>
          <w:szCs w:val="16"/>
        </w:rPr>
        <w:t>podniky v</w:t>
      </w:r>
      <w:r>
        <w:rPr>
          <w:spacing w:val="-4"/>
          <w:sz w:val="16"/>
          <w:szCs w:val="16"/>
        </w:rPr>
        <w:t> </w:t>
      </w:r>
      <w:r w:rsidRPr="00B01F57">
        <w:rPr>
          <w:spacing w:val="-4"/>
          <w:sz w:val="16"/>
          <w:szCs w:val="16"/>
        </w:rPr>
        <w:t>tržních službách (–27</w:t>
      </w:r>
      <w:r>
        <w:rPr>
          <w:spacing w:val="-4"/>
          <w:sz w:val="16"/>
          <w:szCs w:val="16"/>
        </w:rPr>
        <w:t> </w:t>
      </w:r>
      <w:r w:rsidRPr="00B01F57">
        <w:rPr>
          <w:spacing w:val="-4"/>
          <w:sz w:val="16"/>
          <w:szCs w:val="16"/>
        </w:rPr>
        <w:t>bod</w:t>
      </w:r>
      <w:r>
        <w:rPr>
          <w:spacing w:val="-4"/>
          <w:sz w:val="16"/>
          <w:szCs w:val="16"/>
        </w:rPr>
        <w:t>ů</w:t>
      </w:r>
      <w:r w:rsidRPr="00B01F57">
        <w:rPr>
          <w:spacing w:val="-4"/>
          <w:sz w:val="16"/>
          <w:szCs w:val="16"/>
        </w:rPr>
        <w:t>, minimum od léta 2013)</w:t>
      </w:r>
      <w:r>
        <w:rPr>
          <w:spacing w:val="-4"/>
          <w:sz w:val="16"/>
          <w:szCs w:val="16"/>
        </w:rPr>
        <w:t>. L</w:t>
      </w:r>
      <w:r w:rsidRPr="00B01F57">
        <w:rPr>
          <w:spacing w:val="-4"/>
          <w:sz w:val="16"/>
          <w:szCs w:val="16"/>
        </w:rPr>
        <w:t>épe na tom bylo stavebnictví (</w:t>
      </w:r>
      <w:r>
        <w:rPr>
          <w:spacing w:val="-4"/>
          <w:sz w:val="16"/>
          <w:szCs w:val="16"/>
        </w:rPr>
        <w:t>–5, min. od podzimu 2017) i obchod (–9, min.</w:t>
      </w:r>
      <w:r w:rsidRPr="00B01F57">
        <w:rPr>
          <w:spacing w:val="-4"/>
          <w:sz w:val="16"/>
          <w:szCs w:val="16"/>
        </w:rPr>
        <w:t xml:space="preserve"> od konce roku 1999).</w:t>
      </w:r>
    </w:p>
  </w:footnote>
  <w:footnote w:id="7">
    <w:p w14:paraId="7CD363A8" w14:textId="77777777" w:rsidR="00441F8B" w:rsidRPr="004E68B1" w:rsidRDefault="00441F8B" w:rsidP="00A96422">
      <w:pPr>
        <w:pStyle w:val="Textpoznpodarou"/>
        <w:jc w:val="both"/>
        <w:rPr>
          <w:spacing w:val="-3"/>
          <w:sz w:val="16"/>
          <w:szCs w:val="16"/>
        </w:rPr>
      </w:pPr>
      <w:r w:rsidRPr="004E68B1">
        <w:rPr>
          <w:rStyle w:val="Znakapoznpodarou"/>
          <w:spacing w:val="-3"/>
          <w:sz w:val="16"/>
          <w:szCs w:val="16"/>
        </w:rPr>
        <w:footnoteRef/>
      </w:r>
      <w:r w:rsidRPr="004E68B1">
        <w:rPr>
          <w:spacing w:val="-3"/>
          <w:sz w:val="16"/>
          <w:szCs w:val="16"/>
        </w:rPr>
        <w:t xml:space="preserve"> U osob ve věku 15–64 let, hodnota po sezónním očištění. Všechny údaje o nezaměstnanosti vycházejí z Výběrového šetření pracovních sil.</w:t>
      </w:r>
    </w:p>
  </w:footnote>
  <w:footnote w:id="8">
    <w:p w14:paraId="54A32D4D" w14:textId="77777777" w:rsidR="00441F8B" w:rsidRPr="006A4CF3" w:rsidRDefault="00441F8B" w:rsidP="00A96422">
      <w:pPr>
        <w:pStyle w:val="Textpoznpodarou"/>
        <w:jc w:val="both"/>
        <w:rPr>
          <w:spacing w:val="-2"/>
          <w:sz w:val="16"/>
          <w:szCs w:val="16"/>
        </w:rPr>
      </w:pPr>
      <w:r w:rsidRPr="006A4CF3">
        <w:rPr>
          <w:rStyle w:val="Znakapoznpodarou"/>
          <w:spacing w:val="-2"/>
          <w:sz w:val="16"/>
          <w:szCs w:val="16"/>
        </w:rPr>
        <w:footnoteRef/>
      </w:r>
      <w:r>
        <w:rPr>
          <w:spacing w:val="-2"/>
          <w:sz w:val="16"/>
          <w:szCs w:val="16"/>
        </w:rPr>
        <w:t xml:space="preserve"> Týká se osob ve věku 15–74 let, hodnota je po sezónním očištění.</w:t>
      </w:r>
    </w:p>
  </w:footnote>
  <w:footnote w:id="9">
    <w:p w14:paraId="130DB3D3" w14:textId="77777777" w:rsidR="00441F8B" w:rsidRPr="006A4CF3" w:rsidRDefault="00441F8B" w:rsidP="00A96422">
      <w:pPr>
        <w:pStyle w:val="Textpoznpodarou"/>
        <w:jc w:val="both"/>
        <w:rPr>
          <w:spacing w:val="-2"/>
          <w:sz w:val="16"/>
          <w:szCs w:val="16"/>
        </w:rPr>
      </w:pPr>
      <w:r w:rsidRPr="006A4CF3">
        <w:rPr>
          <w:rStyle w:val="Znakapoznpodarou"/>
          <w:spacing w:val="-2"/>
          <w:sz w:val="16"/>
          <w:szCs w:val="16"/>
        </w:rPr>
        <w:footnoteRef/>
      </w:r>
      <w:r>
        <w:rPr>
          <w:spacing w:val="-2"/>
          <w:sz w:val="16"/>
          <w:szCs w:val="16"/>
        </w:rPr>
        <w:t xml:space="preserve"> Údaje za Řecko, Estonsko a Maďarsko nebyly dostupné.</w:t>
      </w:r>
    </w:p>
  </w:footnote>
  <w:footnote w:id="10">
    <w:p w14:paraId="0FB858C2" w14:textId="77777777" w:rsidR="00441F8B" w:rsidRPr="006A4CF3" w:rsidRDefault="00441F8B" w:rsidP="00A96422">
      <w:pPr>
        <w:pStyle w:val="Textpoznpodarou"/>
        <w:jc w:val="both"/>
        <w:rPr>
          <w:spacing w:val="-2"/>
          <w:sz w:val="16"/>
          <w:szCs w:val="16"/>
        </w:rPr>
      </w:pPr>
      <w:r w:rsidRPr="006A4CF3">
        <w:rPr>
          <w:rStyle w:val="Znakapoznpodarou"/>
          <w:spacing w:val="-2"/>
          <w:sz w:val="16"/>
          <w:szCs w:val="16"/>
        </w:rPr>
        <w:footnoteRef/>
      </w:r>
      <w:r>
        <w:rPr>
          <w:spacing w:val="-2"/>
          <w:sz w:val="16"/>
          <w:szCs w:val="16"/>
        </w:rPr>
        <w:t xml:space="preserve"> To nepřímo potvrzuje i silný meziroční přírůstek celkového počtu ekonomicky neaktivních osob (+58 tis., nejvyšší od 3. čtvrtletí 2008). Pokračoval ale i dlouhodobější trend snižování tzv. pracovní mezery reprezentované </w:t>
      </w:r>
      <w:r w:rsidRPr="00F30AD4">
        <w:rPr>
          <w:spacing w:val="-2"/>
          <w:sz w:val="16"/>
          <w:szCs w:val="16"/>
        </w:rPr>
        <w:t>ekonomicky neaktivní</w:t>
      </w:r>
      <w:r>
        <w:rPr>
          <w:spacing w:val="-2"/>
          <w:sz w:val="16"/>
          <w:szCs w:val="16"/>
        </w:rPr>
        <w:t>mi</w:t>
      </w:r>
      <w:r w:rsidRPr="00F30AD4">
        <w:rPr>
          <w:spacing w:val="-2"/>
          <w:sz w:val="16"/>
          <w:szCs w:val="16"/>
        </w:rPr>
        <w:t xml:space="preserve"> osobami chtějícími pracovat.</w:t>
      </w:r>
      <w:r>
        <w:rPr>
          <w:spacing w:val="-2"/>
          <w:sz w:val="16"/>
          <w:szCs w:val="16"/>
        </w:rPr>
        <w:t xml:space="preserve"> Jejich počet se snížil o 6,5 tis. mezičtvrtletně a o 11,2 tis. meziročně na 93,4 tis., což představovalo nejnižší úroveň za dobu sledování.</w:t>
      </w:r>
    </w:p>
  </w:footnote>
  <w:footnote w:id="11">
    <w:p w14:paraId="2E31B94F" w14:textId="77777777" w:rsidR="00441F8B" w:rsidRPr="006A4CF3" w:rsidRDefault="00441F8B" w:rsidP="00A96422">
      <w:pPr>
        <w:pStyle w:val="Textpoznpodarou"/>
        <w:jc w:val="both"/>
        <w:rPr>
          <w:spacing w:val="-2"/>
          <w:sz w:val="16"/>
          <w:szCs w:val="16"/>
        </w:rPr>
      </w:pPr>
      <w:r w:rsidRPr="006A4CF3">
        <w:rPr>
          <w:rStyle w:val="Znakapoznpodarou"/>
          <w:spacing w:val="-2"/>
          <w:sz w:val="16"/>
          <w:szCs w:val="16"/>
        </w:rPr>
        <w:footnoteRef/>
      </w:r>
      <w:r>
        <w:rPr>
          <w:spacing w:val="-2"/>
          <w:sz w:val="16"/>
          <w:szCs w:val="16"/>
        </w:rPr>
        <w:t xml:space="preserve"> Například v odvětvích ubytování, stravování a pohostinství pracovalo v roce 2019 více než 15 % zaměstnanců se smlouvou na dobu určitou. V administrativních a podpůrných činnostech dosahoval tento podíl 18 %, v celé ekonomice pak 8,3 %.</w:t>
      </w:r>
    </w:p>
  </w:footnote>
  <w:footnote w:id="12">
    <w:p w14:paraId="766F3D0D" w14:textId="77777777" w:rsidR="00441F8B" w:rsidRPr="006A4CF3" w:rsidRDefault="00441F8B" w:rsidP="00A96422">
      <w:pPr>
        <w:pStyle w:val="Textpoznpodarou"/>
        <w:jc w:val="both"/>
        <w:rPr>
          <w:spacing w:val="-2"/>
          <w:sz w:val="16"/>
          <w:szCs w:val="16"/>
        </w:rPr>
      </w:pPr>
      <w:r w:rsidRPr="006A4CF3">
        <w:rPr>
          <w:rStyle w:val="Znakapoznpodarou"/>
          <w:spacing w:val="-2"/>
          <w:sz w:val="16"/>
          <w:szCs w:val="16"/>
        </w:rPr>
        <w:footnoteRef/>
      </w:r>
      <w:r>
        <w:rPr>
          <w:spacing w:val="-2"/>
          <w:sz w:val="16"/>
          <w:szCs w:val="16"/>
        </w:rPr>
        <w:t xml:space="preserve"> Ke snížení objemu vyplacených mezd došlo z hlavních odvětví již jen v kulturních, zábavních a rekreačních činnostech. Zde se však projevil efekt nestandardně vysoké loňské srovnávací základny (kdy byly vyplaceny vysoké mzdy v tržním segmentu tohoto odvětví).</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985C8" w14:textId="77777777" w:rsidR="00441F8B" w:rsidRDefault="00441F8B" w:rsidP="00937AE2">
    <w:pPr>
      <w:pStyle w:val="Zhlav"/>
    </w:pPr>
    <w:r>
      <w:t>Vývoj ekonomiky České republiky</w:t>
    </w:r>
  </w:p>
  <w:p w14:paraId="675E4C41" w14:textId="77777777" w:rsidR="00441F8B" w:rsidRPr="006F5416" w:rsidRDefault="00441F8B" w:rsidP="00937AE2">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812FB" w14:textId="77777777" w:rsidR="00441F8B" w:rsidRDefault="00441F8B" w:rsidP="00937AE2">
    <w:pPr>
      <w:pStyle w:val="Zhlav"/>
    </w:pPr>
    <w:r>
      <w:t>Vývoj ekonomiky České republiky</w:t>
    </w:r>
  </w:p>
  <w:p w14:paraId="0CDCFD48" w14:textId="77777777" w:rsidR="00441F8B" w:rsidRPr="006F5416" w:rsidRDefault="00441F8B" w:rsidP="00937AE2">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3"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21"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24"/>
  </w:num>
  <w:num w:numId="14">
    <w:abstractNumId w:val="12"/>
  </w:num>
  <w:num w:numId="15">
    <w:abstractNumId w:val="18"/>
  </w:num>
  <w:num w:numId="16">
    <w:abstractNumId w:val="14"/>
  </w:num>
  <w:num w:numId="17">
    <w:abstractNumId w:val="25"/>
  </w:num>
  <w:num w:numId="18">
    <w:abstractNumId w:val="19"/>
  </w:num>
  <w:num w:numId="19">
    <w:abstractNumId w:val="26"/>
  </w:num>
  <w:num w:numId="20">
    <w:abstractNumId w:val="27"/>
  </w:num>
  <w:num w:numId="21">
    <w:abstractNumId w:val="23"/>
  </w:num>
  <w:num w:numId="22">
    <w:abstractNumId w:val="17"/>
  </w:num>
  <w:num w:numId="23">
    <w:abstractNumId w:val="15"/>
  </w:num>
  <w:num w:numId="24">
    <w:abstractNumId w:val="16"/>
  </w:num>
  <w:num w:numId="25">
    <w:abstractNumId w:val="11"/>
  </w:num>
  <w:num w:numId="26">
    <w:abstractNumId w:val="21"/>
  </w:num>
  <w:num w:numId="27">
    <w:abstractNumId w:val="20"/>
  </w:num>
  <w:num w:numId="28">
    <w:abstractNumId w:val="10"/>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28"/>
    <w:rsid w:val="000005AF"/>
    <w:rsid w:val="00000B55"/>
    <w:rsid w:val="0000209D"/>
    <w:rsid w:val="00002566"/>
    <w:rsid w:val="00003849"/>
    <w:rsid w:val="00003F5C"/>
    <w:rsid w:val="00004D5A"/>
    <w:rsid w:val="000056D5"/>
    <w:rsid w:val="00005D9E"/>
    <w:rsid w:val="000063D5"/>
    <w:rsid w:val="00006625"/>
    <w:rsid w:val="00006ABD"/>
    <w:rsid w:val="00006B67"/>
    <w:rsid w:val="00006C0B"/>
    <w:rsid w:val="000073A0"/>
    <w:rsid w:val="0000767A"/>
    <w:rsid w:val="00007ABE"/>
    <w:rsid w:val="00010256"/>
    <w:rsid w:val="00010702"/>
    <w:rsid w:val="0001128E"/>
    <w:rsid w:val="00011912"/>
    <w:rsid w:val="0001387D"/>
    <w:rsid w:val="00014ED0"/>
    <w:rsid w:val="00016420"/>
    <w:rsid w:val="00017B01"/>
    <w:rsid w:val="000205D1"/>
    <w:rsid w:val="00020F22"/>
    <w:rsid w:val="0002195D"/>
    <w:rsid w:val="000228AE"/>
    <w:rsid w:val="000233D1"/>
    <w:rsid w:val="000234D6"/>
    <w:rsid w:val="00023D29"/>
    <w:rsid w:val="00024348"/>
    <w:rsid w:val="00026389"/>
    <w:rsid w:val="0002669F"/>
    <w:rsid w:val="000279E5"/>
    <w:rsid w:val="00031AE0"/>
    <w:rsid w:val="00031BB2"/>
    <w:rsid w:val="000322EF"/>
    <w:rsid w:val="00033FCD"/>
    <w:rsid w:val="00034DF7"/>
    <w:rsid w:val="00034E68"/>
    <w:rsid w:val="000350C8"/>
    <w:rsid w:val="00036195"/>
    <w:rsid w:val="000374B2"/>
    <w:rsid w:val="000376C0"/>
    <w:rsid w:val="000403A7"/>
    <w:rsid w:val="00040632"/>
    <w:rsid w:val="00041AFC"/>
    <w:rsid w:val="00041CEC"/>
    <w:rsid w:val="00044183"/>
    <w:rsid w:val="0004431D"/>
    <w:rsid w:val="0004694F"/>
    <w:rsid w:val="00046F2F"/>
    <w:rsid w:val="00047AD4"/>
    <w:rsid w:val="00047D54"/>
    <w:rsid w:val="0005054A"/>
    <w:rsid w:val="00051506"/>
    <w:rsid w:val="000522E4"/>
    <w:rsid w:val="00053713"/>
    <w:rsid w:val="0005434E"/>
    <w:rsid w:val="00055CB6"/>
    <w:rsid w:val="000572DD"/>
    <w:rsid w:val="00057B1E"/>
    <w:rsid w:val="000610E1"/>
    <w:rsid w:val="000616AD"/>
    <w:rsid w:val="000622A6"/>
    <w:rsid w:val="00062EC5"/>
    <w:rsid w:val="00062F22"/>
    <w:rsid w:val="00063975"/>
    <w:rsid w:val="00063CEA"/>
    <w:rsid w:val="0006444D"/>
    <w:rsid w:val="000645FC"/>
    <w:rsid w:val="0006533F"/>
    <w:rsid w:val="00065348"/>
    <w:rsid w:val="00065A75"/>
    <w:rsid w:val="00066558"/>
    <w:rsid w:val="00070A87"/>
    <w:rsid w:val="000712B3"/>
    <w:rsid w:val="00072FF5"/>
    <w:rsid w:val="0007474E"/>
    <w:rsid w:val="00074988"/>
    <w:rsid w:val="0007512B"/>
    <w:rsid w:val="00075551"/>
    <w:rsid w:val="000767F5"/>
    <w:rsid w:val="00076D90"/>
    <w:rsid w:val="00077FF0"/>
    <w:rsid w:val="00081A55"/>
    <w:rsid w:val="0008263E"/>
    <w:rsid w:val="00082C19"/>
    <w:rsid w:val="00082F89"/>
    <w:rsid w:val="000837CD"/>
    <w:rsid w:val="00084BFF"/>
    <w:rsid w:val="00085395"/>
    <w:rsid w:val="00086896"/>
    <w:rsid w:val="00086AC1"/>
    <w:rsid w:val="00086D19"/>
    <w:rsid w:val="00087634"/>
    <w:rsid w:val="00087F2B"/>
    <w:rsid w:val="00090694"/>
    <w:rsid w:val="00090EE2"/>
    <w:rsid w:val="00090FC6"/>
    <w:rsid w:val="000913B1"/>
    <w:rsid w:val="00093241"/>
    <w:rsid w:val="00094A84"/>
    <w:rsid w:val="00095025"/>
    <w:rsid w:val="00095135"/>
    <w:rsid w:val="0009626E"/>
    <w:rsid w:val="00097191"/>
    <w:rsid w:val="000974D1"/>
    <w:rsid w:val="00097784"/>
    <w:rsid w:val="0009799E"/>
    <w:rsid w:val="000A07CB"/>
    <w:rsid w:val="000A0BC0"/>
    <w:rsid w:val="000A1183"/>
    <w:rsid w:val="000A12ED"/>
    <w:rsid w:val="000A212B"/>
    <w:rsid w:val="000A242D"/>
    <w:rsid w:val="000A256D"/>
    <w:rsid w:val="000A3A2C"/>
    <w:rsid w:val="000A3D9E"/>
    <w:rsid w:val="000A4A54"/>
    <w:rsid w:val="000A4ED9"/>
    <w:rsid w:val="000A5DB7"/>
    <w:rsid w:val="000A6D94"/>
    <w:rsid w:val="000A7377"/>
    <w:rsid w:val="000A7FF4"/>
    <w:rsid w:val="000B03CC"/>
    <w:rsid w:val="000B4212"/>
    <w:rsid w:val="000C0EA8"/>
    <w:rsid w:val="000C13A2"/>
    <w:rsid w:val="000C21E7"/>
    <w:rsid w:val="000C23EC"/>
    <w:rsid w:val="000C30C3"/>
    <w:rsid w:val="000C3408"/>
    <w:rsid w:val="000C35AB"/>
    <w:rsid w:val="000C3F7B"/>
    <w:rsid w:val="000C4769"/>
    <w:rsid w:val="000C4D56"/>
    <w:rsid w:val="000C5DFA"/>
    <w:rsid w:val="000C6AFD"/>
    <w:rsid w:val="000C6C90"/>
    <w:rsid w:val="000D0A26"/>
    <w:rsid w:val="000D3058"/>
    <w:rsid w:val="000D310A"/>
    <w:rsid w:val="000D3EF4"/>
    <w:rsid w:val="000D5637"/>
    <w:rsid w:val="000D6F4E"/>
    <w:rsid w:val="000E0E96"/>
    <w:rsid w:val="000E298B"/>
    <w:rsid w:val="000E2C7D"/>
    <w:rsid w:val="000E440D"/>
    <w:rsid w:val="000E4AC5"/>
    <w:rsid w:val="000E6253"/>
    <w:rsid w:val="000E6E4D"/>
    <w:rsid w:val="000E6FBD"/>
    <w:rsid w:val="000E6FCB"/>
    <w:rsid w:val="000F090B"/>
    <w:rsid w:val="000F3F3B"/>
    <w:rsid w:val="000F47E8"/>
    <w:rsid w:val="000F70E4"/>
    <w:rsid w:val="000F76EA"/>
    <w:rsid w:val="00100F5C"/>
    <w:rsid w:val="00101CDA"/>
    <w:rsid w:val="00102037"/>
    <w:rsid w:val="00103DCB"/>
    <w:rsid w:val="00104C4C"/>
    <w:rsid w:val="00105015"/>
    <w:rsid w:val="001055D2"/>
    <w:rsid w:val="001057C2"/>
    <w:rsid w:val="0011038E"/>
    <w:rsid w:val="001125EF"/>
    <w:rsid w:val="00112CAB"/>
    <w:rsid w:val="00116D3F"/>
    <w:rsid w:val="00117474"/>
    <w:rsid w:val="00117623"/>
    <w:rsid w:val="00117FEA"/>
    <w:rsid w:val="001200CF"/>
    <w:rsid w:val="001208E3"/>
    <w:rsid w:val="0012192F"/>
    <w:rsid w:val="00122994"/>
    <w:rsid w:val="00124B46"/>
    <w:rsid w:val="001257E0"/>
    <w:rsid w:val="00125D69"/>
    <w:rsid w:val="0012799C"/>
    <w:rsid w:val="00127BC2"/>
    <w:rsid w:val="00127E15"/>
    <w:rsid w:val="00130ADC"/>
    <w:rsid w:val="00130D9F"/>
    <w:rsid w:val="00132C4D"/>
    <w:rsid w:val="00133FC1"/>
    <w:rsid w:val="00134659"/>
    <w:rsid w:val="001405FA"/>
    <w:rsid w:val="00140D1A"/>
    <w:rsid w:val="00141184"/>
    <w:rsid w:val="00141315"/>
    <w:rsid w:val="00141AA0"/>
    <w:rsid w:val="001425C3"/>
    <w:rsid w:val="0014262D"/>
    <w:rsid w:val="00144588"/>
    <w:rsid w:val="001447DD"/>
    <w:rsid w:val="001459BC"/>
    <w:rsid w:val="00152F4F"/>
    <w:rsid w:val="001544A1"/>
    <w:rsid w:val="001553B8"/>
    <w:rsid w:val="001554C2"/>
    <w:rsid w:val="001571C0"/>
    <w:rsid w:val="0015753D"/>
    <w:rsid w:val="00157CC9"/>
    <w:rsid w:val="00160C21"/>
    <w:rsid w:val="001612F4"/>
    <w:rsid w:val="00161553"/>
    <w:rsid w:val="0016256B"/>
    <w:rsid w:val="00162F81"/>
    <w:rsid w:val="00163793"/>
    <w:rsid w:val="00165313"/>
    <w:rsid w:val="00167485"/>
    <w:rsid w:val="00167B92"/>
    <w:rsid w:val="00167CB9"/>
    <w:rsid w:val="00167DD8"/>
    <w:rsid w:val="001705AD"/>
    <w:rsid w:val="001706D6"/>
    <w:rsid w:val="001714F2"/>
    <w:rsid w:val="00171FEA"/>
    <w:rsid w:val="00175B9F"/>
    <w:rsid w:val="001762F4"/>
    <w:rsid w:val="00181BBC"/>
    <w:rsid w:val="0018385F"/>
    <w:rsid w:val="00184017"/>
    <w:rsid w:val="001847BB"/>
    <w:rsid w:val="00184B08"/>
    <w:rsid w:val="00185010"/>
    <w:rsid w:val="00185C22"/>
    <w:rsid w:val="00186BA9"/>
    <w:rsid w:val="0019196C"/>
    <w:rsid w:val="00192F05"/>
    <w:rsid w:val="00194729"/>
    <w:rsid w:val="00194850"/>
    <w:rsid w:val="00195234"/>
    <w:rsid w:val="00196016"/>
    <w:rsid w:val="00196117"/>
    <w:rsid w:val="00197A70"/>
    <w:rsid w:val="00197C0F"/>
    <w:rsid w:val="001A0487"/>
    <w:rsid w:val="001A1F68"/>
    <w:rsid w:val="001A21FA"/>
    <w:rsid w:val="001A4EF0"/>
    <w:rsid w:val="001A552F"/>
    <w:rsid w:val="001A70B1"/>
    <w:rsid w:val="001B0738"/>
    <w:rsid w:val="001B2CA9"/>
    <w:rsid w:val="001B3110"/>
    <w:rsid w:val="001B3E38"/>
    <w:rsid w:val="001B40F5"/>
    <w:rsid w:val="001B4729"/>
    <w:rsid w:val="001B4F0E"/>
    <w:rsid w:val="001B6310"/>
    <w:rsid w:val="001B6C09"/>
    <w:rsid w:val="001B6E12"/>
    <w:rsid w:val="001C05CD"/>
    <w:rsid w:val="001C0F17"/>
    <w:rsid w:val="001C1B24"/>
    <w:rsid w:val="001C1B66"/>
    <w:rsid w:val="001C31A2"/>
    <w:rsid w:val="001C351D"/>
    <w:rsid w:val="001C4BB8"/>
    <w:rsid w:val="001C4FD0"/>
    <w:rsid w:val="001C5E46"/>
    <w:rsid w:val="001C6B3B"/>
    <w:rsid w:val="001C7E3F"/>
    <w:rsid w:val="001D0EF1"/>
    <w:rsid w:val="001D22C2"/>
    <w:rsid w:val="001D2C99"/>
    <w:rsid w:val="001D452E"/>
    <w:rsid w:val="001D54C1"/>
    <w:rsid w:val="001D556E"/>
    <w:rsid w:val="001D5DF2"/>
    <w:rsid w:val="001D68B2"/>
    <w:rsid w:val="001D7EFD"/>
    <w:rsid w:val="001D7F60"/>
    <w:rsid w:val="001E3306"/>
    <w:rsid w:val="001E504C"/>
    <w:rsid w:val="001E5A17"/>
    <w:rsid w:val="001E74C5"/>
    <w:rsid w:val="001F1236"/>
    <w:rsid w:val="001F2F90"/>
    <w:rsid w:val="001F4597"/>
    <w:rsid w:val="001F4826"/>
    <w:rsid w:val="001F7CE0"/>
    <w:rsid w:val="00200085"/>
    <w:rsid w:val="00203332"/>
    <w:rsid w:val="00203CD5"/>
    <w:rsid w:val="00203D8F"/>
    <w:rsid w:val="00203DA4"/>
    <w:rsid w:val="00204EA6"/>
    <w:rsid w:val="00205186"/>
    <w:rsid w:val="00206516"/>
    <w:rsid w:val="002071D5"/>
    <w:rsid w:val="002111E5"/>
    <w:rsid w:val="002118B9"/>
    <w:rsid w:val="002142C0"/>
    <w:rsid w:val="00217C5B"/>
    <w:rsid w:val="00220A43"/>
    <w:rsid w:val="0022139E"/>
    <w:rsid w:val="00222729"/>
    <w:rsid w:val="00223185"/>
    <w:rsid w:val="002233D6"/>
    <w:rsid w:val="0022441D"/>
    <w:rsid w:val="00224574"/>
    <w:rsid w:val="00224E3F"/>
    <w:rsid w:val="002252E0"/>
    <w:rsid w:val="002255F6"/>
    <w:rsid w:val="00226032"/>
    <w:rsid w:val="0022738D"/>
    <w:rsid w:val="00227605"/>
    <w:rsid w:val="00227850"/>
    <w:rsid w:val="00227A53"/>
    <w:rsid w:val="00227E2E"/>
    <w:rsid w:val="00227F53"/>
    <w:rsid w:val="00230C6E"/>
    <w:rsid w:val="00230E21"/>
    <w:rsid w:val="00231066"/>
    <w:rsid w:val="002316A8"/>
    <w:rsid w:val="002320C9"/>
    <w:rsid w:val="0023288F"/>
    <w:rsid w:val="0023359B"/>
    <w:rsid w:val="00233603"/>
    <w:rsid w:val="002340EF"/>
    <w:rsid w:val="00234B82"/>
    <w:rsid w:val="00236443"/>
    <w:rsid w:val="00236700"/>
    <w:rsid w:val="00240391"/>
    <w:rsid w:val="00240AF3"/>
    <w:rsid w:val="002418D5"/>
    <w:rsid w:val="00241B06"/>
    <w:rsid w:val="002436BA"/>
    <w:rsid w:val="00244652"/>
    <w:rsid w:val="00244A15"/>
    <w:rsid w:val="002452D9"/>
    <w:rsid w:val="00247319"/>
    <w:rsid w:val="0024799E"/>
    <w:rsid w:val="00247E60"/>
    <w:rsid w:val="00251C53"/>
    <w:rsid w:val="00252AB9"/>
    <w:rsid w:val="00253C0F"/>
    <w:rsid w:val="002558C1"/>
    <w:rsid w:val="00256207"/>
    <w:rsid w:val="002575F3"/>
    <w:rsid w:val="002603E1"/>
    <w:rsid w:val="0026120E"/>
    <w:rsid w:val="00262582"/>
    <w:rsid w:val="0026291D"/>
    <w:rsid w:val="00262CF3"/>
    <w:rsid w:val="00264309"/>
    <w:rsid w:val="0026564B"/>
    <w:rsid w:val="00265C83"/>
    <w:rsid w:val="00265E85"/>
    <w:rsid w:val="00267B49"/>
    <w:rsid w:val="002700D9"/>
    <w:rsid w:val="0027025F"/>
    <w:rsid w:val="002709CC"/>
    <w:rsid w:val="00270D25"/>
    <w:rsid w:val="00271022"/>
    <w:rsid w:val="00271465"/>
    <w:rsid w:val="00271E47"/>
    <w:rsid w:val="002721F5"/>
    <w:rsid w:val="00272DF4"/>
    <w:rsid w:val="0027583D"/>
    <w:rsid w:val="00275DEF"/>
    <w:rsid w:val="002763A2"/>
    <w:rsid w:val="00276B33"/>
    <w:rsid w:val="002812E3"/>
    <w:rsid w:val="0028341F"/>
    <w:rsid w:val="002837AE"/>
    <w:rsid w:val="00283C13"/>
    <w:rsid w:val="00283F7B"/>
    <w:rsid w:val="0028431A"/>
    <w:rsid w:val="002853FA"/>
    <w:rsid w:val="00285412"/>
    <w:rsid w:val="00286220"/>
    <w:rsid w:val="00291640"/>
    <w:rsid w:val="0029237E"/>
    <w:rsid w:val="00292997"/>
    <w:rsid w:val="00293D24"/>
    <w:rsid w:val="0029509B"/>
    <w:rsid w:val="0029588F"/>
    <w:rsid w:val="00297256"/>
    <w:rsid w:val="00297A5C"/>
    <w:rsid w:val="00297D51"/>
    <w:rsid w:val="002A0122"/>
    <w:rsid w:val="002A016B"/>
    <w:rsid w:val="002A16D4"/>
    <w:rsid w:val="002A1E4F"/>
    <w:rsid w:val="002A230C"/>
    <w:rsid w:val="002A2AF7"/>
    <w:rsid w:val="002A3209"/>
    <w:rsid w:val="002A3EA2"/>
    <w:rsid w:val="002A51AC"/>
    <w:rsid w:val="002A532A"/>
    <w:rsid w:val="002A5846"/>
    <w:rsid w:val="002A5D97"/>
    <w:rsid w:val="002A603E"/>
    <w:rsid w:val="002A63B9"/>
    <w:rsid w:val="002A7089"/>
    <w:rsid w:val="002B1619"/>
    <w:rsid w:val="002B3EF4"/>
    <w:rsid w:val="002B4845"/>
    <w:rsid w:val="002B5567"/>
    <w:rsid w:val="002B5812"/>
    <w:rsid w:val="002B72AA"/>
    <w:rsid w:val="002C1110"/>
    <w:rsid w:val="002C1BC2"/>
    <w:rsid w:val="002C1F09"/>
    <w:rsid w:val="002C22A4"/>
    <w:rsid w:val="002C260B"/>
    <w:rsid w:val="002C27A6"/>
    <w:rsid w:val="002C398D"/>
    <w:rsid w:val="002C40D2"/>
    <w:rsid w:val="002C43BD"/>
    <w:rsid w:val="002C5245"/>
    <w:rsid w:val="002C59D8"/>
    <w:rsid w:val="002D05CB"/>
    <w:rsid w:val="002D0E59"/>
    <w:rsid w:val="002D2C4F"/>
    <w:rsid w:val="002D3EBB"/>
    <w:rsid w:val="002D455C"/>
    <w:rsid w:val="002D6066"/>
    <w:rsid w:val="002E02A1"/>
    <w:rsid w:val="002E196A"/>
    <w:rsid w:val="002E20C7"/>
    <w:rsid w:val="002E20CD"/>
    <w:rsid w:val="002E222E"/>
    <w:rsid w:val="002E28D8"/>
    <w:rsid w:val="002E37D1"/>
    <w:rsid w:val="002E3BEE"/>
    <w:rsid w:val="002E4E4C"/>
    <w:rsid w:val="002E4EA7"/>
    <w:rsid w:val="002E5846"/>
    <w:rsid w:val="002E792B"/>
    <w:rsid w:val="002F1B09"/>
    <w:rsid w:val="002F1D56"/>
    <w:rsid w:val="002F1DCB"/>
    <w:rsid w:val="002F1DE4"/>
    <w:rsid w:val="002F333D"/>
    <w:rsid w:val="002F351A"/>
    <w:rsid w:val="002F46D6"/>
    <w:rsid w:val="002F498A"/>
    <w:rsid w:val="002F4AD8"/>
    <w:rsid w:val="002F4E70"/>
    <w:rsid w:val="002F5285"/>
    <w:rsid w:val="002F5820"/>
    <w:rsid w:val="002F64BB"/>
    <w:rsid w:val="00300C31"/>
    <w:rsid w:val="003017EC"/>
    <w:rsid w:val="00302165"/>
    <w:rsid w:val="00304771"/>
    <w:rsid w:val="003052D4"/>
    <w:rsid w:val="003060E9"/>
    <w:rsid w:val="00306C5B"/>
    <w:rsid w:val="00307529"/>
    <w:rsid w:val="00307DB3"/>
    <w:rsid w:val="00307ED2"/>
    <w:rsid w:val="0031076D"/>
    <w:rsid w:val="00311AA6"/>
    <w:rsid w:val="00311C4D"/>
    <w:rsid w:val="003121AB"/>
    <w:rsid w:val="00315169"/>
    <w:rsid w:val="003153C8"/>
    <w:rsid w:val="00315524"/>
    <w:rsid w:val="0032058C"/>
    <w:rsid w:val="003208D0"/>
    <w:rsid w:val="003209D6"/>
    <w:rsid w:val="003217B9"/>
    <w:rsid w:val="00321924"/>
    <w:rsid w:val="00321EB6"/>
    <w:rsid w:val="003220A5"/>
    <w:rsid w:val="00323A1C"/>
    <w:rsid w:val="00324B59"/>
    <w:rsid w:val="0032656E"/>
    <w:rsid w:val="0032788F"/>
    <w:rsid w:val="00332190"/>
    <w:rsid w:val="00332A98"/>
    <w:rsid w:val="00333973"/>
    <w:rsid w:val="00333CD0"/>
    <w:rsid w:val="0033448D"/>
    <w:rsid w:val="00334AD2"/>
    <w:rsid w:val="00334CB6"/>
    <w:rsid w:val="0033709C"/>
    <w:rsid w:val="003370C5"/>
    <w:rsid w:val="003373C6"/>
    <w:rsid w:val="00340BF3"/>
    <w:rsid w:val="00341D26"/>
    <w:rsid w:val="00341F05"/>
    <w:rsid w:val="0034335E"/>
    <w:rsid w:val="00344668"/>
    <w:rsid w:val="00346234"/>
    <w:rsid w:val="003462D9"/>
    <w:rsid w:val="0034723F"/>
    <w:rsid w:val="00347247"/>
    <w:rsid w:val="003474B6"/>
    <w:rsid w:val="00347DD4"/>
    <w:rsid w:val="00352B43"/>
    <w:rsid w:val="00352C28"/>
    <w:rsid w:val="0036077F"/>
    <w:rsid w:val="00360C86"/>
    <w:rsid w:val="00360F7A"/>
    <w:rsid w:val="00360FBC"/>
    <w:rsid w:val="00361537"/>
    <w:rsid w:val="0036242A"/>
    <w:rsid w:val="00362C23"/>
    <w:rsid w:val="00362E90"/>
    <w:rsid w:val="00364FA0"/>
    <w:rsid w:val="003657F3"/>
    <w:rsid w:val="00365844"/>
    <w:rsid w:val="00367F84"/>
    <w:rsid w:val="003712BC"/>
    <w:rsid w:val="00372164"/>
    <w:rsid w:val="003738BD"/>
    <w:rsid w:val="00374263"/>
    <w:rsid w:val="003746F0"/>
    <w:rsid w:val="00374A20"/>
    <w:rsid w:val="00374E21"/>
    <w:rsid w:val="00377B2E"/>
    <w:rsid w:val="003810F0"/>
    <w:rsid w:val="003818DC"/>
    <w:rsid w:val="00382513"/>
    <w:rsid w:val="00383388"/>
    <w:rsid w:val="003834F8"/>
    <w:rsid w:val="003838D0"/>
    <w:rsid w:val="003840C2"/>
    <w:rsid w:val="00384327"/>
    <w:rsid w:val="00384A89"/>
    <w:rsid w:val="00385086"/>
    <w:rsid w:val="00385D98"/>
    <w:rsid w:val="00390306"/>
    <w:rsid w:val="003908A6"/>
    <w:rsid w:val="0039109D"/>
    <w:rsid w:val="00391989"/>
    <w:rsid w:val="00391A6C"/>
    <w:rsid w:val="003927F6"/>
    <w:rsid w:val="00396739"/>
    <w:rsid w:val="003A04F6"/>
    <w:rsid w:val="003A0837"/>
    <w:rsid w:val="003A2B4D"/>
    <w:rsid w:val="003A2D12"/>
    <w:rsid w:val="003A2EBA"/>
    <w:rsid w:val="003A45E3"/>
    <w:rsid w:val="003A478C"/>
    <w:rsid w:val="003A4A38"/>
    <w:rsid w:val="003A5525"/>
    <w:rsid w:val="003A5889"/>
    <w:rsid w:val="003A6B38"/>
    <w:rsid w:val="003A6B83"/>
    <w:rsid w:val="003A6C97"/>
    <w:rsid w:val="003A722F"/>
    <w:rsid w:val="003A7373"/>
    <w:rsid w:val="003A7D09"/>
    <w:rsid w:val="003B039F"/>
    <w:rsid w:val="003B0DF4"/>
    <w:rsid w:val="003B1F9D"/>
    <w:rsid w:val="003B2A8D"/>
    <w:rsid w:val="003B2AD1"/>
    <w:rsid w:val="003B2D2E"/>
    <w:rsid w:val="003B461F"/>
    <w:rsid w:val="003B483F"/>
    <w:rsid w:val="003B4998"/>
    <w:rsid w:val="003B5A32"/>
    <w:rsid w:val="003B7B50"/>
    <w:rsid w:val="003C0B07"/>
    <w:rsid w:val="003C2CE7"/>
    <w:rsid w:val="003C3490"/>
    <w:rsid w:val="003C3608"/>
    <w:rsid w:val="003C3AE8"/>
    <w:rsid w:val="003C3D2C"/>
    <w:rsid w:val="003C4E13"/>
    <w:rsid w:val="003C6221"/>
    <w:rsid w:val="003C63D7"/>
    <w:rsid w:val="003C68CC"/>
    <w:rsid w:val="003C7E62"/>
    <w:rsid w:val="003D12B9"/>
    <w:rsid w:val="003D1E7A"/>
    <w:rsid w:val="003D242B"/>
    <w:rsid w:val="003D2492"/>
    <w:rsid w:val="003D29AA"/>
    <w:rsid w:val="003D2A99"/>
    <w:rsid w:val="003D6920"/>
    <w:rsid w:val="003E1EF8"/>
    <w:rsid w:val="003E2DFB"/>
    <w:rsid w:val="003E4C91"/>
    <w:rsid w:val="003E52D8"/>
    <w:rsid w:val="003E62F1"/>
    <w:rsid w:val="003F313C"/>
    <w:rsid w:val="003F37FC"/>
    <w:rsid w:val="003F4318"/>
    <w:rsid w:val="003F4B2C"/>
    <w:rsid w:val="003F551C"/>
    <w:rsid w:val="003F626D"/>
    <w:rsid w:val="003F72ED"/>
    <w:rsid w:val="003F7D23"/>
    <w:rsid w:val="00400050"/>
    <w:rsid w:val="004002C8"/>
    <w:rsid w:val="00400468"/>
    <w:rsid w:val="0040099D"/>
    <w:rsid w:val="004016CB"/>
    <w:rsid w:val="00401B23"/>
    <w:rsid w:val="00402ADB"/>
    <w:rsid w:val="0040368D"/>
    <w:rsid w:val="00403D1D"/>
    <w:rsid w:val="00403F57"/>
    <w:rsid w:val="00405318"/>
    <w:rsid w:val="004059D2"/>
    <w:rsid w:val="004066D0"/>
    <w:rsid w:val="00406C2E"/>
    <w:rsid w:val="00406CDA"/>
    <w:rsid w:val="00406EB0"/>
    <w:rsid w:val="00407711"/>
    <w:rsid w:val="00407C13"/>
    <w:rsid w:val="004103F6"/>
    <w:rsid w:val="00410638"/>
    <w:rsid w:val="00412511"/>
    <w:rsid w:val="004125C2"/>
    <w:rsid w:val="00412DFA"/>
    <w:rsid w:val="00413465"/>
    <w:rsid w:val="004149AC"/>
    <w:rsid w:val="0041501E"/>
    <w:rsid w:val="00415452"/>
    <w:rsid w:val="004159C3"/>
    <w:rsid w:val="00415A57"/>
    <w:rsid w:val="00416DAC"/>
    <w:rsid w:val="00420880"/>
    <w:rsid w:val="00421179"/>
    <w:rsid w:val="00430C96"/>
    <w:rsid w:val="00431BFF"/>
    <w:rsid w:val="00432199"/>
    <w:rsid w:val="00432A58"/>
    <w:rsid w:val="004331C3"/>
    <w:rsid w:val="00433C17"/>
    <w:rsid w:val="00434617"/>
    <w:rsid w:val="00435051"/>
    <w:rsid w:val="00435C69"/>
    <w:rsid w:val="004360FB"/>
    <w:rsid w:val="00437CED"/>
    <w:rsid w:val="004407BF"/>
    <w:rsid w:val="00440900"/>
    <w:rsid w:val="0044121D"/>
    <w:rsid w:val="00441BF6"/>
    <w:rsid w:val="00441D2B"/>
    <w:rsid w:val="00441F8B"/>
    <w:rsid w:val="00442085"/>
    <w:rsid w:val="0044279E"/>
    <w:rsid w:val="004441A0"/>
    <w:rsid w:val="00445861"/>
    <w:rsid w:val="00445A8E"/>
    <w:rsid w:val="00446D44"/>
    <w:rsid w:val="0045078A"/>
    <w:rsid w:val="0045086D"/>
    <w:rsid w:val="00450DAB"/>
    <w:rsid w:val="00451EF1"/>
    <w:rsid w:val="00452E60"/>
    <w:rsid w:val="0045321B"/>
    <w:rsid w:val="00456FE5"/>
    <w:rsid w:val="00457490"/>
    <w:rsid w:val="00457953"/>
    <w:rsid w:val="004604D8"/>
    <w:rsid w:val="00460656"/>
    <w:rsid w:val="00460FB3"/>
    <w:rsid w:val="00463D3C"/>
    <w:rsid w:val="00464851"/>
    <w:rsid w:val="0046746A"/>
    <w:rsid w:val="00467B14"/>
    <w:rsid w:val="004707FE"/>
    <w:rsid w:val="00470EDC"/>
    <w:rsid w:val="0047276D"/>
    <w:rsid w:val="00472AF6"/>
    <w:rsid w:val="00473482"/>
    <w:rsid w:val="00474A04"/>
    <w:rsid w:val="00476240"/>
    <w:rsid w:val="00476439"/>
    <w:rsid w:val="00476450"/>
    <w:rsid w:val="004769E1"/>
    <w:rsid w:val="0047735C"/>
    <w:rsid w:val="004776BC"/>
    <w:rsid w:val="00477820"/>
    <w:rsid w:val="00477B96"/>
    <w:rsid w:val="00480BAE"/>
    <w:rsid w:val="0048139F"/>
    <w:rsid w:val="00481E40"/>
    <w:rsid w:val="00482405"/>
    <w:rsid w:val="004826A7"/>
    <w:rsid w:val="0048368C"/>
    <w:rsid w:val="0048372F"/>
    <w:rsid w:val="00484ECE"/>
    <w:rsid w:val="00485E82"/>
    <w:rsid w:val="00486132"/>
    <w:rsid w:val="0048686D"/>
    <w:rsid w:val="00486A4D"/>
    <w:rsid w:val="004915CB"/>
    <w:rsid w:val="004924DC"/>
    <w:rsid w:val="00492879"/>
    <w:rsid w:val="00493E85"/>
    <w:rsid w:val="00495145"/>
    <w:rsid w:val="004979A5"/>
    <w:rsid w:val="004A0144"/>
    <w:rsid w:val="004A036E"/>
    <w:rsid w:val="004A0498"/>
    <w:rsid w:val="004A14E4"/>
    <w:rsid w:val="004A204E"/>
    <w:rsid w:val="004A26A5"/>
    <w:rsid w:val="004A27F0"/>
    <w:rsid w:val="004A3212"/>
    <w:rsid w:val="004A37CD"/>
    <w:rsid w:val="004A40D9"/>
    <w:rsid w:val="004A49A5"/>
    <w:rsid w:val="004A4F8A"/>
    <w:rsid w:val="004A5494"/>
    <w:rsid w:val="004A5D4E"/>
    <w:rsid w:val="004A61C5"/>
    <w:rsid w:val="004A62A0"/>
    <w:rsid w:val="004A77DF"/>
    <w:rsid w:val="004B1417"/>
    <w:rsid w:val="004B305C"/>
    <w:rsid w:val="004B31B8"/>
    <w:rsid w:val="004B339A"/>
    <w:rsid w:val="004B4C83"/>
    <w:rsid w:val="004B55B7"/>
    <w:rsid w:val="004B5BFA"/>
    <w:rsid w:val="004B6468"/>
    <w:rsid w:val="004B6EF8"/>
    <w:rsid w:val="004B7125"/>
    <w:rsid w:val="004B756A"/>
    <w:rsid w:val="004B7FB1"/>
    <w:rsid w:val="004C0B3F"/>
    <w:rsid w:val="004C2794"/>
    <w:rsid w:val="004C2BB6"/>
    <w:rsid w:val="004C2C2D"/>
    <w:rsid w:val="004C3027"/>
    <w:rsid w:val="004C384C"/>
    <w:rsid w:val="004C3867"/>
    <w:rsid w:val="004C3DB0"/>
    <w:rsid w:val="004C439A"/>
    <w:rsid w:val="004C4720"/>
    <w:rsid w:val="004C4CD0"/>
    <w:rsid w:val="004C5060"/>
    <w:rsid w:val="004C5165"/>
    <w:rsid w:val="004C589C"/>
    <w:rsid w:val="004C5AE8"/>
    <w:rsid w:val="004C6E0E"/>
    <w:rsid w:val="004C70DC"/>
    <w:rsid w:val="004D0211"/>
    <w:rsid w:val="004D0794"/>
    <w:rsid w:val="004D2E03"/>
    <w:rsid w:val="004D3296"/>
    <w:rsid w:val="004D4056"/>
    <w:rsid w:val="004D4CB0"/>
    <w:rsid w:val="004D5B0F"/>
    <w:rsid w:val="004D7626"/>
    <w:rsid w:val="004E186A"/>
    <w:rsid w:val="004E1A40"/>
    <w:rsid w:val="004E200A"/>
    <w:rsid w:val="004E23FC"/>
    <w:rsid w:val="004E2409"/>
    <w:rsid w:val="004E261D"/>
    <w:rsid w:val="004E57BF"/>
    <w:rsid w:val="004E5F41"/>
    <w:rsid w:val="004E6DE6"/>
    <w:rsid w:val="004E765E"/>
    <w:rsid w:val="004E7815"/>
    <w:rsid w:val="004F06F5"/>
    <w:rsid w:val="004F12A4"/>
    <w:rsid w:val="004F253F"/>
    <w:rsid w:val="004F33A0"/>
    <w:rsid w:val="004F3BD2"/>
    <w:rsid w:val="004F46ED"/>
    <w:rsid w:val="004F4C99"/>
    <w:rsid w:val="004F5358"/>
    <w:rsid w:val="004F6484"/>
    <w:rsid w:val="004F6539"/>
    <w:rsid w:val="00503D54"/>
    <w:rsid w:val="005048E2"/>
    <w:rsid w:val="00505FC8"/>
    <w:rsid w:val="00506603"/>
    <w:rsid w:val="0050689D"/>
    <w:rsid w:val="005077F5"/>
    <w:rsid w:val="005108C0"/>
    <w:rsid w:val="0051094F"/>
    <w:rsid w:val="00511873"/>
    <w:rsid w:val="00512461"/>
    <w:rsid w:val="00512585"/>
    <w:rsid w:val="00512A2F"/>
    <w:rsid w:val="00513B7E"/>
    <w:rsid w:val="00513E9D"/>
    <w:rsid w:val="0051475D"/>
    <w:rsid w:val="00514B11"/>
    <w:rsid w:val="00515485"/>
    <w:rsid w:val="00515BE9"/>
    <w:rsid w:val="00515C74"/>
    <w:rsid w:val="0051630F"/>
    <w:rsid w:val="00517113"/>
    <w:rsid w:val="0052007E"/>
    <w:rsid w:val="00521CAD"/>
    <w:rsid w:val="0052200D"/>
    <w:rsid w:val="00522E01"/>
    <w:rsid w:val="0052337A"/>
    <w:rsid w:val="00524385"/>
    <w:rsid w:val="005246BE"/>
    <w:rsid w:val="00525137"/>
    <w:rsid w:val="005251DD"/>
    <w:rsid w:val="0053012B"/>
    <w:rsid w:val="005301A6"/>
    <w:rsid w:val="00530A68"/>
    <w:rsid w:val="00530AD4"/>
    <w:rsid w:val="00531C5A"/>
    <w:rsid w:val="00532CE7"/>
    <w:rsid w:val="00532D8B"/>
    <w:rsid w:val="0053324C"/>
    <w:rsid w:val="00533A8D"/>
    <w:rsid w:val="00534A28"/>
    <w:rsid w:val="00535018"/>
    <w:rsid w:val="0053595E"/>
    <w:rsid w:val="00537571"/>
    <w:rsid w:val="00540056"/>
    <w:rsid w:val="005410E2"/>
    <w:rsid w:val="00541508"/>
    <w:rsid w:val="00541AE3"/>
    <w:rsid w:val="00543498"/>
    <w:rsid w:val="00544011"/>
    <w:rsid w:val="00544BE5"/>
    <w:rsid w:val="005455F6"/>
    <w:rsid w:val="0054582F"/>
    <w:rsid w:val="005500F9"/>
    <w:rsid w:val="00550160"/>
    <w:rsid w:val="005523A8"/>
    <w:rsid w:val="00552F2C"/>
    <w:rsid w:val="00553A25"/>
    <w:rsid w:val="005547EB"/>
    <w:rsid w:val="005555E0"/>
    <w:rsid w:val="0055599F"/>
    <w:rsid w:val="00556D68"/>
    <w:rsid w:val="005570D6"/>
    <w:rsid w:val="00557E0E"/>
    <w:rsid w:val="00557E45"/>
    <w:rsid w:val="00560C41"/>
    <w:rsid w:val="00561F44"/>
    <w:rsid w:val="00562B4D"/>
    <w:rsid w:val="00563EB8"/>
    <w:rsid w:val="005647BF"/>
    <w:rsid w:val="00564AF1"/>
    <w:rsid w:val="005655DB"/>
    <w:rsid w:val="00565E88"/>
    <w:rsid w:val="005678EE"/>
    <w:rsid w:val="00570270"/>
    <w:rsid w:val="00570464"/>
    <w:rsid w:val="00570BC3"/>
    <w:rsid w:val="0057182A"/>
    <w:rsid w:val="00571E59"/>
    <w:rsid w:val="00572079"/>
    <w:rsid w:val="00572900"/>
    <w:rsid w:val="00573602"/>
    <w:rsid w:val="0057364B"/>
    <w:rsid w:val="00574773"/>
    <w:rsid w:val="005761EC"/>
    <w:rsid w:val="00577C07"/>
    <w:rsid w:val="00577DB1"/>
    <w:rsid w:val="00580AD3"/>
    <w:rsid w:val="00580DE7"/>
    <w:rsid w:val="005810E1"/>
    <w:rsid w:val="00583E52"/>
    <w:rsid w:val="00583FFD"/>
    <w:rsid w:val="00584252"/>
    <w:rsid w:val="0058519A"/>
    <w:rsid w:val="005856BD"/>
    <w:rsid w:val="00586BCA"/>
    <w:rsid w:val="00587038"/>
    <w:rsid w:val="00590B28"/>
    <w:rsid w:val="005911BE"/>
    <w:rsid w:val="00591273"/>
    <w:rsid w:val="00591E9E"/>
    <w:rsid w:val="005927A4"/>
    <w:rsid w:val="00593152"/>
    <w:rsid w:val="005956A3"/>
    <w:rsid w:val="00595958"/>
    <w:rsid w:val="00595CAB"/>
    <w:rsid w:val="0059622E"/>
    <w:rsid w:val="00597671"/>
    <w:rsid w:val="00597BBF"/>
    <w:rsid w:val="005A0948"/>
    <w:rsid w:val="005A0A03"/>
    <w:rsid w:val="005A10F2"/>
    <w:rsid w:val="005A21E0"/>
    <w:rsid w:val="005A28FF"/>
    <w:rsid w:val="005A2C09"/>
    <w:rsid w:val="005A3778"/>
    <w:rsid w:val="005A3DF8"/>
    <w:rsid w:val="005A5549"/>
    <w:rsid w:val="005A7CF8"/>
    <w:rsid w:val="005B0EDA"/>
    <w:rsid w:val="005B121D"/>
    <w:rsid w:val="005B26B0"/>
    <w:rsid w:val="005B41C9"/>
    <w:rsid w:val="005B44E6"/>
    <w:rsid w:val="005B4853"/>
    <w:rsid w:val="005B6CA1"/>
    <w:rsid w:val="005B770C"/>
    <w:rsid w:val="005C06ED"/>
    <w:rsid w:val="005C11B8"/>
    <w:rsid w:val="005C216C"/>
    <w:rsid w:val="005C2609"/>
    <w:rsid w:val="005C2B30"/>
    <w:rsid w:val="005C412B"/>
    <w:rsid w:val="005C43EC"/>
    <w:rsid w:val="005C45DD"/>
    <w:rsid w:val="005C4CB1"/>
    <w:rsid w:val="005D3F06"/>
    <w:rsid w:val="005D4B73"/>
    <w:rsid w:val="005D5645"/>
    <w:rsid w:val="005D5802"/>
    <w:rsid w:val="005D5AA9"/>
    <w:rsid w:val="005D66E6"/>
    <w:rsid w:val="005D7119"/>
    <w:rsid w:val="005D76C8"/>
    <w:rsid w:val="005D7890"/>
    <w:rsid w:val="005E19C1"/>
    <w:rsid w:val="005E2194"/>
    <w:rsid w:val="005E24F0"/>
    <w:rsid w:val="005E36FE"/>
    <w:rsid w:val="005E3F66"/>
    <w:rsid w:val="005E490F"/>
    <w:rsid w:val="005E4BC9"/>
    <w:rsid w:val="005E5314"/>
    <w:rsid w:val="005E7C78"/>
    <w:rsid w:val="005F04A7"/>
    <w:rsid w:val="005F114F"/>
    <w:rsid w:val="005F18C5"/>
    <w:rsid w:val="005F2A08"/>
    <w:rsid w:val="005F36CC"/>
    <w:rsid w:val="005F3EB1"/>
    <w:rsid w:val="005F413E"/>
    <w:rsid w:val="005F466B"/>
    <w:rsid w:val="005F46D8"/>
    <w:rsid w:val="005F480F"/>
    <w:rsid w:val="005F5469"/>
    <w:rsid w:val="005F63F3"/>
    <w:rsid w:val="005F6D7F"/>
    <w:rsid w:val="005F7174"/>
    <w:rsid w:val="00601ADE"/>
    <w:rsid w:val="00601EEF"/>
    <w:rsid w:val="0060255A"/>
    <w:rsid w:val="00602EB3"/>
    <w:rsid w:val="00604307"/>
    <w:rsid w:val="0060487F"/>
    <w:rsid w:val="00604EAD"/>
    <w:rsid w:val="0060513F"/>
    <w:rsid w:val="0060694B"/>
    <w:rsid w:val="006104FB"/>
    <w:rsid w:val="0061176D"/>
    <w:rsid w:val="0061200F"/>
    <w:rsid w:val="00612756"/>
    <w:rsid w:val="00612A2F"/>
    <w:rsid w:val="00612AAE"/>
    <w:rsid w:val="00612FD9"/>
    <w:rsid w:val="006139E0"/>
    <w:rsid w:val="00614D35"/>
    <w:rsid w:val="006156B4"/>
    <w:rsid w:val="00615DAF"/>
    <w:rsid w:val="00616E05"/>
    <w:rsid w:val="00617985"/>
    <w:rsid w:val="00620B77"/>
    <w:rsid w:val="0062131B"/>
    <w:rsid w:val="00621E26"/>
    <w:rsid w:val="0062263A"/>
    <w:rsid w:val="006227DF"/>
    <w:rsid w:val="006236C8"/>
    <w:rsid w:val="00624093"/>
    <w:rsid w:val="00625A84"/>
    <w:rsid w:val="00626079"/>
    <w:rsid w:val="00631698"/>
    <w:rsid w:val="00631E44"/>
    <w:rsid w:val="00634C57"/>
    <w:rsid w:val="00634CE7"/>
    <w:rsid w:val="006350D5"/>
    <w:rsid w:val="0063642C"/>
    <w:rsid w:val="00637858"/>
    <w:rsid w:val="006404A7"/>
    <w:rsid w:val="00640A38"/>
    <w:rsid w:val="00641787"/>
    <w:rsid w:val="0064179B"/>
    <w:rsid w:val="00642489"/>
    <w:rsid w:val="00644055"/>
    <w:rsid w:val="00644137"/>
    <w:rsid w:val="0064478C"/>
    <w:rsid w:val="00645160"/>
    <w:rsid w:val="006451E4"/>
    <w:rsid w:val="00645B33"/>
    <w:rsid w:val="006516CB"/>
    <w:rsid w:val="00653BD0"/>
    <w:rsid w:val="00654110"/>
    <w:rsid w:val="00656C5D"/>
    <w:rsid w:val="00656CFB"/>
    <w:rsid w:val="00657E87"/>
    <w:rsid w:val="00660D2D"/>
    <w:rsid w:val="00661C41"/>
    <w:rsid w:val="00661EC9"/>
    <w:rsid w:val="00662469"/>
    <w:rsid w:val="0066411C"/>
    <w:rsid w:val="00664205"/>
    <w:rsid w:val="00664647"/>
    <w:rsid w:val="00664803"/>
    <w:rsid w:val="006653CC"/>
    <w:rsid w:val="00665982"/>
    <w:rsid w:val="00665BA4"/>
    <w:rsid w:val="00666BF3"/>
    <w:rsid w:val="00667856"/>
    <w:rsid w:val="00667AF2"/>
    <w:rsid w:val="00670489"/>
    <w:rsid w:val="006710C9"/>
    <w:rsid w:val="00672586"/>
    <w:rsid w:val="006741CD"/>
    <w:rsid w:val="00674D89"/>
    <w:rsid w:val="0067514E"/>
    <w:rsid w:val="00675E37"/>
    <w:rsid w:val="00676736"/>
    <w:rsid w:val="006769A4"/>
    <w:rsid w:val="00676D76"/>
    <w:rsid w:val="00676F9F"/>
    <w:rsid w:val="00677591"/>
    <w:rsid w:val="00677594"/>
    <w:rsid w:val="0068032F"/>
    <w:rsid w:val="00680D37"/>
    <w:rsid w:val="0068174E"/>
    <w:rsid w:val="00681DCE"/>
    <w:rsid w:val="0068260E"/>
    <w:rsid w:val="006846B3"/>
    <w:rsid w:val="00684D59"/>
    <w:rsid w:val="00684E25"/>
    <w:rsid w:val="006858A4"/>
    <w:rsid w:val="00686718"/>
    <w:rsid w:val="00686BFA"/>
    <w:rsid w:val="00686DED"/>
    <w:rsid w:val="006875A0"/>
    <w:rsid w:val="00687D27"/>
    <w:rsid w:val="00691943"/>
    <w:rsid w:val="00693550"/>
    <w:rsid w:val="00695065"/>
    <w:rsid w:val="00695BEF"/>
    <w:rsid w:val="00696251"/>
    <w:rsid w:val="006966C7"/>
    <w:rsid w:val="006968C1"/>
    <w:rsid w:val="006977F6"/>
    <w:rsid w:val="00697A13"/>
    <w:rsid w:val="006A109C"/>
    <w:rsid w:val="006A5F4B"/>
    <w:rsid w:val="006A6565"/>
    <w:rsid w:val="006A7691"/>
    <w:rsid w:val="006A7EE2"/>
    <w:rsid w:val="006B0514"/>
    <w:rsid w:val="006B0F92"/>
    <w:rsid w:val="006B2785"/>
    <w:rsid w:val="006B27C7"/>
    <w:rsid w:val="006B344A"/>
    <w:rsid w:val="006B58C9"/>
    <w:rsid w:val="006B60ED"/>
    <w:rsid w:val="006B6CC5"/>
    <w:rsid w:val="006B74AC"/>
    <w:rsid w:val="006B78D8"/>
    <w:rsid w:val="006B79EA"/>
    <w:rsid w:val="006C0C5D"/>
    <w:rsid w:val="006C113F"/>
    <w:rsid w:val="006C123E"/>
    <w:rsid w:val="006C15A1"/>
    <w:rsid w:val="006C1752"/>
    <w:rsid w:val="006C1DDC"/>
    <w:rsid w:val="006C28CA"/>
    <w:rsid w:val="006C2BBF"/>
    <w:rsid w:val="006C2FBD"/>
    <w:rsid w:val="006C4355"/>
    <w:rsid w:val="006C469D"/>
    <w:rsid w:val="006C46B5"/>
    <w:rsid w:val="006C484F"/>
    <w:rsid w:val="006C52EC"/>
    <w:rsid w:val="006C56D4"/>
    <w:rsid w:val="006C6681"/>
    <w:rsid w:val="006C683C"/>
    <w:rsid w:val="006C6924"/>
    <w:rsid w:val="006C6C1E"/>
    <w:rsid w:val="006C7076"/>
    <w:rsid w:val="006C7AEC"/>
    <w:rsid w:val="006C7CA6"/>
    <w:rsid w:val="006D18B3"/>
    <w:rsid w:val="006D1E89"/>
    <w:rsid w:val="006D317E"/>
    <w:rsid w:val="006D3E8A"/>
    <w:rsid w:val="006D61F6"/>
    <w:rsid w:val="006E1332"/>
    <w:rsid w:val="006E279A"/>
    <w:rsid w:val="006E313B"/>
    <w:rsid w:val="006E3A45"/>
    <w:rsid w:val="006E4078"/>
    <w:rsid w:val="006E53AD"/>
    <w:rsid w:val="006E58CB"/>
    <w:rsid w:val="006E7227"/>
    <w:rsid w:val="006E761A"/>
    <w:rsid w:val="006F0741"/>
    <w:rsid w:val="006F1C27"/>
    <w:rsid w:val="006F2A65"/>
    <w:rsid w:val="006F3DD6"/>
    <w:rsid w:val="006F40DF"/>
    <w:rsid w:val="006F42BB"/>
    <w:rsid w:val="006F438E"/>
    <w:rsid w:val="006F440B"/>
    <w:rsid w:val="006F48A3"/>
    <w:rsid w:val="006F5416"/>
    <w:rsid w:val="006F624B"/>
    <w:rsid w:val="006F6D87"/>
    <w:rsid w:val="0070398A"/>
    <w:rsid w:val="00705242"/>
    <w:rsid w:val="007055E0"/>
    <w:rsid w:val="007056ED"/>
    <w:rsid w:val="00705F4E"/>
    <w:rsid w:val="007065C5"/>
    <w:rsid w:val="007068E1"/>
    <w:rsid w:val="00706AA0"/>
    <w:rsid w:val="00706AD4"/>
    <w:rsid w:val="00707150"/>
    <w:rsid w:val="007124D7"/>
    <w:rsid w:val="00712C20"/>
    <w:rsid w:val="00713549"/>
    <w:rsid w:val="007140BE"/>
    <w:rsid w:val="007147AB"/>
    <w:rsid w:val="00715502"/>
    <w:rsid w:val="00715E4D"/>
    <w:rsid w:val="0071677A"/>
    <w:rsid w:val="00716F48"/>
    <w:rsid w:val="00717114"/>
    <w:rsid w:val="0071779F"/>
    <w:rsid w:val="007211F5"/>
    <w:rsid w:val="00721601"/>
    <w:rsid w:val="00722777"/>
    <w:rsid w:val="00723435"/>
    <w:rsid w:val="00723436"/>
    <w:rsid w:val="007240E2"/>
    <w:rsid w:val="0072454C"/>
    <w:rsid w:val="0072583E"/>
    <w:rsid w:val="00725BB5"/>
    <w:rsid w:val="00727C02"/>
    <w:rsid w:val="0073008E"/>
    <w:rsid w:val="00730AE8"/>
    <w:rsid w:val="00730F1B"/>
    <w:rsid w:val="0073186D"/>
    <w:rsid w:val="0073333D"/>
    <w:rsid w:val="007343D9"/>
    <w:rsid w:val="00734F71"/>
    <w:rsid w:val="00735448"/>
    <w:rsid w:val="007377BD"/>
    <w:rsid w:val="00737DEC"/>
    <w:rsid w:val="0074004D"/>
    <w:rsid w:val="00741493"/>
    <w:rsid w:val="007434E5"/>
    <w:rsid w:val="0074499B"/>
    <w:rsid w:val="007450BF"/>
    <w:rsid w:val="007471A1"/>
    <w:rsid w:val="007477BD"/>
    <w:rsid w:val="00747EE9"/>
    <w:rsid w:val="00752180"/>
    <w:rsid w:val="00752323"/>
    <w:rsid w:val="007532B7"/>
    <w:rsid w:val="00753CAB"/>
    <w:rsid w:val="00754A70"/>
    <w:rsid w:val="00754BC9"/>
    <w:rsid w:val="00755202"/>
    <w:rsid w:val="00755D3A"/>
    <w:rsid w:val="0075751D"/>
    <w:rsid w:val="0075763E"/>
    <w:rsid w:val="007578D3"/>
    <w:rsid w:val="007602CF"/>
    <w:rsid w:val="00760391"/>
    <w:rsid w:val="007609C6"/>
    <w:rsid w:val="007615F3"/>
    <w:rsid w:val="0076175D"/>
    <w:rsid w:val="00761CB5"/>
    <w:rsid w:val="007629D5"/>
    <w:rsid w:val="007635F8"/>
    <w:rsid w:val="00763B85"/>
    <w:rsid w:val="00764974"/>
    <w:rsid w:val="00764D18"/>
    <w:rsid w:val="0076521E"/>
    <w:rsid w:val="00765BCC"/>
    <w:rsid w:val="0076600D"/>
    <w:rsid w:val="007661E9"/>
    <w:rsid w:val="00766460"/>
    <w:rsid w:val="00767062"/>
    <w:rsid w:val="00767777"/>
    <w:rsid w:val="00770CFC"/>
    <w:rsid w:val="0077130E"/>
    <w:rsid w:val="007715EE"/>
    <w:rsid w:val="00771972"/>
    <w:rsid w:val="00772279"/>
    <w:rsid w:val="00772DAB"/>
    <w:rsid w:val="00772FF9"/>
    <w:rsid w:val="00774D2C"/>
    <w:rsid w:val="0077605B"/>
    <w:rsid w:val="00776169"/>
    <w:rsid w:val="00776527"/>
    <w:rsid w:val="00777040"/>
    <w:rsid w:val="00777CE6"/>
    <w:rsid w:val="00780EF1"/>
    <w:rsid w:val="00781A91"/>
    <w:rsid w:val="00781F36"/>
    <w:rsid w:val="00785778"/>
    <w:rsid w:val="00786C87"/>
    <w:rsid w:val="0078755E"/>
    <w:rsid w:val="007877C9"/>
    <w:rsid w:val="00790764"/>
    <w:rsid w:val="0079085F"/>
    <w:rsid w:val="00790E96"/>
    <w:rsid w:val="00791005"/>
    <w:rsid w:val="00793D78"/>
    <w:rsid w:val="0079420B"/>
    <w:rsid w:val="0079453C"/>
    <w:rsid w:val="00794677"/>
    <w:rsid w:val="00795759"/>
    <w:rsid w:val="007A170B"/>
    <w:rsid w:val="007A20EB"/>
    <w:rsid w:val="007A282C"/>
    <w:rsid w:val="007A293C"/>
    <w:rsid w:val="007A2A3A"/>
    <w:rsid w:val="007A33E2"/>
    <w:rsid w:val="007A3CAF"/>
    <w:rsid w:val="007A4782"/>
    <w:rsid w:val="007A516D"/>
    <w:rsid w:val="007A5E65"/>
    <w:rsid w:val="007A65E1"/>
    <w:rsid w:val="007A6AAA"/>
    <w:rsid w:val="007A7033"/>
    <w:rsid w:val="007A775D"/>
    <w:rsid w:val="007B0834"/>
    <w:rsid w:val="007B0E83"/>
    <w:rsid w:val="007B11FA"/>
    <w:rsid w:val="007B1396"/>
    <w:rsid w:val="007B16D6"/>
    <w:rsid w:val="007B2011"/>
    <w:rsid w:val="007B2CFE"/>
    <w:rsid w:val="007B309B"/>
    <w:rsid w:val="007B3D5E"/>
    <w:rsid w:val="007B3DCB"/>
    <w:rsid w:val="007B5725"/>
    <w:rsid w:val="007B5C1F"/>
    <w:rsid w:val="007B6689"/>
    <w:rsid w:val="007B6747"/>
    <w:rsid w:val="007B6F72"/>
    <w:rsid w:val="007C10BD"/>
    <w:rsid w:val="007C1F0C"/>
    <w:rsid w:val="007C1FFB"/>
    <w:rsid w:val="007C2D94"/>
    <w:rsid w:val="007C5F92"/>
    <w:rsid w:val="007C6227"/>
    <w:rsid w:val="007C6BBD"/>
    <w:rsid w:val="007C6D89"/>
    <w:rsid w:val="007C6F5E"/>
    <w:rsid w:val="007D0382"/>
    <w:rsid w:val="007D1A1F"/>
    <w:rsid w:val="007D2E18"/>
    <w:rsid w:val="007D40DF"/>
    <w:rsid w:val="007D42E5"/>
    <w:rsid w:val="007D4458"/>
    <w:rsid w:val="007D6AF9"/>
    <w:rsid w:val="007E0535"/>
    <w:rsid w:val="007E0D4A"/>
    <w:rsid w:val="007E1788"/>
    <w:rsid w:val="007E1EE3"/>
    <w:rsid w:val="007E29B4"/>
    <w:rsid w:val="007E2F12"/>
    <w:rsid w:val="007E435A"/>
    <w:rsid w:val="007E445C"/>
    <w:rsid w:val="007E49F7"/>
    <w:rsid w:val="007E4C70"/>
    <w:rsid w:val="007E5B5F"/>
    <w:rsid w:val="007E78B6"/>
    <w:rsid w:val="007E7E61"/>
    <w:rsid w:val="007F0845"/>
    <w:rsid w:val="007F20F3"/>
    <w:rsid w:val="007F2353"/>
    <w:rsid w:val="007F2390"/>
    <w:rsid w:val="007F2CAC"/>
    <w:rsid w:val="007F4740"/>
    <w:rsid w:val="007F595A"/>
    <w:rsid w:val="007F708D"/>
    <w:rsid w:val="008006B3"/>
    <w:rsid w:val="00800B63"/>
    <w:rsid w:val="0080158A"/>
    <w:rsid w:val="00801E13"/>
    <w:rsid w:val="00803008"/>
    <w:rsid w:val="00803069"/>
    <w:rsid w:val="0080346B"/>
    <w:rsid w:val="00804155"/>
    <w:rsid w:val="0080559E"/>
    <w:rsid w:val="00805AF3"/>
    <w:rsid w:val="0080734C"/>
    <w:rsid w:val="00807C82"/>
    <w:rsid w:val="008117CC"/>
    <w:rsid w:val="00813D58"/>
    <w:rsid w:val="00813DCA"/>
    <w:rsid w:val="008161A6"/>
    <w:rsid w:val="008165B8"/>
    <w:rsid w:val="00816905"/>
    <w:rsid w:val="00816D98"/>
    <w:rsid w:val="00816E42"/>
    <w:rsid w:val="00817040"/>
    <w:rsid w:val="00817A17"/>
    <w:rsid w:val="00817EC1"/>
    <w:rsid w:val="0082112D"/>
    <w:rsid w:val="00821FF6"/>
    <w:rsid w:val="00822574"/>
    <w:rsid w:val="00822980"/>
    <w:rsid w:val="00822F08"/>
    <w:rsid w:val="00825C4D"/>
    <w:rsid w:val="00826A08"/>
    <w:rsid w:val="00826AC0"/>
    <w:rsid w:val="00827186"/>
    <w:rsid w:val="00827C8E"/>
    <w:rsid w:val="00830569"/>
    <w:rsid w:val="00830AEA"/>
    <w:rsid w:val="00830E86"/>
    <w:rsid w:val="0083143E"/>
    <w:rsid w:val="008315B8"/>
    <w:rsid w:val="008315D5"/>
    <w:rsid w:val="00831CDE"/>
    <w:rsid w:val="00831F2B"/>
    <w:rsid w:val="00832F77"/>
    <w:rsid w:val="00834304"/>
    <w:rsid w:val="00834FAA"/>
    <w:rsid w:val="008354FB"/>
    <w:rsid w:val="00836086"/>
    <w:rsid w:val="0083630F"/>
    <w:rsid w:val="00836A06"/>
    <w:rsid w:val="008374BC"/>
    <w:rsid w:val="008379D6"/>
    <w:rsid w:val="00837E48"/>
    <w:rsid w:val="00840293"/>
    <w:rsid w:val="008402AD"/>
    <w:rsid w:val="008408D4"/>
    <w:rsid w:val="008417B5"/>
    <w:rsid w:val="00841901"/>
    <w:rsid w:val="008458BD"/>
    <w:rsid w:val="00846121"/>
    <w:rsid w:val="008461C2"/>
    <w:rsid w:val="008466C6"/>
    <w:rsid w:val="0084708F"/>
    <w:rsid w:val="008477C8"/>
    <w:rsid w:val="008478A6"/>
    <w:rsid w:val="008502F6"/>
    <w:rsid w:val="0085114D"/>
    <w:rsid w:val="008520A8"/>
    <w:rsid w:val="00852217"/>
    <w:rsid w:val="00853282"/>
    <w:rsid w:val="00855408"/>
    <w:rsid w:val="00855D03"/>
    <w:rsid w:val="00856D65"/>
    <w:rsid w:val="00861B41"/>
    <w:rsid w:val="00861B9F"/>
    <w:rsid w:val="00861BE3"/>
    <w:rsid w:val="008625D3"/>
    <w:rsid w:val="00863434"/>
    <w:rsid w:val="0086344F"/>
    <w:rsid w:val="008641AC"/>
    <w:rsid w:val="00865E4C"/>
    <w:rsid w:val="00867546"/>
    <w:rsid w:val="0086796D"/>
    <w:rsid w:val="00867DAB"/>
    <w:rsid w:val="0087000B"/>
    <w:rsid w:val="008701E4"/>
    <w:rsid w:val="008704E9"/>
    <w:rsid w:val="00870ECD"/>
    <w:rsid w:val="0087347C"/>
    <w:rsid w:val="008734E7"/>
    <w:rsid w:val="0087368D"/>
    <w:rsid w:val="008740CC"/>
    <w:rsid w:val="00874FE8"/>
    <w:rsid w:val="00875A32"/>
    <w:rsid w:val="00876086"/>
    <w:rsid w:val="00876E83"/>
    <w:rsid w:val="008772BC"/>
    <w:rsid w:val="00880A0E"/>
    <w:rsid w:val="008817FE"/>
    <w:rsid w:val="00881CD7"/>
    <w:rsid w:val="00882911"/>
    <w:rsid w:val="00882F6E"/>
    <w:rsid w:val="00884E02"/>
    <w:rsid w:val="00885D40"/>
    <w:rsid w:val="008873D4"/>
    <w:rsid w:val="00891EDF"/>
    <w:rsid w:val="00892872"/>
    <w:rsid w:val="0089296D"/>
    <w:rsid w:val="00893E85"/>
    <w:rsid w:val="00893EBE"/>
    <w:rsid w:val="00894031"/>
    <w:rsid w:val="00894C5D"/>
    <w:rsid w:val="00895508"/>
    <w:rsid w:val="008967E9"/>
    <w:rsid w:val="00896A5C"/>
    <w:rsid w:val="008972D2"/>
    <w:rsid w:val="0089754C"/>
    <w:rsid w:val="008A0ADD"/>
    <w:rsid w:val="008A0D27"/>
    <w:rsid w:val="008A1C59"/>
    <w:rsid w:val="008A37E2"/>
    <w:rsid w:val="008A388E"/>
    <w:rsid w:val="008A394E"/>
    <w:rsid w:val="008A3CBA"/>
    <w:rsid w:val="008A4B59"/>
    <w:rsid w:val="008A63E1"/>
    <w:rsid w:val="008A66B7"/>
    <w:rsid w:val="008A68BB"/>
    <w:rsid w:val="008A6AA5"/>
    <w:rsid w:val="008A7127"/>
    <w:rsid w:val="008B3537"/>
    <w:rsid w:val="008B3690"/>
    <w:rsid w:val="008B3A80"/>
    <w:rsid w:val="008B3AEC"/>
    <w:rsid w:val="008B3C07"/>
    <w:rsid w:val="008B3F7B"/>
    <w:rsid w:val="008B5324"/>
    <w:rsid w:val="008B6106"/>
    <w:rsid w:val="008B7C02"/>
    <w:rsid w:val="008B7D2B"/>
    <w:rsid w:val="008B7EF9"/>
    <w:rsid w:val="008C0049"/>
    <w:rsid w:val="008C0E88"/>
    <w:rsid w:val="008C1717"/>
    <w:rsid w:val="008C4B50"/>
    <w:rsid w:val="008C5A37"/>
    <w:rsid w:val="008C7569"/>
    <w:rsid w:val="008D033D"/>
    <w:rsid w:val="008D0DBD"/>
    <w:rsid w:val="008D117E"/>
    <w:rsid w:val="008D127E"/>
    <w:rsid w:val="008D1CA8"/>
    <w:rsid w:val="008D1E0A"/>
    <w:rsid w:val="008D1E6A"/>
    <w:rsid w:val="008D2A16"/>
    <w:rsid w:val="008D33F5"/>
    <w:rsid w:val="008D35E4"/>
    <w:rsid w:val="008D6C3A"/>
    <w:rsid w:val="008E0001"/>
    <w:rsid w:val="008E292B"/>
    <w:rsid w:val="008E2C57"/>
    <w:rsid w:val="008E31FF"/>
    <w:rsid w:val="008E3287"/>
    <w:rsid w:val="008E6DCB"/>
    <w:rsid w:val="008E6F06"/>
    <w:rsid w:val="008E7B8E"/>
    <w:rsid w:val="008E7FC9"/>
    <w:rsid w:val="008F0107"/>
    <w:rsid w:val="008F029B"/>
    <w:rsid w:val="008F0589"/>
    <w:rsid w:val="008F2A5D"/>
    <w:rsid w:val="008F3636"/>
    <w:rsid w:val="008F3FC9"/>
    <w:rsid w:val="008F5383"/>
    <w:rsid w:val="008F585B"/>
    <w:rsid w:val="008F7FB0"/>
    <w:rsid w:val="009003A8"/>
    <w:rsid w:val="009005E4"/>
    <w:rsid w:val="00900977"/>
    <w:rsid w:val="009021DA"/>
    <w:rsid w:val="00902500"/>
    <w:rsid w:val="00902EFF"/>
    <w:rsid w:val="00903A8E"/>
    <w:rsid w:val="0090432C"/>
    <w:rsid w:val="00904F96"/>
    <w:rsid w:val="009052A3"/>
    <w:rsid w:val="00905314"/>
    <w:rsid w:val="009056D7"/>
    <w:rsid w:val="00905B8D"/>
    <w:rsid w:val="00906401"/>
    <w:rsid w:val="009065CB"/>
    <w:rsid w:val="009067EA"/>
    <w:rsid w:val="00906B79"/>
    <w:rsid w:val="0090786F"/>
    <w:rsid w:val="0091001E"/>
    <w:rsid w:val="00910C18"/>
    <w:rsid w:val="009110F7"/>
    <w:rsid w:val="0091155E"/>
    <w:rsid w:val="00912437"/>
    <w:rsid w:val="00912A92"/>
    <w:rsid w:val="00915D07"/>
    <w:rsid w:val="009162AE"/>
    <w:rsid w:val="00917251"/>
    <w:rsid w:val="0091728D"/>
    <w:rsid w:val="009203CC"/>
    <w:rsid w:val="00920EC4"/>
    <w:rsid w:val="0092180B"/>
    <w:rsid w:val="00921F14"/>
    <w:rsid w:val="0092292F"/>
    <w:rsid w:val="00923CB0"/>
    <w:rsid w:val="00923D8C"/>
    <w:rsid w:val="00924871"/>
    <w:rsid w:val="00924AC8"/>
    <w:rsid w:val="00925429"/>
    <w:rsid w:val="00925615"/>
    <w:rsid w:val="0092597A"/>
    <w:rsid w:val="00926520"/>
    <w:rsid w:val="00926CF0"/>
    <w:rsid w:val="009273A9"/>
    <w:rsid w:val="00930251"/>
    <w:rsid w:val="0093033E"/>
    <w:rsid w:val="009305FC"/>
    <w:rsid w:val="00930FB1"/>
    <w:rsid w:val="0093139F"/>
    <w:rsid w:val="00932443"/>
    <w:rsid w:val="00932B32"/>
    <w:rsid w:val="00933F4A"/>
    <w:rsid w:val="009341F1"/>
    <w:rsid w:val="00934FF2"/>
    <w:rsid w:val="009358D7"/>
    <w:rsid w:val="00935BD4"/>
    <w:rsid w:val="00935DFE"/>
    <w:rsid w:val="00935F70"/>
    <w:rsid w:val="009373B2"/>
    <w:rsid w:val="00937AE2"/>
    <w:rsid w:val="0094061F"/>
    <w:rsid w:val="00940F0F"/>
    <w:rsid w:val="0094416B"/>
    <w:rsid w:val="0094427A"/>
    <w:rsid w:val="00944C7C"/>
    <w:rsid w:val="00945245"/>
    <w:rsid w:val="00945523"/>
    <w:rsid w:val="00950921"/>
    <w:rsid w:val="00951D68"/>
    <w:rsid w:val="00951E5B"/>
    <w:rsid w:val="00952B7B"/>
    <w:rsid w:val="00954F39"/>
    <w:rsid w:val="009555FD"/>
    <w:rsid w:val="0095664B"/>
    <w:rsid w:val="009568DC"/>
    <w:rsid w:val="00957445"/>
    <w:rsid w:val="0095759C"/>
    <w:rsid w:val="009618EE"/>
    <w:rsid w:val="009624D2"/>
    <w:rsid w:val="009628D9"/>
    <w:rsid w:val="009637AE"/>
    <w:rsid w:val="00963A06"/>
    <w:rsid w:val="00964068"/>
    <w:rsid w:val="009640F6"/>
    <w:rsid w:val="0096469D"/>
    <w:rsid w:val="00964776"/>
    <w:rsid w:val="00964A4E"/>
    <w:rsid w:val="00964B35"/>
    <w:rsid w:val="009651C7"/>
    <w:rsid w:val="00965797"/>
    <w:rsid w:val="00965A10"/>
    <w:rsid w:val="009670A3"/>
    <w:rsid w:val="009674BE"/>
    <w:rsid w:val="00970FB5"/>
    <w:rsid w:val="00971710"/>
    <w:rsid w:val="00971B87"/>
    <w:rsid w:val="00971C77"/>
    <w:rsid w:val="00972FCD"/>
    <w:rsid w:val="00973324"/>
    <w:rsid w:val="009736DF"/>
    <w:rsid w:val="009741AE"/>
    <w:rsid w:val="009741FC"/>
    <w:rsid w:val="00974782"/>
    <w:rsid w:val="00974923"/>
    <w:rsid w:val="00975909"/>
    <w:rsid w:val="00977C3D"/>
    <w:rsid w:val="00980D3D"/>
    <w:rsid w:val="0098103E"/>
    <w:rsid w:val="0098157D"/>
    <w:rsid w:val="00983101"/>
    <w:rsid w:val="00983E41"/>
    <w:rsid w:val="009845E1"/>
    <w:rsid w:val="00984D1B"/>
    <w:rsid w:val="00986246"/>
    <w:rsid w:val="00987A30"/>
    <w:rsid w:val="00990312"/>
    <w:rsid w:val="0099182E"/>
    <w:rsid w:val="00992CF3"/>
    <w:rsid w:val="00993194"/>
    <w:rsid w:val="0099321E"/>
    <w:rsid w:val="00994868"/>
    <w:rsid w:val="00994D28"/>
    <w:rsid w:val="00994F2C"/>
    <w:rsid w:val="009957CC"/>
    <w:rsid w:val="009968D6"/>
    <w:rsid w:val="00997953"/>
    <w:rsid w:val="009A0BFF"/>
    <w:rsid w:val="009A10A0"/>
    <w:rsid w:val="009A1CAB"/>
    <w:rsid w:val="009A2359"/>
    <w:rsid w:val="009A24F1"/>
    <w:rsid w:val="009A27E0"/>
    <w:rsid w:val="009A4D57"/>
    <w:rsid w:val="009A51A5"/>
    <w:rsid w:val="009A60D1"/>
    <w:rsid w:val="009A6225"/>
    <w:rsid w:val="009A64F5"/>
    <w:rsid w:val="009B00D2"/>
    <w:rsid w:val="009B05B3"/>
    <w:rsid w:val="009B284F"/>
    <w:rsid w:val="009B3764"/>
    <w:rsid w:val="009B52AC"/>
    <w:rsid w:val="009B59EA"/>
    <w:rsid w:val="009B66CE"/>
    <w:rsid w:val="009B6FD3"/>
    <w:rsid w:val="009B72BE"/>
    <w:rsid w:val="009B78A4"/>
    <w:rsid w:val="009B7DB2"/>
    <w:rsid w:val="009C03DB"/>
    <w:rsid w:val="009C1750"/>
    <w:rsid w:val="009C2E29"/>
    <w:rsid w:val="009C3E8F"/>
    <w:rsid w:val="009C554B"/>
    <w:rsid w:val="009C5E83"/>
    <w:rsid w:val="009C7126"/>
    <w:rsid w:val="009C719E"/>
    <w:rsid w:val="009C7799"/>
    <w:rsid w:val="009D07A9"/>
    <w:rsid w:val="009D0AE2"/>
    <w:rsid w:val="009D0D9F"/>
    <w:rsid w:val="009D0EBB"/>
    <w:rsid w:val="009D2C46"/>
    <w:rsid w:val="009D3ACD"/>
    <w:rsid w:val="009D4254"/>
    <w:rsid w:val="009D4F21"/>
    <w:rsid w:val="009D587D"/>
    <w:rsid w:val="009D7731"/>
    <w:rsid w:val="009E1120"/>
    <w:rsid w:val="009E1393"/>
    <w:rsid w:val="009E1922"/>
    <w:rsid w:val="009E1A3D"/>
    <w:rsid w:val="009E4715"/>
    <w:rsid w:val="009E4A58"/>
    <w:rsid w:val="009E5273"/>
    <w:rsid w:val="009E57A8"/>
    <w:rsid w:val="009E5B85"/>
    <w:rsid w:val="009E5DDB"/>
    <w:rsid w:val="009F2921"/>
    <w:rsid w:val="009F4982"/>
    <w:rsid w:val="009F4CA7"/>
    <w:rsid w:val="009F4F6A"/>
    <w:rsid w:val="009F55BA"/>
    <w:rsid w:val="009F7D36"/>
    <w:rsid w:val="009F7D61"/>
    <w:rsid w:val="00A00E71"/>
    <w:rsid w:val="00A0306F"/>
    <w:rsid w:val="00A03B10"/>
    <w:rsid w:val="00A03E2E"/>
    <w:rsid w:val="00A04616"/>
    <w:rsid w:val="00A04717"/>
    <w:rsid w:val="00A05D8F"/>
    <w:rsid w:val="00A05EE4"/>
    <w:rsid w:val="00A06F99"/>
    <w:rsid w:val="00A1053B"/>
    <w:rsid w:val="00A10D66"/>
    <w:rsid w:val="00A113A4"/>
    <w:rsid w:val="00A14114"/>
    <w:rsid w:val="00A16413"/>
    <w:rsid w:val="00A16545"/>
    <w:rsid w:val="00A16AED"/>
    <w:rsid w:val="00A16C37"/>
    <w:rsid w:val="00A16E1D"/>
    <w:rsid w:val="00A171D5"/>
    <w:rsid w:val="00A17A15"/>
    <w:rsid w:val="00A17D5B"/>
    <w:rsid w:val="00A201E1"/>
    <w:rsid w:val="00A20FE1"/>
    <w:rsid w:val="00A21B4D"/>
    <w:rsid w:val="00A22073"/>
    <w:rsid w:val="00A223E0"/>
    <w:rsid w:val="00A23E43"/>
    <w:rsid w:val="00A24726"/>
    <w:rsid w:val="00A24DEB"/>
    <w:rsid w:val="00A24ED9"/>
    <w:rsid w:val="00A25216"/>
    <w:rsid w:val="00A2597D"/>
    <w:rsid w:val="00A2628E"/>
    <w:rsid w:val="00A266BF"/>
    <w:rsid w:val="00A2731E"/>
    <w:rsid w:val="00A309AC"/>
    <w:rsid w:val="00A30F65"/>
    <w:rsid w:val="00A3279E"/>
    <w:rsid w:val="00A35900"/>
    <w:rsid w:val="00A40EAC"/>
    <w:rsid w:val="00A418BC"/>
    <w:rsid w:val="00A41FCF"/>
    <w:rsid w:val="00A42936"/>
    <w:rsid w:val="00A43CF8"/>
    <w:rsid w:val="00A43DF2"/>
    <w:rsid w:val="00A445A8"/>
    <w:rsid w:val="00A44B0D"/>
    <w:rsid w:val="00A44D21"/>
    <w:rsid w:val="00A45087"/>
    <w:rsid w:val="00A45489"/>
    <w:rsid w:val="00A45CED"/>
    <w:rsid w:val="00A465E9"/>
    <w:rsid w:val="00A468E7"/>
    <w:rsid w:val="00A46DE0"/>
    <w:rsid w:val="00A478BA"/>
    <w:rsid w:val="00A50D73"/>
    <w:rsid w:val="00A52A88"/>
    <w:rsid w:val="00A52CAD"/>
    <w:rsid w:val="00A53FC7"/>
    <w:rsid w:val="00A55569"/>
    <w:rsid w:val="00A566A0"/>
    <w:rsid w:val="00A601E7"/>
    <w:rsid w:val="00A60AC1"/>
    <w:rsid w:val="00A626FF"/>
    <w:rsid w:val="00A62CE1"/>
    <w:rsid w:val="00A65469"/>
    <w:rsid w:val="00A65528"/>
    <w:rsid w:val="00A655D3"/>
    <w:rsid w:val="00A662D9"/>
    <w:rsid w:val="00A6741E"/>
    <w:rsid w:val="00A67E29"/>
    <w:rsid w:val="00A7016A"/>
    <w:rsid w:val="00A7018D"/>
    <w:rsid w:val="00A7191D"/>
    <w:rsid w:val="00A722F9"/>
    <w:rsid w:val="00A72D42"/>
    <w:rsid w:val="00A746C9"/>
    <w:rsid w:val="00A74C2A"/>
    <w:rsid w:val="00A75E40"/>
    <w:rsid w:val="00A76818"/>
    <w:rsid w:val="00A77D1D"/>
    <w:rsid w:val="00A81652"/>
    <w:rsid w:val="00A82C91"/>
    <w:rsid w:val="00A83150"/>
    <w:rsid w:val="00A83398"/>
    <w:rsid w:val="00A83D6E"/>
    <w:rsid w:val="00A8521A"/>
    <w:rsid w:val="00A857C0"/>
    <w:rsid w:val="00A85ACB"/>
    <w:rsid w:val="00A90F2C"/>
    <w:rsid w:val="00A90FED"/>
    <w:rsid w:val="00A91482"/>
    <w:rsid w:val="00A9189D"/>
    <w:rsid w:val="00A91E71"/>
    <w:rsid w:val="00A925B1"/>
    <w:rsid w:val="00A92A3E"/>
    <w:rsid w:val="00A934F9"/>
    <w:rsid w:val="00A940E3"/>
    <w:rsid w:val="00A94983"/>
    <w:rsid w:val="00A95F1A"/>
    <w:rsid w:val="00A96116"/>
    <w:rsid w:val="00A9614E"/>
    <w:rsid w:val="00A96422"/>
    <w:rsid w:val="00A96C0F"/>
    <w:rsid w:val="00AA0E80"/>
    <w:rsid w:val="00AA17CD"/>
    <w:rsid w:val="00AA1D85"/>
    <w:rsid w:val="00AA212F"/>
    <w:rsid w:val="00AA2996"/>
    <w:rsid w:val="00AA2AF4"/>
    <w:rsid w:val="00AA4282"/>
    <w:rsid w:val="00AA4790"/>
    <w:rsid w:val="00AA52BF"/>
    <w:rsid w:val="00AA559A"/>
    <w:rsid w:val="00AA6C31"/>
    <w:rsid w:val="00AA7752"/>
    <w:rsid w:val="00AA7CE8"/>
    <w:rsid w:val="00AB1457"/>
    <w:rsid w:val="00AB2AF1"/>
    <w:rsid w:val="00AB3EC7"/>
    <w:rsid w:val="00AB5A64"/>
    <w:rsid w:val="00AB5CA1"/>
    <w:rsid w:val="00AB6456"/>
    <w:rsid w:val="00AC044E"/>
    <w:rsid w:val="00AC2118"/>
    <w:rsid w:val="00AC2395"/>
    <w:rsid w:val="00AC2960"/>
    <w:rsid w:val="00AC2AC4"/>
    <w:rsid w:val="00AC4284"/>
    <w:rsid w:val="00AC45BD"/>
    <w:rsid w:val="00AC50BB"/>
    <w:rsid w:val="00AD0B22"/>
    <w:rsid w:val="00AD0EE7"/>
    <w:rsid w:val="00AD168E"/>
    <w:rsid w:val="00AD306C"/>
    <w:rsid w:val="00AD44CD"/>
    <w:rsid w:val="00AD5AD2"/>
    <w:rsid w:val="00AD6462"/>
    <w:rsid w:val="00AD66C5"/>
    <w:rsid w:val="00AD68C4"/>
    <w:rsid w:val="00AD71F9"/>
    <w:rsid w:val="00AE09B3"/>
    <w:rsid w:val="00AE1A83"/>
    <w:rsid w:val="00AE30BE"/>
    <w:rsid w:val="00AE3E6A"/>
    <w:rsid w:val="00AE6414"/>
    <w:rsid w:val="00AE7269"/>
    <w:rsid w:val="00AE797C"/>
    <w:rsid w:val="00AE7CE7"/>
    <w:rsid w:val="00AE7FAB"/>
    <w:rsid w:val="00AF0DE4"/>
    <w:rsid w:val="00AF1E87"/>
    <w:rsid w:val="00AF436B"/>
    <w:rsid w:val="00AF5179"/>
    <w:rsid w:val="00AF5CC2"/>
    <w:rsid w:val="00AF6776"/>
    <w:rsid w:val="00AF6F98"/>
    <w:rsid w:val="00B00913"/>
    <w:rsid w:val="00B01593"/>
    <w:rsid w:val="00B01FF9"/>
    <w:rsid w:val="00B023F2"/>
    <w:rsid w:val="00B038CA"/>
    <w:rsid w:val="00B06DB4"/>
    <w:rsid w:val="00B0750D"/>
    <w:rsid w:val="00B0799C"/>
    <w:rsid w:val="00B102CE"/>
    <w:rsid w:val="00B10A4D"/>
    <w:rsid w:val="00B10C90"/>
    <w:rsid w:val="00B11002"/>
    <w:rsid w:val="00B1114F"/>
    <w:rsid w:val="00B121B2"/>
    <w:rsid w:val="00B141B6"/>
    <w:rsid w:val="00B14BC1"/>
    <w:rsid w:val="00B16DD1"/>
    <w:rsid w:val="00B16EB8"/>
    <w:rsid w:val="00B17E71"/>
    <w:rsid w:val="00B17FDE"/>
    <w:rsid w:val="00B20632"/>
    <w:rsid w:val="00B2379C"/>
    <w:rsid w:val="00B23D5D"/>
    <w:rsid w:val="00B2687D"/>
    <w:rsid w:val="00B3108D"/>
    <w:rsid w:val="00B32DDB"/>
    <w:rsid w:val="00B32F57"/>
    <w:rsid w:val="00B3345C"/>
    <w:rsid w:val="00B34528"/>
    <w:rsid w:val="00B34CC9"/>
    <w:rsid w:val="00B3563B"/>
    <w:rsid w:val="00B36BDC"/>
    <w:rsid w:val="00B37D3A"/>
    <w:rsid w:val="00B37D96"/>
    <w:rsid w:val="00B402FC"/>
    <w:rsid w:val="00B422E2"/>
    <w:rsid w:val="00B42D5F"/>
    <w:rsid w:val="00B43216"/>
    <w:rsid w:val="00B439DA"/>
    <w:rsid w:val="00B4411A"/>
    <w:rsid w:val="00B45FE8"/>
    <w:rsid w:val="00B46604"/>
    <w:rsid w:val="00B47089"/>
    <w:rsid w:val="00B47587"/>
    <w:rsid w:val="00B52151"/>
    <w:rsid w:val="00B530CD"/>
    <w:rsid w:val="00B53C7D"/>
    <w:rsid w:val="00B53E56"/>
    <w:rsid w:val="00B55A97"/>
    <w:rsid w:val="00B55F5E"/>
    <w:rsid w:val="00B5642C"/>
    <w:rsid w:val="00B56B6F"/>
    <w:rsid w:val="00B5752E"/>
    <w:rsid w:val="00B60AC1"/>
    <w:rsid w:val="00B61FF6"/>
    <w:rsid w:val="00B62316"/>
    <w:rsid w:val="00B63494"/>
    <w:rsid w:val="00B63A11"/>
    <w:rsid w:val="00B64425"/>
    <w:rsid w:val="00B64C24"/>
    <w:rsid w:val="00B65CEF"/>
    <w:rsid w:val="00B6608F"/>
    <w:rsid w:val="00B67749"/>
    <w:rsid w:val="00B679FB"/>
    <w:rsid w:val="00B71FBF"/>
    <w:rsid w:val="00B734A0"/>
    <w:rsid w:val="00B73A14"/>
    <w:rsid w:val="00B748BD"/>
    <w:rsid w:val="00B7680F"/>
    <w:rsid w:val="00B76B48"/>
    <w:rsid w:val="00B76D1E"/>
    <w:rsid w:val="00B77543"/>
    <w:rsid w:val="00B77584"/>
    <w:rsid w:val="00B80EC6"/>
    <w:rsid w:val="00B81288"/>
    <w:rsid w:val="00B81D70"/>
    <w:rsid w:val="00B833B9"/>
    <w:rsid w:val="00B83E07"/>
    <w:rsid w:val="00B84CF6"/>
    <w:rsid w:val="00B85016"/>
    <w:rsid w:val="00B8561A"/>
    <w:rsid w:val="00B86643"/>
    <w:rsid w:val="00B868F7"/>
    <w:rsid w:val="00B90131"/>
    <w:rsid w:val="00B92951"/>
    <w:rsid w:val="00B92D1D"/>
    <w:rsid w:val="00B92D7E"/>
    <w:rsid w:val="00B930CE"/>
    <w:rsid w:val="00B938C5"/>
    <w:rsid w:val="00B940A8"/>
    <w:rsid w:val="00B9554A"/>
    <w:rsid w:val="00B95940"/>
    <w:rsid w:val="00B95ACA"/>
    <w:rsid w:val="00B97ACC"/>
    <w:rsid w:val="00B97FE2"/>
    <w:rsid w:val="00BA0E0B"/>
    <w:rsid w:val="00BA201A"/>
    <w:rsid w:val="00BA3787"/>
    <w:rsid w:val="00BA46E8"/>
    <w:rsid w:val="00BA4E19"/>
    <w:rsid w:val="00BA6436"/>
    <w:rsid w:val="00BA64F2"/>
    <w:rsid w:val="00BA684E"/>
    <w:rsid w:val="00BA6C2B"/>
    <w:rsid w:val="00BA7B64"/>
    <w:rsid w:val="00BB02A3"/>
    <w:rsid w:val="00BB0351"/>
    <w:rsid w:val="00BB15C3"/>
    <w:rsid w:val="00BB1AF4"/>
    <w:rsid w:val="00BB2202"/>
    <w:rsid w:val="00BB3C6B"/>
    <w:rsid w:val="00BB3FD6"/>
    <w:rsid w:val="00BB453F"/>
    <w:rsid w:val="00BB46F3"/>
    <w:rsid w:val="00BB4A71"/>
    <w:rsid w:val="00BB4CB1"/>
    <w:rsid w:val="00BB4F98"/>
    <w:rsid w:val="00BB5AB2"/>
    <w:rsid w:val="00BB5ABF"/>
    <w:rsid w:val="00BB6EA2"/>
    <w:rsid w:val="00BB7B5B"/>
    <w:rsid w:val="00BB7EB1"/>
    <w:rsid w:val="00BC003F"/>
    <w:rsid w:val="00BC0930"/>
    <w:rsid w:val="00BC327F"/>
    <w:rsid w:val="00BC3512"/>
    <w:rsid w:val="00BC50BE"/>
    <w:rsid w:val="00BC5332"/>
    <w:rsid w:val="00BC5715"/>
    <w:rsid w:val="00BC5C12"/>
    <w:rsid w:val="00BC7154"/>
    <w:rsid w:val="00BC731E"/>
    <w:rsid w:val="00BC7614"/>
    <w:rsid w:val="00BD25BB"/>
    <w:rsid w:val="00BD2AF8"/>
    <w:rsid w:val="00BD366B"/>
    <w:rsid w:val="00BD3C09"/>
    <w:rsid w:val="00BD410B"/>
    <w:rsid w:val="00BD4A73"/>
    <w:rsid w:val="00BD6C75"/>
    <w:rsid w:val="00BD6D50"/>
    <w:rsid w:val="00BD73D2"/>
    <w:rsid w:val="00BE0AD1"/>
    <w:rsid w:val="00BE0EF9"/>
    <w:rsid w:val="00BE10A1"/>
    <w:rsid w:val="00BE18B9"/>
    <w:rsid w:val="00BE190A"/>
    <w:rsid w:val="00BE2495"/>
    <w:rsid w:val="00BE24DD"/>
    <w:rsid w:val="00BE386D"/>
    <w:rsid w:val="00BE557B"/>
    <w:rsid w:val="00BE7F5F"/>
    <w:rsid w:val="00BF02C8"/>
    <w:rsid w:val="00BF1578"/>
    <w:rsid w:val="00BF15CA"/>
    <w:rsid w:val="00BF1D12"/>
    <w:rsid w:val="00BF1D3A"/>
    <w:rsid w:val="00BF2B5B"/>
    <w:rsid w:val="00BF2D41"/>
    <w:rsid w:val="00BF3274"/>
    <w:rsid w:val="00BF32DC"/>
    <w:rsid w:val="00BF4329"/>
    <w:rsid w:val="00BF4E43"/>
    <w:rsid w:val="00BF5C4C"/>
    <w:rsid w:val="00BF77FC"/>
    <w:rsid w:val="00C006D6"/>
    <w:rsid w:val="00C00BD7"/>
    <w:rsid w:val="00C01410"/>
    <w:rsid w:val="00C04B78"/>
    <w:rsid w:val="00C052AA"/>
    <w:rsid w:val="00C06EE3"/>
    <w:rsid w:val="00C07749"/>
    <w:rsid w:val="00C11244"/>
    <w:rsid w:val="00C11D48"/>
    <w:rsid w:val="00C1493E"/>
    <w:rsid w:val="00C15DBD"/>
    <w:rsid w:val="00C2010D"/>
    <w:rsid w:val="00C20CB5"/>
    <w:rsid w:val="00C21430"/>
    <w:rsid w:val="00C216DF"/>
    <w:rsid w:val="00C21E61"/>
    <w:rsid w:val="00C21F94"/>
    <w:rsid w:val="00C234DB"/>
    <w:rsid w:val="00C2479A"/>
    <w:rsid w:val="00C24903"/>
    <w:rsid w:val="00C2590D"/>
    <w:rsid w:val="00C25D9C"/>
    <w:rsid w:val="00C27913"/>
    <w:rsid w:val="00C300E2"/>
    <w:rsid w:val="00C31F21"/>
    <w:rsid w:val="00C32631"/>
    <w:rsid w:val="00C33301"/>
    <w:rsid w:val="00C33311"/>
    <w:rsid w:val="00C33B68"/>
    <w:rsid w:val="00C35570"/>
    <w:rsid w:val="00C35A2A"/>
    <w:rsid w:val="00C36A79"/>
    <w:rsid w:val="00C401A9"/>
    <w:rsid w:val="00C401D2"/>
    <w:rsid w:val="00C4031A"/>
    <w:rsid w:val="00C405D4"/>
    <w:rsid w:val="00C419D5"/>
    <w:rsid w:val="00C41D54"/>
    <w:rsid w:val="00C42EBB"/>
    <w:rsid w:val="00C4513B"/>
    <w:rsid w:val="00C475E8"/>
    <w:rsid w:val="00C50E79"/>
    <w:rsid w:val="00C5197D"/>
    <w:rsid w:val="00C525FB"/>
    <w:rsid w:val="00C5390B"/>
    <w:rsid w:val="00C54257"/>
    <w:rsid w:val="00C54697"/>
    <w:rsid w:val="00C550CE"/>
    <w:rsid w:val="00C553A5"/>
    <w:rsid w:val="00C55402"/>
    <w:rsid w:val="00C5603B"/>
    <w:rsid w:val="00C61F47"/>
    <w:rsid w:val="00C62828"/>
    <w:rsid w:val="00C715CC"/>
    <w:rsid w:val="00C719A3"/>
    <w:rsid w:val="00C71D2F"/>
    <w:rsid w:val="00C72984"/>
    <w:rsid w:val="00C73885"/>
    <w:rsid w:val="00C73C93"/>
    <w:rsid w:val="00C7435A"/>
    <w:rsid w:val="00C747B1"/>
    <w:rsid w:val="00C75510"/>
    <w:rsid w:val="00C755F9"/>
    <w:rsid w:val="00C75752"/>
    <w:rsid w:val="00C770C9"/>
    <w:rsid w:val="00C81070"/>
    <w:rsid w:val="00C8174E"/>
    <w:rsid w:val="00C82191"/>
    <w:rsid w:val="00C83134"/>
    <w:rsid w:val="00C831E7"/>
    <w:rsid w:val="00C832F3"/>
    <w:rsid w:val="00C845A4"/>
    <w:rsid w:val="00C85545"/>
    <w:rsid w:val="00C855B5"/>
    <w:rsid w:val="00C85F0E"/>
    <w:rsid w:val="00C90CF4"/>
    <w:rsid w:val="00C91C20"/>
    <w:rsid w:val="00C922DE"/>
    <w:rsid w:val="00C92843"/>
    <w:rsid w:val="00C92EB6"/>
    <w:rsid w:val="00C93389"/>
    <w:rsid w:val="00C948E6"/>
    <w:rsid w:val="00C94CDD"/>
    <w:rsid w:val="00C97588"/>
    <w:rsid w:val="00CA0346"/>
    <w:rsid w:val="00CA1BD6"/>
    <w:rsid w:val="00CA37FF"/>
    <w:rsid w:val="00CA423A"/>
    <w:rsid w:val="00CA47BC"/>
    <w:rsid w:val="00CA5EAD"/>
    <w:rsid w:val="00CA6AB4"/>
    <w:rsid w:val="00CA7255"/>
    <w:rsid w:val="00CB1BEE"/>
    <w:rsid w:val="00CB2351"/>
    <w:rsid w:val="00CB4930"/>
    <w:rsid w:val="00CB4BA9"/>
    <w:rsid w:val="00CB4C63"/>
    <w:rsid w:val="00CB5A48"/>
    <w:rsid w:val="00CB5E10"/>
    <w:rsid w:val="00CB613B"/>
    <w:rsid w:val="00CB6152"/>
    <w:rsid w:val="00CB64E1"/>
    <w:rsid w:val="00CB6E4D"/>
    <w:rsid w:val="00CC0834"/>
    <w:rsid w:val="00CC20FE"/>
    <w:rsid w:val="00CC2E7D"/>
    <w:rsid w:val="00CC612B"/>
    <w:rsid w:val="00CC655F"/>
    <w:rsid w:val="00CC66F9"/>
    <w:rsid w:val="00CC6FE5"/>
    <w:rsid w:val="00CC7458"/>
    <w:rsid w:val="00CC76BD"/>
    <w:rsid w:val="00CC7A87"/>
    <w:rsid w:val="00CD10A5"/>
    <w:rsid w:val="00CD1129"/>
    <w:rsid w:val="00CD1A80"/>
    <w:rsid w:val="00CD1CB5"/>
    <w:rsid w:val="00CD2076"/>
    <w:rsid w:val="00CD24CE"/>
    <w:rsid w:val="00CD29B5"/>
    <w:rsid w:val="00CD2B78"/>
    <w:rsid w:val="00CD3FAB"/>
    <w:rsid w:val="00CD5456"/>
    <w:rsid w:val="00CD5C3E"/>
    <w:rsid w:val="00CD6331"/>
    <w:rsid w:val="00CE14BE"/>
    <w:rsid w:val="00CE17A4"/>
    <w:rsid w:val="00CE1BA9"/>
    <w:rsid w:val="00CE2D8F"/>
    <w:rsid w:val="00CE3E48"/>
    <w:rsid w:val="00CE47B8"/>
    <w:rsid w:val="00CE62FA"/>
    <w:rsid w:val="00CE670B"/>
    <w:rsid w:val="00CE6833"/>
    <w:rsid w:val="00CF020B"/>
    <w:rsid w:val="00CF2E4D"/>
    <w:rsid w:val="00CF4205"/>
    <w:rsid w:val="00CF4908"/>
    <w:rsid w:val="00CF51EC"/>
    <w:rsid w:val="00CF545D"/>
    <w:rsid w:val="00CF5873"/>
    <w:rsid w:val="00CF73AE"/>
    <w:rsid w:val="00CF7777"/>
    <w:rsid w:val="00D0085A"/>
    <w:rsid w:val="00D0197F"/>
    <w:rsid w:val="00D01B31"/>
    <w:rsid w:val="00D0242D"/>
    <w:rsid w:val="00D02716"/>
    <w:rsid w:val="00D03A72"/>
    <w:rsid w:val="00D040DD"/>
    <w:rsid w:val="00D04134"/>
    <w:rsid w:val="00D05C65"/>
    <w:rsid w:val="00D06B56"/>
    <w:rsid w:val="00D06D68"/>
    <w:rsid w:val="00D075BE"/>
    <w:rsid w:val="00D07AFF"/>
    <w:rsid w:val="00D10C15"/>
    <w:rsid w:val="00D11476"/>
    <w:rsid w:val="00D12C25"/>
    <w:rsid w:val="00D133B4"/>
    <w:rsid w:val="00D13986"/>
    <w:rsid w:val="00D14C5B"/>
    <w:rsid w:val="00D15FED"/>
    <w:rsid w:val="00D16712"/>
    <w:rsid w:val="00D214EF"/>
    <w:rsid w:val="00D215B0"/>
    <w:rsid w:val="00D21D6D"/>
    <w:rsid w:val="00D21D83"/>
    <w:rsid w:val="00D235B7"/>
    <w:rsid w:val="00D23FAE"/>
    <w:rsid w:val="00D25F28"/>
    <w:rsid w:val="00D26071"/>
    <w:rsid w:val="00D269B9"/>
    <w:rsid w:val="00D27973"/>
    <w:rsid w:val="00D27F3A"/>
    <w:rsid w:val="00D31537"/>
    <w:rsid w:val="00D31E1E"/>
    <w:rsid w:val="00D322A0"/>
    <w:rsid w:val="00D32824"/>
    <w:rsid w:val="00D334E2"/>
    <w:rsid w:val="00D350B1"/>
    <w:rsid w:val="00D35AD6"/>
    <w:rsid w:val="00D35BBB"/>
    <w:rsid w:val="00D35E1A"/>
    <w:rsid w:val="00D36B0A"/>
    <w:rsid w:val="00D36DFB"/>
    <w:rsid w:val="00D36E1C"/>
    <w:rsid w:val="00D373AF"/>
    <w:rsid w:val="00D40556"/>
    <w:rsid w:val="00D41F74"/>
    <w:rsid w:val="00D428C8"/>
    <w:rsid w:val="00D43034"/>
    <w:rsid w:val="00D43ED2"/>
    <w:rsid w:val="00D50F46"/>
    <w:rsid w:val="00D5384E"/>
    <w:rsid w:val="00D544E7"/>
    <w:rsid w:val="00D5499F"/>
    <w:rsid w:val="00D5560A"/>
    <w:rsid w:val="00D56FBF"/>
    <w:rsid w:val="00D57677"/>
    <w:rsid w:val="00D60415"/>
    <w:rsid w:val="00D60E3C"/>
    <w:rsid w:val="00D61FAB"/>
    <w:rsid w:val="00D63BE5"/>
    <w:rsid w:val="00D6475F"/>
    <w:rsid w:val="00D66223"/>
    <w:rsid w:val="00D667B8"/>
    <w:rsid w:val="00D70289"/>
    <w:rsid w:val="00D70822"/>
    <w:rsid w:val="00D72076"/>
    <w:rsid w:val="00D726A9"/>
    <w:rsid w:val="00D72DBA"/>
    <w:rsid w:val="00D743E0"/>
    <w:rsid w:val="00D7490C"/>
    <w:rsid w:val="00D75AC1"/>
    <w:rsid w:val="00D77252"/>
    <w:rsid w:val="00D8084C"/>
    <w:rsid w:val="00D81809"/>
    <w:rsid w:val="00D82EF1"/>
    <w:rsid w:val="00D84F43"/>
    <w:rsid w:val="00D85114"/>
    <w:rsid w:val="00D85821"/>
    <w:rsid w:val="00D8598C"/>
    <w:rsid w:val="00D87C06"/>
    <w:rsid w:val="00D915EA"/>
    <w:rsid w:val="00D919ED"/>
    <w:rsid w:val="00D922A1"/>
    <w:rsid w:val="00D928BE"/>
    <w:rsid w:val="00D95302"/>
    <w:rsid w:val="00D95C5D"/>
    <w:rsid w:val="00D97D00"/>
    <w:rsid w:val="00DA096C"/>
    <w:rsid w:val="00DA1AB6"/>
    <w:rsid w:val="00DA2E65"/>
    <w:rsid w:val="00DA544C"/>
    <w:rsid w:val="00DA5F8E"/>
    <w:rsid w:val="00DA6364"/>
    <w:rsid w:val="00DA7114"/>
    <w:rsid w:val="00DA7C0C"/>
    <w:rsid w:val="00DB03DD"/>
    <w:rsid w:val="00DB08A9"/>
    <w:rsid w:val="00DB2DFA"/>
    <w:rsid w:val="00DB2EC8"/>
    <w:rsid w:val="00DB321D"/>
    <w:rsid w:val="00DB459B"/>
    <w:rsid w:val="00DB47FD"/>
    <w:rsid w:val="00DB5E3A"/>
    <w:rsid w:val="00DB5E9A"/>
    <w:rsid w:val="00DB613B"/>
    <w:rsid w:val="00DB657E"/>
    <w:rsid w:val="00DB7342"/>
    <w:rsid w:val="00DB7489"/>
    <w:rsid w:val="00DC17D0"/>
    <w:rsid w:val="00DC2B41"/>
    <w:rsid w:val="00DC3128"/>
    <w:rsid w:val="00DC435B"/>
    <w:rsid w:val="00DC53D8"/>
    <w:rsid w:val="00DC56FE"/>
    <w:rsid w:val="00DC5B3B"/>
    <w:rsid w:val="00DC6C2D"/>
    <w:rsid w:val="00DC7B1A"/>
    <w:rsid w:val="00DD04B0"/>
    <w:rsid w:val="00DD129F"/>
    <w:rsid w:val="00DD13FC"/>
    <w:rsid w:val="00DD1A3F"/>
    <w:rsid w:val="00DD29B5"/>
    <w:rsid w:val="00DD32DD"/>
    <w:rsid w:val="00DD5287"/>
    <w:rsid w:val="00DD5B36"/>
    <w:rsid w:val="00DE0D8B"/>
    <w:rsid w:val="00DE1237"/>
    <w:rsid w:val="00DE140F"/>
    <w:rsid w:val="00DE2491"/>
    <w:rsid w:val="00DE5CA6"/>
    <w:rsid w:val="00DE7AC8"/>
    <w:rsid w:val="00DF2C5D"/>
    <w:rsid w:val="00DF3643"/>
    <w:rsid w:val="00DF42FF"/>
    <w:rsid w:val="00DF4369"/>
    <w:rsid w:val="00DF4423"/>
    <w:rsid w:val="00DF4ADF"/>
    <w:rsid w:val="00DF5D1E"/>
    <w:rsid w:val="00DF77E4"/>
    <w:rsid w:val="00DF7F88"/>
    <w:rsid w:val="00E01C0E"/>
    <w:rsid w:val="00E0368F"/>
    <w:rsid w:val="00E03D73"/>
    <w:rsid w:val="00E03F9A"/>
    <w:rsid w:val="00E040DA"/>
    <w:rsid w:val="00E04694"/>
    <w:rsid w:val="00E12191"/>
    <w:rsid w:val="00E129E7"/>
    <w:rsid w:val="00E12ABE"/>
    <w:rsid w:val="00E12B1E"/>
    <w:rsid w:val="00E1444C"/>
    <w:rsid w:val="00E17262"/>
    <w:rsid w:val="00E20016"/>
    <w:rsid w:val="00E2009B"/>
    <w:rsid w:val="00E20BB9"/>
    <w:rsid w:val="00E20BCC"/>
    <w:rsid w:val="00E2251C"/>
    <w:rsid w:val="00E2363D"/>
    <w:rsid w:val="00E23C6A"/>
    <w:rsid w:val="00E253A2"/>
    <w:rsid w:val="00E260F6"/>
    <w:rsid w:val="00E27127"/>
    <w:rsid w:val="00E27233"/>
    <w:rsid w:val="00E30F15"/>
    <w:rsid w:val="00E31771"/>
    <w:rsid w:val="00E3186D"/>
    <w:rsid w:val="00E31A3E"/>
    <w:rsid w:val="00E32080"/>
    <w:rsid w:val="00E3309D"/>
    <w:rsid w:val="00E35A53"/>
    <w:rsid w:val="00E3656B"/>
    <w:rsid w:val="00E3724A"/>
    <w:rsid w:val="00E378B1"/>
    <w:rsid w:val="00E417BE"/>
    <w:rsid w:val="00E41CD5"/>
    <w:rsid w:val="00E4372D"/>
    <w:rsid w:val="00E43A9E"/>
    <w:rsid w:val="00E44243"/>
    <w:rsid w:val="00E453F9"/>
    <w:rsid w:val="00E45D7D"/>
    <w:rsid w:val="00E4623F"/>
    <w:rsid w:val="00E4665D"/>
    <w:rsid w:val="00E47854"/>
    <w:rsid w:val="00E47EBA"/>
    <w:rsid w:val="00E50156"/>
    <w:rsid w:val="00E504EB"/>
    <w:rsid w:val="00E5076C"/>
    <w:rsid w:val="00E50D2E"/>
    <w:rsid w:val="00E50D7D"/>
    <w:rsid w:val="00E53470"/>
    <w:rsid w:val="00E539F6"/>
    <w:rsid w:val="00E54698"/>
    <w:rsid w:val="00E54FB4"/>
    <w:rsid w:val="00E5539A"/>
    <w:rsid w:val="00E55791"/>
    <w:rsid w:val="00E55E1A"/>
    <w:rsid w:val="00E578A2"/>
    <w:rsid w:val="00E60043"/>
    <w:rsid w:val="00E61740"/>
    <w:rsid w:val="00E61EB5"/>
    <w:rsid w:val="00E6324D"/>
    <w:rsid w:val="00E65084"/>
    <w:rsid w:val="00E6519D"/>
    <w:rsid w:val="00E66062"/>
    <w:rsid w:val="00E6660E"/>
    <w:rsid w:val="00E66768"/>
    <w:rsid w:val="00E67305"/>
    <w:rsid w:val="00E67696"/>
    <w:rsid w:val="00E70C5F"/>
    <w:rsid w:val="00E71A58"/>
    <w:rsid w:val="00E72A26"/>
    <w:rsid w:val="00E72A7A"/>
    <w:rsid w:val="00E7335A"/>
    <w:rsid w:val="00E747DC"/>
    <w:rsid w:val="00E74A2D"/>
    <w:rsid w:val="00E75C94"/>
    <w:rsid w:val="00E76B9B"/>
    <w:rsid w:val="00E76E61"/>
    <w:rsid w:val="00E77CC0"/>
    <w:rsid w:val="00E80B3D"/>
    <w:rsid w:val="00E80CA3"/>
    <w:rsid w:val="00E82618"/>
    <w:rsid w:val="00E84E09"/>
    <w:rsid w:val="00E90CA8"/>
    <w:rsid w:val="00E930A1"/>
    <w:rsid w:val="00E93820"/>
    <w:rsid w:val="00E94A86"/>
    <w:rsid w:val="00E953F6"/>
    <w:rsid w:val="00E96143"/>
    <w:rsid w:val="00E96833"/>
    <w:rsid w:val="00E97506"/>
    <w:rsid w:val="00E97BB5"/>
    <w:rsid w:val="00EA0C68"/>
    <w:rsid w:val="00EA1D0E"/>
    <w:rsid w:val="00EA2841"/>
    <w:rsid w:val="00EA32BC"/>
    <w:rsid w:val="00EA35A7"/>
    <w:rsid w:val="00EA3B32"/>
    <w:rsid w:val="00EA3D05"/>
    <w:rsid w:val="00EA4402"/>
    <w:rsid w:val="00EA4B8D"/>
    <w:rsid w:val="00EA513E"/>
    <w:rsid w:val="00EA7419"/>
    <w:rsid w:val="00EB0E32"/>
    <w:rsid w:val="00EB3E60"/>
    <w:rsid w:val="00EB4511"/>
    <w:rsid w:val="00EB48D7"/>
    <w:rsid w:val="00EB4A8E"/>
    <w:rsid w:val="00EB4BC5"/>
    <w:rsid w:val="00EB5BF7"/>
    <w:rsid w:val="00EB5E79"/>
    <w:rsid w:val="00EB6FAC"/>
    <w:rsid w:val="00EB7BAC"/>
    <w:rsid w:val="00EC03D7"/>
    <w:rsid w:val="00EC13A7"/>
    <w:rsid w:val="00EC2EB6"/>
    <w:rsid w:val="00ED0EF0"/>
    <w:rsid w:val="00ED12B9"/>
    <w:rsid w:val="00ED16B8"/>
    <w:rsid w:val="00ED1DF0"/>
    <w:rsid w:val="00ED2386"/>
    <w:rsid w:val="00ED2EA1"/>
    <w:rsid w:val="00ED3F10"/>
    <w:rsid w:val="00ED4D04"/>
    <w:rsid w:val="00ED566D"/>
    <w:rsid w:val="00ED5907"/>
    <w:rsid w:val="00ED5F5B"/>
    <w:rsid w:val="00ED62C6"/>
    <w:rsid w:val="00ED64C1"/>
    <w:rsid w:val="00EE2EB4"/>
    <w:rsid w:val="00EE3446"/>
    <w:rsid w:val="00EE3E78"/>
    <w:rsid w:val="00EE41FD"/>
    <w:rsid w:val="00EE460E"/>
    <w:rsid w:val="00EE4B1B"/>
    <w:rsid w:val="00EE5FBA"/>
    <w:rsid w:val="00EE6E06"/>
    <w:rsid w:val="00EE7179"/>
    <w:rsid w:val="00EF0D90"/>
    <w:rsid w:val="00EF150D"/>
    <w:rsid w:val="00EF1F5A"/>
    <w:rsid w:val="00EF23B5"/>
    <w:rsid w:val="00EF47BF"/>
    <w:rsid w:val="00EF59B1"/>
    <w:rsid w:val="00EF5A13"/>
    <w:rsid w:val="00EF5FF9"/>
    <w:rsid w:val="00EF77D4"/>
    <w:rsid w:val="00EF7CC7"/>
    <w:rsid w:val="00F00853"/>
    <w:rsid w:val="00F00866"/>
    <w:rsid w:val="00F0160B"/>
    <w:rsid w:val="00F0193E"/>
    <w:rsid w:val="00F03E2F"/>
    <w:rsid w:val="00F03F8D"/>
    <w:rsid w:val="00F04811"/>
    <w:rsid w:val="00F0488C"/>
    <w:rsid w:val="00F073ED"/>
    <w:rsid w:val="00F07C4C"/>
    <w:rsid w:val="00F10F11"/>
    <w:rsid w:val="00F11159"/>
    <w:rsid w:val="00F115E4"/>
    <w:rsid w:val="00F12CFB"/>
    <w:rsid w:val="00F13E60"/>
    <w:rsid w:val="00F13FDB"/>
    <w:rsid w:val="00F15AAA"/>
    <w:rsid w:val="00F15BEF"/>
    <w:rsid w:val="00F17898"/>
    <w:rsid w:val="00F207C2"/>
    <w:rsid w:val="00F21337"/>
    <w:rsid w:val="00F219A1"/>
    <w:rsid w:val="00F23E20"/>
    <w:rsid w:val="00F24407"/>
    <w:rsid w:val="00F24FAA"/>
    <w:rsid w:val="00F25040"/>
    <w:rsid w:val="00F27071"/>
    <w:rsid w:val="00F27331"/>
    <w:rsid w:val="00F27EE5"/>
    <w:rsid w:val="00F27FB1"/>
    <w:rsid w:val="00F27FD6"/>
    <w:rsid w:val="00F307CB"/>
    <w:rsid w:val="00F30C65"/>
    <w:rsid w:val="00F321D2"/>
    <w:rsid w:val="00F32649"/>
    <w:rsid w:val="00F33523"/>
    <w:rsid w:val="00F3364D"/>
    <w:rsid w:val="00F33914"/>
    <w:rsid w:val="00F349BF"/>
    <w:rsid w:val="00F34DDC"/>
    <w:rsid w:val="00F36191"/>
    <w:rsid w:val="00F3629F"/>
    <w:rsid w:val="00F36DF3"/>
    <w:rsid w:val="00F37EDC"/>
    <w:rsid w:val="00F437CC"/>
    <w:rsid w:val="00F44537"/>
    <w:rsid w:val="00F46185"/>
    <w:rsid w:val="00F46423"/>
    <w:rsid w:val="00F4696A"/>
    <w:rsid w:val="00F47067"/>
    <w:rsid w:val="00F525AB"/>
    <w:rsid w:val="00F525EB"/>
    <w:rsid w:val="00F52CB5"/>
    <w:rsid w:val="00F53378"/>
    <w:rsid w:val="00F53A68"/>
    <w:rsid w:val="00F54934"/>
    <w:rsid w:val="00F55A92"/>
    <w:rsid w:val="00F62BFF"/>
    <w:rsid w:val="00F63AAE"/>
    <w:rsid w:val="00F63DDE"/>
    <w:rsid w:val="00F63FB7"/>
    <w:rsid w:val="00F6421B"/>
    <w:rsid w:val="00F647F1"/>
    <w:rsid w:val="00F649D2"/>
    <w:rsid w:val="00F6602B"/>
    <w:rsid w:val="00F7150B"/>
    <w:rsid w:val="00F717E4"/>
    <w:rsid w:val="00F71DE6"/>
    <w:rsid w:val="00F72D71"/>
    <w:rsid w:val="00F7381C"/>
    <w:rsid w:val="00F73A0C"/>
    <w:rsid w:val="00F7549F"/>
    <w:rsid w:val="00F756DB"/>
    <w:rsid w:val="00F767A8"/>
    <w:rsid w:val="00F82D14"/>
    <w:rsid w:val="00F84E7D"/>
    <w:rsid w:val="00F85066"/>
    <w:rsid w:val="00F87A4D"/>
    <w:rsid w:val="00F93688"/>
    <w:rsid w:val="00F939F3"/>
    <w:rsid w:val="00F93C6E"/>
    <w:rsid w:val="00F93F2C"/>
    <w:rsid w:val="00F9644E"/>
    <w:rsid w:val="00FA0105"/>
    <w:rsid w:val="00FA05A0"/>
    <w:rsid w:val="00FA0AEF"/>
    <w:rsid w:val="00FA17CC"/>
    <w:rsid w:val="00FA1F01"/>
    <w:rsid w:val="00FA26DF"/>
    <w:rsid w:val="00FA32BC"/>
    <w:rsid w:val="00FA48A4"/>
    <w:rsid w:val="00FA4CB7"/>
    <w:rsid w:val="00FA5112"/>
    <w:rsid w:val="00FA5526"/>
    <w:rsid w:val="00FA5D4D"/>
    <w:rsid w:val="00FA6CB6"/>
    <w:rsid w:val="00FA70D3"/>
    <w:rsid w:val="00FA7AEC"/>
    <w:rsid w:val="00FB0AEA"/>
    <w:rsid w:val="00FB0EE2"/>
    <w:rsid w:val="00FB1A79"/>
    <w:rsid w:val="00FB208B"/>
    <w:rsid w:val="00FB2B2D"/>
    <w:rsid w:val="00FB542E"/>
    <w:rsid w:val="00FB564F"/>
    <w:rsid w:val="00FB7DBB"/>
    <w:rsid w:val="00FC05F8"/>
    <w:rsid w:val="00FC0E5F"/>
    <w:rsid w:val="00FC1266"/>
    <w:rsid w:val="00FC1A95"/>
    <w:rsid w:val="00FC1ED4"/>
    <w:rsid w:val="00FC3BEC"/>
    <w:rsid w:val="00FC440B"/>
    <w:rsid w:val="00FC56DE"/>
    <w:rsid w:val="00FC63D9"/>
    <w:rsid w:val="00FC64DE"/>
    <w:rsid w:val="00FC684B"/>
    <w:rsid w:val="00FC7D98"/>
    <w:rsid w:val="00FD1135"/>
    <w:rsid w:val="00FD3265"/>
    <w:rsid w:val="00FD3CF7"/>
    <w:rsid w:val="00FD4916"/>
    <w:rsid w:val="00FD4D12"/>
    <w:rsid w:val="00FD4F73"/>
    <w:rsid w:val="00FD595E"/>
    <w:rsid w:val="00FE27C7"/>
    <w:rsid w:val="00FE2C7E"/>
    <w:rsid w:val="00FE2F78"/>
    <w:rsid w:val="00FE3137"/>
    <w:rsid w:val="00FE346B"/>
    <w:rsid w:val="00FE346F"/>
    <w:rsid w:val="00FE48E4"/>
    <w:rsid w:val="00FE634C"/>
    <w:rsid w:val="00FE6E69"/>
    <w:rsid w:val="00FE6F59"/>
    <w:rsid w:val="00FF1136"/>
    <w:rsid w:val="00FF3D76"/>
    <w:rsid w:val="00FF5B8C"/>
    <w:rsid w:val="00FF63E6"/>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74EEB6EC"/>
  <w15:docId w15:val="{02E7EBF8-5A4E-462D-AC4B-706FC6EE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semiHidden/>
    <w:unhideWhenUsed/>
    <w:rsid w:val="00E76E61"/>
    <w:pPr>
      <w:spacing w:line="240" w:lineRule="auto"/>
    </w:pPr>
    <w:rPr>
      <w:szCs w:val="20"/>
    </w:rPr>
  </w:style>
  <w:style w:type="character" w:customStyle="1" w:styleId="TextkomenteChar">
    <w:name w:val="Text komentáře Char"/>
    <w:basedOn w:val="Standardnpsmoodstavce"/>
    <w:link w:val="Textkomente"/>
    <w:uiPriority w:val="99"/>
    <w:semiHidden/>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64961210">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JKAM%20CSU\PUBLIKACE\PUBLIKACE\2020\Q-makro\Trh%20pr&#225;ce\Grafy-trh%20pr&#225;ce-rok-2020-1q.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JKAM%20CSU\PUBLIKACE\PUBLIKACE\2020\Q-makro\Trh%20pr&#225;ce\Grafy-trh%20pr&#225;ce-rok-2020-1q.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Q-marko-1q-2020\Trh%20pr&#225;ce\Grafy-trh%20pr&#225;ce-rok-2020-1q.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3488731014312048E-2"/>
          <c:y val="1.6549886621315374E-2"/>
          <c:w val="0.83420125451377358"/>
          <c:h val="0.66787933814436218"/>
        </c:manualLayout>
      </c:layout>
      <c:barChart>
        <c:barDir val="col"/>
        <c:grouping val="stacked"/>
        <c:varyColors val="0"/>
        <c:ser>
          <c:idx val="0"/>
          <c:order val="0"/>
          <c:tx>
            <c:strRef>
              <c:f>'Trh práce 1'!$AC$7</c:f>
              <c:strCache>
                <c:ptCount val="1"/>
                <c:pt idx="0">
                  <c:v>Zemědělství, lesnictví a rybářství</c:v>
                </c:pt>
              </c:strCache>
            </c:strRef>
          </c:tx>
          <c:spPr>
            <a:solidFill>
              <a:srgbClr val="7DBB2D"/>
            </a:solidFill>
            <a:ln>
              <a:noFill/>
            </a:ln>
          </c:spPr>
          <c:invertIfNegative val="0"/>
          <c:cat>
            <c:multiLvlStrRef>
              <c:f>'Trh práce 1'!$AA$16:$AB$48</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2012</c:v>
                  </c:pt>
                  <c:pt idx="4">
                    <c:v>2013</c:v>
                  </c:pt>
                  <c:pt idx="8">
                    <c:v>2014</c:v>
                  </c:pt>
                  <c:pt idx="12">
                    <c:v>2015</c:v>
                  </c:pt>
                  <c:pt idx="16">
                    <c:v>2016</c:v>
                  </c:pt>
                  <c:pt idx="20">
                    <c:v>2017</c:v>
                  </c:pt>
                  <c:pt idx="24">
                    <c:v>2018</c:v>
                  </c:pt>
                  <c:pt idx="28">
                    <c:v>2019</c:v>
                  </c:pt>
                  <c:pt idx="32">
                    <c:v>2020</c:v>
                  </c:pt>
                </c:lvl>
              </c:multiLvlStrCache>
            </c:multiLvlStrRef>
          </c:cat>
          <c:val>
            <c:numRef>
              <c:f>'Trh práce 1'!$AC$16:$AC$48</c:f>
              <c:numCache>
                <c:formatCode>#\ ##0.0</c:formatCode>
                <c:ptCount val="33"/>
                <c:pt idx="0">
                  <c:v>2.8804620165849455E-2</c:v>
                </c:pt>
                <c:pt idx="1">
                  <c:v>3.177048919427123E-2</c:v>
                </c:pt>
                <c:pt idx="2">
                  <c:v>6.237877948427753E-2</c:v>
                </c:pt>
                <c:pt idx="3">
                  <c:v>7.8876524967668338E-2</c:v>
                </c:pt>
                <c:pt idx="4">
                  <c:v>3.4897043795591033E-2</c:v>
                </c:pt>
                <c:pt idx="5">
                  <c:v>7.6139985329269341E-2</c:v>
                </c:pt>
                <c:pt idx="6">
                  <c:v>1.9508115947107659E-2</c:v>
                </c:pt>
                <c:pt idx="7">
                  <c:v>9.8416227024961307E-4</c:v>
                </c:pt>
                <c:pt idx="8">
                  <c:v>-9.957760523367349E-3</c:v>
                </c:pt>
                <c:pt idx="9">
                  <c:v>-7.2593422082177228E-2</c:v>
                </c:pt>
                <c:pt idx="10">
                  <c:v>-3.1543675502894435E-2</c:v>
                </c:pt>
                <c:pt idx="11">
                  <c:v>-7.4973080531714953E-3</c:v>
                </c:pt>
                <c:pt idx="12">
                  <c:v>-2.5406394237287376E-2</c:v>
                </c:pt>
                <c:pt idx="13">
                  <c:v>-3.2519642707587761E-2</c:v>
                </c:pt>
                <c:pt idx="14">
                  <c:v>-4.2746377552347073E-2</c:v>
                </c:pt>
                <c:pt idx="15">
                  <c:v>-7.6345605918714074E-2</c:v>
                </c:pt>
                <c:pt idx="16">
                  <c:v>-0.12683499341762042</c:v>
                </c:pt>
                <c:pt idx="17">
                  <c:v>-5.8796404821536856E-2</c:v>
                </c:pt>
                <c:pt idx="18">
                  <c:v>-5.7660818239794312E-2</c:v>
                </c:pt>
                <c:pt idx="19">
                  <c:v>5.9750731023664044E-2</c:v>
                </c:pt>
                <c:pt idx="20">
                  <c:v>0.10980047025694589</c:v>
                </c:pt>
                <c:pt idx="21">
                  <c:v>3.9673148008215947E-2</c:v>
                </c:pt>
                <c:pt idx="22">
                  <c:v>4.4749740495190864E-2</c:v>
                </c:pt>
                <c:pt idx="23">
                  <c:v>-8.0513245505165226E-2</c:v>
                </c:pt>
                <c:pt idx="24">
                  <c:v>-4.9594408084622732E-2</c:v>
                </c:pt>
                <c:pt idx="25">
                  <c:v>-3.6268874254650578E-2</c:v>
                </c:pt>
                <c:pt idx="26">
                  <c:v>-3.4145790790807366E-2</c:v>
                </c:pt>
                <c:pt idx="27">
                  <c:v>8.1553326472674614E-3</c:v>
                </c:pt>
                <c:pt idx="28">
                  <c:v>1.998992344675227E-2</c:v>
                </c:pt>
                <c:pt idx="29">
                  <c:v>-3.1167959337801001E-2</c:v>
                </c:pt>
                <c:pt idx="30">
                  <c:v>-6.7747190069060145E-2</c:v>
                </c:pt>
                <c:pt idx="31">
                  <c:v>-9.3795432163190626E-2</c:v>
                </c:pt>
                <c:pt idx="32">
                  <c:v>-0.12384091273387679</c:v>
                </c:pt>
              </c:numCache>
            </c:numRef>
          </c:val>
          <c:extLst>
            <c:ext xmlns:c16="http://schemas.microsoft.com/office/drawing/2014/chart" uri="{C3380CC4-5D6E-409C-BE32-E72D297353CC}">
              <c16:uniqueId val="{00000000-1159-41E8-ABC0-81D00ADC3504}"/>
            </c:ext>
          </c:extLst>
        </c:ser>
        <c:ser>
          <c:idx val="1"/>
          <c:order val="1"/>
          <c:tx>
            <c:strRef>
              <c:f>'Trh práce 1'!$AD$7</c:f>
              <c:strCache>
                <c:ptCount val="1"/>
                <c:pt idx="0">
                  <c:v>Zpracovatelský průmysl</c:v>
                </c:pt>
              </c:strCache>
            </c:strRef>
          </c:tx>
          <c:spPr>
            <a:solidFill>
              <a:srgbClr val="A6CDE8"/>
            </a:solidFill>
            <a:ln>
              <a:noFill/>
            </a:ln>
          </c:spPr>
          <c:invertIfNegative val="0"/>
          <c:cat>
            <c:multiLvlStrRef>
              <c:f>'Trh práce 1'!$AA$16:$AB$48</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2012</c:v>
                  </c:pt>
                  <c:pt idx="4">
                    <c:v>2013</c:v>
                  </c:pt>
                  <c:pt idx="8">
                    <c:v>2014</c:v>
                  </c:pt>
                  <c:pt idx="12">
                    <c:v>2015</c:v>
                  </c:pt>
                  <c:pt idx="16">
                    <c:v>2016</c:v>
                  </c:pt>
                  <c:pt idx="20">
                    <c:v>2017</c:v>
                  </c:pt>
                  <c:pt idx="24">
                    <c:v>2018</c:v>
                  </c:pt>
                  <c:pt idx="28">
                    <c:v>2019</c:v>
                  </c:pt>
                  <c:pt idx="32">
                    <c:v>2020</c:v>
                  </c:pt>
                </c:lvl>
              </c:multiLvlStrCache>
            </c:multiLvlStrRef>
          </c:cat>
          <c:val>
            <c:numRef>
              <c:f>'Trh práce 1'!$AD$16:$AD$48</c:f>
              <c:numCache>
                <c:formatCode>#\ ##0.0</c:formatCode>
                <c:ptCount val="33"/>
                <c:pt idx="0">
                  <c:v>0.15618372903976085</c:v>
                </c:pt>
                <c:pt idx="1">
                  <c:v>0.13240673035543943</c:v>
                </c:pt>
                <c:pt idx="2">
                  <c:v>0.31011051427221831</c:v>
                </c:pt>
                <c:pt idx="3">
                  <c:v>0.41899305405892623</c:v>
                </c:pt>
                <c:pt idx="4">
                  <c:v>-4.4405396456619534E-2</c:v>
                </c:pt>
                <c:pt idx="5">
                  <c:v>4.3158507126686806E-2</c:v>
                </c:pt>
                <c:pt idx="6">
                  <c:v>-0.10553280483596787</c:v>
                </c:pt>
                <c:pt idx="7">
                  <c:v>-5.7317610619337468E-2</c:v>
                </c:pt>
                <c:pt idx="8">
                  <c:v>0.20769043377309043</c:v>
                </c:pt>
                <c:pt idx="9">
                  <c:v>0.19941112781211218</c:v>
                </c:pt>
                <c:pt idx="10">
                  <c:v>0.39457126264967202</c:v>
                </c:pt>
                <c:pt idx="11">
                  <c:v>0.53106915941992727</c:v>
                </c:pt>
                <c:pt idx="12">
                  <c:v>0.90470735488586451</c:v>
                </c:pt>
                <c:pt idx="13">
                  <c:v>0.96187925091846294</c:v>
                </c:pt>
                <c:pt idx="14">
                  <c:v>0.80659111223260493</c:v>
                </c:pt>
                <c:pt idx="15">
                  <c:v>0.97639755522586114</c:v>
                </c:pt>
                <c:pt idx="16">
                  <c:v>0.88338166621127856</c:v>
                </c:pt>
                <c:pt idx="17">
                  <c:v>0.66590302024601555</c:v>
                </c:pt>
                <c:pt idx="18">
                  <c:v>0.72234156147423934</c:v>
                </c:pt>
                <c:pt idx="19">
                  <c:v>0.58981738346396817</c:v>
                </c:pt>
                <c:pt idx="20">
                  <c:v>0.19983341803764565</c:v>
                </c:pt>
                <c:pt idx="21">
                  <c:v>0.32012257424933233</c:v>
                </c:pt>
                <c:pt idx="22">
                  <c:v>0.43319496242521982</c:v>
                </c:pt>
                <c:pt idx="23">
                  <c:v>0.42405404961421206</c:v>
                </c:pt>
                <c:pt idx="24">
                  <c:v>0.458169516510046</c:v>
                </c:pt>
                <c:pt idx="25">
                  <c:v>0.37335936790891328</c:v>
                </c:pt>
                <c:pt idx="26">
                  <c:v>0.19923035052246851</c:v>
                </c:pt>
                <c:pt idx="27">
                  <c:v>0.17982694682034051</c:v>
                </c:pt>
                <c:pt idx="28">
                  <c:v>0.26239092464892816</c:v>
                </c:pt>
                <c:pt idx="29">
                  <c:v>0.1448849044720501</c:v>
                </c:pt>
                <c:pt idx="30">
                  <c:v>-6.9795103494350363E-2</c:v>
                </c:pt>
                <c:pt idx="31">
                  <c:v>-0.47627849151571522</c:v>
                </c:pt>
                <c:pt idx="32">
                  <c:v>-0.68134459612272991</c:v>
                </c:pt>
              </c:numCache>
            </c:numRef>
          </c:val>
          <c:extLst>
            <c:ext xmlns:c16="http://schemas.microsoft.com/office/drawing/2014/chart" uri="{C3380CC4-5D6E-409C-BE32-E72D297353CC}">
              <c16:uniqueId val="{00000001-1159-41E8-ABC0-81D00ADC3504}"/>
            </c:ext>
          </c:extLst>
        </c:ser>
        <c:ser>
          <c:idx val="2"/>
          <c:order val="2"/>
          <c:tx>
            <c:strRef>
              <c:f>'Trh práce 1'!$AE$7</c:f>
              <c:strCache>
                <c:ptCount val="1"/>
                <c:pt idx="0">
                  <c:v>Stavebnictví</c:v>
                </c:pt>
              </c:strCache>
            </c:strRef>
          </c:tx>
          <c:spPr>
            <a:solidFill>
              <a:srgbClr val="48AEE7"/>
            </a:solidFill>
            <a:ln w="19050">
              <a:noFill/>
            </a:ln>
          </c:spPr>
          <c:invertIfNegative val="0"/>
          <c:cat>
            <c:multiLvlStrRef>
              <c:f>'Trh práce 1'!$AA$16:$AB$48</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2012</c:v>
                  </c:pt>
                  <c:pt idx="4">
                    <c:v>2013</c:v>
                  </c:pt>
                  <c:pt idx="8">
                    <c:v>2014</c:v>
                  </c:pt>
                  <c:pt idx="12">
                    <c:v>2015</c:v>
                  </c:pt>
                  <c:pt idx="16">
                    <c:v>2016</c:v>
                  </c:pt>
                  <c:pt idx="20">
                    <c:v>2017</c:v>
                  </c:pt>
                  <c:pt idx="24">
                    <c:v>2018</c:v>
                  </c:pt>
                  <c:pt idx="28">
                    <c:v>2019</c:v>
                  </c:pt>
                  <c:pt idx="32">
                    <c:v>2020</c:v>
                  </c:pt>
                </c:lvl>
              </c:multiLvlStrCache>
            </c:multiLvlStrRef>
          </c:cat>
          <c:val>
            <c:numRef>
              <c:f>'Trh práce 1'!$AE$16:$AE$48</c:f>
              <c:numCache>
                <c:formatCode>#\ ##0.0</c:formatCode>
                <c:ptCount val="33"/>
                <c:pt idx="0">
                  <c:v>-8.5917913180643249E-2</c:v>
                </c:pt>
                <c:pt idx="1">
                  <c:v>-5.8137026020918761E-2</c:v>
                </c:pt>
                <c:pt idx="2">
                  <c:v>-0.1483774780108863</c:v>
                </c:pt>
                <c:pt idx="3">
                  <c:v>-0.16295719235324882</c:v>
                </c:pt>
                <c:pt idx="4">
                  <c:v>-0.2112283521210945</c:v>
                </c:pt>
                <c:pt idx="5">
                  <c:v>-0.32386665444105767</c:v>
                </c:pt>
                <c:pt idx="6">
                  <c:v>-0.19405752472914969</c:v>
                </c:pt>
                <c:pt idx="7">
                  <c:v>-9.30623842748034E-2</c:v>
                </c:pt>
                <c:pt idx="8">
                  <c:v>-0.43150295601258509</c:v>
                </c:pt>
                <c:pt idx="9">
                  <c:v>-0.30664293593782627</c:v>
                </c:pt>
                <c:pt idx="10">
                  <c:v>-0.36558411945062813</c:v>
                </c:pt>
                <c:pt idx="11">
                  <c:v>-0.44482059984761591</c:v>
                </c:pt>
                <c:pt idx="12">
                  <c:v>-9.9424868399593299E-3</c:v>
                </c:pt>
                <c:pt idx="13">
                  <c:v>-3.353955912543732E-3</c:v>
                </c:pt>
                <c:pt idx="14">
                  <c:v>-5.6760622044817514E-2</c:v>
                </c:pt>
                <c:pt idx="15">
                  <c:v>-7.885928207070847E-2</c:v>
                </c:pt>
                <c:pt idx="16">
                  <c:v>-0.17401000397426594</c:v>
                </c:pt>
                <c:pt idx="17">
                  <c:v>-0.19657276720170863</c:v>
                </c:pt>
                <c:pt idx="18">
                  <c:v>-9.6037081884339681E-2</c:v>
                </c:pt>
                <c:pt idx="19">
                  <c:v>-6.2672903197279528E-2</c:v>
                </c:pt>
                <c:pt idx="20">
                  <c:v>-3.5906224401297321E-3</c:v>
                </c:pt>
                <c:pt idx="21">
                  <c:v>3.1746122268193882E-3</c:v>
                </c:pt>
                <c:pt idx="22">
                  <c:v>5.6715927469711346E-2</c:v>
                </c:pt>
                <c:pt idx="23">
                  <c:v>-8.3930904378625562E-2</c:v>
                </c:pt>
                <c:pt idx="24">
                  <c:v>9.0907396982439395E-2</c:v>
                </c:pt>
                <c:pt idx="25">
                  <c:v>3.6175107775191812E-2</c:v>
                </c:pt>
                <c:pt idx="26">
                  <c:v>3.0662286765776824E-2</c:v>
                </c:pt>
                <c:pt idx="27">
                  <c:v>0.1033567386415107</c:v>
                </c:pt>
                <c:pt idx="28">
                  <c:v>6.199101491882452E-2</c:v>
                </c:pt>
                <c:pt idx="29">
                  <c:v>9.138298137207336E-2</c:v>
                </c:pt>
                <c:pt idx="30">
                  <c:v>0.11484919885073513</c:v>
                </c:pt>
                <c:pt idx="31">
                  <c:v>0.1802343598429938</c:v>
                </c:pt>
                <c:pt idx="32">
                  <c:v>0.24109454287552609</c:v>
                </c:pt>
              </c:numCache>
            </c:numRef>
          </c:val>
          <c:extLst>
            <c:ext xmlns:c16="http://schemas.microsoft.com/office/drawing/2014/chart" uri="{C3380CC4-5D6E-409C-BE32-E72D297353CC}">
              <c16:uniqueId val="{00000002-1159-41E8-ABC0-81D00ADC3504}"/>
            </c:ext>
          </c:extLst>
        </c:ser>
        <c:ser>
          <c:idx val="3"/>
          <c:order val="3"/>
          <c:tx>
            <c:strRef>
              <c:f>'Trh práce 1'!$AF$7</c:f>
              <c:strCache>
                <c:ptCount val="1"/>
                <c:pt idx="0">
                  <c:v>Obchod, doprava, ubytování a pohost.</c:v>
                </c:pt>
              </c:strCache>
            </c:strRef>
          </c:tx>
          <c:spPr>
            <a:solidFill>
              <a:srgbClr val="FDDEB3"/>
            </a:solidFill>
            <a:ln w="19050">
              <a:noFill/>
            </a:ln>
          </c:spPr>
          <c:invertIfNegative val="0"/>
          <c:cat>
            <c:multiLvlStrRef>
              <c:f>'Trh práce 1'!$AA$16:$AB$48</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2012</c:v>
                  </c:pt>
                  <c:pt idx="4">
                    <c:v>2013</c:v>
                  </c:pt>
                  <c:pt idx="8">
                    <c:v>2014</c:v>
                  </c:pt>
                  <c:pt idx="12">
                    <c:v>2015</c:v>
                  </c:pt>
                  <c:pt idx="16">
                    <c:v>2016</c:v>
                  </c:pt>
                  <c:pt idx="20">
                    <c:v>2017</c:v>
                  </c:pt>
                  <c:pt idx="24">
                    <c:v>2018</c:v>
                  </c:pt>
                  <c:pt idx="28">
                    <c:v>2019</c:v>
                  </c:pt>
                  <c:pt idx="32">
                    <c:v>2020</c:v>
                  </c:pt>
                </c:lvl>
              </c:multiLvlStrCache>
            </c:multiLvlStrRef>
          </c:cat>
          <c:val>
            <c:numRef>
              <c:f>'Trh práce 1'!$AF$16:$AF$48</c:f>
              <c:numCache>
                <c:formatCode>#\ ##0.0</c:formatCode>
                <c:ptCount val="33"/>
                <c:pt idx="0">
                  <c:v>-0.13386609977903038</c:v>
                </c:pt>
                <c:pt idx="1">
                  <c:v>-9.5588593345255934E-2</c:v>
                </c:pt>
                <c:pt idx="2">
                  <c:v>-9.2577400810211111E-2</c:v>
                </c:pt>
                <c:pt idx="3">
                  <c:v>-0.19122243914977163</c:v>
                </c:pt>
                <c:pt idx="4">
                  <c:v>0.21176431354457628</c:v>
                </c:pt>
                <c:pt idx="5">
                  <c:v>0.1456797227737798</c:v>
                </c:pt>
                <c:pt idx="6">
                  <c:v>1.7303364195265018E-2</c:v>
                </c:pt>
                <c:pt idx="7">
                  <c:v>2.2222384062236263E-2</c:v>
                </c:pt>
                <c:pt idx="8">
                  <c:v>-7.053413704051871E-2</c:v>
                </c:pt>
                <c:pt idx="9">
                  <c:v>-0.25891457624497549</c:v>
                </c:pt>
                <c:pt idx="10">
                  <c:v>-0.1085542947481155</c:v>
                </c:pt>
                <c:pt idx="11">
                  <c:v>0.17354005176094336</c:v>
                </c:pt>
                <c:pt idx="12">
                  <c:v>0.11952598309777195</c:v>
                </c:pt>
                <c:pt idx="13">
                  <c:v>0.37489773866877718</c:v>
                </c:pt>
                <c:pt idx="14">
                  <c:v>0.24119355235297801</c:v>
                </c:pt>
                <c:pt idx="15">
                  <c:v>7.7144526246092138E-2</c:v>
                </c:pt>
                <c:pt idx="16">
                  <c:v>0.14837520802801801</c:v>
                </c:pt>
                <c:pt idx="17">
                  <c:v>0.19616793949638001</c:v>
                </c:pt>
                <c:pt idx="18">
                  <c:v>1.7240391808152546E-2</c:v>
                </c:pt>
                <c:pt idx="19">
                  <c:v>6.7594456331789829E-2</c:v>
                </c:pt>
                <c:pt idx="20">
                  <c:v>0.34445146653053038</c:v>
                </c:pt>
                <c:pt idx="21">
                  <c:v>0.15720983901674454</c:v>
                </c:pt>
                <c:pt idx="22">
                  <c:v>0.4899108898949312</c:v>
                </c:pt>
                <c:pt idx="23">
                  <c:v>0.35079152790688539</c:v>
                </c:pt>
                <c:pt idx="24">
                  <c:v>0.23711208844405207</c:v>
                </c:pt>
                <c:pt idx="25">
                  <c:v>0.4946556857367726</c:v>
                </c:pt>
                <c:pt idx="26">
                  <c:v>0.32977792382414767</c:v>
                </c:pt>
                <c:pt idx="27">
                  <c:v>0.3623723378564368</c:v>
                </c:pt>
                <c:pt idx="28">
                  <c:v>0.42364544625649564</c:v>
                </c:pt>
                <c:pt idx="29">
                  <c:v>0.10943826669261016</c:v>
                </c:pt>
                <c:pt idx="30">
                  <c:v>-6.5108887187830408E-2</c:v>
                </c:pt>
                <c:pt idx="31">
                  <c:v>-0.13120325746121608</c:v>
                </c:pt>
                <c:pt idx="32">
                  <c:v>-0.30832142133064777</c:v>
                </c:pt>
              </c:numCache>
            </c:numRef>
          </c:val>
          <c:extLst>
            <c:ext xmlns:c16="http://schemas.microsoft.com/office/drawing/2014/chart" uri="{C3380CC4-5D6E-409C-BE32-E72D297353CC}">
              <c16:uniqueId val="{00000003-1159-41E8-ABC0-81D00ADC3504}"/>
            </c:ext>
          </c:extLst>
        </c:ser>
        <c:ser>
          <c:idx val="4"/>
          <c:order val="4"/>
          <c:tx>
            <c:strRef>
              <c:f>'Trh práce 1'!$AG$7</c:f>
              <c:strCache>
                <c:ptCount val="1"/>
                <c:pt idx="0">
                  <c:v>Informační a komunikač. čin.</c:v>
                </c:pt>
              </c:strCache>
            </c:strRef>
          </c:tx>
          <c:spPr>
            <a:solidFill>
              <a:srgbClr val="F8A124"/>
            </a:solidFill>
            <a:ln w="19050">
              <a:noFill/>
            </a:ln>
          </c:spPr>
          <c:invertIfNegative val="0"/>
          <c:cat>
            <c:multiLvlStrRef>
              <c:f>'Trh práce 1'!$AA$16:$AB$48</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2012</c:v>
                  </c:pt>
                  <c:pt idx="4">
                    <c:v>2013</c:v>
                  </c:pt>
                  <c:pt idx="8">
                    <c:v>2014</c:v>
                  </c:pt>
                  <c:pt idx="12">
                    <c:v>2015</c:v>
                  </c:pt>
                  <c:pt idx="16">
                    <c:v>2016</c:v>
                  </c:pt>
                  <c:pt idx="20">
                    <c:v>2017</c:v>
                  </c:pt>
                  <c:pt idx="24">
                    <c:v>2018</c:v>
                  </c:pt>
                  <c:pt idx="28">
                    <c:v>2019</c:v>
                  </c:pt>
                  <c:pt idx="32">
                    <c:v>2020</c:v>
                  </c:pt>
                </c:lvl>
              </c:multiLvlStrCache>
            </c:multiLvlStrRef>
          </c:cat>
          <c:val>
            <c:numRef>
              <c:f>'Trh práce 1'!$AG$16:$AG$48</c:f>
              <c:numCache>
                <c:formatCode>#\ ##0.0</c:formatCode>
                <c:ptCount val="33"/>
                <c:pt idx="0">
                  <c:v>2.0452867349167209E-2</c:v>
                </c:pt>
                <c:pt idx="1">
                  <c:v>3.5175177132847339E-2</c:v>
                </c:pt>
                <c:pt idx="2">
                  <c:v>5.3501494475079202E-2</c:v>
                </c:pt>
                <c:pt idx="3">
                  <c:v>7.2421004792777327E-2</c:v>
                </c:pt>
                <c:pt idx="4">
                  <c:v>4.0772769030798621E-2</c:v>
                </c:pt>
                <c:pt idx="5">
                  <c:v>7.3946489774753668E-2</c:v>
                </c:pt>
                <c:pt idx="6">
                  <c:v>3.1102747927780131E-2</c:v>
                </c:pt>
                <c:pt idx="7">
                  <c:v>3.2260839218782318E-2</c:v>
                </c:pt>
                <c:pt idx="8">
                  <c:v>0.10151383644655047</c:v>
                </c:pt>
                <c:pt idx="9">
                  <c:v>6.5783495760869989E-2</c:v>
                </c:pt>
                <c:pt idx="10">
                  <c:v>8.4444228559494197E-2</c:v>
                </c:pt>
                <c:pt idx="11">
                  <c:v>8.3631389044563922E-2</c:v>
                </c:pt>
                <c:pt idx="12">
                  <c:v>8.1544111434449038E-3</c:v>
                </c:pt>
                <c:pt idx="13">
                  <c:v>5.1741144428598618E-2</c:v>
                </c:pt>
                <c:pt idx="14">
                  <c:v>7.441036092445602E-2</c:v>
                </c:pt>
                <c:pt idx="15">
                  <c:v>0.1002157864318393</c:v>
                </c:pt>
                <c:pt idx="16">
                  <c:v>0.13486891129933629</c:v>
                </c:pt>
                <c:pt idx="17">
                  <c:v>0.11759280964307371</c:v>
                </c:pt>
                <c:pt idx="18">
                  <c:v>0.14031441923503124</c:v>
                </c:pt>
                <c:pt idx="19">
                  <c:v>0.17559947785397279</c:v>
                </c:pt>
                <c:pt idx="20">
                  <c:v>9.0644117557743126E-2</c:v>
                </c:pt>
                <c:pt idx="21">
                  <c:v>7.406161218975052E-2</c:v>
                </c:pt>
                <c:pt idx="22">
                  <c:v>8.9214571776702667E-2</c:v>
                </c:pt>
                <c:pt idx="23">
                  <c:v>6.8674173054007012E-2</c:v>
                </c:pt>
                <c:pt idx="24">
                  <c:v>9.412585762094812E-2</c:v>
                </c:pt>
                <c:pt idx="25">
                  <c:v>0.10668750032818362</c:v>
                </c:pt>
                <c:pt idx="26">
                  <c:v>0.10715034840628693</c:v>
                </c:pt>
                <c:pt idx="27">
                  <c:v>0.13284999643436834</c:v>
                </c:pt>
                <c:pt idx="28">
                  <c:v>0.14821842125221787</c:v>
                </c:pt>
                <c:pt idx="29">
                  <c:v>8.0206778201240558E-2</c:v>
                </c:pt>
                <c:pt idx="30">
                  <c:v>0.13577112519559195</c:v>
                </c:pt>
                <c:pt idx="31">
                  <c:v>0.15148881857415711</c:v>
                </c:pt>
                <c:pt idx="32">
                  <c:v>0.13503929314066354</c:v>
                </c:pt>
              </c:numCache>
            </c:numRef>
          </c:val>
          <c:extLst>
            <c:ext xmlns:c16="http://schemas.microsoft.com/office/drawing/2014/chart" uri="{C3380CC4-5D6E-409C-BE32-E72D297353CC}">
              <c16:uniqueId val="{00000004-1159-41E8-ABC0-81D00ADC3504}"/>
            </c:ext>
          </c:extLst>
        </c:ser>
        <c:ser>
          <c:idx val="5"/>
          <c:order val="5"/>
          <c:tx>
            <c:strRef>
              <c:f>'Trh práce 1'!$AH$7</c:f>
              <c:strCache>
                <c:ptCount val="1"/>
                <c:pt idx="0">
                  <c:v>Profesní, vědec., techn. a admin. čin.</c:v>
                </c:pt>
              </c:strCache>
            </c:strRef>
          </c:tx>
          <c:spPr>
            <a:solidFill>
              <a:srgbClr val="E8C0BE"/>
            </a:solidFill>
            <a:ln w="19050">
              <a:noFill/>
            </a:ln>
          </c:spPr>
          <c:invertIfNegative val="0"/>
          <c:cat>
            <c:multiLvlStrRef>
              <c:f>'Trh práce 1'!$AA$16:$AB$48</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2012</c:v>
                  </c:pt>
                  <c:pt idx="4">
                    <c:v>2013</c:v>
                  </c:pt>
                  <c:pt idx="8">
                    <c:v>2014</c:v>
                  </c:pt>
                  <c:pt idx="12">
                    <c:v>2015</c:v>
                  </c:pt>
                  <c:pt idx="16">
                    <c:v>2016</c:v>
                  </c:pt>
                  <c:pt idx="20">
                    <c:v>2017</c:v>
                  </c:pt>
                  <c:pt idx="24">
                    <c:v>2018</c:v>
                  </c:pt>
                  <c:pt idx="28">
                    <c:v>2019</c:v>
                  </c:pt>
                  <c:pt idx="32">
                    <c:v>2020</c:v>
                  </c:pt>
                </c:lvl>
              </c:multiLvlStrCache>
            </c:multiLvlStrRef>
          </c:cat>
          <c:val>
            <c:numRef>
              <c:f>'Trh práce 1'!$AH$16:$AH$48</c:f>
              <c:numCache>
                <c:formatCode>#\ ##0.0</c:formatCode>
                <c:ptCount val="33"/>
                <c:pt idx="0">
                  <c:v>0.11845205716961922</c:v>
                </c:pt>
                <c:pt idx="1">
                  <c:v>0.13220878338226641</c:v>
                </c:pt>
                <c:pt idx="2">
                  <c:v>0.20877472066275349</c:v>
                </c:pt>
                <c:pt idx="3">
                  <c:v>0.25063308789776856</c:v>
                </c:pt>
                <c:pt idx="4">
                  <c:v>4.9745160268345343E-2</c:v>
                </c:pt>
                <c:pt idx="5">
                  <c:v>0.1597497122766191</c:v>
                </c:pt>
                <c:pt idx="6">
                  <c:v>0.21476644296967162</c:v>
                </c:pt>
                <c:pt idx="7">
                  <c:v>0.19659625510506271</c:v>
                </c:pt>
                <c:pt idx="8">
                  <c:v>0.32279740363249154</c:v>
                </c:pt>
                <c:pt idx="9">
                  <c:v>0.2331663822001481</c:v>
                </c:pt>
                <c:pt idx="10">
                  <c:v>0.12619436764468428</c:v>
                </c:pt>
                <c:pt idx="11">
                  <c:v>7.9184166944782405E-2</c:v>
                </c:pt>
                <c:pt idx="12">
                  <c:v>0.1111161325691107</c:v>
                </c:pt>
                <c:pt idx="13">
                  <c:v>0.1162900854121157</c:v>
                </c:pt>
                <c:pt idx="14">
                  <c:v>0.22348517646709484</c:v>
                </c:pt>
                <c:pt idx="15">
                  <c:v>0.33878119053158823</c:v>
                </c:pt>
                <c:pt idx="16">
                  <c:v>0.28107069226756642</c:v>
                </c:pt>
                <c:pt idx="17">
                  <c:v>0.26149942013250738</c:v>
                </c:pt>
                <c:pt idx="18">
                  <c:v>0.25212626677828454</c:v>
                </c:pt>
                <c:pt idx="19">
                  <c:v>0.25247952076376445</c:v>
                </c:pt>
                <c:pt idx="20">
                  <c:v>0.21874148301492455</c:v>
                </c:pt>
                <c:pt idx="21">
                  <c:v>0.15224831930896096</c:v>
                </c:pt>
                <c:pt idx="22">
                  <c:v>9.899645477968369E-2</c:v>
                </c:pt>
                <c:pt idx="23">
                  <c:v>-3.5385042700909856E-2</c:v>
                </c:pt>
                <c:pt idx="24">
                  <c:v>0.34514696601738587</c:v>
                </c:pt>
                <c:pt idx="25">
                  <c:v>0.34022229406818549</c:v>
                </c:pt>
                <c:pt idx="26">
                  <c:v>0.27519681797741252</c:v>
                </c:pt>
                <c:pt idx="27">
                  <c:v>0.4022366465272123</c:v>
                </c:pt>
                <c:pt idx="28">
                  <c:v>2.3809890264962812E-2</c:v>
                </c:pt>
                <c:pt idx="29">
                  <c:v>2.5819611285752314E-3</c:v>
                </c:pt>
                <c:pt idx="30">
                  <c:v>7.3798681992440251E-5</c:v>
                </c:pt>
                <c:pt idx="31">
                  <c:v>-0.17048699140250534</c:v>
                </c:pt>
                <c:pt idx="32">
                  <c:v>-0.24618138887730182</c:v>
                </c:pt>
              </c:numCache>
            </c:numRef>
          </c:val>
          <c:extLst>
            <c:ext xmlns:c16="http://schemas.microsoft.com/office/drawing/2014/chart" uri="{C3380CC4-5D6E-409C-BE32-E72D297353CC}">
              <c16:uniqueId val="{00000005-1159-41E8-ABC0-81D00ADC3504}"/>
            </c:ext>
          </c:extLst>
        </c:ser>
        <c:ser>
          <c:idx val="6"/>
          <c:order val="6"/>
          <c:tx>
            <c:strRef>
              <c:f>'Trh práce 1'!$AI$7</c:f>
              <c:strCache>
                <c:ptCount val="1"/>
                <c:pt idx="0">
                  <c:v>Veř.spr.,obrana, vzděl.,zdrav.a soc.péče</c:v>
                </c:pt>
              </c:strCache>
            </c:strRef>
          </c:tx>
          <c:spPr>
            <a:solidFill>
              <a:srgbClr val="D58D8B"/>
            </a:solidFill>
            <a:ln>
              <a:noFill/>
            </a:ln>
          </c:spPr>
          <c:invertIfNegative val="0"/>
          <c:cat>
            <c:multiLvlStrRef>
              <c:f>'Trh práce 1'!$AA$16:$AB$48</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2012</c:v>
                  </c:pt>
                  <c:pt idx="4">
                    <c:v>2013</c:v>
                  </c:pt>
                  <c:pt idx="8">
                    <c:v>2014</c:v>
                  </c:pt>
                  <c:pt idx="12">
                    <c:v>2015</c:v>
                  </c:pt>
                  <c:pt idx="16">
                    <c:v>2016</c:v>
                  </c:pt>
                  <c:pt idx="20">
                    <c:v>2017</c:v>
                  </c:pt>
                  <c:pt idx="24">
                    <c:v>2018</c:v>
                  </c:pt>
                  <c:pt idx="28">
                    <c:v>2019</c:v>
                  </c:pt>
                  <c:pt idx="32">
                    <c:v>2020</c:v>
                  </c:pt>
                </c:lvl>
              </c:multiLvlStrCache>
            </c:multiLvlStrRef>
          </c:cat>
          <c:val>
            <c:numRef>
              <c:f>'Trh práce 1'!$AI$16:$AI$48</c:f>
              <c:numCache>
                <c:formatCode>#\ ##0.0</c:formatCode>
                <c:ptCount val="33"/>
                <c:pt idx="0">
                  <c:v>-0.43655266623256417</c:v>
                </c:pt>
                <c:pt idx="1">
                  <c:v>-0.32948273684650758</c:v>
                </c:pt>
                <c:pt idx="2">
                  <c:v>-6.1942841381147244E-2</c:v>
                </c:pt>
                <c:pt idx="3">
                  <c:v>4.6658513510212274E-2</c:v>
                </c:pt>
                <c:pt idx="4">
                  <c:v>0.15564716746372542</c:v>
                </c:pt>
                <c:pt idx="5">
                  <c:v>0.36566163730412671</c:v>
                </c:pt>
                <c:pt idx="6">
                  <c:v>0.18966770650896297</c:v>
                </c:pt>
                <c:pt idx="7">
                  <c:v>0.15604876957077865</c:v>
                </c:pt>
                <c:pt idx="8">
                  <c:v>0.27053891834616883</c:v>
                </c:pt>
                <c:pt idx="9">
                  <c:v>0.15953282727926973</c:v>
                </c:pt>
                <c:pt idx="10">
                  <c:v>0.34979261606607437</c:v>
                </c:pt>
                <c:pt idx="11">
                  <c:v>0.3530031736636311</c:v>
                </c:pt>
                <c:pt idx="12">
                  <c:v>0.24091863862597104</c:v>
                </c:pt>
                <c:pt idx="13">
                  <c:v>0.23116797886105511</c:v>
                </c:pt>
                <c:pt idx="14">
                  <c:v>0.10859573556508476</c:v>
                </c:pt>
                <c:pt idx="15">
                  <c:v>0.11701259916842215</c:v>
                </c:pt>
                <c:pt idx="16">
                  <c:v>0.35147420452569472</c:v>
                </c:pt>
                <c:pt idx="17">
                  <c:v>0.3579255240398278</c:v>
                </c:pt>
                <c:pt idx="18">
                  <c:v>0.45544332587599407</c:v>
                </c:pt>
                <c:pt idx="19">
                  <c:v>0.56982357385502003</c:v>
                </c:pt>
                <c:pt idx="20">
                  <c:v>0.51153000432975859</c:v>
                </c:pt>
                <c:pt idx="21">
                  <c:v>0.56363624266583745</c:v>
                </c:pt>
                <c:pt idx="22">
                  <c:v>0.64341997422520825</c:v>
                </c:pt>
                <c:pt idx="23">
                  <c:v>0.65113010272047789</c:v>
                </c:pt>
                <c:pt idx="24">
                  <c:v>0.23568166149360376</c:v>
                </c:pt>
                <c:pt idx="25">
                  <c:v>0.26710319338624</c:v>
                </c:pt>
                <c:pt idx="26">
                  <c:v>0.15582626293786339</c:v>
                </c:pt>
                <c:pt idx="27">
                  <c:v>0.13238450941112251</c:v>
                </c:pt>
                <c:pt idx="28">
                  <c:v>0.45637477360669765</c:v>
                </c:pt>
                <c:pt idx="29">
                  <c:v>0.37051142195054565</c:v>
                </c:pt>
                <c:pt idx="30">
                  <c:v>0.43360415604658264</c:v>
                </c:pt>
                <c:pt idx="31">
                  <c:v>0.42853477741853035</c:v>
                </c:pt>
                <c:pt idx="32">
                  <c:v>0.4095825931789448</c:v>
                </c:pt>
              </c:numCache>
            </c:numRef>
          </c:val>
          <c:extLst>
            <c:ext xmlns:c16="http://schemas.microsoft.com/office/drawing/2014/chart" uri="{C3380CC4-5D6E-409C-BE32-E72D297353CC}">
              <c16:uniqueId val="{00000006-1159-41E8-ABC0-81D00ADC3504}"/>
            </c:ext>
          </c:extLst>
        </c:ser>
        <c:ser>
          <c:idx val="7"/>
          <c:order val="7"/>
          <c:tx>
            <c:strRef>
              <c:f>'Trh práce 1'!$AJ$7</c:f>
              <c:strCache>
                <c:ptCount val="1"/>
                <c:pt idx="0">
                  <c:v>Ostatní odvětví*</c:v>
                </c:pt>
              </c:strCache>
            </c:strRef>
          </c:tx>
          <c:spPr>
            <a:solidFill>
              <a:schemeClr val="bg1">
                <a:lumMod val="85000"/>
              </a:schemeClr>
            </a:solidFill>
            <a:ln>
              <a:noFill/>
            </a:ln>
          </c:spPr>
          <c:invertIfNegative val="0"/>
          <c:cat>
            <c:multiLvlStrRef>
              <c:f>'Trh práce 1'!$AA$16:$AB$48</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2012</c:v>
                  </c:pt>
                  <c:pt idx="4">
                    <c:v>2013</c:v>
                  </c:pt>
                  <c:pt idx="8">
                    <c:v>2014</c:v>
                  </c:pt>
                  <c:pt idx="12">
                    <c:v>2015</c:v>
                  </c:pt>
                  <c:pt idx="16">
                    <c:v>2016</c:v>
                  </c:pt>
                  <c:pt idx="20">
                    <c:v>2017</c:v>
                  </c:pt>
                  <c:pt idx="24">
                    <c:v>2018</c:v>
                  </c:pt>
                  <c:pt idx="28">
                    <c:v>2019</c:v>
                  </c:pt>
                  <c:pt idx="32">
                    <c:v>2020</c:v>
                  </c:pt>
                </c:lvl>
              </c:multiLvlStrCache>
            </c:multiLvlStrRef>
          </c:cat>
          <c:val>
            <c:numRef>
              <c:f>'Trh práce 1'!$AJ$16:$AJ$48</c:f>
              <c:numCache>
                <c:formatCode>#\ ##0.0</c:formatCode>
                <c:ptCount val="33"/>
                <c:pt idx="0">
                  <c:v>0.26931923097215715</c:v>
                </c:pt>
                <c:pt idx="1">
                  <c:v>0.32105019578933652</c:v>
                </c:pt>
                <c:pt idx="2">
                  <c:v>0.32895492954844063</c:v>
                </c:pt>
                <c:pt idx="3">
                  <c:v>0.4005401979282377</c:v>
                </c:pt>
                <c:pt idx="4">
                  <c:v>0.23332187302239876</c:v>
                </c:pt>
                <c:pt idx="5">
                  <c:v>0.15289256851610614</c:v>
                </c:pt>
                <c:pt idx="6">
                  <c:v>-7.2835548944801556E-2</c:v>
                </c:pt>
                <c:pt idx="7">
                  <c:v>-0.23094351833677418</c:v>
                </c:pt>
                <c:pt idx="8">
                  <c:v>0.16050961605523087</c:v>
                </c:pt>
                <c:pt idx="9">
                  <c:v>3.822978810924068E-2</c:v>
                </c:pt>
                <c:pt idx="10">
                  <c:v>0.16444402403690977</c:v>
                </c:pt>
                <c:pt idx="11">
                  <c:v>0.21779581504593729</c:v>
                </c:pt>
                <c:pt idx="12">
                  <c:v>-9.3844500291790034E-2</c:v>
                </c:pt>
                <c:pt idx="13">
                  <c:v>4.4248681512857657E-2</c:v>
                </c:pt>
                <c:pt idx="14">
                  <c:v>-7.6228108118039234E-4</c:v>
                </c:pt>
                <c:pt idx="15">
                  <c:v>-9.6493986857956113E-2</c:v>
                </c:pt>
                <c:pt idx="16">
                  <c:v>0.10669198191708645</c:v>
                </c:pt>
                <c:pt idx="17">
                  <c:v>6.5331480636127343E-2</c:v>
                </c:pt>
                <c:pt idx="18">
                  <c:v>9.622992743029217E-2</c:v>
                </c:pt>
                <c:pt idx="19">
                  <c:v>0.16268040087588326</c:v>
                </c:pt>
                <c:pt idx="20">
                  <c:v>3.7625139399231622E-3</c:v>
                </c:pt>
                <c:pt idx="21">
                  <c:v>5.6876884926009626E-2</c:v>
                </c:pt>
                <c:pt idx="22">
                  <c:v>0.10630912459744621</c:v>
                </c:pt>
                <c:pt idx="23">
                  <c:v>0.11559617471449846</c:v>
                </c:pt>
                <c:pt idx="24">
                  <c:v>8.6973722868706513E-2</c:v>
                </c:pt>
                <c:pt idx="25">
                  <c:v>0.10284307467037421</c:v>
                </c:pt>
                <c:pt idx="26">
                  <c:v>-9.5153682138267318E-2</c:v>
                </c:pt>
                <c:pt idx="27">
                  <c:v>-8.0268582288516049E-2</c:v>
                </c:pt>
                <c:pt idx="28">
                  <c:v>-5.4629234206059543E-2</c:v>
                </c:pt>
                <c:pt idx="29">
                  <c:v>1.8922086556558474E-2</c:v>
                </c:pt>
                <c:pt idx="30">
                  <c:v>0.10627010206911397</c:v>
                </c:pt>
                <c:pt idx="31">
                  <c:v>0.11327177778295903</c:v>
                </c:pt>
                <c:pt idx="32">
                  <c:v>0.10096840373308688</c:v>
                </c:pt>
              </c:numCache>
            </c:numRef>
          </c:val>
          <c:extLst>
            <c:ext xmlns:c16="http://schemas.microsoft.com/office/drawing/2014/chart" uri="{C3380CC4-5D6E-409C-BE32-E72D297353CC}">
              <c16:uniqueId val="{00000007-1159-41E8-ABC0-81D00ADC3504}"/>
            </c:ext>
          </c:extLst>
        </c:ser>
        <c:dLbls>
          <c:showLegendKey val="0"/>
          <c:showVal val="0"/>
          <c:showCatName val="0"/>
          <c:showSerName val="0"/>
          <c:showPercent val="0"/>
          <c:showBubbleSize val="0"/>
        </c:dLbls>
        <c:gapWidth val="47"/>
        <c:overlap val="100"/>
        <c:axId val="101898496"/>
        <c:axId val="101781504"/>
      </c:barChart>
      <c:lineChart>
        <c:grouping val="standard"/>
        <c:varyColors val="0"/>
        <c:ser>
          <c:idx val="8"/>
          <c:order val="8"/>
          <c:tx>
            <c:strRef>
              <c:f>'Trh práce 1'!$AK$7</c:f>
              <c:strCache>
                <c:ptCount val="1"/>
                <c:pt idx="0">
                  <c:v>Zaměstnanost celkem</c:v>
                </c:pt>
              </c:strCache>
            </c:strRef>
          </c:tx>
          <c:spPr>
            <a:ln w="22225">
              <a:solidFill>
                <a:schemeClr val="tx1">
                  <a:lumMod val="95000"/>
                  <a:lumOff val="5000"/>
                </a:schemeClr>
              </a:solidFill>
            </a:ln>
          </c:spPr>
          <c:marker>
            <c:symbol val="none"/>
          </c:marker>
          <c:cat>
            <c:multiLvlStrRef>
              <c:f>'Trh práce 1'!$AA$16:$AB$48</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2012</c:v>
                  </c:pt>
                  <c:pt idx="4">
                    <c:v>2013</c:v>
                  </c:pt>
                  <c:pt idx="8">
                    <c:v>2014</c:v>
                  </c:pt>
                  <c:pt idx="12">
                    <c:v>2015</c:v>
                  </c:pt>
                  <c:pt idx="16">
                    <c:v>2016</c:v>
                  </c:pt>
                  <c:pt idx="20">
                    <c:v>2017</c:v>
                  </c:pt>
                  <c:pt idx="24">
                    <c:v>2018</c:v>
                  </c:pt>
                  <c:pt idx="28">
                    <c:v>2019</c:v>
                  </c:pt>
                  <c:pt idx="32">
                    <c:v>2020</c:v>
                  </c:pt>
                </c:lvl>
              </c:multiLvlStrCache>
            </c:multiLvlStrRef>
          </c:cat>
          <c:val>
            <c:numRef>
              <c:f>'Trh práce 1'!$AK$16:$AK$48</c:f>
              <c:numCache>
                <c:formatCode>#\ ##0.0</c:formatCode>
                <c:ptCount val="33"/>
                <c:pt idx="0">
                  <c:v>-6.312417449568386E-2</c:v>
                </c:pt>
                <c:pt idx="1">
                  <c:v>0.16940301964147864</c:v>
                </c:pt>
                <c:pt idx="2">
                  <c:v>0.66082271824052441</c:v>
                </c:pt>
                <c:pt idx="3">
                  <c:v>0.91394275165257</c:v>
                </c:pt>
                <c:pt idx="4">
                  <c:v>0.47051457854772138</c:v>
                </c:pt>
                <c:pt idx="5">
                  <c:v>0.69336196866028388</c:v>
                </c:pt>
                <c:pt idx="6">
                  <c:v>9.9922499038868295E-2</c:v>
                </c:pt>
                <c:pt idx="7">
                  <c:v>2.6788896996194467E-2</c:v>
                </c:pt>
                <c:pt idx="8">
                  <c:v>0.5510553546770609</c:v>
                </c:pt>
                <c:pt idx="9">
                  <c:v>5.7972686896661685E-2</c:v>
                </c:pt>
                <c:pt idx="10">
                  <c:v>0.6137644092551966</c:v>
                </c:pt>
                <c:pt idx="11">
                  <c:v>0.98590584797899794</c:v>
                </c:pt>
                <c:pt idx="12">
                  <c:v>1.2552291389531263</c:v>
                </c:pt>
                <c:pt idx="13">
                  <c:v>1.7443512811817357</c:v>
                </c:pt>
                <c:pt idx="14">
                  <c:v>1.3540066568638736</c:v>
                </c:pt>
                <c:pt idx="15">
                  <c:v>1.3578527827564244</c:v>
                </c:pt>
                <c:pt idx="16">
                  <c:v>1.6050176668570941</c:v>
                </c:pt>
                <c:pt idx="17">
                  <c:v>1.4090510221706865</c:v>
                </c:pt>
                <c:pt idx="18">
                  <c:v>1.5299979924778597</c:v>
                </c:pt>
                <c:pt idx="19">
                  <c:v>1.8150726409707829</c:v>
                </c:pt>
                <c:pt idx="20">
                  <c:v>1.4751728512273417</c:v>
                </c:pt>
                <c:pt idx="21">
                  <c:v>1.3670032325916708</c:v>
                </c:pt>
                <c:pt idx="22">
                  <c:v>1.9625116456640939</c:v>
                </c:pt>
                <c:pt idx="23">
                  <c:v>1.4104168354253801</c:v>
                </c:pt>
                <c:pt idx="24">
                  <c:v>1.4985228018525589</c:v>
                </c:pt>
                <c:pt idx="25">
                  <c:v>1.6847773496192104</c:v>
                </c:pt>
                <c:pt idx="26">
                  <c:v>0.96854451750488124</c:v>
                </c:pt>
                <c:pt idx="27">
                  <c:v>1.2409139260497426</c:v>
                </c:pt>
                <c:pt idx="28">
                  <c:v>1.3417911601888193</c:v>
                </c:pt>
                <c:pt idx="29">
                  <c:v>0.78676044103585241</c:v>
                </c:pt>
                <c:pt idx="30">
                  <c:v>0.58791720009277526</c:v>
                </c:pt>
                <c:pt idx="31">
                  <c:v>1.7655610760130003E-3</c:v>
                </c:pt>
                <c:pt idx="32">
                  <c:v>-0.47300348613633503</c:v>
                </c:pt>
              </c:numCache>
            </c:numRef>
          </c:val>
          <c:smooth val="0"/>
          <c:extLst>
            <c:ext xmlns:c16="http://schemas.microsoft.com/office/drawing/2014/chart" uri="{C3380CC4-5D6E-409C-BE32-E72D297353CC}">
              <c16:uniqueId val="{00000008-1159-41E8-ABC0-81D00ADC3504}"/>
            </c:ext>
          </c:extLst>
        </c:ser>
        <c:dLbls>
          <c:showLegendKey val="0"/>
          <c:showVal val="0"/>
          <c:showCatName val="0"/>
          <c:showSerName val="0"/>
          <c:showPercent val="0"/>
          <c:showBubbleSize val="0"/>
        </c:dLbls>
        <c:marker val="1"/>
        <c:smooth val="0"/>
        <c:axId val="101898496"/>
        <c:axId val="101781504"/>
      </c:lineChart>
      <c:lineChart>
        <c:grouping val="standard"/>
        <c:varyColors val="0"/>
        <c:ser>
          <c:idx val="9"/>
          <c:order val="9"/>
          <c:tx>
            <c:strRef>
              <c:f>'Trh práce 1'!$AL$7</c:f>
              <c:strCache>
                <c:ptCount val="1"/>
              </c:strCache>
            </c:strRef>
          </c:tx>
          <c:spPr>
            <a:ln>
              <a:noFill/>
            </a:ln>
          </c:spPr>
          <c:marker>
            <c:symbol val="none"/>
          </c:marker>
          <c:cat>
            <c:multiLvlStrRef>
              <c:f>'Trh práce 1'!$AA$16:$AB$48</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2012</c:v>
                  </c:pt>
                  <c:pt idx="4">
                    <c:v>2013</c:v>
                  </c:pt>
                  <c:pt idx="8">
                    <c:v>2014</c:v>
                  </c:pt>
                  <c:pt idx="12">
                    <c:v>2015</c:v>
                  </c:pt>
                  <c:pt idx="16">
                    <c:v>2016</c:v>
                  </c:pt>
                  <c:pt idx="20">
                    <c:v>2017</c:v>
                  </c:pt>
                  <c:pt idx="24">
                    <c:v>2018</c:v>
                  </c:pt>
                  <c:pt idx="28">
                    <c:v>2019</c:v>
                  </c:pt>
                  <c:pt idx="32">
                    <c:v>2020</c:v>
                  </c:pt>
                </c:lvl>
              </c:multiLvlStrCache>
            </c:multiLvlStrRef>
          </c:cat>
          <c:val>
            <c:numRef>
              <c:f>'Trh práce 1'!$AL$16:$AL$48</c:f>
              <c:numCache>
                <c:formatCode>General</c:formatCode>
                <c:ptCount val="33"/>
              </c:numCache>
            </c:numRef>
          </c:val>
          <c:smooth val="0"/>
          <c:extLst>
            <c:ext xmlns:c16="http://schemas.microsoft.com/office/drawing/2014/chart" uri="{C3380CC4-5D6E-409C-BE32-E72D297353CC}">
              <c16:uniqueId val="{00000009-1159-41E8-ABC0-81D00ADC3504}"/>
            </c:ext>
          </c:extLst>
        </c:ser>
        <c:ser>
          <c:idx val="10"/>
          <c:order val="10"/>
          <c:tx>
            <c:strRef>
              <c:f>'Trh práce 1'!$AM$7</c:f>
              <c:strCache>
                <c:ptCount val="1"/>
                <c:pt idx="0">
                  <c:v>Očekávání zaměstnanosti (průmysl)</c:v>
                </c:pt>
              </c:strCache>
            </c:strRef>
          </c:tx>
          <c:spPr>
            <a:ln w="15875">
              <a:solidFill>
                <a:schemeClr val="tx1">
                  <a:lumMod val="95000"/>
                  <a:lumOff val="5000"/>
                </a:schemeClr>
              </a:solidFill>
              <a:prstDash val="sysDot"/>
            </a:ln>
          </c:spPr>
          <c:marker>
            <c:symbol val="none"/>
          </c:marker>
          <c:cat>
            <c:multiLvlStrRef>
              <c:f>'Trh práce 1'!$AA$16:$AB$48</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2012</c:v>
                  </c:pt>
                  <c:pt idx="4">
                    <c:v>2013</c:v>
                  </c:pt>
                  <c:pt idx="8">
                    <c:v>2014</c:v>
                  </c:pt>
                  <c:pt idx="12">
                    <c:v>2015</c:v>
                  </c:pt>
                  <c:pt idx="16">
                    <c:v>2016</c:v>
                  </c:pt>
                  <c:pt idx="20">
                    <c:v>2017</c:v>
                  </c:pt>
                  <c:pt idx="24">
                    <c:v>2018</c:v>
                  </c:pt>
                  <c:pt idx="28">
                    <c:v>2019</c:v>
                  </c:pt>
                  <c:pt idx="32">
                    <c:v>2020</c:v>
                  </c:pt>
                </c:lvl>
              </c:multiLvlStrCache>
            </c:multiLvlStrRef>
          </c:cat>
          <c:val>
            <c:numRef>
              <c:f>'Trh práce 1'!$AM$16:$AM$48</c:f>
              <c:numCache>
                <c:formatCode>General</c:formatCode>
                <c:ptCount val="33"/>
                <c:pt idx="0">
                  <c:v>0.6</c:v>
                </c:pt>
                <c:pt idx="1">
                  <c:v>-11.6</c:v>
                </c:pt>
                <c:pt idx="2">
                  <c:v>-16.100000000000001</c:v>
                </c:pt>
                <c:pt idx="3">
                  <c:v>-12.9</c:v>
                </c:pt>
                <c:pt idx="4">
                  <c:v>-11.6</c:v>
                </c:pt>
                <c:pt idx="5">
                  <c:v>-10.9</c:v>
                </c:pt>
                <c:pt idx="6">
                  <c:v>-8</c:v>
                </c:pt>
                <c:pt idx="7">
                  <c:v>2.6</c:v>
                </c:pt>
                <c:pt idx="8">
                  <c:v>-4.8</c:v>
                </c:pt>
                <c:pt idx="9">
                  <c:v>5.3</c:v>
                </c:pt>
                <c:pt idx="10">
                  <c:v>0.6</c:v>
                </c:pt>
                <c:pt idx="11">
                  <c:v>8.1</c:v>
                </c:pt>
                <c:pt idx="12">
                  <c:v>3.3</c:v>
                </c:pt>
                <c:pt idx="13">
                  <c:v>6.6</c:v>
                </c:pt>
                <c:pt idx="14">
                  <c:v>6.4</c:v>
                </c:pt>
                <c:pt idx="15">
                  <c:v>11.1</c:v>
                </c:pt>
                <c:pt idx="16">
                  <c:v>11.1</c:v>
                </c:pt>
                <c:pt idx="17">
                  <c:v>6.1</c:v>
                </c:pt>
                <c:pt idx="18">
                  <c:v>5.3</c:v>
                </c:pt>
                <c:pt idx="19">
                  <c:v>9.1</c:v>
                </c:pt>
                <c:pt idx="20">
                  <c:v>9.6</c:v>
                </c:pt>
                <c:pt idx="21">
                  <c:v>6.7</c:v>
                </c:pt>
                <c:pt idx="22">
                  <c:v>8.6999999999999993</c:v>
                </c:pt>
                <c:pt idx="23">
                  <c:v>8.5</c:v>
                </c:pt>
                <c:pt idx="24">
                  <c:v>12.9</c:v>
                </c:pt>
                <c:pt idx="25">
                  <c:v>7.3</c:v>
                </c:pt>
                <c:pt idx="26">
                  <c:v>5.9</c:v>
                </c:pt>
                <c:pt idx="27">
                  <c:v>5.6</c:v>
                </c:pt>
                <c:pt idx="28">
                  <c:v>0.7</c:v>
                </c:pt>
                <c:pt idx="29">
                  <c:v>-2.2999999999999998</c:v>
                </c:pt>
                <c:pt idx="30">
                  <c:v>0</c:v>
                </c:pt>
                <c:pt idx="31">
                  <c:v>-6.5</c:v>
                </c:pt>
                <c:pt idx="32">
                  <c:v>-0.8</c:v>
                </c:pt>
              </c:numCache>
            </c:numRef>
          </c:val>
          <c:smooth val="0"/>
          <c:extLst>
            <c:ext xmlns:c16="http://schemas.microsoft.com/office/drawing/2014/chart" uri="{C3380CC4-5D6E-409C-BE32-E72D297353CC}">
              <c16:uniqueId val="{0000000A-1159-41E8-ABC0-81D00ADC3504}"/>
            </c:ext>
          </c:extLst>
        </c:ser>
        <c:ser>
          <c:idx val="11"/>
          <c:order val="11"/>
          <c:tx>
            <c:strRef>
              <c:f>'Trh práce 1'!$AN$7</c:f>
              <c:strCache>
                <c:ptCount val="1"/>
                <c:pt idx="0">
                  <c:v>Očekávání zaměstnanosti (stavebnictví)</c:v>
                </c:pt>
              </c:strCache>
            </c:strRef>
          </c:tx>
          <c:spPr>
            <a:ln w="15875">
              <a:solidFill>
                <a:srgbClr val="00B0F0"/>
              </a:solidFill>
              <a:prstDash val="sysDot"/>
            </a:ln>
          </c:spPr>
          <c:marker>
            <c:symbol val="none"/>
          </c:marker>
          <c:cat>
            <c:multiLvlStrRef>
              <c:f>'Trh práce 1'!$AA$16:$AB$48</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2012</c:v>
                  </c:pt>
                  <c:pt idx="4">
                    <c:v>2013</c:v>
                  </c:pt>
                  <c:pt idx="8">
                    <c:v>2014</c:v>
                  </c:pt>
                  <c:pt idx="12">
                    <c:v>2015</c:v>
                  </c:pt>
                  <c:pt idx="16">
                    <c:v>2016</c:v>
                  </c:pt>
                  <c:pt idx="20">
                    <c:v>2017</c:v>
                  </c:pt>
                  <c:pt idx="24">
                    <c:v>2018</c:v>
                  </c:pt>
                  <c:pt idx="28">
                    <c:v>2019</c:v>
                  </c:pt>
                  <c:pt idx="32">
                    <c:v>2020</c:v>
                  </c:pt>
                </c:lvl>
              </c:multiLvlStrCache>
            </c:multiLvlStrRef>
          </c:cat>
          <c:val>
            <c:numRef>
              <c:f>'Trh práce 1'!$AN$16:$AN$48</c:f>
              <c:numCache>
                <c:formatCode>General</c:formatCode>
                <c:ptCount val="33"/>
                <c:pt idx="0">
                  <c:v>-31.1</c:v>
                </c:pt>
                <c:pt idx="1">
                  <c:v>-28.4</c:v>
                </c:pt>
                <c:pt idx="2">
                  <c:v>-27</c:v>
                </c:pt>
                <c:pt idx="3">
                  <c:v>-28.6</c:v>
                </c:pt>
                <c:pt idx="4">
                  <c:v>-38.9</c:v>
                </c:pt>
                <c:pt idx="5">
                  <c:v>-41.9</c:v>
                </c:pt>
                <c:pt idx="6">
                  <c:v>-32.799999999999997</c:v>
                </c:pt>
                <c:pt idx="7">
                  <c:v>-28.6</c:v>
                </c:pt>
                <c:pt idx="8">
                  <c:v>-21.8</c:v>
                </c:pt>
                <c:pt idx="9">
                  <c:v>-17.7</c:v>
                </c:pt>
                <c:pt idx="10">
                  <c:v>-8.9</c:v>
                </c:pt>
                <c:pt idx="11">
                  <c:v>-6.2</c:v>
                </c:pt>
                <c:pt idx="12">
                  <c:v>1.2</c:v>
                </c:pt>
                <c:pt idx="13">
                  <c:v>3.6</c:v>
                </c:pt>
                <c:pt idx="14">
                  <c:v>6.9</c:v>
                </c:pt>
                <c:pt idx="15">
                  <c:v>0.3</c:v>
                </c:pt>
                <c:pt idx="16">
                  <c:v>-0.6</c:v>
                </c:pt>
                <c:pt idx="17">
                  <c:v>-7.6</c:v>
                </c:pt>
                <c:pt idx="18">
                  <c:v>-14.3</c:v>
                </c:pt>
                <c:pt idx="19">
                  <c:v>-11.9</c:v>
                </c:pt>
                <c:pt idx="20">
                  <c:v>-7.6</c:v>
                </c:pt>
                <c:pt idx="21">
                  <c:v>-8.1</c:v>
                </c:pt>
                <c:pt idx="22">
                  <c:v>-9.4</c:v>
                </c:pt>
                <c:pt idx="23">
                  <c:v>0.7</c:v>
                </c:pt>
                <c:pt idx="24">
                  <c:v>6.1</c:v>
                </c:pt>
                <c:pt idx="25">
                  <c:v>3.9</c:v>
                </c:pt>
                <c:pt idx="26">
                  <c:v>9.6</c:v>
                </c:pt>
                <c:pt idx="27">
                  <c:v>15.3</c:v>
                </c:pt>
                <c:pt idx="28">
                  <c:v>10.8</c:v>
                </c:pt>
                <c:pt idx="29">
                  <c:v>14.6</c:v>
                </c:pt>
                <c:pt idx="30">
                  <c:v>6.7</c:v>
                </c:pt>
                <c:pt idx="31">
                  <c:v>15.4</c:v>
                </c:pt>
                <c:pt idx="32">
                  <c:v>6.4</c:v>
                </c:pt>
              </c:numCache>
            </c:numRef>
          </c:val>
          <c:smooth val="0"/>
          <c:extLst>
            <c:ext xmlns:c16="http://schemas.microsoft.com/office/drawing/2014/chart" uri="{C3380CC4-5D6E-409C-BE32-E72D297353CC}">
              <c16:uniqueId val="{0000000B-1159-41E8-ABC0-81D00ADC3504}"/>
            </c:ext>
          </c:extLst>
        </c:ser>
        <c:ser>
          <c:idx val="12"/>
          <c:order val="12"/>
          <c:tx>
            <c:strRef>
              <c:f>'Trh práce 1'!$AO$7</c:f>
              <c:strCache>
                <c:ptCount val="1"/>
                <c:pt idx="0">
                  <c:v>Očekávání zaměstnanosti (obchod)</c:v>
                </c:pt>
              </c:strCache>
            </c:strRef>
          </c:tx>
          <c:spPr>
            <a:ln w="15875">
              <a:solidFill>
                <a:schemeClr val="accent6">
                  <a:lumMod val="75000"/>
                </a:schemeClr>
              </a:solidFill>
              <a:prstDash val="sysDot"/>
            </a:ln>
          </c:spPr>
          <c:marker>
            <c:symbol val="none"/>
          </c:marker>
          <c:cat>
            <c:multiLvlStrRef>
              <c:f>'Trh práce 1'!$AA$16:$AB$48</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2012</c:v>
                  </c:pt>
                  <c:pt idx="4">
                    <c:v>2013</c:v>
                  </c:pt>
                  <c:pt idx="8">
                    <c:v>2014</c:v>
                  </c:pt>
                  <c:pt idx="12">
                    <c:v>2015</c:v>
                  </c:pt>
                  <c:pt idx="16">
                    <c:v>2016</c:v>
                  </c:pt>
                  <c:pt idx="20">
                    <c:v>2017</c:v>
                  </c:pt>
                  <c:pt idx="24">
                    <c:v>2018</c:v>
                  </c:pt>
                  <c:pt idx="28">
                    <c:v>2019</c:v>
                  </c:pt>
                  <c:pt idx="32">
                    <c:v>2020</c:v>
                  </c:pt>
                </c:lvl>
              </c:multiLvlStrCache>
            </c:multiLvlStrRef>
          </c:cat>
          <c:val>
            <c:numRef>
              <c:f>'Trh práce 1'!$AO$16:$AO$48</c:f>
              <c:numCache>
                <c:formatCode>General</c:formatCode>
                <c:ptCount val="33"/>
                <c:pt idx="0">
                  <c:v>9.8000000000000007</c:v>
                </c:pt>
                <c:pt idx="1">
                  <c:v>7</c:v>
                </c:pt>
                <c:pt idx="2">
                  <c:v>4.2</c:v>
                </c:pt>
                <c:pt idx="3">
                  <c:v>10.8</c:v>
                </c:pt>
                <c:pt idx="4">
                  <c:v>-2.8</c:v>
                </c:pt>
                <c:pt idx="5">
                  <c:v>10.5</c:v>
                </c:pt>
                <c:pt idx="6">
                  <c:v>1.1000000000000001</c:v>
                </c:pt>
                <c:pt idx="7">
                  <c:v>-3.4</c:v>
                </c:pt>
                <c:pt idx="8">
                  <c:v>7.4</c:v>
                </c:pt>
                <c:pt idx="9">
                  <c:v>-8.5</c:v>
                </c:pt>
                <c:pt idx="10">
                  <c:v>2.6</c:v>
                </c:pt>
                <c:pt idx="11">
                  <c:v>11.6</c:v>
                </c:pt>
                <c:pt idx="12">
                  <c:v>6</c:v>
                </c:pt>
                <c:pt idx="13">
                  <c:v>9.3000000000000007</c:v>
                </c:pt>
                <c:pt idx="14">
                  <c:v>7.9</c:v>
                </c:pt>
                <c:pt idx="15">
                  <c:v>10.199999999999999</c:v>
                </c:pt>
                <c:pt idx="16">
                  <c:v>16.5</c:v>
                </c:pt>
                <c:pt idx="17">
                  <c:v>21.3</c:v>
                </c:pt>
                <c:pt idx="18">
                  <c:v>21.6</c:v>
                </c:pt>
                <c:pt idx="19">
                  <c:v>15.3</c:v>
                </c:pt>
                <c:pt idx="20">
                  <c:v>14</c:v>
                </c:pt>
                <c:pt idx="21">
                  <c:v>17</c:v>
                </c:pt>
                <c:pt idx="22">
                  <c:v>18</c:v>
                </c:pt>
                <c:pt idx="23">
                  <c:v>11.6</c:v>
                </c:pt>
                <c:pt idx="24">
                  <c:v>29.9</c:v>
                </c:pt>
                <c:pt idx="25">
                  <c:v>29.3</c:v>
                </c:pt>
                <c:pt idx="26">
                  <c:v>18.3</c:v>
                </c:pt>
                <c:pt idx="27">
                  <c:v>18.100000000000001</c:v>
                </c:pt>
                <c:pt idx="28">
                  <c:v>16.600000000000001</c:v>
                </c:pt>
                <c:pt idx="29">
                  <c:v>14.9</c:v>
                </c:pt>
                <c:pt idx="30">
                  <c:v>17.100000000000001</c:v>
                </c:pt>
                <c:pt idx="31">
                  <c:v>15.1</c:v>
                </c:pt>
                <c:pt idx="32">
                  <c:v>9.6999999999999993</c:v>
                </c:pt>
              </c:numCache>
            </c:numRef>
          </c:val>
          <c:smooth val="0"/>
          <c:extLst>
            <c:ext xmlns:c16="http://schemas.microsoft.com/office/drawing/2014/chart" uri="{C3380CC4-5D6E-409C-BE32-E72D297353CC}">
              <c16:uniqueId val="{0000000C-1159-41E8-ABC0-81D00ADC3504}"/>
            </c:ext>
          </c:extLst>
        </c:ser>
        <c:ser>
          <c:idx val="13"/>
          <c:order val="13"/>
          <c:tx>
            <c:strRef>
              <c:f>'Trh práce 1'!$AP$7</c:f>
              <c:strCache>
                <c:ptCount val="1"/>
                <c:pt idx="0">
                  <c:v>Očekávání zaměstnanosti (vybr. služby)</c:v>
                </c:pt>
              </c:strCache>
            </c:strRef>
          </c:tx>
          <c:spPr>
            <a:ln w="15875">
              <a:solidFill>
                <a:srgbClr val="C00000"/>
              </a:solidFill>
              <a:prstDash val="sysDot"/>
            </a:ln>
          </c:spPr>
          <c:marker>
            <c:symbol val="none"/>
          </c:marker>
          <c:cat>
            <c:multiLvlStrRef>
              <c:f>'Trh práce 1'!$AA$16:$AB$48</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2012</c:v>
                  </c:pt>
                  <c:pt idx="4">
                    <c:v>2013</c:v>
                  </c:pt>
                  <c:pt idx="8">
                    <c:v>2014</c:v>
                  </c:pt>
                  <c:pt idx="12">
                    <c:v>2015</c:v>
                  </c:pt>
                  <c:pt idx="16">
                    <c:v>2016</c:v>
                  </c:pt>
                  <c:pt idx="20">
                    <c:v>2017</c:v>
                  </c:pt>
                  <c:pt idx="24">
                    <c:v>2018</c:v>
                  </c:pt>
                  <c:pt idx="28">
                    <c:v>2019</c:v>
                  </c:pt>
                  <c:pt idx="32">
                    <c:v>2020</c:v>
                  </c:pt>
                </c:lvl>
              </c:multiLvlStrCache>
            </c:multiLvlStrRef>
          </c:cat>
          <c:val>
            <c:numRef>
              <c:f>'Trh práce 1'!$AP$16:$AP$48</c:f>
              <c:numCache>
                <c:formatCode>General</c:formatCode>
                <c:ptCount val="33"/>
                <c:pt idx="0">
                  <c:v>-3.6</c:v>
                </c:pt>
                <c:pt idx="1">
                  <c:v>-11.9</c:v>
                </c:pt>
                <c:pt idx="2">
                  <c:v>-13.6</c:v>
                </c:pt>
                <c:pt idx="3">
                  <c:v>-8.4</c:v>
                </c:pt>
                <c:pt idx="4">
                  <c:v>-12.7</c:v>
                </c:pt>
                <c:pt idx="5">
                  <c:v>-33.5</c:v>
                </c:pt>
                <c:pt idx="6">
                  <c:v>-22.9</c:v>
                </c:pt>
                <c:pt idx="7">
                  <c:v>-15.8</c:v>
                </c:pt>
                <c:pt idx="8">
                  <c:v>-11.2</c:v>
                </c:pt>
                <c:pt idx="9">
                  <c:v>-10.4</c:v>
                </c:pt>
                <c:pt idx="10">
                  <c:v>-11.6</c:v>
                </c:pt>
                <c:pt idx="11">
                  <c:v>-10.9</c:v>
                </c:pt>
                <c:pt idx="12">
                  <c:v>-14.5</c:v>
                </c:pt>
                <c:pt idx="13">
                  <c:v>-11.6</c:v>
                </c:pt>
                <c:pt idx="14">
                  <c:v>3.4</c:v>
                </c:pt>
                <c:pt idx="15">
                  <c:v>-0.6</c:v>
                </c:pt>
                <c:pt idx="16">
                  <c:v>6.1</c:v>
                </c:pt>
                <c:pt idx="17">
                  <c:v>20</c:v>
                </c:pt>
                <c:pt idx="18">
                  <c:v>-1</c:v>
                </c:pt>
                <c:pt idx="19">
                  <c:v>12.3</c:v>
                </c:pt>
                <c:pt idx="20">
                  <c:v>13.4</c:v>
                </c:pt>
                <c:pt idx="21">
                  <c:v>8.6999999999999993</c:v>
                </c:pt>
                <c:pt idx="22">
                  <c:v>16.399999999999999</c:v>
                </c:pt>
                <c:pt idx="23">
                  <c:v>6.3</c:v>
                </c:pt>
                <c:pt idx="24">
                  <c:v>9.1</c:v>
                </c:pt>
                <c:pt idx="25">
                  <c:v>9.6</c:v>
                </c:pt>
                <c:pt idx="26">
                  <c:v>2.5</c:v>
                </c:pt>
                <c:pt idx="27">
                  <c:v>-11.2</c:v>
                </c:pt>
                <c:pt idx="28">
                  <c:v>-13.2</c:v>
                </c:pt>
                <c:pt idx="29">
                  <c:v>-1.8</c:v>
                </c:pt>
                <c:pt idx="30">
                  <c:v>-2.6</c:v>
                </c:pt>
                <c:pt idx="31">
                  <c:v>-12</c:v>
                </c:pt>
                <c:pt idx="32">
                  <c:v>-20.9</c:v>
                </c:pt>
              </c:numCache>
            </c:numRef>
          </c:val>
          <c:smooth val="0"/>
          <c:extLst>
            <c:ext xmlns:c16="http://schemas.microsoft.com/office/drawing/2014/chart" uri="{C3380CC4-5D6E-409C-BE32-E72D297353CC}">
              <c16:uniqueId val="{0000000D-1159-41E8-ABC0-81D00ADC3504}"/>
            </c:ext>
          </c:extLst>
        </c:ser>
        <c:dLbls>
          <c:showLegendKey val="0"/>
          <c:showVal val="0"/>
          <c:showCatName val="0"/>
          <c:showSerName val="0"/>
          <c:showPercent val="0"/>
          <c:showBubbleSize val="0"/>
        </c:dLbls>
        <c:marker val="1"/>
        <c:smooth val="0"/>
        <c:axId val="332941824"/>
        <c:axId val="332936832"/>
      </c:lineChart>
      <c:catAx>
        <c:axId val="101898496"/>
        <c:scaling>
          <c:orientation val="minMax"/>
        </c:scaling>
        <c:delete val="0"/>
        <c:axPos val="b"/>
        <c:numFmt formatCode="General" sourceLinked="1"/>
        <c:majorTickMark val="out"/>
        <c:minorTickMark val="none"/>
        <c:tickLblPos val="low"/>
        <c:spPr>
          <a:ln>
            <a:solidFill>
              <a:schemeClr val="tx1"/>
            </a:solidFill>
          </a:ln>
        </c:spPr>
        <c:crossAx val="101781504"/>
        <c:crosses val="autoZero"/>
        <c:auto val="1"/>
        <c:lblAlgn val="ctr"/>
        <c:lblOffset val="10"/>
        <c:noMultiLvlLbl val="0"/>
      </c:catAx>
      <c:valAx>
        <c:axId val="101781504"/>
        <c:scaling>
          <c:orientation val="minMax"/>
          <c:max val="2"/>
          <c:min val="-2.5"/>
        </c:scaling>
        <c:delete val="0"/>
        <c:axPos val="l"/>
        <c:majorGridlines>
          <c:spPr>
            <a:ln w="6350">
              <a:solidFill>
                <a:schemeClr val="bg1">
                  <a:lumMod val="75000"/>
                </a:schemeClr>
              </a:solidFill>
            </a:ln>
          </c:spPr>
        </c:majorGridlines>
        <c:title>
          <c:tx>
            <c:rich>
              <a:bodyPr/>
              <a:lstStyle/>
              <a:p>
                <a:pPr>
                  <a:defRPr sz="700" b="0" i="1"/>
                </a:pPr>
                <a:r>
                  <a:rPr lang="cs-CZ" sz="700" b="0" i="1"/>
                  <a:t>Příspěvek</a:t>
                </a:r>
                <a:r>
                  <a:rPr lang="cs-CZ" sz="700" b="0" i="1" baseline="0"/>
                  <a:t> k růstu zaměstnanosti</a:t>
                </a:r>
                <a:endParaRPr lang="cs-CZ" sz="700" b="0" i="1"/>
              </a:p>
            </c:rich>
          </c:tx>
          <c:layout>
            <c:manualLayout>
              <c:xMode val="edge"/>
              <c:yMode val="edge"/>
              <c:x val="0"/>
              <c:y val="0.15110810581510684"/>
            </c:manualLayout>
          </c:layout>
          <c:overlay val="0"/>
        </c:title>
        <c:numFmt formatCode="0.0" sourceLinked="0"/>
        <c:majorTickMark val="out"/>
        <c:minorTickMark val="none"/>
        <c:tickLblPos val="nextTo"/>
        <c:spPr>
          <a:ln>
            <a:solidFill>
              <a:schemeClr val="tx1"/>
            </a:solidFill>
          </a:ln>
        </c:spPr>
        <c:crossAx val="101898496"/>
        <c:crosses val="autoZero"/>
        <c:crossBetween val="between"/>
        <c:majorUnit val="0.5"/>
      </c:valAx>
      <c:valAx>
        <c:axId val="332936832"/>
        <c:scaling>
          <c:orientation val="minMax"/>
          <c:max val="140"/>
          <c:min val="-40"/>
        </c:scaling>
        <c:delete val="0"/>
        <c:axPos val="r"/>
        <c:title>
          <c:tx>
            <c:rich>
              <a:bodyPr/>
              <a:lstStyle/>
              <a:p>
                <a:pPr>
                  <a:defRPr sz="700" b="0" i="1"/>
                </a:pPr>
                <a:r>
                  <a:rPr lang="cs-CZ" sz="700" b="0" i="1"/>
                  <a:t>Očekávání</a:t>
                </a:r>
                <a:r>
                  <a:rPr lang="cs-CZ" sz="700" b="0" i="1" baseline="0"/>
                  <a:t> vývoje zaměstnanosti</a:t>
                </a:r>
                <a:endParaRPr lang="cs-CZ" sz="700" b="0" i="1"/>
              </a:p>
            </c:rich>
          </c:tx>
          <c:layout>
            <c:manualLayout>
              <c:xMode val="edge"/>
              <c:yMode val="edge"/>
              <c:x val="0.97040343782834393"/>
              <c:y val="0.19420735772001382"/>
            </c:manualLayout>
          </c:layout>
          <c:overlay val="0"/>
        </c:title>
        <c:numFmt formatCode="#,##0" sourceLinked="0"/>
        <c:majorTickMark val="out"/>
        <c:minorTickMark val="none"/>
        <c:tickLblPos val="nextTo"/>
        <c:crossAx val="332941824"/>
        <c:crosses val="max"/>
        <c:crossBetween val="between"/>
        <c:majorUnit val="20"/>
      </c:valAx>
      <c:catAx>
        <c:axId val="332941824"/>
        <c:scaling>
          <c:orientation val="minMax"/>
        </c:scaling>
        <c:delete val="1"/>
        <c:axPos val="b"/>
        <c:numFmt formatCode="General" sourceLinked="1"/>
        <c:majorTickMark val="out"/>
        <c:minorTickMark val="none"/>
        <c:tickLblPos val="nextTo"/>
        <c:crossAx val="332936832"/>
        <c:crosses val="autoZero"/>
        <c:auto val="1"/>
        <c:lblAlgn val="ctr"/>
        <c:lblOffset val="100"/>
        <c:noMultiLvlLbl val="0"/>
      </c:catAx>
      <c:spPr>
        <a:ln>
          <a:solidFill>
            <a:schemeClr val="tx1"/>
          </a:solidFill>
        </a:ln>
      </c:spPr>
    </c:plotArea>
    <c:legend>
      <c:legendPos val="b"/>
      <c:layout>
        <c:manualLayout>
          <c:xMode val="edge"/>
          <c:yMode val="edge"/>
          <c:x val="4.692510837063792E-3"/>
          <c:y val="0.78168751271896186"/>
          <c:w val="0.96005692595618608"/>
          <c:h val="0.20399398882296771"/>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2697263565753378E-2"/>
          <c:y val="1.643251153889452E-2"/>
          <c:w val="0.85454194986526066"/>
          <c:h val="0.74051004318224867"/>
        </c:manualLayout>
      </c:layout>
      <c:barChart>
        <c:barDir val="col"/>
        <c:grouping val="clustered"/>
        <c:varyColors val="0"/>
        <c:ser>
          <c:idx val="0"/>
          <c:order val="0"/>
          <c:tx>
            <c:strRef>
              <c:f>'Trh práce-2b'!$A$31</c:f>
              <c:strCache>
                <c:ptCount val="1"/>
                <c:pt idx="0">
                  <c:v>Míra nezaměstnanosti mužů (levá osa)</c:v>
                </c:pt>
              </c:strCache>
            </c:strRef>
          </c:tx>
          <c:spPr>
            <a:solidFill>
              <a:srgbClr val="BCBCBC"/>
            </a:solidFill>
          </c:spPr>
          <c:invertIfNegative val="0"/>
          <c:cat>
            <c:multiLvlStrRef>
              <c:f>'Trh práce-2b'!$J$29:$AP$30</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2012</c:v>
                  </c:pt>
                  <c:pt idx="4">
                    <c:v>2013</c:v>
                  </c:pt>
                  <c:pt idx="8">
                    <c:v>2014</c:v>
                  </c:pt>
                  <c:pt idx="12">
                    <c:v>2015</c:v>
                  </c:pt>
                  <c:pt idx="16">
                    <c:v>2016</c:v>
                  </c:pt>
                  <c:pt idx="20">
                    <c:v>2017</c:v>
                  </c:pt>
                  <c:pt idx="24">
                    <c:v>2018</c:v>
                  </c:pt>
                  <c:pt idx="28">
                    <c:v>2019</c:v>
                  </c:pt>
                  <c:pt idx="32">
                    <c:v>2020</c:v>
                  </c:pt>
                </c:lvl>
              </c:multiLvlStrCache>
            </c:multiLvlStrRef>
          </c:cat>
          <c:val>
            <c:numRef>
              <c:f>'Trh práce-2b'!$J$31:$AP$31</c:f>
              <c:numCache>
                <c:formatCode>0.0</c:formatCode>
                <c:ptCount val="33"/>
                <c:pt idx="0">
                  <c:v>6.0419119684125997</c:v>
                </c:pt>
                <c:pt idx="1">
                  <c:v>5.9150014087957912</c:v>
                </c:pt>
                <c:pt idx="2">
                  <c:v>6.0466378399422043</c:v>
                </c:pt>
                <c:pt idx="3">
                  <c:v>6.2922433076368689</c:v>
                </c:pt>
                <c:pt idx="4">
                  <c:v>6.3231602911909377</c:v>
                </c:pt>
                <c:pt idx="5">
                  <c:v>5.850767777143143</c:v>
                </c:pt>
                <c:pt idx="6">
                  <c:v>5.9619150234132512</c:v>
                </c:pt>
                <c:pt idx="7">
                  <c:v>5.7994756794524251</c:v>
                </c:pt>
                <c:pt idx="8">
                  <c:v>5.5651444043595744</c:v>
                </c:pt>
                <c:pt idx="9">
                  <c:v>5.1938223047271181</c:v>
                </c:pt>
                <c:pt idx="10">
                  <c:v>4.9187912896961032</c:v>
                </c:pt>
                <c:pt idx="11">
                  <c:v>5.0126095278367471</c:v>
                </c:pt>
                <c:pt idx="12">
                  <c:v>5.0174789630260186</c:v>
                </c:pt>
                <c:pt idx="13">
                  <c:v>4.3123428220297946</c:v>
                </c:pt>
                <c:pt idx="14">
                  <c:v>4.0616030578740672</c:v>
                </c:pt>
                <c:pt idx="15">
                  <c:v>3.7931652418736732</c:v>
                </c:pt>
                <c:pt idx="16">
                  <c:v>3.6465968369185462</c:v>
                </c:pt>
                <c:pt idx="17">
                  <c:v>3.5618977288749334</c:v>
                </c:pt>
                <c:pt idx="18">
                  <c:v>3.3941120595663499</c:v>
                </c:pt>
                <c:pt idx="19">
                  <c:v>3.1589079605071224</c:v>
                </c:pt>
                <c:pt idx="20">
                  <c:v>2.6895070057787169</c:v>
                </c:pt>
                <c:pt idx="21">
                  <c:v>2.4849824629187669</c:v>
                </c:pt>
                <c:pt idx="22">
                  <c:v>2.2538210552825313</c:v>
                </c:pt>
                <c:pt idx="23">
                  <c:v>2.0855061515761775</c:v>
                </c:pt>
                <c:pt idx="24">
                  <c:v>1.8880341859189873</c:v>
                </c:pt>
                <c:pt idx="25">
                  <c:v>1.8266912580388119</c:v>
                </c:pt>
                <c:pt idx="26">
                  <c:v>1.8941665383067032</c:v>
                </c:pt>
                <c:pt idx="27">
                  <c:v>1.6848738429959151</c:v>
                </c:pt>
                <c:pt idx="28">
                  <c:v>1.7939936772918668</c:v>
                </c:pt>
                <c:pt idx="29">
                  <c:v>1.6710254418976469</c:v>
                </c:pt>
                <c:pt idx="30">
                  <c:v>1.7742545746981202</c:v>
                </c:pt>
                <c:pt idx="31">
                  <c:v>1.8618725645066483</c:v>
                </c:pt>
                <c:pt idx="32">
                  <c:v>1.8364343668665342</c:v>
                </c:pt>
              </c:numCache>
            </c:numRef>
          </c:val>
          <c:extLst>
            <c:ext xmlns:c16="http://schemas.microsoft.com/office/drawing/2014/chart" uri="{C3380CC4-5D6E-409C-BE32-E72D297353CC}">
              <c16:uniqueId val="{00000000-D96A-45F3-8D1E-261EE6D871CF}"/>
            </c:ext>
          </c:extLst>
        </c:ser>
        <c:ser>
          <c:idx val="1"/>
          <c:order val="1"/>
          <c:tx>
            <c:strRef>
              <c:f>'Trh práce-2b'!$A$32</c:f>
              <c:strCache>
                <c:ptCount val="1"/>
                <c:pt idx="0">
                  <c:v>Míra nezaměstnanosti žen (levá osa)</c:v>
                </c:pt>
              </c:strCache>
            </c:strRef>
          </c:tx>
          <c:spPr>
            <a:solidFill>
              <a:srgbClr val="DBDBDB"/>
            </a:solidFill>
          </c:spPr>
          <c:invertIfNegative val="0"/>
          <c:cat>
            <c:multiLvlStrRef>
              <c:f>'Trh práce-2b'!$J$29:$AP$30</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2012</c:v>
                  </c:pt>
                  <c:pt idx="4">
                    <c:v>2013</c:v>
                  </c:pt>
                  <c:pt idx="8">
                    <c:v>2014</c:v>
                  </c:pt>
                  <c:pt idx="12">
                    <c:v>2015</c:v>
                  </c:pt>
                  <c:pt idx="16">
                    <c:v>2016</c:v>
                  </c:pt>
                  <c:pt idx="20">
                    <c:v>2017</c:v>
                  </c:pt>
                  <c:pt idx="24">
                    <c:v>2018</c:v>
                  </c:pt>
                  <c:pt idx="28">
                    <c:v>2019</c:v>
                  </c:pt>
                  <c:pt idx="32">
                    <c:v>2020</c:v>
                  </c:pt>
                </c:lvl>
              </c:multiLvlStrCache>
            </c:multiLvlStrRef>
          </c:cat>
          <c:val>
            <c:numRef>
              <c:f>'Trh práce-2b'!$J$32:$AP$32</c:f>
              <c:numCache>
                <c:formatCode>0.0</c:formatCode>
                <c:ptCount val="33"/>
                <c:pt idx="0">
                  <c:v>8.017542470673682</c:v>
                </c:pt>
                <c:pt idx="1">
                  <c:v>8.1680569264729019</c:v>
                </c:pt>
                <c:pt idx="2">
                  <c:v>8.3171019198994429</c:v>
                </c:pt>
                <c:pt idx="3">
                  <c:v>8.6112472473216179</c:v>
                </c:pt>
                <c:pt idx="4">
                  <c:v>8.5104647685842973</c:v>
                </c:pt>
                <c:pt idx="5">
                  <c:v>8.4254451235913788</c:v>
                </c:pt>
                <c:pt idx="6">
                  <c:v>8.3700885637157985</c:v>
                </c:pt>
                <c:pt idx="7">
                  <c:v>8.2321506303953029</c:v>
                </c:pt>
                <c:pt idx="8">
                  <c:v>8.0245001785756447</c:v>
                </c:pt>
                <c:pt idx="9">
                  <c:v>7.6275035185122384</c:v>
                </c:pt>
                <c:pt idx="10">
                  <c:v>7.3076746050614458</c:v>
                </c:pt>
                <c:pt idx="11">
                  <c:v>7.011037605309614</c:v>
                </c:pt>
                <c:pt idx="12">
                  <c:v>6.9210515596955196</c:v>
                </c:pt>
                <c:pt idx="13">
                  <c:v>6.1853472761463122</c:v>
                </c:pt>
                <c:pt idx="14">
                  <c:v>5.9680241380828463</c:v>
                </c:pt>
                <c:pt idx="15">
                  <c:v>5.622827563458979</c:v>
                </c:pt>
                <c:pt idx="16">
                  <c:v>5.1015916334722933</c:v>
                </c:pt>
                <c:pt idx="17">
                  <c:v>4.8170210406788518</c:v>
                </c:pt>
                <c:pt idx="18">
                  <c:v>4.8064471726558233</c:v>
                </c:pt>
                <c:pt idx="19">
                  <c:v>4.3150849481303482</c:v>
                </c:pt>
                <c:pt idx="20">
                  <c:v>4.3237029384199959</c:v>
                </c:pt>
                <c:pt idx="21">
                  <c:v>3.8892993463386527</c:v>
                </c:pt>
                <c:pt idx="22">
                  <c:v>3.4078845680211476</c:v>
                </c:pt>
                <c:pt idx="23">
                  <c:v>2.9629841038841604</c:v>
                </c:pt>
                <c:pt idx="24">
                  <c:v>3.0204828660904455</c:v>
                </c:pt>
                <c:pt idx="25">
                  <c:v>2.8749512099536179</c:v>
                </c:pt>
                <c:pt idx="26">
                  <c:v>2.8535328347191053</c:v>
                </c:pt>
                <c:pt idx="27">
                  <c:v>2.6105514379811212</c:v>
                </c:pt>
                <c:pt idx="28">
                  <c:v>2.3426384790773307</c:v>
                </c:pt>
                <c:pt idx="29">
                  <c:v>2.449695106017765</c:v>
                </c:pt>
                <c:pt idx="30">
                  <c:v>2.5640496854487789</c:v>
                </c:pt>
                <c:pt idx="31">
                  <c:v>2.3614721211690246</c:v>
                </c:pt>
                <c:pt idx="32">
                  <c:v>2.1453083347599575</c:v>
                </c:pt>
              </c:numCache>
            </c:numRef>
          </c:val>
          <c:extLst>
            <c:ext xmlns:c16="http://schemas.microsoft.com/office/drawing/2014/chart" uri="{C3380CC4-5D6E-409C-BE32-E72D297353CC}">
              <c16:uniqueId val="{00000001-D96A-45F3-8D1E-261EE6D871CF}"/>
            </c:ext>
          </c:extLst>
        </c:ser>
        <c:dLbls>
          <c:showLegendKey val="0"/>
          <c:showVal val="0"/>
          <c:showCatName val="0"/>
          <c:showSerName val="0"/>
          <c:showPercent val="0"/>
          <c:showBubbleSize val="0"/>
        </c:dLbls>
        <c:gapWidth val="68"/>
        <c:axId val="100654464"/>
        <c:axId val="101647488"/>
      </c:barChart>
      <c:lineChart>
        <c:grouping val="standard"/>
        <c:varyColors val="0"/>
        <c:ser>
          <c:idx val="2"/>
          <c:order val="2"/>
          <c:tx>
            <c:strRef>
              <c:f>'Trh práce-2b'!$A$33</c:f>
              <c:strCache>
                <c:ptCount val="1"/>
                <c:pt idx="0">
                  <c:v>Podíl nezam. déle než 1 rok (pr. osa)</c:v>
                </c:pt>
              </c:strCache>
            </c:strRef>
          </c:tx>
          <c:spPr>
            <a:ln w="22225"/>
          </c:spPr>
          <c:marker>
            <c:symbol val="none"/>
          </c:marker>
          <c:cat>
            <c:multiLvlStrRef>
              <c:f>'Trh práce-2b'!$J$29:$AP$30</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2012</c:v>
                  </c:pt>
                  <c:pt idx="4">
                    <c:v>2013</c:v>
                  </c:pt>
                  <c:pt idx="8">
                    <c:v>2014</c:v>
                  </c:pt>
                  <c:pt idx="12">
                    <c:v>2015</c:v>
                  </c:pt>
                  <c:pt idx="16">
                    <c:v>2016</c:v>
                  </c:pt>
                  <c:pt idx="20">
                    <c:v>2017</c:v>
                  </c:pt>
                  <c:pt idx="24">
                    <c:v>2018</c:v>
                  </c:pt>
                  <c:pt idx="28">
                    <c:v>2019</c:v>
                  </c:pt>
                  <c:pt idx="32">
                    <c:v>2020</c:v>
                  </c:pt>
                </c:lvl>
              </c:multiLvlStrCache>
            </c:multiLvlStrRef>
          </c:cat>
          <c:val>
            <c:numRef>
              <c:f>'Trh práce-2b'!$J$33:$AP$33</c:f>
              <c:numCache>
                <c:formatCode>0.0</c:formatCode>
                <c:ptCount val="33"/>
                <c:pt idx="0">
                  <c:v>43.093174431202605</c:v>
                </c:pt>
                <c:pt idx="1">
                  <c:v>44.343117697349683</c:v>
                </c:pt>
                <c:pt idx="2">
                  <c:v>43.272628431639035</c:v>
                </c:pt>
                <c:pt idx="3">
                  <c:v>42.710255734247298</c:v>
                </c:pt>
                <c:pt idx="4">
                  <c:v>43.264578558696208</c:v>
                </c:pt>
                <c:pt idx="5">
                  <c:v>44.41340782122905</c:v>
                </c:pt>
                <c:pt idx="6">
                  <c:v>43.695887445887443</c:v>
                </c:pt>
                <c:pt idx="7">
                  <c:v>42.290377039954983</c:v>
                </c:pt>
                <c:pt idx="8">
                  <c:v>41.140301844605929</c:v>
                </c:pt>
                <c:pt idx="9">
                  <c:v>43.188951663527931</c:v>
                </c:pt>
                <c:pt idx="10">
                  <c:v>43.811960345378957</c:v>
                </c:pt>
                <c:pt idx="11">
                  <c:v>46.249590566655755</c:v>
                </c:pt>
                <c:pt idx="12">
                  <c:v>45.762175838077162</c:v>
                </c:pt>
                <c:pt idx="13">
                  <c:v>46.715049656226128</c:v>
                </c:pt>
                <c:pt idx="14">
                  <c:v>48.521400778210108</c:v>
                </c:pt>
                <c:pt idx="15">
                  <c:v>48.542458808618512</c:v>
                </c:pt>
                <c:pt idx="16">
                  <c:v>45.847750865051907</c:v>
                </c:pt>
                <c:pt idx="17">
                  <c:v>43.490701001430608</c:v>
                </c:pt>
                <c:pt idx="18">
                  <c:v>39.295774647887328</c:v>
                </c:pt>
                <c:pt idx="19">
                  <c:v>39.196242171189979</c:v>
                </c:pt>
                <c:pt idx="20">
                  <c:v>37.093275488069416</c:v>
                </c:pt>
                <c:pt idx="21">
                  <c:v>37.366099558916197</c:v>
                </c:pt>
                <c:pt idx="22">
                  <c:v>32.798931195724784</c:v>
                </c:pt>
                <c:pt idx="23">
                  <c:v>31.546231546231553</c:v>
                </c:pt>
                <c:pt idx="24">
                  <c:v>31.741140215716484</c:v>
                </c:pt>
                <c:pt idx="25">
                  <c:v>30.28764805414551</c:v>
                </c:pt>
                <c:pt idx="26">
                  <c:v>28.796223446105422</c:v>
                </c:pt>
                <c:pt idx="27">
                  <c:v>31.317689530685922</c:v>
                </c:pt>
                <c:pt idx="28">
                  <c:v>32.360984503190522</c:v>
                </c:pt>
                <c:pt idx="29">
                  <c:v>32.2265625</c:v>
                </c:pt>
                <c:pt idx="30">
                  <c:v>26.979982593559615</c:v>
                </c:pt>
                <c:pt idx="31">
                  <c:v>28.623853211009177</c:v>
                </c:pt>
                <c:pt idx="32">
                  <c:v>27.049952874646561</c:v>
                </c:pt>
              </c:numCache>
            </c:numRef>
          </c:val>
          <c:smooth val="0"/>
          <c:extLst>
            <c:ext xmlns:c16="http://schemas.microsoft.com/office/drawing/2014/chart" uri="{C3380CC4-5D6E-409C-BE32-E72D297353CC}">
              <c16:uniqueId val="{00000002-D96A-45F3-8D1E-261EE6D871CF}"/>
            </c:ext>
          </c:extLst>
        </c:ser>
        <c:ser>
          <c:idx val="3"/>
          <c:order val="3"/>
          <c:tx>
            <c:strRef>
              <c:f>'Trh práce-2b'!$A$34</c:f>
              <c:strCache>
                <c:ptCount val="1"/>
                <c:pt idx="0">
                  <c:v>Podíl nezam. ve věku 50+  (pr. osa)</c:v>
                </c:pt>
              </c:strCache>
            </c:strRef>
          </c:tx>
          <c:spPr>
            <a:ln w="22225"/>
          </c:spPr>
          <c:marker>
            <c:symbol val="none"/>
          </c:marker>
          <c:cat>
            <c:multiLvlStrRef>
              <c:f>'Trh práce-2b'!$J$29:$AP$30</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2012</c:v>
                  </c:pt>
                  <c:pt idx="4">
                    <c:v>2013</c:v>
                  </c:pt>
                  <c:pt idx="8">
                    <c:v>2014</c:v>
                  </c:pt>
                  <c:pt idx="12">
                    <c:v>2015</c:v>
                  </c:pt>
                  <c:pt idx="16">
                    <c:v>2016</c:v>
                  </c:pt>
                  <c:pt idx="20">
                    <c:v>2017</c:v>
                  </c:pt>
                  <c:pt idx="24">
                    <c:v>2018</c:v>
                  </c:pt>
                  <c:pt idx="28">
                    <c:v>2019</c:v>
                  </c:pt>
                  <c:pt idx="32">
                    <c:v>2020</c:v>
                  </c:pt>
                </c:lvl>
              </c:multiLvlStrCache>
            </c:multiLvlStrRef>
          </c:cat>
          <c:val>
            <c:numRef>
              <c:f>'Trh práce-2b'!$J$34:$AP$34</c:f>
              <c:numCache>
                <c:formatCode>0.0</c:formatCode>
                <c:ptCount val="33"/>
                <c:pt idx="0">
                  <c:v>22.914409534127845</c:v>
                </c:pt>
                <c:pt idx="1">
                  <c:v>22.969506982046166</c:v>
                </c:pt>
                <c:pt idx="2">
                  <c:v>20.76651263930416</c:v>
                </c:pt>
                <c:pt idx="3">
                  <c:v>23.912470340100185</c:v>
                </c:pt>
                <c:pt idx="4">
                  <c:v>22.969187675070028</c:v>
                </c:pt>
                <c:pt idx="5">
                  <c:v>22.793296089385471</c:v>
                </c:pt>
                <c:pt idx="6">
                  <c:v>21.13095238095238</c:v>
                </c:pt>
                <c:pt idx="7">
                  <c:v>22.059651097355097</c:v>
                </c:pt>
                <c:pt idx="8">
                  <c:v>23.141419787590831</c:v>
                </c:pt>
                <c:pt idx="9">
                  <c:v>21.720025109855616</c:v>
                </c:pt>
                <c:pt idx="10">
                  <c:v>22.161816437480013</c:v>
                </c:pt>
                <c:pt idx="11">
                  <c:v>20.962987225679658</c:v>
                </c:pt>
                <c:pt idx="12">
                  <c:v>23.213156230234031</c:v>
                </c:pt>
                <c:pt idx="13">
                  <c:v>24.140565317035907</c:v>
                </c:pt>
                <c:pt idx="14">
                  <c:v>22.451361867704282</c:v>
                </c:pt>
                <c:pt idx="15">
                  <c:v>23.954372623574148</c:v>
                </c:pt>
                <c:pt idx="16">
                  <c:v>28.157439446366784</c:v>
                </c:pt>
                <c:pt idx="17">
                  <c:v>26.180257510729614</c:v>
                </c:pt>
                <c:pt idx="18">
                  <c:v>22.86384976525822</c:v>
                </c:pt>
                <c:pt idx="19">
                  <c:v>24.947807933194156</c:v>
                </c:pt>
                <c:pt idx="20">
                  <c:v>26.138828633405641</c:v>
                </c:pt>
                <c:pt idx="21">
                  <c:v>24.763705103969755</c:v>
                </c:pt>
                <c:pt idx="22">
                  <c:v>23.380093520374086</c:v>
                </c:pt>
                <c:pt idx="23">
                  <c:v>23.931623931623935</c:v>
                </c:pt>
                <c:pt idx="24">
                  <c:v>25.808936825885976</c:v>
                </c:pt>
                <c:pt idx="25">
                  <c:v>24.957698815566832</c:v>
                </c:pt>
                <c:pt idx="26">
                  <c:v>24.311565696302122</c:v>
                </c:pt>
                <c:pt idx="27">
                  <c:v>23.285198555956679</c:v>
                </c:pt>
                <c:pt idx="28">
                  <c:v>26.253418413855972</c:v>
                </c:pt>
                <c:pt idx="29">
                  <c:v>24.609374999999996</c:v>
                </c:pt>
                <c:pt idx="30">
                  <c:v>26.02262837249782</c:v>
                </c:pt>
                <c:pt idx="31">
                  <c:v>25.596330275229356</c:v>
                </c:pt>
              </c:numCache>
            </c:numRef>
          </c:val>
          <c:smooth val="0"/>
          <c:extLst>
            <c:ext xmlns:c16="http://schemas.microsoft.com/office/drawing/2014/chart" uri="{C3380CC4-5D6E-409C-BE32-E72D297353CC}">
              <c16:uniqueId val="{00000003-D96A-45F3-8D1E-261EE6D871CF}"/>
            </c:ext>
          </c:extLst>
        </c:ser>
        <c:ser>
          <c:idx val="6"/>
          <c:order val="4"/>
          <c:tx>
            <c:strRef>
              <c:f>'Trh práce-2b'!$A$37</c:f>
              <c:strCache>
                <c:ptCount val="1"/>
                <c:pt idx="0">
                  <c:v>Volná pracovní místa (VPM), pravá osa</c:v>
                </c:pt>
              </c:strCache>
            </c:strRef>
          </c:tx>
          <c:spPr>
            <a:ln w="6350">
              <a:solidFill>
                <a:schemeClr val="accent6">
                  <a:lumMod val="75000"/>
                </a:schemeClr>
              </a:solidFill>
              <a:prstDash val="sysDot"/>
            </a:ln>
          </c:spPr>
          <c:marker>
            <c:symbol val="circle"/>
            <c:size val="4"/>
            <c:spPr>
              <a:noFill/>
              <a:ln>
                <a:solidFill>
                  <a:schemeClr val="accent6">
                    <a:lumMod val="75000"/>
                  </a:schemeClr>
                </a:solidFill>
              </a:ln>
            </c:spPr>
          </c:marker>
          <c:cat>
            <c:multiLvlStrRef>
              <c:f>'Trh práce-2b'!$J$29:$AP$30</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2012</c:v>
                  </c:pt>
                  <c:pt idx="4">
                    <c:v>2013</c:v>
                  </c:pt>
                  <c:pt idx="8">
                    <c:v>2014</c:v>
                  </c:pt>
                  <c:pt idx="12">
                    <c:v>2015</c:v>
                  </c:pt>
                  <c:pt idx="16">
                    <c:v>2016</c:v>
                  </c:pt>
                  <c:pt idx="20">
                    <c:v>2017</c:v>
                  </c:pt>
                  <c:pt idx="24">
                    <c:v>2018</c:v>
                  </c:pt>
                  <c:pt idx="28">
                    <c:v>2019</c:v>
                  </c:pt>
                  <c:pt idx="32">
                    <c:v>2020</c:v>
                  </c:pt>
                </c:lvl>
              </c:multiLvlStrCache>
            </c:multiLvlStrRef>
          </c:cat>
          <c:val>
            <c:numRef>
              <c:f>'Trh práce-2b'!$J$37:$AP$37</c:f>
              <c:numCache>
                <c:formatCode>#\ ##0.0</c:formatCode>
                <c:ptCount val="33"/>
                <c:pt idx="0">
                  <c:v>39.905999999999999</c:v>
                </c:pt>
                <c:pt idx="1">
                  <c:v>42.779000000000003</c:v>
                </c:pt>
                <c:pt idx="2">
                  <c:v>40.808999999999997</c:v>
                </c:pt>
                <c:pt idx="3">
                  <c:v>34.893000000000001</c:v>
                </c:pt>
                <c:pt idx="4">
                  <c:v>38.863</c:v>
                </c:pt>
                <c:pt idx="5">
                  <c:v>44.034999999999997</c:v>
                </c:pt>
                <c:pt idx="6">
                  <c:v>41.421999999999997</c:v>
                </c:pt>
                <c:pt idx="7">
                  <c:v>35.177999999999997</c:v>
                </c:pt>
                <c:pt idx="8">
                  <c:v>40.808</c:v>
                </c:pt>
                <c:pt idx="9">
                  <c:v>49.478999999999999</c:v>
                </c:pt>
                <c:pt idx="10">
                  <c:v>56.555999999999997</c:v>
                </c:pt>
                <c:pt idx="11">
                  <c:v>58.738999999999997</c:v>
                </c:pt>
                <c:pt idx="12">
                  <c:v>76.05</c:v>
                </c:pt>
                <c:pt idx="13">
                  <c:v>96.983000000000004</c:v>
                </c:pt>
                <c:pt idx="14">
                  <c:v>108.57299999999999</c:v>
                </c:pt>
                <c:pt idx="15">
                  <c:v>102.545</c:v>
                </c:pt>
                <c:pt idx="16">
                  <c:v>117.33499999999999</c:v>
                </c:pt>
                <c:pt idx="17">
                  <c:v>133.93899999999999</c:v>
                </c:pt>
                <c:pt idx="18">
                  <c:v>140.99299999999999</c:v>
                </c:pt>
                <c:pt idx="19">
                  <c:v>132.49600000000001</c:v>
                </c:pt>
                <c:pt idx="20">
                  <c:v>150.917</c:v>
                </c:pt>
                <c:pt idx="21">
                  <c:v>183.5</c:v>
                </c:pt>
                <c:pt idx="22">
                  <c:v>206.08099999999999</c:v>
                </c:pt>
                <c:pt idx="23">
                  <c:v>216.62899999999999</c:v>
                </c:pt>
                <c:pt idx="24">
                  <c:v>253.52199999999999</c:v>
                </c:pt>
                <c:pt idx="25">
                  <c:v>301.51600000000002</c:v>
                </c:pt>
                <c:pt idx="26">
                  <c:v>316.13200000000001</c:v>
                </c:pt>
                <c:pt idx="27">
                  <c:v>324.41000000000003</c:v>
                </c:pt>
                <c:pt idx="28">
                  <c:v>339.33100000000002</c:v>
                </c:pt>
                <c:pt idx="29">
                  <c:v>342.51</c:v>
                </c:pt>
                <c:pt idx="30">
                  <c:v>345.35399999999998</c:v>
                </c:pt>
                <c:pt idx="31">
                  <c:v>340.95699999999999</c:v>
                </c:pt>
                <c:pt idx="32" formatCode="0.0">
                  <c:v>342.28699999999998</c:v>
                </c:pt>
              </c:numCache>
            </c:numRef>
          </c:val>
          <c:smooth val="0"/>
          <c:extLst>
            <c:ext xmlns:c16="http://schemas.microsoft.com/office/drawing/2014/chart" uri="{C3380CC4-5D6E-409C-BE32-E72D297353CC}">
              <c16:uniqueId val="{00000004-D96A-45F3-8D1E-261EE6D871CF}"/>
            </c:ext>
          </c:extLst>
        </c:ser>
        <c:ser>
          <c:idx val="7"/>
          <c:order val="5"/>
          <c:tx>
            <c:strRef>
              <c:f>'Trh práce-2b'!$A$38</c:f>
              <c:strCache>
                <c:ptCount val="1"/>
                <c:pt idx="0">
                  <c:v>VPM kromě ZŠ vzdělání* (pravá osa)</c:v>
                </c:pt>
              </c:strCache>
            </c:strRef>
          </c:tx>
          <c:spPr>
            <a:ln w="6350">
              <a:solidFill>
                <a:schemeClr val="accent6">
                  <a:lumMod val="75000"/>
                </a:schemeClr>
              </a:solidFill>
              <a:prstDash val="sysDot"/>
            </a:ln>
          </c:spPr>
          <c:marker>
            <c:symbol val="circle"/>
            <c:size val="4"/>
            <c:spPr>
              <a:solidFill>
                <a:schemeClr val="accent6">
                  <a:lumMod val="75000"/>
                </a:schemeClr>
              </a:solidFill>
              <a:ln>
                <a:solidFill>
                  <a:schemeClr val="accent6">
                    <a:lumMod val="75000"/>
                  </a:schemeClr>
                </a:solidFill>
              </a:ln>
            </c:spPr>
          </c:marker>
          <c:cat>
            <c:multiLvlStrRef>
              <c:f>'Trh práce-2b'!$J$29:$AP$30</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2012</c:v>
                  </c:pt>
                  <c:pt idx="4">
                    <c:v>2013</c:v>
                  </c:pt>
                  <c:pt idx="8">
                    <c:v>2014</c:v>
                  </c:pt>
                  <c:pt idx="12">
                    <c:v>2015</c:v>
                  </c:pt>
                  <c:pt idx="16">
                    <c:v>2016</c:v>
                  </c:pt>
                  <c:pt idx="20">
                    <c:v>2017</c:v>
                  </c:pt>
                  <c:pt idx="24">
                    <c:v>2018</c:v>
                  </c:pt>
                  <c:pt idx="28">
                    <c:v>2019</c:v>
                  </c:pt>
                  <c:pt idx="32">
                    <c:v>2020</c:v>
                  </c:pt>
                </c:lvl>
              </c:multiLvlStrCache>
            </c:multiLvlStrRef>
          </c:cat>
          <c:val>
            <c:numRef>
              <c:f>'Trh práce-2b'!$J$38:$AP$38</c:f>
              <c:numCache>
                <c:formatCode>#\ ##0.0</c:formatCode>
                <c:ptCount val="33"/>
                <c:pt idx="0">
                  <c:v>26.670999999999999</c:v>
                </c:pt>
                <c:pt idx="1">
                  <c:v>28.192</c:v>
                </c:pt>
                <c:pt idx="2">
                  <c:v>25.690999999999999</c:v>
                </c:pt>
                <c:pt idx="3">
                  <c:v>22.670999999999999</c:v>
                </c:pt>
                <c:pt idx="4">
                  <c:v>23.064</c:v>
                </c:pt>
                <c:pt idx="5">
                  <c:v>30.058</c:v>
                </c:pt>
                <c:pt idx="6">
                  <c:v>28.952999999999999</c:v>
                </c:pt>
                <c:pt idx="7">
                  <c:v>24.513999999999999</c:v>
                </c:pt>
                <c:pt idx="8">
                  <c:v>27.06</c:v>
                </c:pt>
                <c:pt idx="9">
                  <c:v>32.655999999999999</c:v>
                </c:pt>
                <c:pt idx="10">
                  <c:v>37.067</c:v>
                </c:pt>
                <c:pt idx="11">
                  <c:v>37.103000000000002</c:v>
                </c:pt>
                <c:pt idx="12">
                  <c:v>48.295000000000002</c:v>
                </c:pt>
                <c:pt idx="13">
                  <c:v>59.043999999999997</c:v>
                </c:pt>
                <c:pt idx="14">
                  <c:v>64.417000000000002</c:v>
                </c:pt>
                <c:pt idx="15">
                  <c:v>60.841000000000001</c:v>
                </c:pt>
                <c:pt idx="16">
                  <c:v>68.686000000000007</c:v>
                </c:pt>
                <c:pt idx="17">
                  <c:v>76.167000000000002</c:v>
                </c:pt>
                <c:pt idx="18">
                  <c:v>77.968999999999994</c:v>
                </c:pt>
                <c:pt idx="19">
                  <c:v>70.683999999999997</c:v>
                </c:pt>
                <c:pt idx="20">
                  <c:v>77.387</c:v>
                </c:pt>
                <c:pt idx="21">
                  <c:v>89.350999999999999</c:v>
                </c:pt>
                <c:pt idx="22">
                  <c:v>94.557000000000002</c:v>
                </c:pt>
                <c:pt idx="23">
                  <c:v>92.731999999999999</c:v>
                </c:pt>
                <c:pt idx="24">
                  <c:v>99.638999999999996</c:v>
                </c:pt>
                <c:pt idx="25">
                  <c:v>111.25</c:v>
                </c:pt>
                <c:pt idx="26">
                  <c:v>111.431</c:v>
                </c:pt>
                <c:pt idx="27">
                  <c:v>106.94199999999999</c:v>
                </c:pt>
                <c:pt idx="28">
                  <c:v>107.41800000000001</c:v>
                </c:pt>
                <c:pt idx="29">
                  <c:v>106.22799999999999</c:v>
                </c:pt>
                <c:pt idx="30">
                  <c:v>104.42700000000001</c:v>
                </c:pt>
                <c:pt idx="31">
                  <c:v>95.4</c:v>
                </c:pt>
                <c:pt idx="32" formatCode="0.0">
                  <c:v>95.394000000000005</c:v>
                </c:pt>
              </c:numCache>
            </c:numRef>
          </c:val>
          <c:smooth val="0"/>
          <c:extLst>
            <c:ext xmlns:c16="http://schemas.microsoft.com/office/drawing/2014/chart" uri="{C3380CC4-5D6E-409C-BE32-E72D297353CC}">
              <c16:uniqueId val="{00000005-D96A-45F3-8D1E-261EE6D871CF}"/>
            </c:ext>
          </c:extLst>
        </c:ser>
        <c:ser>
          <c:idx val="4"/>
          <c:order val="6"/>
          <c:tx>
            <c:strRef>
              <c:f>'Trh práce-2b'!$A$35</c:f>
              <c:strCache>
                <c:ptCount val="1"/>
                <c:pt idx="0">
                  <c:v>Ekon.neaktiv.chtějící pracovat (pr. osa)**</c:v>
                </c:pt>
              </c:strCache>
            </c:strRef>
          </c:tx>
          <c:spPr>
            <a:ln w="22225"/>
          </c:spPr>
          <c:marker>
            <c:symbol val="none"/>
          </c:marker>
          <c:cat>
            <c:multiLvlStrRef>
              <c:f>'Trh práce-2b'!$J$29:$AP$30</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2012</c:v>
                  </c:pt>
                  <c:pt idx="4">
                    <c:v>2013</c:v>
                  </c:pt>
                  <c:pt idx="8">
                    <c:v>2014</c:v>
                  </c:pt>
                  <c:pt idx="12">
                    <c:v>2015</c:v>
                  </c:pt>
                  <c:pt idx="16">
                    <c:v>2016</c:v>
                  </c:pt>
                  <c:pt idx="20">
                    <c:v>2017</c:v>
                  </c:pt>
                  <c:pt idx="24">
                    <c:v>2018</c:v>
                  </c:pt>
                  <c:pt idx="28">
                    <c:v>2019</c:v>
                  </c:pt>
                  <c:pt idx="32">
                    <c:v>2020</c:v>
                  </c:pt>
                </c:lvl>
              </c:multiLvlStrCache>
            </c:multiLvlStrRef>
          </c:cat>
          <c:val>
            <c:numRef>
              <c:f>'Trh práce-2b'!$J$35:$AP$35</c:f>
              <c:numCache>
                <c:formatCode>0.0</c:formatCode>
                <c:ptCount val="33"/>
                <c:pt idx="0">
                  <c:v>196.60000000000002</c:v>
                </c:pt>
                <c:pt idx="1">
                  <c:v>176.5</c:v>
                </c:pt>
                <c:pt idx="2">
                  <c:v>166.9</c:v>
                </c:pt>
                <c:pt idx="3">
                  <c:v>154.60000000000002</c:v>
                </c:pt>
                <c:pt idx="4">
                  <c:v>167.8</c:v>
                </c:pt>
                <c:pt idx="5">
                  <c:v>147.19999999999999</c:v>
                </c:pt>
                <c:pt idx="6">
                  <c:v>138.80000000000001</c:v>
                </c:pt>
                <c:pt idx="7">
                  <c:v>139.30000000000001</c:v>
                </c:pt>
                <c:pt idx="8">
                  <c:v>145.4</c:v>
                </c:pt>
                <c:pt idx="9">
                  <c:v>137.1</c:v>
                </c:pt>
                <c:pt idx="10">
                  <c:v>129</c:v>
                </c:pt>
                <c:pt idx="11">
                  <c:v>127.10000000000001</c:v>
                </c:pt>
                <c:pt idx="12" formatCode="General">
                  <c:v>138.5</c:v>
                </c:pt>
                <c:pt idx="13" formatCode="General">
                  <c:v>141.4</c:v>
                </c:pt>
                <c:pt idx="14" formatCode="General">
                  <c:v>137.1</c:v>
                </c:pt>
                <c:pt idx="15" formatCode="General">
                  <c:v>130.4</c:v>
                </c:pt>
                <c:pt idx="16" formatCode="General">
                  <c:v>141</c:v>
                </c:pt>
                <c:pt idx="17" formatCode="General">
                  <c:v>126.4</c:v>
                </c:pt>
                <c:pt idx="18" formatCode="General">
                  <c:v>129.69999999999999</c:v>
                </c:pt>
                <c:pt idx="19" formatCode="General">
                  <c:v>127.1</c:v>
                </c:pt>
                <c:pt idx="20">
                  <c:v>133.1</c:v>
                </c:pt>
                <c:pt idx="21">
                  <c:v>120.1</c:v>
                </c:pt>
                <c:pt idx="22">
                  <c:v>121.3</c:v>
                </c:pt>
                <c:pt idx="23">
                  <c:v>119.1</c:v>
                </c:pt>
                <c:pt idx="24">
                  <c:v>113.5</c:v>
                </c:pt>
                <c:pt idx="25">
                  <c:v>108.4</c:v>
                </c:pt>
                <c:pt idx="26">
                  <c:v>110.3</c:v>
                </c:pt>
                <c:pt idx="27">
                  <c:v>101.7</c:v>
                </c:pt>
                <c:pt idx="28">
                  <c:v>104.6</c:v>
                </c:pt>
                <c:pt idx="29">
                  <c:v>104.6</c:v>
                </c:pt>
                <c:pt idx="30">
                  <c:v>98</c:v>
                </c:pt>
                <c:pt idx="31">
                  <c:v>99.9</c:v>
                </c:pt>
                <c:pt idx="32">
                  <c:v>93.4</c:v>
                </c:pt>
              </c:numCache>
            </c:numRef>
          </c:val>
          <c:smooth val="0"/>
          <c:extLst>
            <c:ext xmlns:c16="http://schemas.microsoft.com/office/drawing/2014/chart" uri="{C3380CC4-5D6E-409C-BE32-E72D297353CC}">
              <c16:uniqueId val="{00000006-D96A-45F3-8D1E-261EE6D871CF}"/>
            </c:ext>
          </c:extLst>
        </c:ser>
        <c:dLbls>
          <c:showLegendKey val="0"/>
          <c:showVal val="0"/>
          <c:showCatName val="0"/>
          <c:showSerName val="0"/>
          <c:showPercent val="0"/>
          <c:showBubbleSize val="0"/>
        </c:dLbls>
        <c:marker val="1"/>
        <c:smooth val="0"/>
        <c:axId val="331670576"/>
        <c:axId val="323971328"/>
      </c:lineChart>
      <c:catAx>
        <c:axId val="100654464"/>
        <c:scaling>
          <c:orientation val="minMax"/>
        </c:scaling>
        <c:delete val="0"/>
        <c:axPos val="b"/>
        <c:numFmt formatCode="General" sourceLinked="0"/>
        <c:majorTickMark val="out"/>
        <c:minorTickMark val="none"/>
        <c:tickLblPos val="low"/>
        <c:spPr>
          <a:ln>
            <a:solidFill>
              <a:schemeClr val="tx1"/>
            </a:solidFill>
          </a:ln>
        </c:spPr>
        <c:crossAx val="101647488"/>
        <c:crossesAt val="-50"/>
        <c:auto val="1"/>
        <c:lblAlgn val="ctr"/>
        <c:lblOffset val="0"/>
        <c:noMultiLvlLbl val="0"/>
      </c:catAx>
      <c:valAx>
        <c:axId val="101647488"/>
        <c:scaling>
          <c:orientation val="minMax"/>
          <c:max val="9"/>
          <c:min val="0"/>
        </c:scaling>
        <c:delete val="0"/>
        <c:axPos val="l"/>
        <c:majorGridlines>
          <c:spPr>
            <a:ln w="6350">
              <a:solidFill>
                <a:schemeClr val="bg1">
                  <a:lumMod val="75000"/>
                </a:schemeClr>
              </a:solidFill>
            </a:ln>
          </c:spPr>
        </c:majorGridlines>
        <c:title>
          <c:tx>
            <c:rich>
              <a:bodyPr/>
              <a:lstStyle/>
              <a:p>
                <a:pPr>
                  <a:defRPr sz="700" b="0" i="1"/>
                </a:pPr>
                <a:r>
                  <a:rPr lang="cs-CZ" sz="700" b="0" i="1"/>
                  <a:t>Míra</a:t>
                </a:r>
                <a:r>
                  <a:rPr lang="cs-CZ" sz="700" b="0" i="1" baseline="0"/>
                  <a:t> nezaměstnanosti</a:t>
                </a:r>
                <a:endParaRPr lang="cs-CZ" sz="700" b="0" i="1"/>
              </a:p>
            </c:rich>
          </c:tx>
          <c:overlay val="0"/>
        </c:title>
        <c:numFmt formatCode="0" sourceLinked="0"/>
        <c:majorTickMark val="out"/>
        <c:minorTickMark val="none"/>
        <c:tickLblPos val="nextTo"/>
        <c:spPr>
          <a:ln>
            <a:solidFill>
              <a:schemeClr val="tx1"/>
            </a:solidFill>
          </a:ln>
        </c:spPr>
        <c:crossAx val="100654464"/>
        <c:crosses val="autoZero"/>
        <c:crossBetween val="between"/>
        <c:majorUnit val="1"/>
      </c:valAx>
      <c:valAx>
        <c:axId val="323971328"/>
        <c:scaling>
          <c:orientation val="minMax"/>
          <c:max val="360"/>
          <c:min val="0"/>
        </c:scaling>
        <c:delete val="0"/>
        <c:axPos val="r"/>
        <c:title>
          <c:tx>
            <c:rich>
              <a:bodyPr/>
              <a:lstStyle/>
              <a:p>
                <a:pPr>
                  <a:defRPr sz="700" b="0" i="1"/>
                </a:pPr>
                <a:r>
                  <a:rPr lang="cs-CZ" sz="700" b="0" i="1"/>
                  <a:t>Počet</a:t>
                </a:r>
                <a:r>
                  <a:rPr lang="cs-CZ" sz="700" b="0" i="1" baseline="0"/>
                  <a:t> ek. neaktivních, volných míst, p</a:t>
                </a:r>
                <a:r>
                  <a:rPr lang="cs-CZ" sz="700" b="0" i="1"/>
                  <a:t>odíl</a:t>
                </a:r>
                <a:r>
                  <a:rPr lang="cs-CZ" sz="700" b="0" i="1" baseline="0"/>
                  <a:t> nezaměstn.</a:t>
                </a:r>
                <a:endParaRPr lang="cs-CZ" sz="700" b="0" i="1"/>
              </a:p>
            </c:rich>
          </c:tx>
          <c:overlay val="0"/>
        </c:title>
        <c:numFmt formatCode="#,##0" sourceLinked="0"/>
        <c:majorTickMark val="out"/>
        <c:minorTickMark val="none"/>
        <c:tickLblPos val="nextTo"/>
        <c:crossAx val="331670576"/>
        <c:crosses val="max"/>
        <c:crossBetween val="between"/>
        <c:majorUnit val="40"/>
      </c:valAx>
      <c:catAx>
        <c:axId val="331670576"/>
        <c:scaling>
          <c:orientation val="minMax"/>
        </c:scaling>
        <c:delete val="1"/>
        <c:axPos val="b"/>
        <c:numFmt formatCode="General" sourceLinked="1"/>
        <c:majorTickMark val="out"/>
        <c:minorTickMark val="none"/>
        <c:tickLblPos val="nextTo"/>
        <c:crossAx val="323971328"/>
        <c:crosses val="autoZero"/>
        <c:auto val="1"/>
        <c:lblAlgn val="ctr"/>
        <c:lblOffset val="100"/>
        <c:noMultiLvlLbl val="0"/>
      </c:catAx>
      <c:spPr>
        <a:ln>
          <a:solidFill>
            <a:schemeClr val="tx1"/>
          </a:solidFill>
        </a:ln>
      </c:spPr>
    </c:plotArea>
    <c:legend>
      <c:legendPos val="b"/>
      <c:layout>
        <c:manualLayout>
          <c:xMode val="edge"/>
          <c:yMode val="edge"/>
          <c:x val="2.0411716257698633E-2"/>
          <c:y val="0.86157986370026796"/>
          <c:w val="0.95739403855826788"/>
          <c:h val="0.13472224782287404"/>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0091348527306885E-2"/>
          <c:y val="1.6549886621315273E-2"/>
          <c:w val="0.94100987714831696"/>
          <c:h val="0.76395209750566906"/>
        </c:manualLayout>
      </c:layout>
      <c:barChart>
        <c:barDir val="col"/>
        <c:grouping val="clustered"/>
        <c:varyColors val="0"/>
        <c:ser>
          <c:idx val="4"/>
          <c:order val="1"/>
          <c:tx>
            <c:strRef>
              <c:f>'Trh práce 3'!$D$8</c:f>
              <c:strCache>
                <c:ptCount val="1"/>
                <c:pt idx="0">
                  <c:v>Průměrná mzda celkem (reálně)</c:v>
                </c:pt>
              </c:strCache>
            </c:strRef>
          </c:tx>
          <c:spPr>
            <a:solidFill>
              <a:srgbClr val="DBDBDB"/>
            </a:solidFill>
            <a:ln w="19050">
              <a:noFill/>
            </a:ln>
          </c:spPr>
          <c:invertIfNegative val="0"/>
          <c:cat>
            <c:multiLvlStrRef>
              <c:f>'Trh práce 3'!$A$17:$B$49</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2012</c:v>
                  </c:pt>
                  <c:pt idx="4">
                    <c:v>2013</c:v>
                  </c:pt>
                  <c:pt idx="8">
                    <c:v>2014</c:v>
                  </c:pt>
                  <c:pt idx="12">
                    <c:v>2015</c:v>
                  </c:pt>
                  <c:pt idx="16">
                    <c:v>2016</c:v>
                  </c:pt>
                  <c:pt idx="20">
                    <c:v>2017</c:v>
                  </c:pt>
                  <c:pt idx="24">
                    <c:v>2018</c:v>
                  </c:pt>
                  <c:pt idx="28">
                    <c:v>2019</c:v>
                  </c:pt>
                  <c:pt idx="32">
                    <c:v>2020</c:v>
                  </c:pt>
                </c:lvl>
              </c:multiLvlStrCache>
            </c:multiLvlStrRef>
          </c:cat>
          <c:val>
            <c:numRef>
              <c:f>'Trh práce 3'!$D$17:$D$49</c:f>
              <c:numCache>
                <c:formatCode>#,##0.0</c:formatCode>
                <c:ptCount val="33"/>
                <c:pt idx="0">
                  <c:v>-0.5</c:v>
                </c:pt>
                <c:pt idx="1">
                  <c:v>-1.2999999999999972</c:v>
                </c:pt>
                <c:pt idx="2">
                  <c:v>-1.7999999999999972</c:v>
                </c:pt>
                <c:pt idx="3">
                  <c:v>0.40000000000000568</c:v>
                </c:pt>
                <c:pt idx="4">
                  <c:v>-2.4000000000000057</c:v>
                </c:pt>
                <c:pt idx="5">
                  <c:v>-0.5</c:v>
                </c:pt>
                <c:pt idx="6">
                  <c:v>0</c:v>
                </c:pt>
                <c:pt idx="7">
                  <c:v>-3.0999999999999943</c:v>
                </c:pt>
                <c:pt idx="8">
                  <c:v>3.7000000000000028</c:v>
                </c:pt>
                <c:pt idx="9">
                  <c:v>2.5999999999999943</c:v>
                </c:pt>
                <c:pt idx="10">
                  <c:v>1.5999999999999943</c:v>
                </c:pt>
                <c:pt idx="11">
                  <c:v>2.2999999999999972</c:v>
                </c:pt>
                <c:pt idx="12">
                  <c:v>2.2000000000000028</c:v>
                </c:pt>
                <c:pt idx="13">
                  <c:v>2.5999999999999943</c:v>
                </c:pt>
                <c:pt idx="14">
                  <c:v>3.0999999999999943</c:v>
                </c:pt>
                <c:pt idx="15">
                  <c:v>3.5999999999999943</c:v>
                </c:pt>
                <c:pt idx="16">
                  <c:v>4.2000000000000028</c:v>
                </c:pt>
                <c:pt idx="17">
                  <c:v>3.7999999999999972</c:v>
                </c:pt>
                <c:pt idx="18">
                  <c:v>4.2000000000000028</c:v>
                </c:pt>
                <c:pt idx="19">
                  <c:v>3</c:v>
                </c:pt>
                <c:pt idx="20">
                  <c:v>2.5999999999999943</c:v>
                </c:pt>
                <c:pt idx="21">
                  <c:v>4.9000000000000057</c:v>
                </c:pt>
                <c:pt idx="22">
                  <c:v>4.0999999999999943</c:v>
                </c:pt>
                <c:pt idx="23">
                  <c:v>5.0999999999999943</c:v>
                </c:pt>
                <c:pt idx="24">
                  <c:v>6.5</c:v>
                </c:pt>
                <c:pt idx="25">
                  <c:v>6.2999999999999972</c:v>
                </c:pt>
                <c:pt idx="26">
                  <c:v>5.9000000000000057</c:v>
                </c:pt>
                <c:pt idx="27">
                  <c:v>4.9000000000000057</c:v>
                </c:pt>
                <c:pt idx="28">
                  <c:v>3.9000000000000057</c:v>
                </c:pt>
                <c:pt idx="29">
                  <c:v>3.7000000000000028</c:v>
                </c:pt>
                <c:pt idx="30">
                  <c:v>3.4000000000000057</c:v>
                </c:pt>
                <c:pt idx="31">
                  <c:v>3.0999999999999943</c:v>
                </c:pt>
                <c:pt idx="32" formatCode="0.0">
                  <c:v>1.4000000000000057</c:v>
                </c:pt>
              </c:numCache>
            </c:numRef>
          </c:val>
          <c:extLst>
            <c:ext xmlns:c16="http://schemas.microsoft.com/office/drawing/2014/chart" uri="{C3380CC4-5D6E-409C-BE32-E72D297353CC}">
              <c16:uniqueId val="{00000000-A684-4BB5-BD29-5C7AB9FC61AF}"/>
            </c:ext>
          </c:extLst>
        </c:ser>
        <c:dLbls>
          <c:showLegendKey val="0"/>
          <c:showVal val="0"/>
          <c:showCatName val="0"/>
          <c:showSerName val="0"/>
          <c:showPercent val="0"/>
          <c:showBubbleSize val="0"/>
        </c:dLbls>
        <c:gapWidth val="37"/>
        <c:axId val="100688640"/>
        <c:axId val="100690560"/>
      </c:barChart>
      <c:lineChart>
        <c:grouping val="standard"/>
        <c:varyColors val="0"/>
        <c:ser>
          <c:idx val="0"/>
          <c:order val="0"/>
          <c:tx>
            <c:strRef>
              <c:f>'Trh práce 3'!$C$8</c:f>
              <c:strCache>
                <c:ptCount val="1"/>
                <c:pt idx="0">
                  <c:v>Průměrná mzda celkem (nominálně)</c:v>
                </c:pt>
              </c:strCache>
            </c:strRef>
          </c:tx>
          <c:spPr>
            <a:ln w="19050">
              <a:solidFill>
                <a:schemeClr val="tx1">
                  <a:lumMod val="95000"/>
                  <a:lumOff val="5000"/>
                </a:schemeClr>
              </a:solidFill>
            </a:ln>
          </c:spPr>
          <c:marker>
            <c:symbol val="none"/>
          </c:marker>
          <c:cat>
            <c:multiLvlStrRef>
              <c:f>'Trh práce 3'!$A$17:$B$49</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2012</c:v>
                  </c:pt>
                  <c:pt idx="4">
                    <c:v>2013</c:v>
                  </c:pt>
                  <c:pt idx="8">
                    <c:v>2014</c:v>
                  </c:pt>
                  <c:pt idx="12">
                    <c:v>2015</c:v>
                  </c:pt>
                  <c:pt idx="16">
                    <c:v>2016</c:v>
                  </c:pt>
                  <c:pt idx="20">
                    <c:v>2017</c:v>
                  </c:pt>
                  <c:pt idx="24">
                    <c:v>2018</c:v>
                  </c:pt>
                  <c:pt idx="28">
                    <c:v>2019</c:v>
                  </c:pt>
                  <c:pt idx="32">
                    <c:v>2020</c:v>
                  </c:pt>
                </c:lvl>
              </c:multiLvlStrCache>
            </c:multiLvlStrRef>
          </c:cat>
          <c:val>
            <c:numRef>
              <c:f>'Trh práce 3'!$C$17:$C$49</c:f>
              <c:numCache>
                <c:formatCode>0.0</c:formatCode>
                <c:ptCount val="33"/>
                <c:pt idx="0">
                  <c:v>3.2000000000000028</c:v>
                </c:pt>
                <c:pt idx="1">
                  <c:v>2.0999999999999943</c:v>
                </c:pt>
                <c:pt idx="2">
                  <c:v>1.4000000000000057</c:v>
                </c:pt>
                <c:pt idx="3">
                  <c:v>3.2000000000000028</c:v>
                </c:pt>
                <c:pt idx="4">
                  <c:v>-0.59999999999999432</c:v>
                </c:pt>
                <c:pt idx="5">
                  <c:v>1</c:v>
                </c:pt>
                <c:pt idx="6">
                  <c:v>1.2000000000000028</c:v>
                </c:pt>
                <c:pt idx="7">
                  <c:v>-2</c:v>
                </c:pt>
                <c:pt idx="8">
                  <c:v>3.9000000000000057</c:v>
                </c:pt>
                <c:pt idx="9">
                  <c:v>2.7999999999999972</c:v>
                </c:pt>
                <c:pt idx="10">
                  <c:v>2.2000000000000028</c:v>
                </c:pt>
                <c:pt idx="11">
                  <c:v>2.7999999999999972</c:v>
                </c:pt>
                <c:pt idx="12">
                  <c:v>2.2999999999999972</c:v>
                </c:pt>
                <c:pt idx="13">
                  <c:v>3.2999999999999972</c:v>
                </c:pt>
                <c:pt idx="14">
                  <c:v>3.5</c:v>
                </c:pt>
                <c:pt idx="15">
                  <c:v>3.7000000000000028</c:v>
                </c:pt>
                <c:pt idx="16">
                  <c:v>4.7000000000000028</c:v>
                </c:pt>
                <c:pt idx="17">
                  <c:v>4</c:v>
                </c:pt>
                <c:pt idx="18">
                  <c:v>4.7000000000000028</c:v>
                </c:pt>
                <c:pt idx="19">
                  <c:v>4.4000000000000057</c:v>
                </c:pt>
                <c:pt idx="20">
                  <c:v>5.0999999999999943</c:v>
                </c:pt>
                <c:pt idx="21">
                  <c:v>7.2000000000000028</c:v>
                </c:pt>
                <c:pt idx="22">
                  <c:v>6.7000000000000028</c:v>
                </c:pt>
                <c:pt idx="23">
                  <c:v>7.7999999999999972</c:v>
                </c:pt>
                <c:pt idx="24">
                  <c:v>8.5</c:v>
                </c:pt>
                <c:pt idx="25">
                  <c:v>8.7000000000000028</c:v>
                </c:pt>
                <c:pt idx="26">
                  <c:v>8.4000000000000057</c:v>
                </c:pt>
                <c:pt idx="27">
                  <c:v>7.0999999999999943</c:v>
                </c:pt>
                <c:pt idx="28">
                  <c:v>6.7000000000000028</c:v>
                </c:pt>
                <c:pt idx="29">
                  <c:v>6.5999999999999943</c:v>
                </c:pt>
                <c:pt idx="30">
                  <c:v>6.2999999999999972</c:v>
                </c:pt>
                <c:pt idx="31">
                  <c:v>6.2000000000000028</c:v>
                </c:pt>
                <c:pt idx="32">
                  <c:v>5</c:v>
                </c:pt>
              </c:numCache>
            </c:numRef>
          </c:val>
          <c:smooth val="0"/>
          <c:extLst>
            <c:ext xmlns:c16="http://schemas.microsoft.com/office/drawing/2014/chart" uri="{C3380CC4-5D6E-409C-BE32-E72D297353CC}">
              <c16:uniqueId val="{00000001-A684-4BB5-BD29-5C7AB9FC61AF}"/>
            </c:ext>
          </c:extLst>
        </c:ser>
        <c:ser>
          <c:idx val="5"/>
          <c:order val="2"/>
          <c:tx>
            <c:strRef>
              <c:f>'Trh práce 3'!$E$8</c:f>
              <c:strCache>
                <c:ptCount val="1"/>
                <c:pt idx="0">
                  <c:v>Prům. mzda ve zprac. průmyslu (nomin.)</c:v>
                </c:pt>
              </c:strCache>
            </c:strRef>
          </c:tx>
          <c:spPr>
            <a:ln w="9525">
              <a:solidFill>
                <a:srgbClr val="C00000"/>
              </a:solidFill>
              <a:prstDash val="solid"/>
            </a:ln>
          </c:spPr>
          <c:marker>
            <c:symbol val="none"/>
          </c:marker>
          <c:cat>
            <c:multiLvlStrRef>
              <c:f>'Trh práce 3'!$A$17:$B$49</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2012</c:v>
                  </c:pt>
                  <c:pt idx="4">
                    <c:v>2013</c:v>
                  </c:pt>
                  <c:pt idx="8">
                    <c:v>2014</c:v>
                  </c:pt>
                  <c:pt idx="12">
                    <c:v>2015</c:v>
                  </c:pt>
                  <c:pt idx="16">
                    <c:v>2016</c:v>
                  </c:pt>
                  <c:pt idx="20">
                    <c:v>2017</c:v>
                  </c:pt>
                  <c:pt idx="24">
                    <c:v>2018</c:v>
                  </c:pt>
                  <c:pt idx="28">
                    <c:v>2019</c:v>
                  </c:pt>
                  <c:pt idx="32">
                    <c:v>2020</c:v>
                  </c:pt>
                </c:lvl>
              </c:multiLvlStrCache>
            </c:multiLvlStrRef>
          </c:cat>
          <c:val>
            <c:numRef>
              <c:f>'Trh práce 3'!$E$17:$E$49</c:f>
              <c:numCache>
                <c:formatCode>0.0</c:formatCode>
                <c:ptCount val="33"/>
                <c:pt idx="0">
                  <c:v>3.8288288288288186</c:v>
                </c:pt>
                <c:pt idx="1">
                  <c:v>3.0152655704613238</c:v>
                </c:pt>
                <c:pt idx="2">
                  <c:v>1.9056571526234762</c:v>
                </c:pt>
                <c:pt idx="3">
                  <c:v>2.9589778076664572</c:v>
                </c:pt>
                <c:pt idx="4">
                  <c:v>0.506146059291396</c:v>
                </c:pt>
                <c:pt idx="5">
                  <c:v>1.9962442847811843</c:v>
                </c:pt>
                <c:pt idx="6">
                  <c:v>2.259958071278831</c:v>
                </c:pt>
                <c:pt idx="7">
                  <c:v>0.53021861912630186</c:v>
                </c:pt>
                <c:pt idx="8">
                  <c:v>4.7947524333474405</c:v>
                </c:pt>
                <c:pt idx="9">
                  <c:v>3.366019611767058</c:v>
                </c:pt>
                <c:pt idx="10">
                  <c:v>2.8824470047972568</c:v>
                </c:pt>
                <c:pt idx="11">
                  <c:v>3.6690235046818316</c:v>
                </c:pt>
                <c:pt idx="12">
                  <c:v>1.9747203489076384</c:v>
                </c:pt>
                <c:pt idx="13">
                  <c:v>3.0821652598156817</c:v>
                </c:pt>
                <c:pt idx="14">
                  <c:v>3.263988522238165</c:v>
                </c:pt>
                <c:pt idx="15">
                  <c:v>3.2258064516128968</c:v>
                </c:pt>
                <c:pt idx="16">
                  <c:v>4.9619832092507465</c:v>
                </c:pt>
                <c:pt idx="17">
                  <c:v>4.2070468033956985</c:v>
                </c:pt>
                <c:pt idx="18">
                  <c:v>4.939986878159857</c:v>
                </c:pt>
                <c:pt idx="19">
                  <c:v>4.4500000000000028</c:v>
                </c:pt>
                <c:pt idx="20">
                  <c:v>5.3386153555932765</c:v>
                </c:pt>
                <c:pt idx="21">
                  <c:v>8.1825391103741651</c:v>
                </c:pt>
                <c:pt idx="22">
                  <c:v>6.9545070059946283</c:v>
                </c:pt>
                <c:pt idx="23">
                  <c:v>6.9958284893660618</c:v>
                </c:pt>
                <c:pt idx="24">
                  <c:v>7.8402578796561642</c:v>
                </c:pt>
                <c:pt idx="25">
                  <c:v>8.2566973210715702</c:v>
                </c:pt>
                <c:pt idx="26">
                  <c:v>7.3791348600508826</c:v>
                </c:pt>
                <c:pt idx="27">
                  <c:v>7.7943244279688173</c:v>
                </c:pt>
                <c:pt idx="28">
                  <c:v>5.7989305523265386</c:v>
                </c:pt>
                <c:pt idx="29">
                  <c:v>5.8848876577408475</c:v>
                </c:pt>
                <c:pt idx="30">
                  <c:v>5.3701806071474181</c:v>
                </c:pt>
                <c:pt idx="31">
                  <c:v>4.3402211615428001</c:v>
                </c:pt>
                <c:pt idx="32">
                  <c:v>3.9805368074085692</c:v>
                </c:pt>
              </c:numCache>
            </c:numRef>
          </c:val>
          <c:smooth val="0"/>
          <c:extLst>
            <c:ext xmlns:c16="http://schemas.microsoft.com/office/drawing/2014/chart" uri="{C3380CC4-5D6E-409C-BE32-E72D297353CC}">
              <c16:uniqueId val="{00000002-A684-4BB5-BD29-5C7AB9FC61AF}"/>
            </c:ext>
          </c:extLst>
        </c:ser>
        <c:ser>
          <c:idx val="1"/>
          <c:order val="3"/>
          <c:tx>
            <c:strRef>
              <c:f>'Trh práce 3'!$F$8</c:f>
              <c:strCache>
                <c:ptCount val="1"/>
                <c:pt idx="0">
                  <c:v>Prům. mzda v obchodu (nominálně)</c:v>
                </c:pt>
              </c:strCache>
            </c:strRef>
          </c:tx>
          <c:spPr>
            <a:ln w="9525">
              <a:solidFill>
                <a:srgbClr val="0070C0"/>
              </a:solidFill>
              <a:prstDash val="solid"/>
            </a:ln>
          </c:spPr>
          <c:marker>
            <c:symbol val="none"/>
          </c:marker>
          <c:cat>
            <c:multiLvlStrRef>
              <c:f>'Trh práce 3'!$A$17:$B$49</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2012</c:v>
                  </c:pt>
                  <c:pt idx="4">
                    <c:v>2013</c:v>
                  </c:pt>
                  <c:pt idx="8">
                    <c:v>2014</c:v>
                  </c:pt>
                  <c:pt idx="12">
                    <c:v>2015</c:v>
                  </c:pt>
                  <c:pt idx="16">
                    <c:v>2016</c:v>
                  </c:pt>
                  <c:pt idx="20">
                    <c:v>2017</c:v>
                  </c:pt>
                  <c:pt idx="24">
                    <c:v>2018</c:v>
                  </c:pt>
                  <c:pt idx="28">
                    <c:v>2019</c:v>
                  </c:pt>
                  <c:pt idx="32">
                    <c:v>2020</c:v>
                  </c:pt>
                </c:lvl>
              </c:multiLvlStrCache>
            </c:multiLvlStrRef>
          </c:cat>
          <c:val>
            <c:numRef>
              <c:f>'Trh práce 3'!$F$17:$F$49</c:f>
              <c:numCache>
                <c:formatCode>0.0</c:formatCode>
                <c:ptCount val="33"/>
                <c:pt idx="0">
                  <c:v>4.0793724042454897</c:v>
                </c:pt>
                <c:pt idx="1">
                  <c:v>0.74380901478710371</c:v>
                </c:pt>
                <c:pt idx="2">
                  <c:v>0.80315938942136711</c:v>
                </c:pt>
                <c:pt idx="3">
                  <c:v>3.3521825800414859</c:v>
                </c:pt>
                <c:pt idx="4">
                  <c:v>-0.36357187195176266</c:v>
                </c:pt>
                <c:pt idx="5">
                  <c:v>0.83115964454663072</c:v>
                </c:pt>
                <c:pt idx="6">
                  <c:v>1.2941849716071658</c:v>
                </c:pt>
                <c:pt idx="7">
                  <c:v>-4.6290100373942096</c:v>
                </c:pt>
                <c:pt idx="8">
                  <c:v>3.4576361694553128</c:v>
                </c:pt>
                <c:pt idx="9">
                  <c:v>4.1785416758012985</c:v>
                </c:pt>
                <c:pt idx="10">
                  <c:v>2.8899222111164136</c:v>
                </c:pt>
                <c:pt idx="11">
                  <c:v>2.761153989021409</c:v>
                </c:pt>
                <c:pt idx="12">
                  <c:v>3.1055099144049194</c:v>
                </c:pt>
                <c:pt idx="13">
                  <c:v>3.9141414141414117</c:v>
                </c:pt>
                <c:pt idx="14">
                  <c:v>3.949146815340427</c:v>
                </c:pt>
                <c:pt idx="15">
                  <c:v>5.7916298497871423</c:v>
                </c:pt>
                <c:pt idx="16">
                  <c:v>5.6443202202661524</c:v>
                </c:pt>
                <c:pt idx="17">
                  <c:v>3.9570676387201189</c:v>
                </c:pt>
                <c:pt idx="18">
                  <c:v>4.9977652269310511</c:v>
                </c:pt>
                <c:pt idx="19">
                  <c:v>4.4950645406226215</c:v>
                </c:pt>
                <c:pt idx="20">
                  <c:v>5.6231243089559229</c:v>
                </c:pt>
                <c:pt idx="21">
                  <c:v>7.9284684614485457</c:v>
                </c:pt>
                <c:pt idx="22">
                  <c:v>7.693200727526019</c:v>
                </c:pt>
                <c:pt idx="23">
                  <c:v>8.3926754832146457</c:v>
                </c:pt>
                <c:pt idx="24">
                  <c:v>7.2416629280693883</c:v>
                </c:pt>
                <c:pt idx="25">
                  <c:v>7.0392029456356937</c:v>
                </c:pt>
                <c:pt idx="26">
                  <c:v>6.8381903769449082</c:v>
                </c:pt>
                <c:pt idx="27">
                  <c:v>6.6970570490044992</c:v>
                </c:pt>
                <c:pt idx="28">
                  <c:v>7.819417814188597</c:v>
                </c:pt>
                <c:pt idx="29">
                  <c:v>5.5341966815054491</c:v>
                </c:pt>
                <c:pt idx="30">
                  <c:v>6.4442351674963021</c:v>
                </c:pt>
                <c:pt idx="31">
                  <c:v>4.3541090726313172</c:v>
                </c:pt>
                <c:pt idx="32">
                  <c:v>4.6204086911536564</c:v>
                </c:pt>
              </c:numCache>
            </c:numRef>
          </c:val>
          <c:smooth val="0"/>
          <c:extLst>
            <c:ext xmlns:c16="http://schemas.microsoft.com/office/drawing/2014/chart" uri="{C3380CC4-5D6E-409C-BE32-E72D297353CC}">
              <c16:uniqueId val="{00000003-A684-4BB5-BD29-5C7AB9FC61AF}"/>
            </c:ext>
          </c:extLst>
        </c:ser>
        <c:ser>
          <c:idx val="2"/>
          <c:order val="4"/>
          <c:tx>
            <c:strRef>
              <c:f>'Trh práce 3'!$G$8</c:f>
              <c:strCache>
                <c:ptCount val="1"/>
                <c:pt idx="0">
                  <c:v>Prům. mzda ve veř. službách (nominálně)*</c:v>
                </c:pt>
              </c:strCache>
            </c:strRef>
          </c:tx>
          <c:spPr>
            <a:ln w="9525">
              <a:solidFill>
                <a:srgbClr val="00B050"/>
              </a:solidFill>
              <a:prstDash val="solid"/>
            </a:ln>
          </c:spPr>
          <c:marker>
            <c:symbol val="none"/>
          </c:marker>
          <c:cat>
            <c:multiLvlStrRef>
              <c:f>'Trh práce 3'!$A$17:$B$49</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2012</c:v>
                  </c:pt>
                  <c:pt idx="4">
                    <c:v>2013</c:v>
                  </c:pt>
                  <c:pt idx="8">
                    <c:v>2014</c:v>
                  </c:pt>
                  <c:pt idx="12">
                    <c:v>2015</c:v>
                  </c:pt>
                  <c:pt idx="16">
                    <c:v>2016</c:v>
                  </c:pt>
                  <c:pt idx="20">
                    <c:v>2017</c:v>
                  </c:pt>
                  <c:pt idx="24">
                    <c:v>2018</c:v>
                  </c:pt>
                  <c:pt idx="28">
                    <c:v>2019</c:v>
                  </c:pt>
                  <c:pt idx="32">
                    <c:v>2020</c:v>
                  </c:pt>
                </c:lvl>
              </c:multiLvlStrCache>
            </c:multiLvlStrRef>
          </c:cat>
          <c:val>
            <c:numRef>
              <c:f>'Trh práce 3'!$G$17:$G$49</c:f>
              <c:numCache>
                <c:formatCode>0.0</c:formatCode>
                <c:ptCount val="33"/>
                <c:pt idx="0">
                  <c:v>3.317698985560027</c:v>
                </c:pt>
                <c:pt idx="1">
                  <c:v>1.8126282295065337</c:v>
                </c:pt>
                <c:pt idx="2">
                  <c:v>2.043381387387051</c:v>
                </c:pt>
                <c:pt idx="3">
                  <c:v>1.2181683242264376</c:v>
                </c:pt>
                <c:pt idx="4">
                  <c:v>2.3538775240305843E-2</c:v>
                </c:pt>
                <c:pt idx="5">
                  <c:v>1.5581583268922845</c:v>
                </c:pt>
                <c:pt idx="6">
                  <c:v>0.6075912505151323</c:v>
                </c:pt>
                <c:pt idx="7">
                  <c:v>0.11001449422403142</c:v>
                </c:pt>
                <c:pt idx="8">
                  <c:v>2.269026119165368</c:v>
                </c:pt>
                <c:pt idx="9">
                  <c:v>1.7831306827168456</c:v>
                </c:pt>
                <c:pt idx="10">
                  <c:v>1.9833555108015588</c:v>
                </c:pt>
                <c:pt idx="11">
                  <c:v>4.0071119221970513</c:v>
                </c:pt>
                <c:pt idx="12">
                  <c:v>3.2530785072835906</c:v>
                </c:pt>
                <c:pt idx="13">
                  <c:v>4.2345225255887042</c:v>
                </c:pt>
                <c:pt idx="14">
                  <c:v>3.7826123610902629</c:v>
                </c:pt>
                <c:pt idx="15">
                  <c:v>3.6520863050351235</c:v>
                </c:pt>
                <c:pt idx="16">
                  <c:v>4.5612595293778977</c:v>
                </c:pt>
                <c:pt idx="17">
                  <c:v>3.7795053104986027</c:v>
                </c:pt>
                <c:pt idx="18">
                  <c:v>4.8333320772190307</c:v>
                </c:pt>
                <c:pt idx="19">
                  <c:v>6.1391055152858494</c:v>
                </c:pt>
                <c:pt idx="20">
                  <c:v>5.4601382386938617</c:v>
                </c:pt>
                <c:pt idx="21">
                  <c:v>7.3051156068769734</c:v>
                </c:pt>
                <c:pt idx="22">
                  <c:v>7.9977324017314544</c:v>
                </c:pt>
                <c:pt idx="23">
                  <c:v>10.560301374473843</c:v>
                </c:pt>
                <c:pt idx="24">
                  <c:v>12.243280886238418</c:v>
                </c:pt>
                <c:pt idx="25">
                  <c:v>11.972851728597787</c:v>
                </c:pt>
                <c:pt idx="26">
                  <c:v>11.476846206392675</c:v>
                </c:pt>
                <c:pt idx="27">
                  <c:v>6.1738194342733035</c:v>
                </c:pt>
                <c:pt idx="28">
                  <c:v>8.4277306023485092</c:v>
                </c:pt>
                <c:pt idx="29">
                  <c:v>8.3006541431037011</c:v>
                </c:pt>
                <c:pt idx="30">
                  <c:v>7.3971005445620941</c:v>
                </c:pt>
                <c:pt idx="31">
                  <c:v>10.068661942530216</c:v>
                </c:pt>
                <c:pt idx="32">
                  <c:v>5.0701149829015755</c:v>
                </c:pt>
              </c:numCache>
            </c:numRef>
          </c:val>
          <c:smooth val="0"/>
          <c:extLst>
            <c:ext xmlns:c16="http://schemas.microsoft.com/office/drawing/2014/chart" uri="{C3380CC4-5D6E-409C-BE32-E72D297353CC}">
              <c16:uniqueId val="{00000004-A684-4BB5-BD29-5C7AB9FC61AF}"/>
            </c:ext>
          </c:extLst>
        </c:ser>
        <c:ser>
          <c:idx val="3"/>
          <c:order val="5"/>
          <c:tx>
            <c:strRef>
              <c:f>'Trh práce 3'!$H$8</c:f>
              <c:strCache>
                <c:ptCount val="1"/>
                <c:pt idx="0">
                  <c:v>Produktivita práce v NH (reálně)**</c:v>
                </c:pt>
              </c:strCache>
            </c:strRef>
          </c:tx>
          <c:spPr>
            <a:ln w="19050">
              <a:noFill/>
            </a:ln>
          </c:spPr>
          <c:marker>
            <c:symbol val="diamond"/>
            <c:size val="5"/>
            <c:spPr>
              <a:solidFill>
                <a:srgbClr val="FFFF00"/>
              </a:solidFill>
              <a:ln w="6350">
                <a:solidFill>
                  <a:schemeClr val="tx1">
                    <a:lumMod val="95000"/>
                    <a:lumOff val="5000"/>
                  </a:schemeClr>
                </a:solidFill>
              </a:ln>
            </c:spPr>
          </c:marker>
          <c:cat>
            <c:multiLvlStrRef>
              <c:f>'Trh práce 3'!$A$17:$B$49</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2012</c:v>
                  </c:pt>
                  <c:pt idx="4">
                    <c:v>2013</c:v>
                  </c:pt>
                  <c:pt idx="8">
                    <c:v>2014</c:v>
                  </c:pt>
                  <c:pt idx="12">
                    <c:v>2015</c:v>
                  </c:pt>
                  <c:pt idx="16">
                    <c:v>2016</c:v>
                  </c:pt>
                  <c:pt idx="20">
                    <c:v>2017</c:v>
                  </c:pt>
                  <c:pt idx="24">
                    <c:v>2018</c:v>
                  </c:pt>
                  <c:pt idx="28">
                    <c:v>2019</c:v>
                  </c:pt>
                  <c:pt idx="32">
                    <c:v>2020</c:v>
                  </c:pt>
                </c:lvl>
              </c:multiLvlStrCache>
            </c:multiLvlStrRef>
          </c:cat>
          <c:val>
            <c:numRef>
              <c:f>'Trh práce 3'!$H$17:$H$49</c:f>
              <c:numCache>
                <c:formatCode>0.0</c:formatCode>
                <c:ptCount val="33"/>
                <c:pt idx="0">
                  <c:v>0.41537995919813397</c:v>
                </c:pt>
                <c:pt idx="1">
                  <c:v>-1.2819231607881107</c:v>
                </c:pt>
                <c:pt idx="2">
                  <c:v>-1.8249350322319771</c:v>
                </c:pt>
                <c:pt idx="3">
                  <c:v>-2.0588258996494346</c:v>
                </c:pt>
                <c:pt idx="4">
                  <c:v>-2.8802810421720295</c:v>
                </c:pt>
                <c:pt idx="5">
                  <c:v>-1.8279480046633836</c:v>
                </c:pt>
                <c:pt idx="6">
                  <c:v>0.4046193699375209</c:v>
                </c:pt>
                <c:pt idx="7">
                  <c:v>0.95515229453815209</c:v>
                </c:pt>
                <c:pt idx="8">
                  <c:v>1.7448585072078089</c:v>
                </c:pt>
                <c:pt idx="9">
                  <c:v>2.7515963261383547</c:v>
                </c:pt>
                <c:pt idx="10">
                  <c:v>3.0294730201186439</c:v>
                </c:pt>
                <c:pt idx="11">
                  <c:v>1.0840279704352724</c:v>
                </c:pt>
                <c:pt idx="12">
                  <c:v>3.7518410336967918</c:v>
                </c:pt>
                <c:pt idx="13">
                  <c:v>4.1202609165826658</c:v>
                </c:pt>
                <c:pt idx="14">
                  <c:v>3.76028698995718</c:v>
                </c:pt>
                <c:pt idx="15">
                  <c:v>3.6745015563024737</c:v>
                </c:pt>
                <c:pt idx="16">
                  <c:v>1.4752745888902723</c:v>
                </c:pt>
                <c:pt idx="17">
                  <c:v>2.0687313721092977</c:v>
                </c:pt>
                <c:pt idx="18">
                  <c:v>6.7689948363209851E-2</c:v>
                </c:pt>
                <c:pt idx="19">
                  <c:v>-0.12588932224844029</c:v>
                </c:pt>
                <c:pt idx="20">
                  <c:v>2.1906602546173986</c:v>
                </c:pt>
                <c:pt idx="21">
                  <c:v>2.4032448321291326</c:v>
                </c:pt>
                <c:pt idx="22">
                  <c:v>2.7730189049163272</c:v>
                </c:pt>
                <c:pt idx="23">
                  <c:v>3.598660449921212</c:v>
                </c:pt>
                <c:pt idx="24">
                  <c:v>1.861141408768475</c:v>
                </c:pt>
                <c:pt idx="25">
                  <c:v>0.88927516359949266</c:v>
                </c:pt>
                <c:pt idx="26">
                  <c:v>1.4687747488576264</c:v>
                </c:pt>
                <c:pt idx="27">
                  <c:v>1.7348990509101299</c:v>
                </c:pt>
                <c:pt idx="28">
                  <c:v>1.423295842472001</c:v>
                </c:pt>
                <c:pt idx="29">
                  <c:v>1.5908491061675534</c:v>
                </c:pt>
                <c:pt idx="30">
                  <c:v>2.760567603096419</c:v>
                </c:pt>
                <c:pt idx="31">
                  <c:v>1.7564809064701876</c:v>
                </c:pt>
                <c:pt idx="32">
                  <c:v>-1.2851184734884384</c:v>
                </c:pt>
              </c:numCache>
            </c:numRef>
          </c:val>
          <c:smooth val="0"/>
          <c:extLst>
            <c:ext xmlns:c16="http://schemas.microsoft.com/office/drawing/2014/chart" uri="{C3380CC4-5D6E-409C-BE32-E72D297353CC}">
              <c16:uniqueId val="{00000005-A684-4BB5-BD29-5C7AB9FC61AF}"/>
            </c:ext>
          </c:extLst>
        </c:ser>
        <c:dLbls>
          <c:showLegendKey val="0"/>
          <c:showVal val="0"/>
          <c:showCatName val="0"/>
          <c:showSerName val="0"/>
          <c:showPercent val="0"/>
          <c:showBubbleSize val="0"/>
        </c:dLbls>
        <c:marker val="1"/>
        <c:smooth val="0"/>
        <c:axId val="100688640"/>
        <c:axId val="100690560"/>
      </c:lineChart>
      <c:catAx>
        <c:axId val="100688640"/>
        <c:scaling>
          <c:orientation val="minMax"/>
        </c:scaling>
        <c:delete val="0"/>
        <c:axPos val="b"/>
        <c:numFmt formatCode="General" sourceLinked="1"/>
        <c:majorTickMark val="out"/>
        <c:minorTickMark val="none"/>
        <c:tickLblPos val="low"/>
        <c:spPr>
          <a:ln>
            <a:solidFill>
              <a:schemeClr val="tx1"/>
            </a:solidFill>
          </a:ln>
        </c:spPr>
        <c:txPr>
          <a:bodyPr rot="0" vert="horz"/>
          <a:lstStyle/>
          <a:p>
            <a:pPr>
              <a:defRPr/>
            </a:pPr>
            <a:endParaRPr lang="cs-CZ"/>
          </a:p>
        </c:txPr>
        <c:crossAx val="100690560"/>
        <c:crosses val="autoZero"/>
        <c:auto val="1"/>
        <c:lblAlgn val="ctr"/>
        <c:lblOffset val="0"/>
        <c:tickMarkSkip val="4"/>
        <c:noMultiLvlLbl val="0"/>
      </c:catAx>
      <c:valAx>
        <c:axId val="100690560"/>
        <c:scaling>
          <c:orientation val="minMax"/>
          <c:max val="12"/>
          <c:min val="-5"/>
        </c:scaling>
        <c:delete val="0"/>
        <c:axPos val="l"/>
        <c:majorGridlines>
          <c:spPr>
            <a:ln>
              <a:solidFill>
                <a:schemeClr val="bg1">
                  <a:lumMod val="75000"/>
                </a:schemeClr>
              </a:solidFill>
            </a:ln>
          </c:spPr>
        </c:majorGridlines>
        <c:numFmt formatCode="0" sourceLinked="0"/>
        <c:majorTickMark val="out"/>
        <c:minorTickMark val="none"/>
        <c:tickLblPos val="nextTo"/>
        <c:spPr>
          <a:ln>
            <a:solidFill>
              <a:schemeClr val="tx1"/>
            </a:solidFill>
          </a:ln>
        </c:spPr>
        <c:crossAx val="100688640"/>
        <c:crosses val="autoZero"/>
        <c:crossBetween val="between"/>
        <c:majorUnit val="1"/>
      </c:valAx>
      <c:spPr>
        <a:ln>
          <a:solidFill>
            <a:schemeClr val="tx1"/>
          </a:solidFill>
        </a:ln>
      </c:spPr>
    </c:plotArea>
    <c:legend>
      <c:legendPos val="b"/>
      <c:layout>
        <c:manualLayout>
          <c:xMode val="edge"/>
          <c:yMode val="edge"/>
          <c:x val="3.1246167703413017E-2"/>
          <c:y val="0.87578174603174608"/>
          <c:w val="0.95532757942632895"/>
          <c:h val="0.11341893424036281"/>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8CB3E-C15C-4161-96CC-68D3E9D627B3}">
  <ds:schemaRefs>
    <ds:schemaRef ds:uri="http://schemas.openxmlformats.org/officeDocument/2006/bibliography"/>
  </ds:schemaRefs>
</ds:datastoreItem>
</file>

<file path=customXml/itemProps2.xml><?xml version="1.0" encoding="utf-8"?>
<ds:datastoreItem xmlns:ds="http://schemas.openxmlformats.org/officeDocument/2006/customXml" ds:itemID="{3E2EA80B-7617-4403-8773-98646A255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1</TotalTime>
  <Pages>5</Pages>
  <Words>1965</Words>
  <Characters>10908</Characters>
  <Application>Microsoft Office Word</Application>
  <DocSecurity>0</DocSecurity>
  <Lines>184</Lines>
  <Paragraphs>57</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12816</CharactersWithSpaces>
  <SharedDoc>false</SharedDoc>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Karolína Súkupová</dc:creator>
  <cp:lastModifiedBy>Mgr. Karolína Zábojníková</cp:lastModifiedBy>
  <cp:revision>3</cp:revision>
  <cp:lastPrinted>2019-04-08T10:52:00Z</cp:lastPrinted>
  <dcterms:created xsi:type="dcterms:W3CDTF">2020-06-12T09:08:00Z</dcterms:created>
  <dcterms:modified xsi:type="dcterms:W3CDTF">2020-06-12T09:23:00Z</dcterms:modified>
</cp:coreProperties>
</file>