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drawings/drawing6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8019D" w14:textId="36E3920D" w:rsidR="00194F66" w:rsidRPr="00203758" w:rsidRDefault="00745B69" w:rsidP="00C8573F">
      <w:pPr>
        <w:pStyle w:val="Nadpis2"/>
        <w:pageBreakBefore/>
        <w:tabs>
          <w:tab w:val="left" w:pos="360"/>
        </w:tabs>
        <w:spacing w:after="120"/>
        <w:jc w:val="both"/>
        <w:rPr>
          <w:color w:val="009CB5"/>
          <w:sz w:val="30"/>
          <w:szCs w:val="30"/>
        </w:rPr>
      </w:pPr>
      <w:r w:rsidRPr="00203758">
        <w:rPr>
          <w:color w:val="009CB5"/>
          <w:sz w:val="30"/>
          <w:szCs w:val="30"/>
        </w:rPr>
        <w:t>1</w:t>
      </w:r>
      <w:r w:rsidR="00A21A33" w:rsidRPr="00203758">
        <w:rPr>
          <w:color w:val="009CB5"/>
          <w:sz w:val="30"/>
          <w:szCs w:val="30"/>
        </w:rPr>
        <w:t>2</w:t>
      </w:r>
      <w:r w:rsidR="00194F66" w:rsidRPr="00203758">
        <w:rPr>
          <w:color w:val="009CB5"/>
          <w:sz w:val="30"/>
          <w:szCs w:val="30"/>
        </w:rPr>
        <w:t>.</w:t>
      </w:r>
      <w:r w:rsidR="00194F66" w:rsidRPr="00203758">
        <w:rPr>
          <w:color w:val="009CB5"/>
          <w:sz w:val="30"/>
          <w:szCs w:val="30"/>
        </w:rPr>
        <w:tab/>
        <w:t>Elektronický prodej</w:t>
      </w:r>
      <w:r w:rsidR="000B06B3" w:rsidRPr="00203758">
        <w:rPr>
          <w:color w:val="009CB5"/>
          <w:sz w:val="30"/>
          <w:szCs w:val="30"/>
        </w:rPr>
        <w:t xml:space="preserve"> </w:t>
      </w:r>
    </w:p>
    <w:p w14:paraId="4282C5AB" w14:textId="368BBBF1" w:rsidR="007477AC" w:rsidRPr="007477AC" w:rsidRDefault="00537E9B" w:rsidP="00203758">
      <w:pPr>
        <w:pStyle w:val="Box"/>
      </w:pPr>
      <w:r>
        <w:t>Prodávat elektronick</w:t>
      </w:r>
      <w:r w:rsidR="00643E3A">
        <w:t>y</w:t>
      </w:r>
      <w:r>
        <w:t xml:space="preserve"> </w:t>
      </w:r>
      <w:r w:rsidR="000F6FD0">
        <w:t>v daném roce</w:t>
      </w:r>
      <w:r>
        <w:t xml:space="preserve"> </w:t>
      </w:r>
      <w:r w:rsidR="00803AFB">
        <w:t xml:space="preserve">v tomto šetření </w:t>
      </w:r>
      <w:r>
        <w:t xml:space="preserve">znamená </w:t>
      </w:r>
      <w:r w:rsidR="000E6057">
        <w:t xml:space="preserve">získat </w:t>
      </w:r>
      <w:r w:rsidR="000F6FD0">
        <w:t>v tomto roce</w:t>
      </w:r>
      <w:r w:rsidR="00A03415">
        <w:t xml:space="preserve"> </w:t>
      </w:r>
      <w:r w:rsidR="000E6057">
        <w:t>finanční příjem</w:t>
      </w:r>
      <w:r w:rsidR="00DF4EA4">
        <w:t xml:space="preserve"> </w:t>
      </w:r>
      <w:r w:rsidR="00CC28C9">
        <w:t xml:space="preserve">(tržby) </w:t>
      </w:r>
      <w:r w:rsidR="00A03415">
        <w:t>z elektronických prodejů</w:t>
      </w:r>
      <w:r w:rsidR="00DF4EA4">
        <w:t xml:space="preserve"> výrobků, zboží nebo služeb</w:t>
      </w:r>
      <w:r w:rsidR="00A74EF4">
        <w:t xml:space="preserve">. Elektronický </w:t>
      </w:r>
      <w:r w:rsidR="000F2434">
        <w:t xml:space="preserve">prodej zahrnuje prodej </w:t>
      </w:r>
      <w:r w:rsidR="00CC2137">
        <w:t xml:space="preserve">produktů </w:t>
      </w:r>
      <w:r w:rsidR="000F2434">
        <w:t xml:space="preserve">přes vlastní webové stránky </w:t>
      </w:r>
      <w:r w:rsidR="000B39C0">
        <w:t xml:space="preserve">nebo mobilní aplikace </w:t>
      </w:r>
      <w:r w:rsidR="000F2434">
        <w:t>firem</w:t>
      </w:r>
      <w:r w:rsidR="000B39C0">
        <w:t>, přes web zprostředkovatele</w:t>
      </w:r>
      <w:r w:rsidR="007348DE">
        <w:t>, tj. na online tržišti nebo prostřednictvím partnerského prodeje</w:t>
      </w:r>
      <w:r w:rsidR="00F80945">
        <w:t xml:space="preserve"> anebo prostřednictvím elektronické výměny dat mezi in</w:t>
      </w:r>
      <w:r w:rsidR="00AA094B">
        <w:t>formačními systémy prodejce a zákazníka</w:t>
      </w:r>
      <w:r w:rsidR="008D6CA0">
        <w:t>.</w:t>
      </w:r>
    </w:p>
    <w:p w14:paraId="2DE5FE99" w14:textId="4EC0703A" w:rsidR="001165D5" w:rsidRPr="00550D33" w:rsidRDefault="001165D5" w:rsidP="00203758">
      <w:pPr>
        <w:pStyle w:val="Box"/>
        <w:rPr>
          <w:i/>
          <w:iCs/>
        </w:rPr>
      </w:pPr>
      <w:r w:rsidRPr="00550D33">
        <w:rPr>
          <w:i/>
          <w:iCs/>
        </w:rPr>
        <w:t xml:space="preserve">Pozn.: </w:t>
      </w:r>
      <w:r w:rsidR="00321470">
        <w:rPr>
          <w:i/>
          <w:iCs/>
        </w:rPr>
        <w:t>O</w:t>
      </w:r>
      <w:r w:rsidRPr="00550D33">
        <w:rPr>
          <w:i/>
          <w:iCs/>
        </w:rPr>
        <w:t xml:space="preserve">tázky v této kapitole se vztahují k roku předcházejícímu šetření, tj. zde konkrétně </w:t>
      </w:r>
      <w:r w:rsidR="00CF431A" w:rsidRPr="00550D33">
        <w:rPr>
          <w:i/>
          <w:iCs/>
        </w:rPr>
        <w:t>k</w:t>
      </w:r>
      <w:r w:rsidR="009E4874">
        <w:rPr>
          <w:i/>
          <w:iCs/>
        </w:rPr>
        <w:t> </w:t>
      </w:r>
      <w:r w:rsidRPr="00550D33">
        <w:rPr>
          <w:i/>
          <w:iCs/>
        </w:rPr>
        <w:t>roku 20</w:t>
      </w:r>
      <w:r w:rsidR="00C8573F" w:rsidRPr="00550D33">
        <w:rPr>
          <w:i/>
          <w:iCs/>
        </w:rPr>
        <w:t>2</w:t>
      </w:r>
      <w:r w:rsidR="00550D33" w:rsidRPr="00550D33">
        <w:rPr>
          <w:i/>
          <w:iCs/>
        </w:rPr>
        <w:t>4</w:t>
      </w:r>
      <w:r w:rsidRPr="00550D33">
        <w:rPr>
          <w:i/>
          <w:iCs/>
        </w:rPr>
        <w:t xml:space="preserve"> </w:t>
      </w:r>
    </w:p>
    <w:p w14:paraId="6B650660" w14:textId="77777777" w:rsidR="00194F66" w:rsidRPr="00203758" w:rsidRDefault="00194F66" w:rsidP="00C8573F">
      <w:pPr>
        <w:pStyle w:val="Nadpis2"/>
        <w:spacing w:before="240" w:after="120" w:line="240" w:lineRule="auto"/>
        <w:rPr>
          <w:color w:val="009CB5"/>
          <w:sz w:val="24"/>
          <w:szCs w:val="24"/>
        </w:rPr>
      </w:pPr>
      <w:r w:rsidRPr="00203758">
        <w:rPr>
          <w:color w:val="009CB5"/>
          <w:sz w:val="24"/>
          <w:szCs w:val="24"/>
        </w:rPr>
        <w:t>Hlavní zjištění</w:t>
      </w:r>
    </w:p>
    <w:p w14:paraId="709D2CBB" w14:textId="0C091E30" w:rsidR="00FE415B" w:rsidRDefault="005C41DA" w:rsidP="008D5B7E">
      <w:pPr>
        <w:pStyle w:val="Zkladntext"/>
        <w:numPr>
          <w:ilvl w:val="0"/>
          <w:numId w:val="2"/>
        </w:numPr>
        <w:tabs>
          <w:tab w:val="clear" w:pos="360"/>
          <w:tab w:val="num" w:pos="284"/>
        </w:tabs>
        <w:spacing w:before="0" w:after="40" w:line="288" w:lineRule="auto"/>
        <w:ind w:left="284" w:right="0" w:hanging="284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9A77F0">
        <w:rPr>
          <w:rFonts w:ascii="Arial" w:eastAsia="Calibri" w:hAnsi="Arial" w:cs="Arial"/>
          <w:iCs/>
          <w:sz w:val="20"/>
          <w:szCs w:val="20"/>
          <w:lang w:eastAsia="en-US"/>
        </w:rPr>
        <w:t>V roce 20</w:t>
      </w:r>
      <w:r w:rsidR="006160DA" w:rsidRPr="009A77F0">
        <w:rPr>
          <w:rFonts w:ascii="Arial" w:eastAsia="Calibri" w:hAnsi="Arial" w:cs="Arial"/>
          <w:iCs/>
          <w:sz w:val="20"/>
          <w:szCs w:val="20"/>
          <w:lang w:eastAsia="en-US"/>
        </w:rPr>
        <w:t>2</w:t>
      </w:r>
      <w:r w:rsidR="00BB18BD">
        <w:rPr>
          <w:rFonts w:ascii="Arial" w:eastAsia="Calibri" w:hAnsi="Arial" w:cs="Arial"/>
          <w:iCs/>
          <w:sz w:val="20"/>
          <w:szCs w:val="20"/>
          <w:lang w:eastAsia="en-US"/>
        </w:rPr>
        <w:t>4</w:t>
      </w:r>
      <w:r w:rsidR="00574FD5">
        <w:rPr>
          <w:rFonts w:ascii="Arial" w:eastAsia="Calibri" w:hAnsi="Arial" w:cs="Arial"/>
          <w:iCs/>
          <w:sz w:val="20"/>
          <w:szCs w:val="20"/>
          <w:lang w:eastAsia="en-US"/>
        </w:rPr>
        <w:t xml:space="preserve"> </w:t>
      </w:r>
      <w:r w:rsidR="00574FD5" w:rsidRPr="00A6044E">
        <w:rPr>
          <w:rFonts w:ascii="Arial" w:eastAsia="Calibri" w:hAnsi="Arial" w:cs="Arial"/>
          <w:b/>
          <w:iCs/>
          <w:sz w:val="20"/>
          <w:szCs w:val="20"/>
          <w:lang w:eastAsia="en-US"/>
        </w:rPr>
        <w:t>prodal</w:t>
      </w:r>
      <w:r w:rsidR="00930676">
        <w:rPr>
          <w:rFonts w:ascii="Arial" w:eastAsia="Calibri" w:hAnsi="Arial" w:cs="Arial"/>
          <w:b/>
          <w:iCs/>
          <w:sz w:val="20"/>
          <w:szCs w:val="20"/>
          <w:lang w:eastAsia="en-US"/>
        </w:rPr>
        <w:t>a</w:t>
      </w:r>
      <w:r w:rsidR="00574FD5" w:rsidRPr="00A6044E">
        <w:rPr>
          <w:rFonts w:ascii="Arial" w:eastAsia="Calibri" w:hAnsi="Arial" w:cs="Arial"/>
          <w:b/>
          <w:iCs/>
          <w:sz w:val="20"/>
          <w:szCs w:val="20"/>
          <w:lang w:eastAsia="en-US"/>
        </w:rPr>
        <w:t xml:space="preserve"> elektronickou cestou</w:t>
      </w:r>
      <w:r w:rsidR="000A59B8">
        <w:rPr>
          <w:rFonts w:ascii="Arial" w:eastAsia="Calibri" w:hAnsi="Arial" w:cs="Arial"/>
          <w:b/>
          <w:iCs/>
          <w:sz w:val="20"/>
          <w:szCs w:val="20"/>
          <w:lang w:eastAsia="en-US"/>
        </w:rPr>
        <w:t xml:space="preserve"> </w:t>
      </w:r>
      <w:r w:rsidR="00643E3A" w:rsidRPr="00643E3A">
        <w:rPr>
          <w:rFonts w:ascii="Arial" w:eastAsia="Calibri" w:hAnsi="Arial" w:cs="Arial"/>
          <w:bCs/>
          <w:iCs/>
          <w:sz w:val="20"/>
          <w:szCs w:val="20"/>
          <w:lang w:eastAsia="en-US"/>
        </w:rPr>
        <w:t>výrobky,</w:t>
      </w:r>
      <w:r w:rsidR="00643E3A">
        <w:rPr>
          <w:rFonts w:ascii="Arial" w:eastAsia="Calibri" w:hAnsi="Arial" w:cs="Arial"/>
          <w:b/>
          <w:iCs/>
          <w:sz w:val="20"/>
          <w:szCs w:val="20"/>
          <w:lang w:eastAsia="en-US"/>
        </w:rPr>
        <w:t xml:space="preserve"> </w:t>
      </w:r>
      <w:r w:rsidR="00574FD5">
        <w:rPr>
          <w:rFonts w:ascii="Arial" w:eastAsia="Calibri" w:hAnsi="Arial" w:cs="Arial"/>
          <w:iCs/>
          <w:sz w:val="20"/>
          <w:szCs w:val="20"/>
          <w:lang w:eastAsia="en-US"/>
        </w:rPr>
        <w:t>zboží či služb</w:t>
      </w:r>
      <w:r w:rsidR="00643E3A">
        <w:rPr>
          <w:rFonts w:ascii="Arial" w:eastAsia="Calibri" w:hAnsi="Arial" w:cs="Arial"/>
          <w:iCs/>
          <w:sz w:val="20"/>
          <w:szCs w:val="20"/>
          <w:lang w:eastAsia="en-US"/>
        </w:rPr>
        <w:t>y</w:t>
      </w:r>
      <w:r w:rsidR="00574FD5">
        <w:rPr>
          <w:rFonts w:ascii="Arial" w:eastAsia="Calibri" w:hAnsi="Arial" w:cs="Arial"/>
          <w:iCs/>
          <w:sz w:val="20"/>
          <w:szCs w:val="20"/>
          <w:lang w:eastAsia="en-US"/>
        </w:rPr>
        <w:t xml:space="preserve"> </w:t>
      </w:r>
      <w:r w:rsidR="00574FD5" w:rsidRPr="00930676">
        <w:rPr>
          <w:rFonts w:ascii="Arial" w:eastAsia="Calibri" w:hAnsi="Arial" w:cs="Arial"/>
          <w:b/>
          <w:bCs/>
          <w:iCs/>
          <w:sz w:val="20"/>
          <w:szCs w:val="20"/>
          <w:lang w:eastAsia="en-US"/>
        </w:rPr>
        <w:t>čtvrtina</w:t>
      </w:r>
      <w:r w:rsidR="00C04FFA" w:rsidRPr="00930676">
        <w:rPr>
          <w:rFonts w:ascii="Arial" w:eastAsia="Calibri" w:hAnsi="Arial" w:cs="Arial"/>
          <w:b/>
          <w:bCs/>
          <w:iCs/>
          <w:sz w:val="20"/>
          <w:szCs w:val="20"/>
          <w:lang w:eastAsia="en-US"/>
        </w:rPr>
        <w:t xml:space="preserve"> (26 %</w:t>
      </w:r>
      <w:r w:rsidR="002E5BA0" w:rsidRPr="00930676">
        <w:rPr>
          <w:rFonts w:ascii="Arial" w:eastAsia="Calibri" w:hAnsi="Arial" w:cs="Arial"/>
          <w:b/>
          <w:bCs/>
          <w:iCs/>
          <w:sz w:val="20"/>
          <w:szCs w:val="20"/>
          <w:lang w:eastAsia="en-US"/>
        </w:rPr>
        <w:t>)</w:t>
      </w:r>
      <w:r w:rsidR="00574FD5" w:rsidRPr="00930676">
        <w:rPr>
          <w:rFonts w:ascii="Arial" w:eastAsia="Calibri" w:hAnsi="Arial" w:cs="Arial"/>
          <w:b/>
          <w:bCs/>
          <w:iCs/>
          <w:sz w:val="20"/>
          <w:szCs w:val="20"/>
          <w:lang w:eastAsia="en-US"/>
        </w:rPr>
        <w:t xml:space="preserve"> podniků </w:t>
      </w:r>
      <w:r w:rsidR="00BD214C" w:rsidRPr="00930676">
        <w:rPr>
          <w:rFonts w:ascii="Arial" w:eastAsia="Calibri" w:hAnsi="Arial" w:cs="Arial"/>
          <w:b/>
          <w:bCs/>
          <w:iCs/>
          <w:sz w:val="20"/>
          <w:szCs w:val="20"/>
          <w:lang w:eastAsia="en-US"/>
        </w:rPr>
        <w:t>v Česku</w:t>
      </w:r>
      <w:r w:rsidRPr="009A77F0">
        <w:rPr>
          <w:rFonts w:ascii="Arial" w:eastAsia="Calibri" w:hAnsi="Arial" w:cs="Arial"/>
          <w:iCs/>
          <w:sz w:val="20"/>
          <w:szCs w:val="20"/>
          <w:lang w:eastAsia="en-US"/>
        </w:rPr>
        <w:t xml:space="preserve">. </w:t>
      </w:r>
      <w:r w:rsidR="001B1E80">
        <w:rPr>
          <w:rFonts w:ascii="Arial" w:eastAsia="Calibri" w:hAnsi="Arial" w:cs="Arial"/>
          <w:iCs/>
          <w:sz w:val="20"/>
          <w:szCs w:val="20"/>
          <w:lang w:eastAsia="en-US"/>
        </w:rPr>
        <w:t>Elektronicky prodávají</w:t>
      </w:r>
      <w:r w:rsidR="00FE415B">
        <w:rPr>
          <w:rFonts w:ascii="Arial" w:eastAsia="Calibri" w:hAnsi="Arial" w:cs="Arial"/>
          <w:iCs/>
          <w:sz w:val="20"/>
          <w:szCs w:val="20"/>
          <w:lang w:eastAsia="en-US"/>
        </w:rPr>
        <w:t xml:space="preserve"> nej</w:t>
      </w:r>
      <w:r w:rsidR="001B1E80">
        <w:rPr>
          <w:rFonts w:ascii="Arial" w:eastAsia="Calibri" w:hAnsi="Arial" w:cs="Arial"/>
          <w:iCs/>
          <w:sz w:val="20"/>
          <w:szCs w:val="20"/>
          <w:lang w:eastAsia="en-US"/>
        </w:rPr>
        <w:t>častěji</w:t>
      </w:r>
      <w:r w:rsidR="00FE415B">
        <w:rPr>
          <w:rFonts w:ascii="Arial" w:eastAsia="Calibri" w:hAnsi="Arial" w:cs="Arial"/>
          <w:iCs/>
          <w:sz w:val="20"/>
          <w:szCs w:val="20"/>
          <w:lang w:eastAsia="en-US"/>
        </w:rPr>
        <w:t xml:space="preserve"> velké podniky, v roce 2024 </w:t>
      </w:r>
      <w:r w:rsidR="001B1E80">
        <w:rPr>
          <w:rFonts w:ascii="Arial" w:eastAsia="Calibri" w:hAnsi="Arial" w:cs="Arial"/>
          <w:iCs/>
          <w:sz w:val="20"/>
          <w:szCs w:val="20"/>
          <w:lang w:eastAsia="en-US"/>
        </w:rPr>
        <w:t>to byla</w:t>
      </w:r>
      <w:r w:rsidR="00FE415B">
        <w:rPr>
          <w:rFonts w:ascii="Arial" w:eastAsia="Calibri" w:hAnsi="Arial" w:cs="Arial"/>
          <w:iCs/>
          <w:sz w:val="20"/>
          <w:szCs w:val="20"/>
          <w:lang w:eastAsia="en-US"/>
        </w:rPr>
        <w:t xml:space="preserve"> </w:t>
      </w:r>
      <w:r w:rsidR="00FE415B" w:rsidRPr="009A77F0">
        <w:rPr>
          <w:rFonts w:ascii="Arial" w:eastAsia="Calibri" w:hAnsi="Arial" w:cs="Arial"/>
          <w:iCs/>
          <w:sz w:val="20"/>
          <w:szCs w:val="20"/>
          <w:lang w:eastAsia="en-US"/>
        </w:rPr>
        <w:t>polovina</w:t>
      </w:r>
      <w:r w:rsidR="00FE415B">
        <w:rPr>
          <w:rFonts w:ascii="Arial" w:eastAsia="Calibri" w:hAnsi="Arial" w:cs="Arial"/>
          <w:iCs/>
          <w:sz w:val="20"/>
          <w:szCs w:val="20"/>
          <w:lang w:eastAsia="en-US"/>
        </w:rPr>
        <w:t xml:space="preserve"> (49 %)</w:t>
      </w:r>
      <w:r w:rsidR="00FE415B" w:rsidRPr="009A77F0">
        <w:rPr>
          <w:rFonts w:ascii="Arial" w:eastAsia="Calibri" w:hAnsi="Arial" w:cs="Arial"/>
          <w:iCs/>
          <w:sz w:val="20"/>
          <w:szCs w:val="20"/>
          <w:lang w:eastAsia="en-US"/>
        </w:rPr>
        <w:t xml:space="preserve"> z</w:t>
      </w:r>
      <w:r w:rsidR="00FE415B">
        <w:rPr>
          <w:rFonts w:ascii="Arial" w:eastAsia="Calibri" w:hAnsi="Arial" w:cs="Arial"/>
          <w:iCs/>
          <w:sz w:val="20"/>
          <w:szCs w:val="20"/>
          <w:lang w:eastAsia="en-US"/>
        </w:rPr>
        <w:t> </w:t>
      </w:r>
      <w:r w:rsidR="00FE415B" w:rsidRPr="009A77F0">
        <w:rPr>
          <w:rFonts w:ascii="Arial" w:eastAsia="Calibri" w:hAnsi="Arial" w:cs="Arial"/>
          <w:iCs/>
          <w:sz w:val="20"/>
          <w:szCs w:val="20"/>
          <w:lang w:eastAsia="en-US"/>
        </w:rPr>
        <w:t>nich</w:t>
      </w:r>
      <w:r w:rsidR="00FE415B">
        <w:rPr>
          <w:rFonts w:ascii="Arial" w:eastAsia="Calibri" w:hAnsi="Arial" w:cs="Arial"/>
          <w:iCs/>
          <w:sz w:val="20"/>
          <w:szCs w:val="20"/>
          <w:lang w:eastAsia="en-US"/>
        </w:rPr>
        <w:t xml:space="preserve">. </w:t>
      </w:r>
      <w:r w:rsidR="001B1E80">
        <w:rPr>
          <w:rFonts w:ascii="Arial" w:eastAsia="Calibri" w:hAnsi="Arial" w:cs="Arial"/>
          <w:iCs/>
          <w:sz w:val="20"/>
          <w:szCs w:val="20"/>
          <w:lang w:eastAsia="en-US"/>
        </w:rPr>
        <w:t>Malých firem prodávalo elektronicky</w:t>
      </w:r>
      <w:r w:rsidR="00FE415B">
        <w:rPr>
          <w:rFonts w:ascii="Arial" w:eastAsia="Calibri" w:hAnsi="Arial" w:cs="Arial"/>
          <w:iCs/>
          <w:sz w:val="20"/>
          <w:szCs w:val="20"/>
          <w:lang w:eastAsia="en-US"/>
        </w:rPr>
        <w:t xml:space="preserve"> 23 % a střed</w:t>
      </w:r>
      <w:r w:rsidR="001B1E80">
        <w:rPr>
          <w:rFonts w:ascii="Arial" w:eastAsia="Calibri" w:hAnsi="Arial" w:cs="Arial"/>
          <w:iCs/>
          <w:sz w:val="20"/>
          <w:szCs w:val="20"/>
          <w:lang w:eastAsia="en-US"/>
        </w:rPr>
        <w:t>ně velkých</w:t>
      </w:r>
      <w:r w:rsidR="00FE415B">
        <w:rPr>
          <w:rFonts w:ascii="Arial" w:eastAsia="Calibri" w:hAnsi="Arial" w:cs="Arial"/>
          <w:iCs/>
          <w:sz w:val="20"/>
          <w:szCs w:val="20"/>
          <w:lang w:eastAsia="en-US"/>
        </w:rPr>
        <w:t xml:space="preserve"> třetina (34 %). </w:t>
      </w:r>
    </w:p>
    <w:p w14:paraId="7C5DF904" w14:textId="02B04B13" w:rsidR="0078651B" w:rsidRPr="00E160D7" w:rsidRDefault="0078651B" w:rsidP="008D5B7E">
      <w:pPr>
        <w:pStyle w:val="Zkladntext"/>
        <w:numPr>
          <w:ilvl w:val="0"/>
          <w:numId w:val="2"/>
        </w:numPr>
        <w:tabs>
          <w:tab w:val="clear" w:pos="360"/>
          <w:tab w:val="num" w:pos="284"/>
        </w:tabs>
        <w:spacing w:before="0" w:after="40" w:line="288" w:lineRule="auto"/>
        <w:ind w:left="284" w:right="0" w:hanging="284"/>
        <w:rPr>
          <w:rFonts w:ascii="Arial" w:hAnsi="Arial" w:cs="Arial"/>
          <w:iCs/>
          <w:sz w:val="20"/>
          <w:szCs w:val="20"/>
        </w:rPr>
      </w:pPr>
      <w:r w:rsidRPr="00E160D7">
        <w:rPr>
          <w:rFonts w:ascii="Arial" w:eastAsia="Calibri" w:hAnsi="Arial" w:cs="Arial"/>
          <w:iCs/>
          <w:sz w:val="20"/>
          <w:szCs w:val="20"/>
          <w:lang w:eastAsia="en-US"/>
        </w:rPr>
        <w:t>V roce 202</w:t>
      </w:r>
      <w:r w:rsidR="00015B30">
        <w:rPr>
          <w:rFonts w:ascii="Arial" w:eastAsia="Calibri" w:hAnsi="Arial" w:cs="Arial"/>
          <w:iCs/>
          <w:sz w:val="20"/>
          <w:szCs w:val="20"/>
          <w:lang w:eastAsia="en-US"/>
        </w:rPr>
        <w:t>4</w:t>
      </w:r>
      <w:r w:rsidR="00424793" w:rsidRPr="00E160D7">
        <w:rPr>
          <w:rFonts w:ascii="Arial" w:eastAsia="Calibri" w:hAnsi="Arial" w:cs="Arial"/>
          <w:iCs/>
          <w:sz w:val="20"/>
          <w:szCs w:val="20"/>
          <w:lang w:eastAsia="en-US"/>
        </w:rPr>
        <w:t xml:space="preserve"> </w:t>
      </w:r>
      <w:r w:rsidR="00F4606F" w:rsidRPr="00E160D7">
        <w:rPr>
          <w:rFonts w:ascii="Arial" w:eastAsia="Calibri" w:hAnsi="Arial" w:cs="Arial"/>
          <w:iCs/>
          <w:sz w:val="20"/>
          <w:szCs w:val="20"/>
          <w:lang w:eastAsia="en-US"/>
        </w:rPr>
        <w:t>elektronicky prodával</w:t>
      </w:r>
      <w:r w:rsidR="006324E3">
        <w:rPr>
          <w:rFonts w:ascii="Arial" w:eastAsia="Calibri" w:hAnsi="Arial" w:cs="Arial"/>
          <w:iCs/>
          <w:sz w:val="20"/>
          <w:szCs w:val="20"/>
          <w:lang w:eastAsia="en-US"/>
        </w:rPr>
        <w:t>o</w:t>
      </w:r>
      <w:r w:rsidRPr="00E160D7">
        <w:rPr>
          <w:rFonts w:ascii="Arial" w:eastAsia="Calibri" w:hAnsi="Arial" w:cs="Arial"/>
          <w:iCs/>
          <w:sz w:val="20"/>
          <w:szCs w:val="20"/>
          <w:lang w:eastAsia="en-US"/>
        </w:rPr>
        <w:t xml:space="preserve"> </w:t>
      </w:r>
      <w:r w:rsidRPr="00302726">
        <w:rPr>
          <w:rFonts w:ascii="Arial" w:eastAsia="Calibri" w:hAnsi="Arial" w:cs="Arial"/>
          <w:b/>
          <w:bCs/>
          <w:iCs/>
          <w:sz w:val="20"/>
          <w:szCs w:val="20"/>
          <w:lang w:eastAsia="en-US"/>
        </w:rPr>
        <w:t>v rámci EU27</w:t>
      </w:r>
      <w:r w:rsidR="0045392B" w:rsidRPr="00302726">
        <w:rPr>
          <w:rFonts w:ascii="Arial" w:eastAsia="Calibri" w:hAnsi="Arial" w:cs="Arial"/>
          <w:b/>
          <w:bCs/>
          <w:iCs/>
          <w:sz w:val="20"/>
          <w:szCs w:val="20"/>
          <w:lang w:eastAsia="en-US"/>
        </w:rPr>
        <w:t xml:space="preserve"> </w:t>
      </w:r>
      <w:r w:rsidR="006324E3">
        <w:rPr>
          <w:rFonts w:ascii="Arial" w:eastAsia="Calibri" w:hAnsi="Arial" w:cs="Arial"/>
          <w:b/>
          <w:bCs/>
          <w:iCs/>
          <w:sz w:val="20"/>
          <w:szCs w:val="20"/>
          <w:lang w:eastAsia="en-US"/>
        </w:rPr>
        <w:t xml:space="preserve">celkem 24 % </w:t>
      </w:r>
      <w:r w:rsidRPr="00302726">
        <w:rPr>
          <w:rFonts w:ascii="Arial" w:eastAsia="Calibri" w:hAnsi="Arial" w:cs="Arial"/>
          <w:b/>
          <w:bCs/>
          <w:iCs/>
          <w:sz w:val="20"/>
          <w:szCs w:val="20"/>
          <w:lang w:eastAsia="en-US"/>
        </w:rPr>
        <w:t>podniků</w:t>
      </w:r>
      <w:r w:rsidR="006324E3">
        <w:rPr>
          <w:rFonts w:ascii="Arial" w:eastAsia="Calibri" w:hAnsi="Arial" w:cs="Arial"/>
          <w:b/>
          <w:bCs/>
          <w:iCs/>
          <w:sz w:val="20"/>
          <w:szCs w:val="20"/>
          <w:lang w:eastAsia="en-US"/>
        </w:rPr>
        <w:t>,</w:t>
      </w:r>
      <w:r w:rsidR="00E160D7" w:rsidRPr="00302726">
        <w:rPr>
          <w:rFonts w:ascii="Arial" w:eastAsia="Calibri" w:hAnsi="Arial" w:cs="Arial"/>
          <w:b/>
          <w:bCs/>
          <w:iCs/>
          <w:sz w:val="20"/>
          <w:szCs w:val="20"/>
          <w:lang w:eastAsia="en-US"/>
        </w:rPr>
        <w:t xml:space="preserve"> </w:t>
      </w:r>
      <w:r w:rsidR="00C64462">
        <w:rPr>
          <w:rFonts w:ascii="Arial" w:eastAsia="Calibri" w:hAnsi="Arial" w:cs="Arial"/>
          <w:iCs/>
          <w:sz w:val="20"/>
          <w:szCs w:val="20"/>
          <w:lang w:eastAsia="en-US"/>
        </w:rPr>
        <w:t xml:space="preserve"> podíl elektronicky prodávajících podniků </w:t>
      </w:r>
      <w:r w:rsidR="00C64462" w:rsidRPr="003B3C31">
        <w:rPr>
          <w:rFonts w:ascii="Arial" w:eastAsia="Calibri" w:hAnsi="Arial" w:cs="Arial"/>
          <w:b/>
          <w:bCs/>
          <w:iCs/>
          <w:sz w:val="20"/>
          <w:szCs w:val="20"/>
          <w:lang w:eastAsia="en-US"/>
        </w:rPr>
        <w:t>v Česku byl tedy nadprůměrný</w:t>
      </w:r>
      <w:r w:rsidR="00C3259F" w:rsidRPr="003B3C31">
        <w:rPr>
          <w:rFonts w:ascii="Arial" w:eastAsia="Calibri" w:hAnsi="Arial" w:cs="Arial"/>
          <w:b/>
          <w:bCs/>
          <w:iCs/>
          <w:sz w:val="20"/>
          <w:szCs w:val="20"/>
          <w:lang w:eastAsia="en-US"/>
        </w:rPr>
        <w:t xml:space="preserve">, v celkovém žebříčku obsadil </w:t>
      </w:r>
      <w:r w:rsidR="006324E3">
        <w:rPr>
          <w:rFonts w:ascii="Arial" w:eastAsia="Calibri" w:hAnsi="Arial" w:cs="Arial"/>
          <w:b/>
          <w:bCs/>
          <w:iCs/>
          <w:sz w:val="20"/>
          <w:szCs w:val="20"/>
          <w:lang w:eastAsia="en-US"/>
        </w:rPr>
        <w:t>12</w:t>
      </w:r>
      <w:r w:rsidR="00C3259F" w:rsidRPr="003B3C31">
        <w:rPr>
          <w:rFonts w:ascii="Arial" w:eastAsia="Calibri" w:hAnsi="Arial" w:cs="Arial"/>
          <w:b/>
          <w:bCs/>
          <w:iCs/>
          <w:sz w:val="20"/>
          <w:szCs w:val="20"/>
          <w:lang w:eastAsia="en-US"/>
        </w:rPr>
        <w:t>. místo</w:t>
      </w:r>
      <w:r w:rsidR="00C3259F">
        <w:rPr>
          <w:rFonts w:ascii="Arial" w:eastAsia="Calibri" w:hAnsi="Arial" w:cs="Arial"/>
          <w:iCs/>
          <w:sz w:val="20"/>
          <w:szCs w:val="20"/>
          <w:lang w:eastAsia="en-US"/>
        </w:rPr>
        <w:t>.</w:t>
      </w:r>
      <w:r w:rsidR="00B56B11">
        <w:rPr>
          <w:rFonts w:ascii="Arial" w:eastAsia="Calibri" w:hAnsi="Arial" w:cs="Arial"/>
          <w:iCs/>
          <w:sz w:val="20"/>
          <w:szCs w:val="20"/>
          <w:lang w:eastAsia="en-US"/>
        </w:rPr>
        <w:t xml:space="preserve"> </w:t>
      </w:r>
      <w:r w:rsidRPr="00E160D7">
        <w:rPr>
          <w:rFonts w:ascii="Arial" w:eastAsia="Calibri" w:hAnsi="Arial" w:cs="Arial"/>
          <w:iCs/>
          <w:sz w:val="20"/>
          <w:szCs w:val="20"/>
          <w:lang w:eastAsia="en-US"/>
        </w:rPr>
        <w:t>V</w:t>
      </w:r>
      <w:r w:rsidR="00B56B11">
        <w:rPr>
          <w:rFonts w:ascii="Arial" w:eastAsia="Calibri" w:hAnsi="Arial" w:cs="Arial"/>
          <w:iCs/>
          <w:sz w:val="20"/>
          <w:szCs w:val="20"/>
          <w:lang w:eastAsia="en-US"/>
        </w:rPr>
        <w:t> elektronickém prodeji</w:t>
      </w:r>
      <w:r w:rsidRPr="00E160D7">
        <w:rPr>
          <w:rFonts w:ascii="Arial" w:eastAsia="Calibri" w:hAnsi="Arial" w:cs="Arial"/>
          <w:iCs/>
          <w:sz w:val="20"/>
          <w:szCs w:val="20"/>
          <w:lang w:eastAsia="en-US"/>
        </w:rPr>
        <w:t xml:space="preserve"> dominují podniky v</w:t>
      </w:r>
      <w:r w:rsidR="00E160D7" w:rsidRPr="00E160D7">
        <w:rPr>
          <w:rFonts w:ascii="Arial" w:eastAsia="Calibri" w:hAnsi="Arial" w:cs="Arial"/>
          <w:iCs/>
          <w:sz w:val="20"/>
          <w:szCs w:val="20"/>
          <w:lang w:eastAsia="en-US"/>
        </w:rPr>
        <w:t> </w:t>
      </w:r>
      <w:r w:rsidR="00047B1A">
        <w:rPr>
          <w:rFonts w:ascii="Arial" w:eastAsia="Calibri" w:hAnsi="Arial" w:cs="Arial"/>
          <w:iCs/>
          <w:sz w:val="20"/>
          <w:szCs w:val="20"/>
          <w:lang w:eastAsia="en-US"/>
        </w:rPr>
        <w:t>Litvě</w:t>
      </w:r>
      <w:r w:rsidR="00E160D7" w:rsidRPr="00E160D7">
        <w:rPr>
          <w:rFonts w:ascii="Arial" w:eastAsia="Calibri" w:hAnsi="Arial" w:cs="Arial"/>
          <w:iCs/>
          <w:sz w:val="20"/>
          <w:szCs w:val="20"/>
          <w:lang w:eastAsia="en-US"/>
        </w:rPr>
        <w:t xml:space="preserve">, </w:t>
      </w:r>
      <w:r w:rsidR="00B56B11">
        <w:rPr>
          <w:rFonts w:ascii="Arial" w:eastAsia="Calibri" w:hAnsi="Arial" w:cs="Arial"/>
          <w:iCs/>
          <w:sz w:val="20"/>
          <w:szCs w:val="20"/>
          <w:lang w:eastAsia="en-US"/>
        </w:rPr>
        <w:t xml:space="preserve">v roce 2024 </w:t>
      </w:r>
      <w:r w:rsidR="00303767">
        <w:rPr>
          <w:rFonts w:ascii="Arial" w:eastAsia="Calibri" w:hAnsi="Arial" w:cs="Arial"/>
          <w:iCs/>
          <w:sz w:val="20"/>
          <w:szCs w:val="20"/>
          <w:lang w:eastAsia="en-US"/>
        </w:rPr>
        <w:t>jich bylo celkem</w:t>
      </w:r>
      <w:r w:rsidR="00B56B11">
        <w:rPr>
          <w:rFonts w:ascii="Arial" w:eastAsia="Calibri" w:hAnsi="Arial" w:cs="Arial"/>
          <w:iCs/>
          <w:sz w:val="20"/>
          <w:szCs w:val="20"/>
          <w:lang w:eastAsia="en-US"/>
        </w:rPr>
        <w:t xml:space="preserve"> </w:t>
      </w:r>
      <w:r w:rsidR="00047B1A">
        <w:rPr>
          <w:rFonts w:ascii="Arial" w:eastAsia="Calibri" w:hAnsi="Arial" w:cs="Arial"/>
          <w:iCs/>
          <w:sz w:val="20"/>
          <w:szCs w:val="20"/>
          <w:lang w:eastAsia="en-US"/>
        </w:rPr>
        <w:t>43</w:t>
      </w:r>
      <w:r w:rsidR="00B56B11">
        <w:rPr>
          <w:rFonts w:ascii="Arial" w:eastAsia="Calibri" w:hAnsi="Arial" w:cs="Arial"/>
          <w:iCs/>
          <w:sz w:val="20"/>
          <w:szCs w:val="20"/>
          <w:lang w:eastAsia="en-US"/>
        </w:rPr>
        <w:t xml:space="preserve"> %</w:t>
      </w:r>
      <w:r w:rsidR="00E160D7" w:rsidRPr="00E160D7">
        <w:rPr>
          <w:rFonts w:ascii="Arial" w:eastAsia="Calibri" w:hAnsi="Arial" w:cs="Arial"/>
          <w:iCs/>
          <w:sz w:val="20"/>
          <w:szCs w:val="20"/>
          <w:lang w:eastAsia="en-US"/>
        </w:rPr>
        <w:t>. Druhá příčka patří v tomto ukazateli podnikům v </w:t>
      </w:r>
      <w:r w:rsidR="00047B1A">
        <w:rPr>
          <w:rFonts w:ascii="Arial" w:eastAsia="Calibri" w:hAnsi="Arial" w:cs="Arial"/>
          <w:iCs/>
          <w:sz w:val="20"/>
          <w:szCs w:val="20"/>
          <w:lang w:eastAsia="en-US"/>
        </w:rPr>
        <w:t>Dánsku</w:t>
      </w:r>
      <w:r w:rsidR="00E160D7" w:rsidRPr="00E160D7">
        <w:rPr>
          <w:rFonts w:ascii="Arial" w:eastAsia="Calibri" w:hAnsi="Arial" w:cs="Arial"/>
          <w:iCs/>
          <w:sz w:val="20"/>
          <w:szCs w:val="20"/>
          <w:lang w:eastAsia="en-US"/>
        </w:rPr>
        <w:t xml:space="preserve">, kterých elektronicky prodávalo </w:t>
      </w:r>
      <w:r w:rsidR="00925EAA">
        <w:rPr>
          <w:rFonts w:ascii="Arial" w:eastAsia="Calibri" w:hAnsi="Arial" w:cs="Arial"/>
          <w:iCs/>
          <w:sz w:val="20"/>
          <w:szCs w:val="20"/>
          <w:lang w:eastAsia="en-US"/>
        </w:rPr>
        <w:t>3</w:t>
      </w:r>
      <w:r w:rsidR="00047B1A">
        <w:rPr>
          <w:rFonts w:ascii="Arial" w:eastAsia="Calibri" w:hAnsi="Arial" w:cs="Arial"/>
          <w:iCs/>
          <w:sz w:val="20"/>
          <w:szCs w:val="20"/>
          <w:lang w:eastAsia="en-US"/>
        </w:rPr>
        <w:t>9</w:t>
      </w:r>
      <w:r w:rsidR="00E160D7" w:rsidRPr="00E160D7">
        <w:rPr>
          <w:rFonts w:ascii="Arial" w:eastAsia="Calibri" w:hAnsi="Arial" w:cs="Arial"/>
          <w:iCs/>
          <w:sz w:val="20"/>
          <w:szCs w:val="20"/>
          <w:lang w:eastAsia="en-US"/>
        </w:rPr>
        <w:t xml:space="preserve"> %</w:t>
      </w:r>
      <w:r w:rsidR="00925EAA">
        <w:rPr>
          <w:rFonts w:ascii="Arial" w:eastAsia="Calibri" w:hAnsi="Arial" w:cs="Arial"/>
          <w:iCs/>
          <w:sz w:val="20"/>
          <w:szCs w:val="20"/>
          <w:lang w:eastAsia="en-US"/>
        </w:rPr>
        <w:t xml:space="preserve"> a </w:t>
      </w:r>
      <w:r w:rsidR="0092348A">
        <w:rPr>
          <w:rFonts w:ascii="Arial" w:eastAsia="Calibri" w:hAnsi="Arial" w:cs="Arial"/>
          <w:iCs/>
          <w:sz w:val="20"/>
          <w:szCs w:val="20"/>
          <w:lang w:eastAsia="en-US"/>
        </w:rPr>
        <w:t xml:space="preserve">o </w:t>
      </w:r>
      <w:r w:rsidR="00925EAA">
        <w:rPr>
          <w:rFonts w:ascii="Arial" w:eastAsia="Calibri" w:hAnsi="Arial" w:cs="Arial"/>
          <w:iCs/>
          <w:sz w:val="20"/>
          <w:szCs w:val="20"/>
          <w:lang w:eastAsia="en-US"/>
        </w:rPr>
        <w:t>třetí</w:t>
      </w:r>
      <w:r w:rsidR="0092348A">
        <w:rPr>
          <w:rFonts w:ascii="Arial" w:eastAsia="Calibri" w:hAnsi="Arial" w:cs="Arial"/>
          <w:iCs/>
          <w:sz w:val="20"/>
          <w:szCs w:val="20"/>
          <w:lang w:eastAsia="en-US"/>
        </w:rPr>
        <w:t xml:space="preserve"> a čtvrtou příčku se dělí podniky ve</w:t>
      </w:r>
      <w:r w:rsidR="00925EAA">
        <w:rPr>
          <w:rFonts w:ascii="Arial" w:eastAsia="Calibri" w:hAnsi="Arial" w:cs="Arial"/>
          <w:iCs/>
          <w:sz w:val="20"/>
          <w:szCs w:val="20"/>
          <w:lang w:eastAsia="en-US"/>
        </w:rPr>
        <w:t xml:space="preserve"> </w:t>
      </w:r>
      <w:r w:rsidR="00047B1A">
        <w:rPr>
          <w:rFonts w:ascii="Arial" w:eastAsia="Calibri" w:hAnsi="Arial" w:cs="Arial"/>
          <w:iCs/>
          <w:sz w:val="20"/>
          <w:szCs w:val="20"/>
          <w:lang w:eastAsia="en-US"/>
        </w:rPr>
        <w:t>Švédsku</w:t>
      </w:r>
      <w:r w:rsidR="0092348A">
        <w:rPr>
          <w:rFonts w:ascii="Arial" w:eastAsia="Calibri" w:hAnsi="Arial" w:cs="Arial"/>
          <w:iCs/>
          <w:sz w:val="20"/>
          <w:szCs w:val="20"/>
          <w:lang w:eastAsia="en-US"/>
        </w:rPr>
        <w:t xml:space="preserve"> a Irsku</w:t>
      </w:r>
      <w:r w:rsidR="00925EAA">
        <w:rPr>
          <w:rFonts w:ascii="Arial" w:eastAsia="Calibri" w:hAnsi="Arial" w:cs="Arial"/>
          <w:iCs/>
          <w:sz w:val="20"/>
          <w:szCs w:val="20"/>
          <w:lang w:eastAsia="en-US"/>
        </w:rPr>
        <w:t xml:space="preserve"> (3</w:t>
      </w:r>
      <w:r w:rsidR="0092348A">
        <w:rPr>
          <w:rFonts w:ascii="Arial" w:eastAsia="Calibri" w:hAnsi="Arial" w:cs="Arial"/>
          <w:iCs/>
          <w:sz w:val="20"/>
          <w:szCs w:val="20"/>
          <w:lang w:eastAsia="en-US"/>
        </w:rPr>
        <w:t>7</w:t>
      </w:r>
      <w:r w:rsidR="00925EAA">
        <w:rPr>
          <w:rFonts w:ascii="Arial" w:eastAsia="Calibri" w:hAnsi="Arial" w:cs="Arial"/>
          <w:iCs/>
          <w:sz w:val="20"/>
          <w:szCs w:val="20"/>
          <w:lang w:eastAsia="en-US"/>
        </w:rPr>
        <w:t xml:space="preserve"> %)</w:t>
      </w:r>
      <w:r w:rsidR="00E160D7" w:rsidRPr="00E160D7">
        <w:rPr>
          <w:rFonts w:ascii="Arial" w:eastAsia="Calibri" w:hAnsi="Arial" w:cs="Arial"/>
          <w:iCs/>
          <w:sz w:val="20"/>
          <w:szCs w:val="20"/>
          <w:lang w:eastAsia="en-US"/>
        </w:rPr>
        <w:t>.</w:t>
      </w:r>
      <w:r w:rsidR="00532F5D">
        <w:rPr>
          <w:rFonts w:ascii="Arial" w:eastAsia="Calibri" w:hAnsi="Arial" w:cs="Arial"/>
          <w:iCs/>
          <w:sz w:val="20"/>
          <w:szCs w:val="20"/>
          <w:lang w:eastAsia="en-US"/>
        </w:rPr>
        <w:t xml:space="preserve"> </w:t>
      </w:r>
      <w:r w:rsidR="00925EAA">
        <w:rPr>
          <w:rFonts w:ascii="Arial" w:eastAsia="Calibri" w:hAnsi="Arial" w:cs="Arial"/>
          <w:iCs/>
          <w:sz w:val="20"/>
          <w:szCs w:val="20"/>
          <w:lang w:eastAsia="en-US"/>
        </w:rPr>
        <w:t>Nejméně často v roce 2024 prodávaly elektronicky podniky v</w:t>
      </w:r>
      <w:r w:rsidR="009E4874">
        <w:rPr>
          <w:rFonts w:ascii="Arial" w:eastAsia="Calibri" w:hAnsi="Arial" w:cs="Arial"/>
          <w:iCs/>
          <w:sz w:val="20"/>
          <w:szCs w:val="20"/>
          <w:lang w:eastAsia="en-US"/>
        </w:rPr>
        <w:t xml:space="preserve"> Rumunsku či </w:t>
      </w:r>
      <w:r w:rsidR="00925EAA">
        <w:rPr>
          <w:rFonts w:ascii="Arial" w:eastAsia="Calibri" w:hAnsi="Arial" w:cs="Arial"/>
          <w:iCs/>
          <w:sz w:val="20"/>
          <w:szCs w:val="20"/>
          <w:lang w:eastAsia="en-US"/>
        </w:rPr>
        <w:t>Lucembursku (</w:t>
      </w:r>
      <w:r w:rsidR="009E4874">
        <w:rPr>
          <w:rFonts w:ascii="Arial" w:eastAsia="Calibri" w:hAnsi="Arial" w:cs="Arial"/>
          <w:iCs/>
          <w:sz w:val="20"/>
          <w:szCs w:val="20"/>
          <w:lang w:eastAsia="en-US"/>
        </w:rPr>
        <w:t>shodně 15</w:t>
      </w:r>
      <w:r w:rsidR="00885B0B">
        <w:rPr>
          <w:rFonts w:ascii="Arial" w:eastAsia="Calibri" w:hAnsi="Arial" w:cs="Arial"/>
          <w:iCs/>
          <w:sz w:val="20"/>
          <w:szCs w:val="20"/>
          <w:lang w:eastAsia="en-US"/>
        </w:rPr>
        <w:t xml:space="preserve"> %).</w:t>
      </w:r>
      <w:r w:rsidRPr="00E160D7">
        <w:rPr>
          <w:rFonts w:ascii="Arial" w:eastAsia="Calibri" w:hAnsi="Arial" w:cs="Arial"/>
          <w:iCs/>
          <w:sz w:val="20"/>
          <w:szCs w:val="20"/>
          <w:lang w:eastAsia="en-US"/>
        </w:rPr>
        <w:t xml:space="preserve"> </w:t>
      </w:r>
    </w:p>
    <w:p w14:paraId="44219D12" w14:textId="680AA8CC" w:rsidR="008A5404" w:rsidRPr="008F7189" w:rsidRDefault="008A5404" w:rsidP="008D5B7E">
      <w:pPr>
        <w:pStyle w:val="Zkladntext"/>
        <w:numPr>
          <w:ilvl w:val="0"/>
          <w:numId w:val="2"/>
        </w:numPr>
        <w:tabs>
          <w:tab w:val="clear" w:pos="360"/>
          <w:tab w:val="num" w:pos="284"/>
        </w:tabs>
        <w:spacing w:before="0" w:after="40" w:line="288" w:lineRule="auto"/>
        <w:ind w:left="284" w:right="0" w:hanging="284"/>
        <w:rPr>
          <w:rFonts w:ascii="Arial" w:hAnsi="Arial" w:cs="Arial"/>
          <w:iCs/>
          <w:sz w:val="20"/>
          <w:szCs w:val="20"/>
        </w:rPr>
      </w:pPr>
      <w:r w:rsidRPr="008F7189">
        <w:rPr>
          <w:rFonts w:ascii="Arial" w:eastAsia="Calibri" w:hAnsi="Arial" w:cs="Arial"/>
          <w:iCs/>
          <w:sz w:val="20"/>
          <w:szCs w:val="20"/>
          <w:lang w:eastAsia="en-US"/>
        </w:rPr>
        <w:t xml:space="preserve">Podíl podniků prodávajících zboží a/nebo služby </w:t>
      </w:r>
      <w:r w:rsidRPr="008F7189">
        <w:rPr>
          <w:rFonts w:ascii="Arial" w:eastAsia="Calibri" w:hAnsi="Arial" w:cs="Arial"/>
          <w:b/>
          <w:iCs/>
          <w:sz w:val="20"/>
          <w:szCs w:val="20"/>
          <w:lang w:eastAsia="en-US"/>
        </w:rPr>
        <w:t>přes webové stránky</w:t>
      </w:r>
      <w:r w:rsidR="008B34AF">
        <w:rPr>
          <w:rFonts w:ascii="Arial" w:eastAsia="Calibri" w:hAnsi="Arial" w:cs="Arial"/>
          <w:b/>
          <w:iCs/>
          <w:sz w:val="20"/>
          <w:szCs w:val="20"/>
          <w:lang w:eastAsia="en-US"/>
        </w:rPr>
        <w:t>,</w:t>
      </w:r>
      <w:r w:rsidRPr="00BF1B85">
        <w:rPr>
          <w:rFonts w:ascii="Arial" w:eastAsia="Calibri" w:hAnsi="Arial" w:cs="Arial"/>
          <w:b/>
          <w:iCs/>
          <w:sz w:val="20"/>
          <w:szCs w:val="20"/>
          <w:lang w:eastAsia="en-US"/>
        </w:rPr>
        <w:t xml:space="preserve"> mobilní aplikace</w:t>
      </w:r>
      <w:r w:rsidR="008B34AF">
        <w:rPr>
          <w:rFonts w:ascii="Arial" w:eastAsia="Calibri" w:hAnsi="Arial" w:cs="Arial"/>
          <w:b/>
          <w:iCs/>
          <w:sz w:val="20"/>
          <w:szCs w:val="20"/>
          <w:lang w:eastAsia="en-US"/>
        </w:rPr>
        <w:t xml:space="preserve"> nebo web zprostředkovatele</w:t>
      </w:r>
      <w:r w:rsidRPr="00BF1B85">
        <w:rPr>
          <w:rFonts w:ascii="Arial" w:eastAsia="Calibri" w:hAnsi="Arial" w:cs="Arial"/>
          <w:b/>
          <w:iCs/>
          <w:sz w:val="20"/>
          <w:szCs w:val="20"/>
          <w:lang w:eastAsia="en-US"/>
        </w:rPr>
        <w:t xml:space="preserve"> je dlouhodobě vyšší</w:t>
      </w:r>
      <w:r w:rsidRPr="00C353FB">
        <w:rPr>
          <w:rFonts w:ascii="Arial" w:eastAsia="Calibri" w:hAnsi="Arial" w:cs="Arial"/>
          <w:iCs/>
          <w:sz w:val="20"/>
          <w:szCs w:val="20"/>
          <w:lang w:eastAsia="en-US"/>
        </w:rPr>
        <w:t xml:space="preserve"> než podíl podniků prodávajících zboží a/nebo služby </w:t>
      </w:r>
      <w:r w:rsidRPr="000B1085">
        <w:rPr>
          <w:rFonts w:ascii="Arial" w:eastAsia="Calibri" w:hAnsi="Arial" w:cs="Arial"/>
          <w:b/>
          <w:iCs/>
          <w:sz w:val="20"/>
          <w:szCs w:val="20"/>
          <w:lang w:eastAsia="en-US"/>
        </w:rPr>
        <w:t>pomocí elektronické výměny dat</w:t>
      </w:r>
      <w:r w:rsidRPr="008F7189">
        <w:rPr>
          <w:rFonts w:ascii="Arial" w:hAnsi="Arial" w:cs="Arial"/>
          <w:iCs/>
          <w:sz w:val="20"/>
          <w:szCs w:val="20"/>
        </w:rPr>
        <w:t xml:space="preserve"> (EDI). Přes web nebo aplikace prodávala v roce 202</w:t>
      </w:r>
      <w:r w:rsidR="008B34AF">
        <w:rPr>
          <w:rFonts w:ascii="Arial" w:hAnsi="Arial" w:cs="Arial"/>
          <w:iCs/>
          <w:sz w:val="20"/>
          <w:szCs w:val="20"/>
        </w:rPr>
        <w:t>4</w:t>
      </w:r>
      <w:r w:rsidRPr="008F7189">
        <w:rPr>
          <w:rFonts w:ascii="Arial" w:hAnsi="Arial" w:cs="Arial"/>
          <w:iCs/>
          <w:sz w:val="20"/>
          <w:szCs w:val="20"/>
        </w:rPr>
        <w:t xml:space="preserve"> v Česku pětina</w:t>
      </w:r>
      <w:r w:rsidR="00FD097C">
        <w:rPr>
          <w:rFonts w:ascii="Arial" w:hAnsi="Arial" w:cs="Arial"/>
          <w:iCs/>
          <w:sz w:val="20"/>
          <w:szCs w:val="20"/>
        </w:rPr>
        <w:t xml:space="preserve"> (22 %)</w:t>
      </w:r>
      <w:r w:rsidRPr="008F7189">
        <w:rPr>
          <w:rFonts w:ascii="Arial" w:hAnsi="Arial" w:cs="Arial"/>
          <w:iCs/>
          <w:sz w:val="20"/>
          <w:szCs w:val="20"/>
        </w:rPr>
        <w:t xml:space="preserve"> podniků s 10 a více zaměstnanci</w:t>
      </w:r>
      <w:r w:rsidR="00470578" w:rsidRPr="008F7189">
        <w:rPr>
          <w:rFonts w:ascii="Arial" w:hAnsi="Arial" w:cs="Arial"/>
          <w:iCs/>
          <w:sz w:val="20"/>
          <w:szCs w:val="20"/>
        </w:rPr>
        <w:t>,</w:t>
      </w:r>
      <w:r w:rsidRPr="008F7189">
        <w:rPr>
          <w:rFonts w:ascii="Arial" w:hAnsi="Arial" w:cs="Arial"/>
          <w:iCs/>
          <w:sz w:val="20"/>
          <w:szCs w:val="20"/>
        </w:rPr>
        <w:t xml:space="preserve"> pomocí elektronické výměny dat </w:t>
      </w:r>
      <w:r w:rsidR="00FD097C">
        <w:rPr>
          <w:rFonts w:ascii="Arial" w:hAnsi="Arial" w:cs="Arial"/>
          <w:iCs/>
          <w:sz w:val="20"/>
          <w:szCs w:val="20"/>
        </w:rPr>
        <w:t>8</w:t>
      </w:r>
      <w:r w:rsidRPr="008F7189">
        <w:rPr>
          <w:rFonts w:ascii="Arial" w:hAnsi="Arial" w:cs="Arial"/>
          <w:iCs/>
          <w:sz w:val="20"/>
          <w:szCs w:val="20"/>
        </w:rPr>
        <w:t xml:space="preserve"> % podniků. </w:t>
      </w:r>
    </w:p>
    <w:p w14:paraId="59AEE76B" w14:textId="581BC70D" w:rsidR="006676B0" w:rsidRDefault="006676B0" w:rsidP="008D5B7E">
      <w:pPr>
        <w:numPr>
          <w:ilvl w:val="0"/>
          <w:numId w:val="2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40" w:line="288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0F7491">
        <w:rPr>
          <w:rFonts w:ascii="Arial" w:hAnsi="Arial" w:cs="Arial"/>
          <w:iCs/>
          <w:sz w:val="20"/>
          <w:szCs w:val="20"/>
        </w:rPr>
        <w:t>Elektronick</w:t>
      </w:r>
      <w:r>
        <w:rPr>
          <w:rFonts w:ascii="Arial" w:hAnsi="Arial" w:cs="Arial"/>
          <w:iCs/>
          <w:sz w:val="20"/>
          <w:szCs w:val="20"/>
        </w:rPr>
        <w:t>ý</w:t>
      </w:r>
      <w:r w:rsidRPr="000F7491">
        <w:rPr>
          <w:rFonts w:ascii="Arial" w:hAnsi="Arial" w:cs="Arial"/>
          <w:iCs/>
          <w:sz w:val="20"/>
          <w:szCs w:val="20"/>
        </w:rPr>
        <w:t xml:space="preserve"> prode</w:t>
      </w:r>
      <w:r>
        <w:rPr>
          <w:rFonts w:ascii="Arial" w:hAnsi="Arial" w:cs="Arial"/>
          <w:iCs/>
          <w:sz w:val="20"/>
          <w:szCs w:val="20"/>
        </w:rPr>
        <w:t>j</w:t>
      </w:r>
      <w:r w:rsidRPr="000F7491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přes EDI</w:t>
      </w:r>
      <w:r w:rsidRPr="000F7491">
        <w:rPr>
          <w:rFonts w:ascii="Arial" w:hAnsi="Arial" w:cs="Arial"/>
          <w:iCs/>
          <w:sz w:val="20"/>
          <w:szCs w:val="20"/>
        </w:rPr>
        <w:t xml:space="preserve"> uskutečňují především velké podniky, v roce 202</w:t>
      </w:r>
      <w:r w:rsidR="00560185">
        <w:rPr>
          <w:rFonts w:ascii="Arial" w:hAnsi="Arial" w:cs="Arial"/>
          <w:iCs/>
          <w:sz w:val="20"/>
          <w:szCs w:val="20"/>
        </w:rPr>
        <w:t>4</w:t>
      </w:r>
      <w:r w:rsidRPr="000F7491">
        <w:rPr>
          <w:rFonts w:ascii="Arial" w:hAnsi="Arial" w:cs="Arial"/>
          <w:iCs/>
          <w:sz w:val="20"/>
          <w:szCs w:val="20"/>
        </w:rPr>
        <w:t xml:space="preserve"> </w:t>
      </w:r>
      <w:r w:rsidR="009E4874">
        <w:rPr>
          <w:rFonts w:ascii="Arial" w:hAnsi="Arial" w:cs="Arial"/>
          <w:iCs/>
          <w:sz w:val="20"/>
          <w:szCs w:val="20"/>
        </w:rPr>
        <w:t>takto</w:t>
      </w:r>
      <w:r w:rsidRPr="000F7491">
        <w:rPr>
          <w:rFonts w:ascii="Arial" w:hAnsi="Arial" w:cs="Arial"/>
          <w:iCs/>
          <w:sz w:val="20"/>
          <w:szCs w:val="20"/>
        </w:rPr>
        <w:t xml:space="preserve"> prodávalo zboží či služby 3</w:t>
      </w:r>
      <w:r w:rsidR="00223C41">
        <w:rPr>
          <w:rFonts w:ascii="Arial" w:hAnsi="Arial" w:cs="Arial"/>
          <w:iCs/>
          <w:sz w:val="20"/>
          <w:szCs w:val="20"/>
        </w:rPr>
        <w:t>5</w:t>
      </w:r>
      <w:r w:rsidRPr="000F7491">
        <w:rPr>
          <w:rFonts w:ascii="Arial" w:hAnsi="Arial" w:cs="Arial"/>
          <w:iCs/>
          <w:sz w:val="20"/>
          <w:szCs w:val="20"/>
        </w:rPr>
        <w:t xml:space="preserve"> % velkých, ale pouze </w:t>
      </w:r>
      <w:r>
        <w:rPr>
          <w:rFonts w:ascii="Arial" w:hAnsi="Arial" w:cs="Arial"/>
          <w:iCs/>
          <w:sz w:val="20"/>
          <w:szCs w:val="20"/>
        </w:rPr>
        <w:t>4 </w:t>
      </w:r>
      <w:r w:rsidRPr="000F7491">
        <w:rPr>
          <w:rFonts w:ascii="Arial" w:hAnsi="Arial" w:cs="Arial"/>
          <w:iCs/>
          <w:sz w:val="20"/>
          <w:szCs w:val="20"/>
        </w:rPr>
        <w:t xml:space="preserve">% malých firem. Z odvětvového pohledu je uskutečňování elektronického prodeje pomocí EDI </w:t>
      </w:r>
      <w:r>
        <w:rPr>
          <w:rFonts w:ascii="Arial" w:hAnsi="Arial" w:cs="Arial"/>
          <w:b/>
          <w:iCs/>
          <w:sz w:val="20"/>
          <w:szCs w:val="20"/>
        </w:rPr>
        <w:t>hojně</w:t>
      </w:r>
      <w:r w:rsidRPr="000F7491">
        <w:rPr>
          <w:rFonts w:ascii="Arial" w:hAnsi="Arial" w:cs="Arial"/>
          <w:b/>
          <w:iCs/>
          <w:sz w:val="20"/>
          <w:szCs w:val="20"/>
        </w:rPr>
        <w:t xml:space="preserve"> rozšířeno </w:t>
      </w:r>
      <w:r w:rsidR="00E660A2">
        <w:rPr>
          <w:rFonts w:ascii="Arial" w:hAnsi="Arial" w:cs="Arial"/>
          <w:b/>
          <w:iCs/>
          <w:sz w:val="20"/>
          <w:szCs w:val="20"/>
        </w:rPr>
        <w:t xml:space="preserve">ve </w:t>
      </w:r>
      <w:r w:rsidR="003549CC">
        <w:rPr>
          <w:rFonts w:ascii="Arial" w:hAnsi="Arial" w:cs="Arial"/>
          <w:b/>
          <w:iCs/>
          <w:sz w:val="20"/>
          <w:szCs w:val="20"/>
        </w:rPr>
        <w:t xml:space="preserve">velkoobchodě (24 % podniků) a ve </w:t>
      </w:r>
      <w:r w:rsidR="00E660A2">
        <w:rPr>
          <w:rFonts w:ascii="Arial" w:hAnsi="Arial" w:cs="Arial"/>
          <w:b/>
          <w:iCs/>
          <w:sz w:val="20"/>
          <w:szCs w:val="20"/>
        </w:rPr>
        <w:t>zpracovatelském průmyslu (</w:t>
      </w:r>
      <w:r w:rsidR="003549CC">
        <w:rPr>
          <w:rFonts w:ascii="Arial" w:hAnsi="Arial" w:cs="Arial"/>
          <w:b/>
          <w:iCs/>
          <w:sz w:val="20"/>
          <w:szCs w:val="20"/>
        </w:rPr>
        <w:t xml:space="preserve">průměrně </w:t>
      </w:r>
      <w:r w:rsidR="00E660A2">
        <w:rPr>
          <w:rFonts w:ascii="Arial" w:hAnsi="Arial" w:cs="Arial"/>
          <w:b/>
          <w:iCs/>
          <w:sz w:val="20"/>
          <w:szCs w:val="20"/>
        </w:rPr>
        <w:t>13 % podniků)</w:t>
      </w:r>
      <w:r w:rsidR="003549CC">
        <w:rPr>
          <w:rFonts w:ascii="Arial" w:hAnsi="Arial" w:cs="Arial"/>
          <w:b/>
          <w:iCs/>
          <w:sz w:val="20"/>
          <w:szCs w:val="20"/>
        </w:rPr>
        <w:t>.</w:t>
      </w:r>
      <w:r w:rsidRPr="000F7491">
        <w:rPr>
          <w:rFonts w:ascii="Arial" w:hAnsi="Arial" w:cs="Arial"/>
          <w:iCs/>
          <w:sz w:val="20"/>
          <w:szCs w:val="20"/>
        </w:rPr>
        <w:t xml:space="preserve"> Ve zpracovatelském průmyslu </w:t>
      </w:r>
      <w:r w:rsidR="003549CC">
        <w:rPr>
          <w:rFonts w:ascii="Arial" w:hAnsi="Arial" w:cs="Arial"/>
          <w:iCs/>
          <w:sz w:val="20"/>
          <w:szCs w:val="20"/>
        </w:rPr>
        <w:t>je nejvíce podniků, které prodávají</w:t>
      </w:r>
      <w:r w:rsidRPr="000F7491">
        <w:rPr>
          <w:rFonts w:ascii="Arial" w:hAnsi="Arial" w:cs="Arial"/>
          <w:iCs/>
          <w:sz w:val="20"/>
          <w:szCs w:val="20"/>
        </w:rPr>
        <w:t xml:space="preserve"> prostřednictvím EDI</w:t>
      </w:r>
      <w:r w:rsidR="003549CC">
        <w:rPr>
          <w:rFonts w:ascii="Arial" w:hAnsi="Arial" w:cs="Arial"/>
          <w:iCs/>
          <w:sz w:val="20"/>
          <w:szCs w:val="20"/>
        </w:rPr>
        <w:t xml:space="preserve">, </w:t>
      </w:r>
      <w:r w:rsidR="003549CC" w:rsidRPr="00853CFB">
        <w:rPr>
          <w:rFonts w:ascii="Arial" w:hAnsi="Arial" w:cs="Arial"/>
          <w:b/>
          <w:bCs/>
          <w:iCs/>
          <w:sz w:val="20"/>
          <w:szCs w:val="20"/>
        </w:rPr>
        <w:t>v</w:t>
      </w:r>
      <w:r w:rsidRPr="00853CFB">
        <w:rPr>
          <w:rFonts w:ascii="Arial" w:hAnsi="Arial" w:cs="Arial"/>
          <w:b/>
          <w:bCs/>
          <w:iCs/>
          <w:sz w:val="20"/>
          <w:szCs w:val="20"/>
        </w:rPr>
        <w:t xml:space="preserve"> automobilové</w:t>
      </w:r>
      <w:r w:rsidR="003549CC" w:rsidRPr="00853CFB">
        <w:rPr>
          <w:rFonts w:ascii="Arial" w:hAnsi="Arial" w:cs="Arial"/>
          <w:b/>
          <w:bCs/>
          <w:iCs/>
          <w:sz w:val="20"/>
          <w:szCs w:val="20"/>
        </w:rPr>
        <w:t>m</w:t>
      </w:r>
      <w:r w:rsidRPr="00853CFB">
        <w:rPr>
          <w:rFonts w:ascii="Arial" w:hAnsi="Arial" w:cs="Arial"/>
          <w:b/>
          <w:bCs/>
          <w:iCs/>
          <w:sz w:val="20"/>
          <w:szCs w:val="20"/>
        </w:rPr>
        <w:t xml:space="preserve"> průmyslu</w:t>
      </w:r>
      <w:r w:rsidR="00853CFB">
        <w:rPr>
          <w:rFonts w:ascii="Arial" w:hAnsi="Arial" w:cs="Arial"/>
          <w:iCs/>
          <w:sz w:val="20"/>
          <w:szCs w:val="20"/>
        </w:rPr>
        <w:t xml:space="preserve"> (CZ NACE 29), kde pomocí EDI prodávalo 45 % podniků</w:t>
      </w:r>
      <w:r>
        <w:rPr>
          <w:rFonts w:ascii="Arial" w:hAnsi="Arial" w:cs="Arial"/>
          <w:iCs/>
          <w:sz w:val="20"/>
          <w:szCs w:val="20"/>
        </w:rPr>
        <w:t>,</w:t>
      </w:r>
      <w:r w:rsidRPr="000F7491">
        <w:rPr>
          <w:rFonts w:ascii="Arial" w:hAnsi="Arial" w:cs="Arial"/>
          <w:iCs/>
          <w:sz w:val="20"/>
          <w:szCs w:val="20"/>
        </w:rPr>
        <w:t xml:space="preserve"> </w:t>
      </w:r>
      <w:r w:rsidR="003549CC">
        <w:rPr>
          <w:rFonts w:ascii="Arial" w:hAnsi="Arial" w:cs="Arial"/>
          <w:iCs/>
          <w:sz w:val="20"/>
          <w:szCs w:val="20"/>
        </w:rPr>
        <w:t xml:space="preserve">dále pak </w:t>
      </w:r>
      <w:r w:rsidRPr="000F7491">
        <w:rPr>
          <w:rFonts w:ascii="Arial" w:hAnsi="Arial" w:cs="Arial"/>
          <w:iCs/>
          <w:sz w:val="20"/>
          <w:szCs w:val="20"/>
        </w:rPr>
        <w:t xml:space="preserve">v potravinářství, nejvíce v odvětví </w:t>
      </w:r>
      <w:r w:rsidRPr="000F7491">
        <w:rPr>
          <w:rFonts w:ascii="Arial" w:hAnsi="Arial" w:cs="Arial"/>
          <w:b/>
          <w:iCs/>
          <w:sz w:val="20"/>
          <w:szCs w:val="20"/>
        </w:rPr>
        <w:t>výroba nápojů</w:t>
      </w:r>
      <w:r w:rsidRPr="000F7491">
        <w:rPr>
          <w:rFonts w:ascii="Arial" w:hAnsi="Arial" w:cs="Arial"/>
          <w:iCs/>
          <w:sz w:val="20"/>
          <w:szCs w:val="20"/>
        </w:rPr>
        <w:t xml:space="preserve"> (CZ NACE 11), kde pomocí EDI prodával</w:t>
      </w:r>
      <w:r>
        <w:rPr>
          <w:rFonts w:ascii="Arial" w:hAnsi="Arial" w:cs="Arial"/>
          <w:iCs/>
          <w:sz w:val="20"/>
          <w:szCs w:val="20"/>
        </w:rPr>
        <w:t>o</w:t>
      </w:r>
      <w:r w:rsidRPr="000F7491">
        <w:rPr>
          <w:rFonts w:ascii="Arial" w:hAnsi="Arial" w:cs="Arial"/>
          <w:iCs/>
          <w:sz w:val="20"/>
          <w:szCs w:val="20"/>
        </w:rPr>
        <w:t xml:space="preserve"> </w:t>
      </w:r>
      <w:r w:rsidR="00853CFB">
        <w:rPr>
          <w:rFonts w:ascii="Arial" w:hAnsi="Arial" w:cs="Arial"/>
          <w:iCs/>
          <w:sz w:val="20"/>
          <w:szCs w:val="20"/>
        </w:rPr>
        <w:t>41</w:t>
      </w:r>
      <w:r>
        <w:rPr>
          <w:rFonts w:ascii="Arial" w:hAnsi="Arial" w:cs="Arial"/>
          <w:iCs/>
          <w:sz w:val="20"/>
          <w:szCs w:val="20"/>
        </w:rPr>
        <w:t xml:space="preserve"> %</w:t>
      </w:r>
      <w:r w:rsidRPr="000F7491">
        <w:rPr>
          <w:rFonts w:ascii="Arial" w:hAnsi="Arial" w:cs="Arial"/>
          <w:iCs/>
          <w:sz w:val="20"/>
          <w:szCs w:val="20"/>
        </w:rPr>
        <w:t xml:space="preserve"> podniků</w:t>
      </w:r>
      <w:r>
        <w:rPr>
          <w:rFonts w:ascii="Arial" w:hAnsi="Arial" w:cs="Arial"/>
          <w:iCs/>
          <w:sz w:val="20"/>
          <w:szCs w:val="20"/>
        </w:rPr>
        <w:t xml:space="preserve">. Pro srovnání, </w:t>
      </w:r>
      <w:r w:rsidRPr="000F7491">
        <w:rPr>
          <w:rFonts w:ascii="Arial" w:hAnsi="Arial" w:cs="Arial"/>
          <w:iCs/>
          <w:sz w:val="20"/>
          <w:szCs w:val="20"/>
        </w:rPr>
        <w:t xml:space="preserve">ve </w:t>
      </w:r>
      <w:r w:rsidRPr="000F7491">
        <w:rPr>
          <w:rFonts w:ascii="Arial" w:hAnsi="Arial" w:cs="Arial"/>
          <w:b/>
          <w:iCs/>
          <w:sz w:val="20"/>
          <w:szCs w:val="20"/>
        </w:rPr>
        <w:t>výrobě potravin</w:t>
      </w:r>
      <w:r w:rsidRPr="000F7491">
        <w:rPr>
          <w:rFonts w:ascii="Arial" w:hAnsi="Arial" w:cs="Arial"/>
          <w:iCs/>
          <w:sz w:val="20"/>
          <w:szCs w:val="20"/>
        </w:rPr>
        <w:t xml:space="preserve"> (CZ NACE 10) to bylo </w:t>
      </w:r>
      <w:r>
        <w:rPr>
          <w:rFonts w:ascii="Arial" w:hAnsi="Arial" w:cs="Arial"/>
          <w:iCs/>
          <w:sz w:val="20"/>
          <w:szCs w:val="20"/>
        </w:rPr>
        <w:t>2</w:t>
      </w:r>
      <w:r w:rsidR="00853CFB">
        <w:rPr>
          <w:rFonts w:ascii="Arial" w:hAnsi="Arial" w:cs="Arial"/>
          <w:iCs/>
          <w:sz w:val="20"/>
          <w:szCs w:val="20"/>
        </w:rPr>
        <w:t>0</w:t>
      </w:r>
      <w:r w:rsidRPr="000F7491">
        <w:rPr>
          <w:rFonts w:ascii="Arial" w:hAnsi="Arial" w:cs="Arial"/>
          <w:iCs/>
          <w:sz w:val="20"/>
          <w:szCs w:val="20"/>
        </w:rPr>
        <w:t xml:space="preserve"> % </w:t>
      </w:r>
      <w:r>
        <w:rPr>
          <w:rFonts w:ascii="Arial" w:hAnsi="Arial" w:cs="Arial"/>
          <w:iCs/>
          <w:sz w:val="20"/>
          <w:szCs w:val="20"/>
        </w:rPr>
        <w:t>firem</w:t>
      </w:r>
      <w:r w:rsidRPr="000F7491">
        <w:rPr>
          <w:rFonts w:ascii="Arial" w:hAnsi="Arial" w:cs="Arial"/>
          <w:iCs/>
          <w:sz w:val="20"/>
          <w:szCs w:val="20"/>
        </w:rPr>
        <w:t xml:space="preserve">. </w:t>
      </w:r>
    </w:p>
    <w:p w14:paraId="1C2F0082" w14:textId="74EAB8B1" w:rsidR="00574855" w:rsidRPr="000F7491" w:rsidRDefault="00ED58C0" w:rsidP="008D5B7E">
      <w:pPr>
        <w:numPr>
          <w:ilvl w:val="0"/>
          <w:numId w:val="2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40" w:line="288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V rámci EU prodávalo v roce 2024 elektronicky prostřednictvím elektronické </w:t>
      </w:r>
      <w:r w:rsidR="0073299F">
        <w:rPr>
          <w:rFonts w:ascii="Arial" w:hAnsi="Arial" w:cs="Arial"/>
          <w:iCs/>
          <w:sz w:val="20"/>
          <w:szCs w:val="20"/>
        </w:rPr>
        <w:t>výměny dat nejvíce podniků v Dánsku (</w:t>
      </w:r>
      <w:r w:rsidR="00E54C58">
        <w:rPr>
          <w:rFonts w:ascii="Arial" w:hAnsi="Arial" w:cs="Arial"/>
          <w:iCs/>
          <w:sz w:val="20"/>
          <w:szCs w:val="20"/>
        </w:rPr>
        <w:t xml:space="preserve">16 %), v Belgii (13 %) či ve Finsku nebo Švédsku (v každé zemi shodně 11 % podniků). </w:t>
      </w:r>
      <w:r w:rsidR="003C0EA8">
        <w:rPr>
          <w:rFonts w:ascii="Arial" w:hAnsi="Arial" w:cs="Arial"/>
          <w:iCs/>
          <w:sz w:val="20"/>
          <w:szCs w:val="20"/>
        </w:rPr>
        <w:t xml:space="preserve">Podniky </w:t>
      </w:r>
      <w:r w:rsidR="003C0EA8" w:rsidRPr="00D0581C">
        <w:rPr>
          <w:rFonts w:ascii="Arial" w:hAnsi="Arial" w:cs="Arial"/>
          <w:b/>
          <w:bCs/>
          <w:iCs/>
          <w:sz w:val="20"/>
          <w:szCs w:val="20"/>
        </w:rPr>
        <w:t xml:space="preserve">v Česku </w:t>
      </w:r>
      <w:r w:rsidR="003C0EA8" w:rsidRPr="00D0581C">
        <w:rPr>
          <w:rFonts w:ascii="Arial" w:hAnsi="Arial" w:cs="Arial"/>
          <w:iCs/>
          <w:sz w:val="20"/>
          <w:szCs w:val="20"/>
        </w:rPr>
        <w:t>jsou v tomto ukazateli</w:t>
      </w:r>
      <w:r w:rsidR="003C0EA8" w:rsidRPr="00D0581C">
        <w:rPr>
          <w:rFonts w:ascii="Arial" w:hAnsi="Arial" w:cs="Arial"/>
          <w:b/>
          <w:bCs/>
          <w:iCs/>
          <w:sz w:val="20"/>
          <w:szCs w:val="20"/>
        </w:rPr>
        <w:t xml:space="preserve"> (8 %) nad evropským průměrem</w:t>
      </w:r>
      <w:r w:rsidR="003C0EA8">
        <w:rPr>
          <w:rFonts w:ascii="Arial" w:hAnsi="Arial" w:cs="Arial"/>
          <w:iCs/>
          <w:sz w:val="20"/>
          <w:szCs w:val="20"/>
        </w:rPr>
        <w:t xml:space="preserve">, který za rok 2024 činil </w:t>
      </w:r>
      <w:r w:rsidR="008B230C" w:rsidRPr="00D0581C">
        <w:rPr>
          <w:rFonts w:ascii="Arial" w:hAnsi="Arial" w:cs="Arial"/>
          <w:b/>
          <w:bCs/>
          <w:iCs/>
          <w:sz w:val="20"/>
          <w:szCs w:val="20"/>
        </w:rPr>
        <w:t>6 % podniků</w:t>
      </w:r>
      <w:r w:rsidR="008B230C">
        <w:rPr>
          <w:rFonts w:ascii="Arial" w:hAnsi="Arial" w:cs="Arial"/>
          <w:iCs/>
          <w:sz w:val="20"/>
          <w:szCs w:val="20"/>
        </w:rPr>
        <w:t>. Prostřednictvím EDI prodává nejméně podniků v Řecku (1 %</w:t>
      </w:r>
      <w:r w:rsidR="00302726">
        <w:rPr>
          <w:rFonts w:ascii="Arial" w:hAnsi="Arial" w:cs="Arial"/>
          <w:iCs/>
          <w:sz w:val="20"/>
          <w:szCs w:val="20"/>
        </w:rPr>
        <w:t>).</w:t>
      </w:r>
    </w:p>
    <w:p w14:paraId="25F0D5E1" w14:textId="3C9E356A" w:rsidR="006676B0" w:rsidRPr="000F7491" w:rsidRDefault="006676B0" w:rsidP="008D5B7E">
      <w:pPr>
        <w:numPr>
          <w:ilvl w:val="0"/>
          <w:numId w:val="2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40" w:line="288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0F7491">
        <w:rPr>
          <w:rFonts w:ascii="Arial" w:hAnsi="Arial" w:cs="Arial"/>
          <w:iCs/>
          <w:sz w:val="20"/>
          <w:szCs w:val="20"/>
        </w:rPr>
        <w:t xml:space="preserve">Detailnější údaje o online prodeji uskutečněném přes webové stránky nebo mobilní aplikace naleznete v kapitole č. </w:t>
      </w:r>
      <w:r>
        <w:rPr>
          <w:rFonts w:ascii="Arial" w:hAnsi="Arial" w:cs="Arial"/>
          <w:iCs/>
          <w:sz w:val="20"/>
          <w:szCs w:val="20"/>
        </w:rPr>
        <w:t>13</w:t>
      </w:r>
      <w:r w:rsidRPr="000F7491">
        <w:rPr>
          <w:rFonts w:ascii="Arial" w:hAnsi="Arial" w:cs="Arial"/>
          <w:iCs/>
          <w:sz w:val="20"/>
          <w:szCs w:val="20"/>
        </w:rPr>
        <w:t xml:space="preserve"> této publikace. </w:t>
      </w:r>
      <w:r>
        <w:rPr>
          <w:rFonts w:ascii="Arial" w:hAnsi="Arial" w:cs="Arial"/>
          <w:iCs/>
          <w:sz w:val="20"/>
          <w:szCs w:val="20"/>
        </w:rPr>
        <w:t xml:space="preserve">Zde pouze stručně zmíníme, že </w:t>
      </w:r>
      <w:r w:rsidRPr="001A43EC">
        <w:rPr>
          <w:rFonts w:ascii="Arial" w:hAnsi="Arial" w:cs="Arial"/>
          <w:b/>
          <w:bCs/>
          <w:iCs/>
          <w:sz w:val="20"/>
          <w:szCs w:val="20"/>
        </w:rPr>
        <w:t>prodej přes web nebo přes aplikace převažuje prakticky ve všech odvětvích, především v sektoru služeb</w:t>
      </w:r>
      <w:r w:rsidRPr="000F7491">
        <w:rPr>
          <w:rFonts w:ascii="Arial" w:hAnsi="Arial" w:cs="Arial"/>
          <w:iCs/>
          <w:sz w:val="20"/>
          <w:szCs w:val="20"/>
        </w:rPr>
        <w:t>. Nejvýrazněji je to vidět např</w:t>
      </w:r>
      <w:r>
        <w:rPr>
          <w:rFonts w:ascii="Arial" w:hAnsi="Arial" w:cs="Arial"/>
          <w:iCs/>
          <w:sz w:val="20"/>
          <w:szCs w:val="20"/>
        </w:rPr>
        <w:t>íklad</w:t>
      </w:r>
      <w:r w:rsidRPr="000F7491">
        <w:rPr>
          <w:rFonts w:ascii="Arial" w:hAnsi="Arial" w:cs="Arial"/>
          <w:iCs/>
          <w:sz w:val="20"/>
          <w:szCs w:val="20"/>
        </w:rPr>
        <w:t xml:space="preserve"> u</w:t>
      </w:r>
      <w:r>
        <w:rPr>
          <w:rFonts w:ascii="Arial" w:hAnsi="Arial" w:cs="Arial"/>
          <w:iCs/>
          <w:sz w:val="20"/>
          <w:szCs w:val="20"/>
        </w:rPr>
        <w:t> </w:t>
      </w:r>
      <w:r w:rsidRPr="000F7491">
        <w:rPr>
          <w:rFonts w:ascii="Arial" w:hAnsi="Arial" w:cs="Arial"/>
          <w:iCs/>
          <w:sz w:val="20"/>
          <w:szCs w:val="20"/>
        </w:rPr>
        <w:t>cestovních agentur a kanceláří</w:t>
      </w:r>
      <w:r>
        <w:rPr>
          <w:rFonts w:ascii="Arial" w:hAnsi="Arial" w:cs="Arial"/>
          <w:iCs/>
          <w:sz w:val="20"/>
          <w:szCs w:val="20"/>
        </w:rPr>
        <w:t>,</w:t>
      </w:r>
      <w:r w:rsidRPr="000F7491">
        <w:rPr>
          <w:rFonts w:ascii="Arial" w:hAnsi="Arial" w:cs="Arial"/>
          <w:iCs/>
          <w:sz w:val="20"/>
          <w:szCs w:val="20"/>
        </w:rPr>
        <w:t xml:space="preserve"> v ubytování, stravování a pohostinství,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0F7491">
        <w:rPr>
          <w:rFonts w:ascii="Arial" w:hAnsi="Arial" w:cs="Arial"/>
          <w:iCs/>
          <w:sz w:val="20"/>
          <w:szCs w:val="20"/>
        </w:rPr>
        <w:t>ve stavebnictví</w:t>
      </w:r>
      <w:r w:rsidR="00A9744B">
        <w:rPr>
          <w:rFonts w:ascii="Arial" w:hAnsi="Arial" w:cs="Arial"/>
          <w:iCs/>
          <w:sz w:val="20"/>
          <w:szCs w:val="20"/>
        </w:rPr>
        <w:t>,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A9744B" w:rsidRPr="000F7491">
        <w:rPr>
          <w:rFonts w:ascii="Arial" w:hAnsi="Arial" w:cs="Arial"/>
          <w:iCs/>
          <w:sz w:val="20"/>
          <w:szCs w:val="20"/>
        </w:rPr>
        <w:t>v maloobchodě</w:t>
      </w:r>
      <w:r w:rsidR="00A9744B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či</w:t>
      </w:r>
      <w:r w:rsidRPr="000F7491">
        <w:rPr>
          <w:rFonts w:ascii="Arial" w:hAnsi="Arial" w:cs="Arial"/>
          <w:iCs/>
          <w:sz w:val="20"/>
          <w:szCs w:val="20"/>
        </w:rPr>
        <w:t xml:space="preserve"> v sekci CZ NACE J </w:t>
      </w:r>
      <w:r w:rsidRPr="0078651B">
        <w:rPr>
          <w:rFonts w:ascii="Arial" w:hAnsi="Arial" w:cs="Arial"/>
          <w:iCs/>
          <w:sz w:val="20"/>
          <w:szCs w:val="20"/>
        </w:rPr>
        <w:t>Informační a komunikační činnosti</w:t>
      </w:r>
      <w:r w:rsidRPr="000F7491">
        <w:rPr>
          <w:rFonts w:ascii="Arial" w:hAnsi="Arial" w:cs="Arial"/>
          <w:iCs/>
          <w:sz w:val="20"/>
          <w:szCs w:val="20"/>
        </w:rPr>
        <w:t xml:space="preserve">. </w:t>
      </w:r>
      <w:r w:rsidRPr="001A43EC">
        <w:rPr>
          <w:rFonts w:ascii="Arial" w:hAnsi="Arial" w:cs="Arial"/>
          <w:b/>
          <w:bCs/>
          <w:iCs/>
          <w:sz w:val="20"/>
          <w:szCs w:val="20"/>
        </w:rPr>
        <w:t>Ve většině odvětví zpracovatelského průmyslu naopak převažuje prodej pomocí EDI</w:t>
      </w:r>
      <w:r w:rsidRPr="000F7491">
        <w:rPr>
          <w:rFonts w:ascii="Arial" w:hAnsi="Arial" w:cs="Arial"/>
          <w:iCs/>
          <w:sz w:val="20"/>
          <w:szCs w:val="20"/>
        </w:rPr>
        <w:t xml:space="preserve">, </w:t>
      </w:r>
      <w:r>
        <w:rPr>
          <w:rFonts w:ascii="Arial" w:hAnsi="Arial" w:cs="Arial"/>
          <w:iCs/>
          <w:sz w:val="20"/>
          <w:szCs w:val="20"/>
        </w:rPr>
        <w:t>především</w:t>
      </w:r>
      <w:r w:rsidRPr="000F7491">
        <w:rPr>
          <w:rFonts w:ascii="Arial" w:hAnsi="Arial" w:cs="Arial"/>
          <w:iCs/>
          <w:sz w:val="20"/>
          <w:szCs w:val="20"/>
        </w:rPr>
        <w:t xml:space="preserve"> v již zmíněném automobilovém </w:t>
      </w:r>
      <w:r>
        <w:rPr>
          <w:rFonts w:ascii="Arial" w:hAnsi="Arial" w:cs="Arial"/>
          <w:iCs/>
          <w:sz w:val="20"/>
          <w:szCs w:val="20"/>
        </w:rPr>
        <w:t xml:space="preserve">nebo nápojovém </w:t>
      </w:r>
      <w:r w:rsidRPr="000F7491">
        <w:rPr>
          <w:rFonts w:ascii="Arial" w:hAnsi="Arial" w:cs="Arial"/>
          <w:iCs/>
          <w:sz w:val="20"/>
          <w:szCs w:val="20"/>
        </w:rPr>
        <w:t xml:space="preserve">průmyslu.  </w:t>
      </w:r>
    </w:p>
    <w:p w14:paraId="2FDAEF4F" w14:textId="2BB7CB9E" w:rsidR="00B21F49" w:rsidRPr="00203758" w:rsidRDefault="00B21F49" w:rsidP="00B21F49">
      <w:pPr>
        <w:pStyle w:val="Nadpis2"/>
        <w:spacing w:before="240" w:after="120" w:line="240" w:lineRule="auto"/>
        <w:rPr>
          <w:color w:val="009CB5"/>
          <w:sz w:val="24"/>
          <w:szCs w:val="24"/>
        </w:rPr>
      </w:pPr>
      <w:r>
        <w:rPr>
          <w:color w:val="009CB5"/>
          <w:sz w:val="24"/>
          <w:szCs w:val="24"/>
        </w:rPr>
        <w:t>Tržby z elektronických prodejů</w:t>
      </w:r>
    </w:p>
    <w:p w14:paraId="6D2F7F0D" w14:textId="617FF2C3" w:rsidR="00885B0B" w:rsidRPr="00A4066A" w:rsidRDefault="00B21F49" w:rsidP="008D5B7E">
      <w:pPr>
        <w:pStyle w:val="Zkladntext"/>
        <w:numPr>
          <w:ilvl w:val="0"/>
          <w:numId w:val="2"/>
        </w:numPr>
        <w:tabs>
          <w:tab w:val="clear" w:pos="360"/>
          <w:tab w:val="num" w:pos="284"/>
        </w:tabs>
        <w:spacing w:before="0" w:after="40" w:line="288" w:lineRule="auto"/>
        <w:ind w:left="284" w:right="0" w:hanging="284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A4066A">
        <w:rPr>
          <w:rFonts w:ascii="Arial" w:eastAsia="Calibri" w:hAnsi="Arial" w:cs="Arial"/>
          <w:b/>
          <w:iCs/>
          <w:sz w:val="20"/>
          <w:szCs w:val="20"/>
          <w:lang w:eastAsia="en-US"/>
        </w:rPr>
        <w:t>Tržby z elektronických prodejů</w:t>
      </w:r>
      <w:r w:rsidRPr="00A4066A">
        <w:rPr>
          <w:rFonts w:ascii="Arial" w:eastAsia="Calibri" w:hAnsi="Arial" w:cs="Arial"/>
          <w:iCs/>
          <w:sz w:val="20"/>
          <w:szCs w:val="20"/>
          <w:lang w:eastAsia="en-US"/>
        </w:rPr>
        <w:t xml:space="preserve"> se na celkových tržbách podniků s 10 a více zaměstnanci v roce 2024 podílely dvaceti šesti procenty. </w:t>
      </w:r>
      <w:r w:rsidR="00885B0B" w:rsidRPr="00A4066A">
        <w:rPr>
          <w:rFonts w:ascii="Arial" w:eastAsia="Calibri" w:hAnsi="Arial" w:cs="Arial"/>
          <w:iCs/>
          <w:sz w:val="20"/>
          <w:szCs w:val="20"/>
          <w:lang w:eastAsia="en-US"/>
        </w:rPr>
        <w:t xml:space="preserve">V případě malých </w:t>
      </w:r>
      <w:r w:rsidR="00F90D7B" w:rsidRPr="00A4066A">
        <w:rPr>
          <w:rFonts w:ascii="Arial" w:eastAsia="Calibri" w:hAnsi="Arial" w:cs="Arial"/>
          <w:iCs/>
          <w:sz w:val="20"/>
          <w:szCs w:val="20"/>
          <w:lang w:eastAsia="en-US"/>
        </w:rPr>
        <w:t>firem</w:t>
      </w:r>
      <w:r w:rsidR="00885B0B" w:rsidRPr="00A4066A">
        <w:rPr>
          <w:rFonts w:ascii="Arial" w:eastAsia="Calibri" w:hAnsi="Arial" w:cs="Arial"/>
          <w:iCs/>
          <w:sz w:val="20"/>
          <w:szCs w:val="20"/>
          <w:lang w:eastAsia="en-US"/>
        </w:rPr>
        <w:t xml:space="preserve"> s 10 až 49 zaměstnanci to bylo </w:t>
      </w:r>
      <w:r w:rsidR="00F90D7B" w:rsidRPr="00A4066A">
        <w:rPr>
          <w:rFonts w:ascii="Arial" w:eastAsia="Calibri" w:hAnsi="Arial" w:cs="Arial"/>
          <w:iCs/>
          <w:sz w:val="20"/>
          <w:szCs w:val="20"/>
          <w:lang w:eastAsia="en-US"/>
        </w:rPr>
        <w:t>12</w:t>
      </w:r>
      <w:r w:rsidR="00885B0B" w:rsidRPr="00A4066A">
        <w:rPr>
          <w:rFonts w:ascii="Arial" w:eastAsia="Calibri" w:hAnsi="Arial" w:cs="Arial"/>
          <w:iCs/>
          <w:sz w:val="20"/>
          <w:szCs w:val="20"/>
          <w:lang w:eastAsia="en-US"/>
        </w:rPr>
        <w:t xml:space="preserve"> %</w:t>
      </w:r>
      <w:r w:rsidR="00F90D7B" w:rsidRPr="00A4066A">
        <w:rPr>
          <w:rFonts w:ascii="Arial" w:eastAsia="Calibri" w:hAnsi="Arial" w:cs="Arial"/>
          <w:iCs/>
          <w:sz w:val="20"/>
          <w:szCs w:val="20"/>
          <w:lang w:eastAsia="en-US"/>
        </w:rPr>
        <w:t>,</w:t>
      </w:r>
      <w:r w:rsidR="00885B0B" w:rsidRPr="00A4066A">
        <w:rPr>
          <w:rFonts w:ascii="Arial" w:eastAsia="Calibri" w:hAnsi="Arial" w:cs="Arial"/>
          <w:iCs/>
          <w:sz w:val="20"/>
          <w:szCs w:val="20"/>
          <w:lang w:eastAsia="en-US"/>
        </w:rPr>
        <w:t xml:space="preserve"> u středních podniků 2</w:t>
      </w:r>
      <w:r w:rsidR="00F90D7B" w:rsidRPr="00A4066A">
        <w:rPr>
          <w:rFonts w:ascii="Arial" w:eastAsia="Calibri" w:hAnsi="Arial" w:cs="Arial"/>
          <w:iCs/>
          <w:sz w:val="20"/>
          <w:szCs w:val="20"/>
          <w:lang w:eastAsia="en-US"/>
        </w:rPr>
        <w:t>4</w:t>
      </w:r>
      <w:r w:rsidR="00885B0B" w:rsidRPr="00A4066A">
        <w:rPr>
          <w:rFonts w:ascii="Arial" w:eastAsia="Calibri" w:hAnsi="Arial" w:cs="Arial"/>
          <w:iCs/>
          <w:sz w:val="20"/>
          <w:szCs w:val="20"/>
          <w:lang w:eastAsia="en-US"/>
        </w:rPr>
        <w:t> %</w:t>
      </w:r>
      <w:r w:rsidR="00F90D7B" w:rsidRPr="00A4066A">
        <w:rPr>
          <w:rFonts w:ascii="Arial" w:eastAsia="Calibri" w:hAnsi="Arial" w:cs="Arial"/>
          <w:iCs/>
          <w:sz w:val="20"/>
          <w:szCs w:val="20"/>
          <w:lang w:eastAsia="en-US"/>
        </w:rPr>
        <w:t xml:space="preserve"> </w:t>
      </w:r>
      <w:r w:rsidR="00A4066A" w:rsidRPr="00A4066A">
        <w:rPr>
          <w:rFonts w:ascii="Arial" w:eastAsia="Calibri" w:hAnsi="Arial" w:cs="Arial"/>
          <w:iCs/>
          <w:sz w:val="20"/>
          <w:szCs w:val="20"/>
          <w:lang w:eastAsia="en-US"/>
        </w:rPr>
        <w:t xml:space="preserve">a na tržbách velkých podniků </w:t>
      </w:r>
      <w:r w:rsidR="00831824">
        <w:rPr>
          <w:rFonts w:ascii="Arial" w:eastAsia="Calibri" w:hAnsi="Arial" w:cs="Arial"/>
          <w:iCs/>
          <w:sz w:val="20"/>
          <w:szCs w:val="20"/>
          <w:lang w:eastAsia="en-US"/>
        </w:rPr>
        <w:t xml:space="preserve">se </w:t>
      </w:r>
      <w:r w:rsidR="00A4066A" w:rsidRPr="00A4066A">
        <w:rPr>
          <w:rFonts w:ascii="Arial" w:eastAsia="Calibri" w:hAnsi="Arial" w:cs="Arial"/>
          <w:iCs/>
          <w:sz w:val="20"/>
          <w:szCs w:val="20"/>
          <w:lang w:eastAsia="en-US"/>
        </w:rPr>
        <w:t>elektronické prodeje</w:t>
      </w:r>
      <w:r w:rsidR="00831824">
        <w:rPr>
          <w:rFonts w:ascii="Arial" w:eastAsia="Calibri" w:hAnsi="Arial" w:cs="Arial"/>
          <w:iCs/>
          <w:sz w:val="20"/>
          <w:szCs w:val="20"/>
          <w:lang w:eastAsia="en-US"/>
        </w:rPr>
        <w:t xml:space="preserve"> podílely</w:t>
      </w:r>
      <w:r w:rsidR="00A4066A" w:rsidRPr="00A4066A">
        <w:rPr>
          <w:rFonts w:ascii="Arial" w:eastAsia="Calibri" w:hAnsi="Arial" w:cs="Arial"/>
          <w:iCs/>
          <w:sz w:val="20"/>
          <w:szCs w:val="20"/>
          <w:lang w:eastAsia="en-US"/>
        </w:rPr>
        <w:t xml:space="preserve"> 31 %</w:t>
      </w:r>
      <w:r w:rsidR="00885B0B" w:rsidRPr="00A4066A">
        <w:rPr>
          <w:rFonts w:ascii="Arial" w:eastAsia="Calibri" w:hAnsi="Arial" w:cs="Arial"/>
          <w:iCs/>
          <w:sz w:val="20"/>
          <w:szCs w:val="20"/>
          <w:lang w:eastAsia="en-US"/>
        </w:rPr>
        <w:t xml:space="preserve">. </w:t>
      </w:r>
    </w:p>
    <w:p w14:paraId="66CDAD4E" w14:textId="77777777" w:rsidR="009C1157" w:rsidRPr="009C1157" w:rsidRDefault="00B21F49" w:rsidP="008D5B7E">
      <w:pPr>
        <w:pStyle w:val="Zkladntext"/>
        <w:numPr>
          <w:ilvl w:val="0"/>
          <w:numId w:val="2"/>
        </w:numPr>
        <w:tabs>
          <w:tab w:val="clear" w:pos="360"/>
          <w:tab w:val="num" w:pos="284"/>
        </w:tabs>
        <w:spacing w:before="0" w:after="40" w:line="288" w:lineRule="auto"/>
        <w:ind w:left="284" w:right="0" w:hanging="284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AA23A0">
        <w:rPr>
          <w:rFonts w:ascii="Arial" w:hAnsi="Arial" w:cs="Arial"/>
          <w:iCs/>
          <w:sz w:val="20"/>
          <w:szCs w:val="20"/>
        </w:rPr>
        <w:t xml:space="preserve">V podílu tržeb z elektronických prodejů se </w:t>
      </w:r>
      <w:r w:rsidR="00A4066A">
        <w:rPr>
          <w:rFonts w:ascii="Arial" w:hAnsi="Arial" w:cs="Arial"/>
          <w:iCs/>
          <w:sz w:val="20"/>
          <w:szCs w:val="20"/>
        </w:rPr>
        <w:t>podniky</w:t>
      </w:r>
      <w:r w:rsidRPr="00AA23A0">
        <w:rPr>
          <w:rFonts w:ascii="Arial" w:hAnsi="Arial" w:cs="Arial"/>
          <w:iCs/>
          <w:sz w:val="20"/>
          <w:szCs w:val="20"/>
        </w:rPr>
        <w:t xml:space="preserve"> s 10 a více zaměstnanci v Česku za rok 202</w:t>
      </w:r>
      <w:r w:rsidR="00A4066A">
        <w:rPr>
          <w:rFonts w:ascii="Arial" w:hAnsi="Arial" w:cs="Arial"/>
          <w:iCs/>
          <w:sz w:val="20"/>
          <w:szCs w:val="20"/>
        </w:rPr>
        <w:t>4</w:t>
      </w:r>
      <w:r w:rsidRPr="00AA23A0">
        <w:rPr>
          <w:rFonts w:ascii="Arial" w:hAnsi="Arial" w:cs="Arial"/>
          <w:iCs/>
          <w:sz w:val="20"/>
          <w:szCs w:val="20"/>
        </w:rPr>
        <w:t xml:space="preserve"> umístily v rámci zemí EU27 </w:t>
      </w:r>
      <w:r w:rsidRPr="00AA23A0">
        <w:rPr>
          <w:rFonts w:ascii="Arial" w:hAnsi="Arial" w:cs="Arial"/>
          <w:b/>
          <w:iCs/>
          <w:sz w:val="20"/>
          <w:szCs w:val="20"/>
        </w:rPr>
        <w:t xml:space="preserve">na </w:t>
      </w:r>
      <w:r w:rsidR="00A4066A">
        <w:rPr>
          <w:rFonts w:ascii="Arial" w:hAnsi="Arial" w:cs="Arial"/>
          <w:b/>
          <w:iCs/>
          <w:sz w:val="20"/>
          <w:szCs w:val="20"/>
        </w:rPr>
        <w:t>nadprůměrném sedmém</w:t>
      </w:r>
      <w:r w:rsidRPr="00AA23A0">
        <w:rPr>
          <w:rFonts w:ascii="Arial" w:hAnsi="Arial" w:cs="Arial"/>
          <w:b/>
          <w:iCs/>
          <w:sz w:val="20"/>
          <w:szCs w:val="20"/>
        </w:rPr>
        <w:t xml:space="preserve"> místě</w:t>
      </w:r>
      <w:r w:rsidRPr="00AA23A0">
        <w:rPr>
          <w:rFonts w:ascii="Arial" w:hAnsi="Arial" w:cs="Arial"/>
          <w:iCs/>
          <w:sz w:val="20"/>
          <w:szCs w:val="20"/>
        </w:rPr>
        <w:t xml:space="preserve">. </w:t>
      </w:r>
      <w:r w:rsidRPr="00AA23A0">
        <w:rPr>
          <w:rFonts w:ascii="Arial" w:hAnsi="Arial" w:cs="Arial"/>
          <w:sz w:val="20"/>
        </w:rPr>
        <w:t>Tržby českých podniků z elektronických prodejů byly za rok 202</w:t>
      </w:r>
      <w:r w:rsidR="009C1157">
        <w:rPr>
          <w:rFonts w:ascii="Arial" w:hAnsi="Arial" w:cs="Arial"/>
          <w:sz w:val="20"/>
        </w:rPr>
        <w:t>4</w:t>
      </w:r>
      <w:r w:rsidRPr="00AA23A0">
        <w:rPr>
          <w:rFonts w:ascii="Arial" w:hAnsi="Arial" w:cs="Arial"/>
          <w:sz w:val="20"/>
        </w:rPr>
        <w:t xml:space="preserve"> na úrovni 2</w:t>
      </w:r>
      <w:r w:rsidR="009C1157">
        <w:rPr>
          <w:rFonts w:ascii="Arial" w:hAnsi="Arial" w:cs="Arial"/>
          <w:sz w:val="20"/>
        </w:rPr>
        <w:t>6</w:t>
      </w:r>
      <w:r w:rsidRPr="00AA23A0">
        <w:rPr>
          <w:rFonts w:ascii="Arial" w:hAnsi="Arial" w:cs="Arial"/>
          <w:sz w:val="20"/>
        </w:rPr>
        <w:t xml:space="preserve"> %, průměr za EU27 </w:t>
      </w:r>
      <w:r w:rsidR="009C1157">
        <w:rPr>
          <w:rFonts w:ascii="Arial" w:hAnsi="Arial" w:cs="Arial"/>
          <w:sz w:val="20"/>
        </w:rPr>
        <w:t>byl</w:t>
      </w:r>
      <w:r w:rsidRPr="00AA23A0">
        <w:rPr>
          <w:rFonts w:ascii="Arial" w:hAnsi="Arial" w:cs="Arial"/>
          <w:sz w:val="20"/>
        </w:rPr>
        <w:t xml:space="preserve"> 19 % z celkových tržeb. </w:t>
      </w:r>
    </w:p>
    <w:p w14:paraId="075FEAF8" w14:textId="6C84DACF" w:rsidR="00B21F49" w:rsidRPr="00FD097C" w:rsidRDefault="00B21F49" w:rsidP="008D5B7E">
      <w:pPr>
        <w:pStyle w:val="Zkladntext"/>
        <w:numPr>
          <w:ilvl w:val="0"/>
          <w:numId w:val="2"/>
        </w:numPr>
        <w:tabs>
          <w:tab w:val="clear" w:pos="360"/>
          <w:tab w:val="num" w:pos="284"/>
        </w:tabs>
        <w:spacing w:before="0" w:after="40" w:line="288" w:lineRule="auto"/>
        <w:ind w:left="284" w:right="0" w:hanging="284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AA23A0">
        <w:rPr>
          <w:rFonts w:ascii="Arial" w:hAnsi="Arial" w:cs="Arial"/>
          <w:sz w:val="20"/>
        </w:rPr>
        <w:lastRenderedPageBreak/>
        <w:t>Nejvyšší podíly tržeb z prodejů uskutečněných elektronickou cestou měly za rok 202</w:t>
      </w:r>
      <w:r w:rsidR="009C1157">
        <w:rPr>
          <w:rFonts w:ascii="Arial" w:hAnsi="Arial" w:cs="Arial"/>
          <w:sz w:val="20"/>
        </w:rPr>
        <w:t>4</w:t>
      </w:r>
      <w:r w:rsidRPr="00AA23A0">
        <w:rPr>
          <w:rFonts w:ascii="Arial" w:hAnsi="Arial" w:cs="Arial"/>
          <w:sz w:val="20"/>
        </w:rPr>
        <w:t xml:space="preserve"> podniky v </w:t>
      </w:r>
      <w:r w:rsidR="009C1157">
        <w:rPr>
          <w:rFonts w:ascii="Arial" w:hAnsi="Arial" w:cs="Arial"/>
          <w:sz w:val="20"/>
        </w:rPr>
        <w:t>Irsku</w:t>
      </w:r>
      <w:r w:rsidRPr="00AA23A0">
        <w:rPr>
          <w:rFonts w:ascii="Arial" w:hAnsi="Arial" w:cs="Arial"/>
          <w:sz w:val="20"/>
        </w:rPr>
        <w:t xml:space="preserve"> (3</w:t>
      </w:r>
      <w:r w:rsidR="003B58C2">
        <w:rPr>
          <w:rFonts w:ascii="Arial" w:hAnsi="Arial" w:cs="Arial"/>
          <w:sz w:val="20"/>
        </w:rPr>
        <w:t>8 </w:t>
      </w:r>
      <w:r w:rsidRPr="00AA23A0">
        <w:rPr>
          <w:rFonts w:ascii="Arial" w:hAnsi="Arial" w:cs="Arial"/>
          <w:sz w:val="20"/>
        </w:rPr>
        <w:t>%), následované podniky v</w:t>
      </w:r>
      <w:r w:rsidR="003B58C2">
        <w:rPr>
          <w:rFonts w:ascii="Arial" w:hAnsi="Arial" w:cs="Arial"/>
          <w:sz w:val="20"/>
        </w:rPr>
        <w:t> Dánsku (33 %)</w:t>
      </w:r>
      <w:r w:rsidRPr="00AA23A0">
        <w:rPr>
          <w:rFonts w:ascii="Arial" w:hAnsi="Arial" w:cs="Arial"/>
          <w:sz w:val="20"/>
        </w:rPr>
        <w:t xml:space="preserve"> a v</w:t>
      </w:r>
      <w:r w:rsidR="0036533A">
        <w:rPr>
          <w:rFonts w:ascii="Arial" w:hAnsi="Arial" w:cs="Arial"/>
          <w:sz w:val="20"/>
        </w:rPr>
        <w:t>e</w:t>
      </w:r>
      <w:r w:rsidRPr="00AA23A0">
        <w:rPr>
          <w:rFonts w:ascii="Arial" w:hAnsi="Arial" w:cs="Arial"/>
          <w:sz w:val="20"/>
        </w:rPr>
        <w:t xml:space="preserve"> </w:t>
      </w:r>
      <w:r w:rsidR="0036533A">
        <w:rPr>
          <w:rFonts w:ascii="Arial" w:hAnsi="Arial" w:cs="Arial"/>
          <w:sz w:val="20"/>
        </w:rPr>
        <w:t>Finsku nebo v Belgii</w:t>
      </w:r>
      <w:r w:rsidRPr="00AA23A0">
        <w:rPr>
          <w:rFonts w:ascii="Arial" w:hAnsi="Arial" w:cs="Arial"/>
          <w:sz w:val="20"/>
        </w:rPr>
        <w:t xml:space="preserve"> (v každé z těchto zemí shodně </w:t>
      </w:r>
      <w:r w:rsidR="0036533A">
        <w:rPr>
          <w:rFonts w:ascii="Arial" w:hAnsi="Arial" w:cs="Arial"/>
          <w:sz w:val="20"/>
        </w:rPr>
        <w:t>30</w:t>
      </w:r>
      <w:r w:rsidRPr="00AA23A0">
        <w:rPr>
          <w:rFonts w:ascii="Arial" w:hAnsi="Arial" w:cs="Arial"/>
          <w:sz w:val="20"/>
        </w:rPr>
        <w:t> %). Nejmenší podíl e-prodejů na celkových tržbách vykázaly za rok 202</w:t>
      </w:r>
      <w:r w:rsidR="0036533A">
        <w:rPr>
          <w:rFonts w:ascii="Arial" w:hAnsi="Arial" w:cs="Arial"/>
          <w:sz w:val="20"/>
        </w:rPr>
        <w:t>4</w:t>
      </w:r>
      <w:r w:rsidRPr="00AA23A0">
        <w:rPr>
          <w:rFonts w:ascii="Arial" w:hAnsi="Arial" w:cs="Arial"/>
          <w:sz w:val="20"/>
        </w:rPr>
        <w:t xml:space="preserve"> podniky v </w:t>
      </w:r>
      <w:r w:rsidR="00574855">
        <w:rPr>
          <w:rFonts w:ascii="Arial" w:hAnsi="Arial" w:cs="Arial"/>
          <w:sz w:val="20"/>
        </w:rPr>
        <w:t>Bulharsku</w:t>
      </w:r>
      <w:r w:rsidRPr="00AA23A0">
        <w:rPr>
          <w:rFonts w:ascii="Arial" w:hAnsi="Arial" w:cs="Arial"/>
          <w:sz w:val="20"/>
        </w:rPr>
        <w:t xml:space="preserve"> (8 %) a</w:t>
      </w:r>
      <w:r w:rsidR="008D5B7E">
        <w:rPr>
          <w:rFonts w:ascii="Arial" w:hAnsi="Arial" w:cs="Arial"/>
          <w:sz w:val="20"/>
        </w:rPr>
        <w:t> </w:t>
      </w:r>
      <w:r w:rsidRPr="00AA23A0">
        <w:rPr>
          <w:rFonts w:ascii="Arial" w:hAnsi="Arial" w:cs="Arial"/>
          <w:sz w:val="20"/>
        </w:rPr>
        <w:t>v Řecku (</w:t>
      </w:r>
      <w:r w:rsidR="00574855">
        <w:rPr>
          <w:rFonts w:ascii="Arial" w:hAnsi="Arial" w:cs="Arial"/>
          <w:sz w:val="20"/>
        </w:rPr>
        <w:t>9</w:t>
      </w:r>
      <w:r w:rsidRPr="00AA23A0">
        <w:rPr>
          <w:rFonts w:ascii="Arial" w:hAnsi="Arial" w:cs="Arial"/>
          <w:sz w:val="20"/>
        </w:rPr>
        <w:t> %).</w:t>
      </w:r>
    </w:p>
    <w:p w14:paraId="457646FF" w14:textId="58600DB9" w:rsidR="00FD097C" w:rsidRPr="008F7189" w:rsidRDefault="001A0BA1" w:rsidP="008D5B7E">
      <w:pPr>
        <w:pStyle w:val="Zkladntext"/>
        <w:numPr>
          <w:ilvl w:val="0"/>
          <w:numId w:val="2"/>
        </w:numPr>
        <w:tabs>
          <w:tab w:val="clear" w:pos="360"/>
          <w:tab w:val="num" w:pos="284"/>
        </w:tabs>
        <w:spacing w:before="0" w:after="40" w:line="288" w:lineRule="auto"/>
        <w:ind w:left="284" w:right="0" w:hanging="284"/>
        <w:rPr>
          <w:rFonts w:ascii="Arial" w:hAnsi="Arial" w:cs="Arial"/>
          <w:iCs/>
          <w:sz w:val="20"/>
          <w:szCs w:val="20"/>
        </w:rPr>
      </w:pPr>
      <w:r>
        <w:rPr>
          <w:rFonts w:ascii="Arial" w:eastAsia="Calibri" w:hAnsi="Arial" w:cs="Arial"/>
          <w:iCs/>
          <w:sz w:val="20"/>
          <w:szCs w:val="20"/>
          <w:lang w:eastAsia="en-US"/>
        </w:rPr>
        <w:t>V</w:t>
      </w:r>
      <w:r w:rsidRPr="00BF1B85">
        <w:rPr>
          <w:rFonts w:ascii="Arial" w:eastAsia="Calibri" w:hAnsi="Arial" w:cs="Arial"/>
          <w:iCs/>
          <w:sz w:val="20"/>
          <w:szCs w:val="20"/>
          <w:lang w:eastAsia="en-US"/>
        </w:rPr>
        <w:t xml:space="preserve"> roce 202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>4</w:t>
      </w:r>
      <w:r w:rsidRPr="00BF1B85">
        <w:rPr>
          <w:rFonts w:ascii="Arial" w:eastAsia="Calibri" w:hAnsi="Arial" w:cs="Arial"/>
          <w:iCs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>t</w:t>
      </w:r>
      <w:r w:rsidRPr="00BF1B85">
        <w:rPr>
          <w:rFonts w:ascii="Arial" w:eastAsia="Calibri" w:hAnsi="Arial" w:cs="Arial"/>
          <w:iCs/>
          <w:sz w:val="20"/>
          <w:szCs w:val="20"/>
          <w:lang w:eastAsia="en-US"/>
        </w:rPr>
        <w:t>vořily</w:t>
      </w:r>
      <w:r w:rsidRPr="00510082">
        <w:rPr>
          <w:rFonts w:ascii="Arial" w:eastAsia="Calibri" w:hAnsi="Arial" w:cs="Arial"/>
          <w:iCs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>t</w:t>
      </w:r>
      <w:r w:rsidR="00FD097C" w:rsidRPr="00BF1B85">
        <w:rPr>
          <w:rFonts w:ascii="Arial" w:eastAsia="Calibri" w:hAnsi="Arial" w:cs="Arial"/>
          <w:iCs/>
          <w:sz w:val="20"/>
          <w:szCs w:val="20"/>
          <w:lang w:eastAsia="en-US"/>
        </w:rPr>
        <w:t>ržby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 podniků</w:t>
      </w:r>
      <w:r w:rsidR="00FD097C" w:rsidRPr="00BF1B85">
        <w:rPr>
          <w:rFonts w:ascii="Arial" w:eastAsia="Calibri" w:hAnsi="Arial" w:cs="Arial"/>
          <w:iCs/>
          <w:sz w:val="20"/>
          <w:szCs w:val="20"/>
          <w:lang w:eastAsia="en-US"/>
        </w:rPr>
        <w:t xml:space="preserve"> z prodejů uskutečněných přes webové stránky</w:t>
      </w:r>
      <w:r w:rsidR="002E3CD4">
        <w:rPr>
          <w:rFonts w:ascii="Arial" w:eastAsia="Calibri" w:hAnsi="Arial" w:cs="Arial"/>
          <w:iCs/>
          <w:sz w:val="20"/>
          <w:szCs w:val="20"/>
          <w:lang w:eastAsia="en-US"/>
        </w:rPr>
        <w:t>, mobilní aplikace nebo online tržiště</w:t>
      </w:r>
      <w:r w:rsidRPr="001A0BA1">
        <w:rPr>
          <w:rFonts w:ascii="Arial" w:eastAsia="Calibri" w:hAnsi="Arial" w:cs="Arial"/>
          <w:iCs/>
          <w:sz w:val="20"/>
          <w:szCs w:val="20"/>
          <w:lang w:eastAsia="en-US"/>
        </w:rPr>
        <w:t xml:space="preserve"> </w:t>
      </w:r>
      <w:r w:rsidR="002E3CD4">
        <w:rPr>
          <w:rFonts w:ascii="Arial" w:eastAsia="Calibri" w:hAnsi="Arial" w:cs="Arial"/>
          <w:iCs/>
          <w:sz w:val="20"/>
          <w:szCs w:val="20"/>
          <w:lang w:eastAsia="en-US"/>
        </w:rPr>
        <w:t>9</w:t>
      </w:r>
      <w:r w:rsidR="00FD097C" w:rsidRPr="00BF1B85">
        <w:rPr>
          <w:rFonts w:ascii="Arial" w:eastAsia="Calibri" w:hAnsi="Arial" w:cs="Arial"/>
          <w:iCs/>
          <w:sz w:val="20"/>
          <w:szCs w:val="20"/>
          <w:lang w:eastAsia="en-US"/>
        </w:rPr>
        <w:t xml:space="preserve"> % celkových podnikových tržeb, zatímco tržby získané elektronickou výměnou dat</w:t>
      </w:r>
      <w:r w:rsidR="00FD097C" w:rsidRPr="00C353FB">
        <w:rPr>
          <w:rFonts w:ascii="Arial" w:eastAsia="Calibri" w:hAnsi="Arial" w:cs="Arial"/>
          <w:b/>
          <w:iCs/>
          <w:sz w:val="20"/>
          <w:szCs w:val="20"/>
          <w:lang w:eastAsia="en-US"/>
        </w:rPr>
        <w:t xml:space="preserve"> </w:t>
      </w:r>
      <w:r w:rsidR="00FD097C" w:rsidRPr="000B1085">
        <w:rPr>
          <w:rFonts w:ascii="Arial" w:eastAsia="Calibri" w:hAnsi="Arial" w:cs="Arial"/>
          <w:iCs/>
          <w:sz w:val="20"/>
          <w:szCs w:val="20"/>
          <w:lang w:eastAsia="en-US"/>
        </w:rPr>
        <w:t>tvořily 1</w:t>
      </w:r>
      <w:r w:rsidR="002E3CD4">
        <w:rPr>
          <w:rFonts w:ascii="Arial" w:eastAsia="Calibri" w:hAnsi="Arial" w:cs="Arial"/>
          <w:iCs/>
          <w:sz w:val="20"/>
          <w:szCs w:val="20"/>
          <w:lang w:eastAsia="en-US"/>
        </w:rPr>
        <w:t>7</w:t>
      </w:r>
      <w:r w:rsidR="00FD097C" w:rsidRPr="000B1085">
        <w:rPr>
          <w:rFonts w:ascii="Arial" w:eastAsia="Calibri" w:hAnsi="Arial" w:cs="Arial"/>
          <w:iCs/>
          <w:sz w:val="20"/>
          <w:szCs w:val="20"/>
          <w:lang w:eastAsia="en-US"/>
        </w:rPr>
        <w:t> % celkových podnikových tržeb.</w:t>
      </w:r>
      <w:r w:rsidR="00825490">
        <w:rPr>
          <w:rFonts w:ascii="Arial" w:eastAsia="Calibri" w:hAnsi="Arial" w:cs="Arial"/>
          <w:iCs/>
          <w:sz w:val="20"/>
          <w:szCs w:val="20"/>
          <w:lang w:eastAsia="en-US"/>
        </w:rPr>
        <w:t xml:space="preserve"> </w:t>
      </w:r>
      <w:r w:rsidR="00825490" w:rsidRPr="000D0431">
        <w:rPr>
          <w:rFonts w:ascii="Arial" w:eastAsia="Calibri" w:hAnsi="Arial" w:cs="Arial"/>
          <w:b/>
          <w:bCs/>
          <w:iCs/>
          <w:sz w:val="20"/>
          <w:szCs w:val="20"/>
          <w:lang w:eastAsia="en-US"/>
        </w:rPr>
        <w:t>Tuzemské podniky sice častěji prodávají prostřednictvím webu nebo aplikací než pomocí EDI</w:t>
      </w:r>
      <w:r w:rsidR="00DC3488" w:rsidRPr="000D0431">
        <w:rPr>
          <w:rFonts w:ascii="Arial" w:eastAsia="Calibri" w:hAnsi="Arial" w:cs="Arial"/>
          <w:b/>
          <w:bCs/>
          <w:iCs/>
          <w:sz w:val="20"/>
          <w:szCs w:val="20"/>
          <w:lang w:eastAsia="en-US"/>
        </w:rPr>
        <w:t>, nicméně tržby podniků získané elektronickou výměnou dat</w:t>
      </w:r>
      <w:r w:rsidR="00CD7220" w:rsidRPr="000D0431">
        <w:rPr>
          <w:rFonts w:ascii="Arial" w:eastAsia="Calibri" w:hAnsi="Arial" w:cs="Arial"/>
          <w:b/>
          <w:bCs/>
          <w:iCs/>
          <w:sz w:val="20"/>
          <w:szCs w:val="20"/>
          <w:lang w:eastAsia="en-US"/>
        </w:rPr>
        <w:t xml:space="preserve"> jsou dlouhodobě vyšší</w:t>
      </w:r>
      <w:r w:rsidR="00CD7220">
        <w:rPr>
          <w:rFonts w:ascii="Arial" w:eastAsia="Calibri" w:hAnsi="Arial" w:cs="Arial"/>
          <w:iCs/>
          <w:sz w:val="20"/>
          <w:szCs w:val="20"/>
          <w:lang w:eastAsia="en-US"/>
        </w:rPr>
        <w:t>. V roce 2024 byly přibližně dvakrát</w:t>
      </w:r>
      <w:r w:rsidR="00CD7220" w:rsidRPr="00CD7220">
        <w:rPr>
          <w:rFonts w:ascii="Arial" w:eastAsia="Calibri" w:hAnsi="Arial" w:cs="Arial"/>
          <w:iCs/>
          <w:sz w:val="20"/>
          <w:szCs w:val="20"/>
          <w:lang w:eastAsia="en-US"/>
        </w:rPr>
        <w:t xml:space="preserve"> </w:t>
      </w:r>
      <w:r w:rsidR="00CD7220">
        <w:rPr>
          <w:rFonts w:ascii="Arial" w:eastAsia="Calibri" w:hAnsi="Arial" w:cs="Arial"/>
          <w:iCs/>
          <w:sz w:val="20"/>
          <w:szCs w:val="20"/>
          <w:lang w:eastAsia="en-US"/>
        </w:rPr>
        <w:t>vyšší.</w:t>
      </w:r>
      <w:r w:rsidR="00FD097C" w:rsidRPr="000B1085">
        <w:rPr>
          <w:rFonts w:ascii="Arial" w:eastAsia="Calibri" w:hAnsi="Arial" w:cs="Arial"/>
          <w:iCs/>
          <w:sz w:val="20"/>
          <w:szCs w:val="20"/>
          <w:lang w:eastAsia="en-US"/>
        </w:rPr>
        <w:t xml:space="preserve"> </w:t>
      </w:r>
    </w:p>
    <w:p w14:paraId="22813124" w14:textId="2F3581F6" w:rsidR="006676B0" w:rsidRPr="000F7491" w:rsidRDefault="000D0431" w:rsidP="008D5B7E">
      <w:pPr>
        <w:numPr>
          <w:ilvl w:val="0"/>
          <w:numId w:val="2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40" w:line="288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Tuto s</w:t>
      </w:r>
      <w:r w:rsidR="006676B0" w:rsidRPr="000F7491">
        <w:rPr>
          <w:rFonts w:ascii="Arial" w:hAnsi="Arial" w:cs="Arial"/>
          <w:iCs/>
          <w:sz w:val="20"/>
          <w:szCs w:val="20"/>
        </w:rPr>
        <w:t>ituaci nejlépe ilustruje příklad elektronického průmyslu (CZ</w:t>
      </w:r>
      <w:r w:rsidR="006676B0">
        <w:rPr>
          <w:rFonts w:ascii="Arial" w:hAnsi="Arial" w:cs="Arial"/>
          <w:iCs/>
          <w:sz w:val="20"/>
          <w:szCs w:val="20"/>
        </w:rPr>
        <w:t> </w:t>
      </w:r>
      <w:r w:rsidR="006676B0" w:rsidRPr="000F7491">
        <w:rPr>
          <w:rFonts w:ascii="Arial" w:hAnsi="Arial" w:cs="Arial"/>
          <w:iCs/>
          <w:sz w:val="20"/>
          <w:szCs w:val="20"/>
        </w:rPr>
        <w:t>NACE 26), kdy</w:t>
      </w:r>
      <w:r w:rsidR="006676B0">
        <w:rPr>
          <w:rFonts w:ascii="Arial" w:hAnsi="Arial" w:cs="Arial"/>
          <w:iCs/>
          <w:sz w:val="20"/>
          <w:szCs w:val="20"/>
        </w:rPr>
        <w:t xml:space="preserve"> v roce 202</w:t>
      </w:r>
      <w:r>
        <w:rPr>
          <w:rFonts w:ascii="Arial" w:hAnsi="Arial" w:cs="Arial"/>
          <w:iCs/>
          <w:sz w:val="20"/>
          <w:szCs w:val="20"/>
        </w:rPr>
        <w:t>4</w:t>
      </w:r>
      <w:r w:rsidR="006676B0">
        <w:rPr>
          <w:rFonts w:ascii="Arial" w:hAnsi="Arial" w:cs="Arial"/>
          <w:iCs/>
          <w:sz w:val="20"/>
          <w:szCs w:val="20"/>
        </w:rPr>
        <w:t xml:space="preserve"> uskutečňovalo</w:t>
      </w:r>
      <w:r w:rsidR="006676B0" w:rsidRPr="000F7491">
        <w:rPr>
          <w:rFonts w:ascii="Arial" w:hAnsi="Arial" w:cs="Arial"/>
          <w:iCs/>
          <w:sz w:val="20"/>
          <w:szCs w:val="20"/>
        </w:rPr>
        <w:t xml:space="preserve"> webové prodeje v tomto odvětví </w:t>
      </w:r>
      <w:r w:rsidR="006676B0">
        <w:rPr>
          <w:rFonts w:ascii="Arial" w:hAnsi="Arial" w:cs="Arial"/>
          <w:iCs/>
          <w:sz w:val="20"/>
          <w:szCs w:val="20"/>
        </w:rPr>
        <w:t>1</w:t>
      </w:r>
      <w:r w:rsidR="000B476C">
        <w:rPr>
          <w:rFonts w:ascii="Arial" w:hAnsi="Arial" w:cs="Arial"/>
          <w:iCs/>
          <w:sz w:val="20"/>
          <w:szCs w:val="20"/>
        </w:rPr>
        <w:t>8</w:t>
      </w:r>
      <w:r w:rsidR="006676B0" w:rsidRPr="000F7491">
        <w:rPr>
          <w:rFonts w:ascii="Arial" w:hAnsi="Arial" w:cs="Arial"/>
          <w:iCs/>
          <w:sz w:val="20"/>
          <w:szCs w:val="20"/>
        </w:rPr>
        <w:t xml:space="preserve"> % </w:t>
      </w:r>
      <w:r w:rsidR="006676B0">
        <w:rPr>
          <w:rFonts w:ascii="Arial" w:hAnsi="Arial" w:cs="Arial"/>
          <w:iCs/>
          <w:sz w:val="20"/>
          <w:szCs w:val="20"/>
        </w:rPr>
        <w:t>podniků</w:t>
      </w:r>
      <w:r w:rsidR="006676B0" w:rsidRPr="000F7491">
        <w:rPr>
          <w:rFonts w:ascii="Arial" w:hAnsi="Arial" w:cs="Arial"/>
          <w:iCs/>
          <w:sz w:val="20"/>
          <w:szCs w:val="20"/>
        </w:rPr>
        <w:t xml:space="preserve"> a </w:t>
      </w:r>
      <w:r w:rsidR="006676B0">
        <w:rPr>
          <w:rFonts w:ascii="Arial" w:hAnsi="Arial" w:cs="Arial"/>
          <w:iCs/>
          <w:sz w:val="20"/>
          <w:szCs w:val="20"/>
        </w:rPr>
        <w:t xml:space="preserve">prodeje </w:t>
      </w:r>
      <w:r w:rsidR="006676B0" w:rsidRPr="000F7491">
        <w:rPr>
          <w:rFonts w:ascii="Arial" w:hAnsi="Arial" w:cs="Arial"/>
          <w:iCs/>
          <w:sz w:val="20"/>
          <w:szCs w:val="20"/>
        </w:rPr>
        <w:t>prostřednictvím EDI</w:t>
      </w:r>
      <w:r w:rsidR="000B476C">
        <w:rPr>
          <w:rFonts w:ascii="Arial" w:hAnsi="Arial" w:cs="Arial"/>
          <w:iCs/>
          <w:sz w:val="20"/>
          <w:szCs w:val="20"/>
        </w:rPr>
        <w:t xml:space="preserve"> desetina </w:t>
      </w:r>
      <w:r w:rsidR="006676B0">
        <w:rPr>
          <w:rFonts w:ascii="Arial" w:hAnsi="Arial" w:cs="Arial"/>
          <w:iCs/>
          <w:sz w:val="20"/>
          <w:szCs w:val="20"/>
        </w:rPr>
        <w:t>firem</w:t>
      </w:r>
      <w:r w:rsidR="00BD32AA">
        <w:rPr>
          <w:rFonts w:ascii="Arial" w:hAnsi="Arial" w:cs="Arial"/>
          <w:iCs/>
          <w:sz w:val="20"/>
          <w:szCs w:val="20"/>
        </w:rPr>
        <w:t>.</w:t>
      </w:r>
      <w:r w:rsidR="006676B0">
        <w:rPr>
          <w:rFonts w:ascii="Arial" w:hAnsi="Arial" w:cs="Arial"/>
          <w:iCs/>
          <w:sz w:val="20"/>
          <w:szCs w:val="20"/>
        </w:rPr>
        <w:t xml:space="preserve"> T</w:t>
      </w:r>
      <w:r w:rsidR="006676B0" w:rsidRPr="000F7491">
        <w:rPr>
          <w:rFonts w:ascii="Arial" w:hAnsi="Arial" w:cs="Arial"/>
          <w:iCs/>
          <w:sz w:val="20"/>
          <w:szCs w:val="20"/>
        </w:rPr>
        <w:t>ržby z </w:t>
      </w:r>
      <w:r w:rsidR="006676B0">
        <w:rPr>
          <w:rFonts w:ascii="Arial" w:hAnsi="Arial" w:cs="Arial"/>
          <w:iCs/>
          <w:sz w:val="20"/>
          <w:szCs w:val="20"/>
        </w:rPr>
        <w:t>webových</w:t>
      </w:r>
      <w:r w:rsidR="006676B0" w:rsidRPr="000F7491">
        <w:rPr>
          <w:rFonts w:ascii="Arial" w:hAnsi="Arial" w:cs="Arial"/>
          <w:iCs/>
          <w:sz w:val="20"/>
          <w:szCs w:val="20"/>
        </w:rPr>
        <w:t xml:space="preserve"> prodejů za</w:t>
      </w:r>
      <w:r w:rsidR="006676B0">
        <w:rPr>
          <w:rFonts w:ascii="Arial" w:hAnsi="Arial" w:cs="Arial"/>
          <w:iCs/>
          <w:sz w:val="20"/>
          <w:szCs w:val="20"/>
        </w:rPr>
        <w:t> </w:t>
      </w:r>
      <w:r w:rsidR="006676B0" w:rsidRPr="000F7491">
        <w:rPr>
          <w:rFonts w:ascii="Arial" w:hAnsi="Arial" w:cs="Arial"/>
          <w:iCs/>
          <w:sz w:val="20"/>
          <w:szCs w:val="20"/>
        </w:rPr>
        <w:t>rok 202</w:t>
      </w:r>
      <w:r w:rsidR="00BD32AA">
        <w:rPr>
          <w:rFonts w:ascii="Arial" w:hAnsi="Arial" w:cs="Arial"/>
          <w:iCs/>
          <w:sz w:val="20"/>
          <w:szCs w:val="20"/>
        </w:rPr>
        <w:t>4</w:t>
      </w:r>
      <w:r w:rsidR="006676B0" w:rsidRPr="000F7491">
        <w:rPr>
          <w:rFonts w:ascii="Arial" w:hAnsi="Arial" w:cs="Arial"/>
          <w:iCs/>
          <w:sz w:val="20"/>
          <w:szCs w:val="20"/>
        </w:rPr>
        <w:t xml:space="preserve"> tvořily</w:t>
      </w:r>
      <w:r w:rsidR="006676B0">
        <w:rPr>
          <w:rFonts w:ascii="Arial" w:hAnsi="Arial" w:cs="Arial"/>
          <w:iCs/>
          <w:sz w:val="20"/>
          <w:szCs w:val="20"/>
        </w:rPr>
        <w:t xml:space="preserve"> ale</w:t>
      </w:r>
      <w:r w:rsidR="006676B0" w:rsidRPr="000F7491">
        <w:rPr>
          <w:rFonts w:ascii="Arial" w:hAnsi="Arial" w:cs="Arial"/>
          <w:iCs/>
          <w:sz w:val="20"/>
          <w:szCs w:val="20"/>
        </w:rPr>
        <w:t xml:space="preserve"> v tomto odvětví jen </w:t>
      </w:r>
      <w:r w:rsidR="00BD32AA">
        <w:rPr>
          <w:rFonts w:ascii="Arial" w:hAnsi="Arial" w:cs="Arial"/>
          <w:iCs/>
          <w:sz w:val="20"/>
          <w:szCs w:val="20"/>
        </w:rPr>
        <w:t>2</w:t>
      </w:r>
      <w:r w:rsidR="006676B0" w:rsidRPr="000F7491">
        <w:rPr>
          <w:rFonts w:ascii="Arial" w:hAnsi="Arial" w:cs="Arial"/>
          <w:iCs/>
          <w:sz w:val="20"/>
          <w:szCs w:val="20"/>
        </w:rPr>
        <w:t xml:space="preserve"> % z celkových tržeb, zatímco tržby získané elektronickou výměnou dat tvořily ve stejném roce </w:t>
      </w:r>
      <w:r w:rsidR="009D2DB3">
        <w:rPr>
          <w:rFonts w:ascii="Arial" w:hAnsi="Arial" w:cs="Arial"/>
          <w:iCs/>
          <w:sz w:val="20"/>
          <w:szCs w:val="20"/>
        </w:rPr>
        <w:t>71</w:t>
      </w:r>
      <w:r w:rsidR="006676B0" w:rsidRPr="000F7491">
        <w:rPr>
          <w:rFonts w:ascii="Arial" w:hAnsi="Arial" w:cs="Arial"/>
          <w:iCs/>
          <w:sz w:val="20"/>
          <w:szCs w:val="20"/>
        </w:rPr>
        <w:t xml:space="preserve"> % z jejich celkových tržeb.</w:t>
      </w:r>
    </w:p>
    <w:p w14:paraId="5146FB48" w14:textId="2A89EFF6" w:rsidR="006676B0" w:rsidRPr="00AB2957" w:rsidRDefault="006676B0" w:rsidP="008D5B7E">
      <w:pPr>
        <w:pStyle w:val="Zkladntext"/>
        <w:numPr>
          <w:ilvl w:val="0"/>
          <w:numId w:val="5"/>
        </w:numPr>
        <w:tabs>
          <w:tab w:val="clear" w:pos="360"/>
          <w:tab w:val="num" w:pos="284"/>
        </w:tabs>
        <w:spacing w:before="0" w:after="40" w:line="288" w:lineRule="auto"/>
        <w:ind w:left="284" w:right="0" w:hanging="284"/>
        <w:rPr>
          <w:rFonts w:ascii="Arial" w:eastAsia="Calibri" w:hAnsi="Arial" w:cs="Arial"/>
          <w:sz w:val="20"/>
          <w:szCs w:val="22"/>
          <w:lang w:eastAsia="en-US"/>
        </w:rPr>
      </w:pPr>
      <w:r>
        <w:rPr>
          <w:rFonts w:ascii="Arial" w:eastAsia="Calibri" w:hAnsi="Arial" w:cs="Arial"/>
          <w:b/>
          <w:bCs/>
          <w:iCs/>
          <w:sz w:val="20"/>
          <w:szCs w:val="20"/>
          <w:lang w:eastAsia="en-US"/>
        </w:rPr>
        <w:t>N</w:t>
      </w:r>
      <w:r w:rsidRPr="00AB2957">
        <w:rPr>
          <w:rFonts w:ascii="Arial" w:eastAsia="Calibri" w:hAnsi="Arial" w:cs="Arial"/>
          <w:b/>
          <w:bCs/>
          <w:iCs/>
          <w:sz w:val="20"/>
          <w:szCs w:val="20"/>
          <w:lang w:eastAsia="en-US"/>
        </w:rPr>
        <w:t>ejvyšší tržb</w:t>
      </w:r>
      <w:r>
        <w:rPr>
          <w:rFonts w:ascii="Arial" w:eastAsia="Calibri" w:hAnsi="Arial" w:cs="Arial"/>
          <w:b/>
          <w:bCs/>
          <w:iCs/>
          <w:sz w:val="20"/>
          <w:szCs w:val="20"/>
          <w:lang w:eastAsia="en-US"/>
        </w:rPr>
        <w:t>y</w:t>
      </w:r>
      <w:r w:rsidRPr="00AB2957">
        <w:rPr>
          <w:rFonts w:ascii="Arial" w:eastAsia="Calibri" w:hAnsi="Arial" w:cs="Arial"/>
          <w:b/>
          <w:bCs/>
          <w:iCs/>
          <w:sz w:val="20"/>
          <w:szCs w:val="20"/>
          <w:lang w:eastAsia="en-US"/>
        </w:rPr>
        <w:t xml:space="preserve"> z prodejů uskutečněných pomocí elektronické výměny dat </w:t>
      </w:r>
      <w:r w:rsidRPr="00AB2957">
        <w:rPr>
          <w:rFonts w:ascii="Arial" w:eastAsia="Calibri" w:hAnsi="Arial" w:cs="Arial"/>
          <w:bCs/>
          <w:iCs/>
          <w:sz w:val="20"/>
          <w:szCs w:val="20"/>
          <w:lang w:eastAsia="en-US"/>
        </w:rPr>
        <w:t>vykázal v roce 202</w:t>
      </w:r>
      <w:r w:rsidR="009D2DB3">
        <w:rPr>
          <w:rFonts w:ascii="Arial" w:eastAsia="Calibri" w:hAnsi="Arial" w:cs="Arial"/>
          <w:bCs/>
          <w:iCs/>
          <w:sz w:val="20"/>
          <w:szCs w:val="20"/>
          <w:lang w:eastAsia="en-US"/>
        </w:rPr>
        <w:t>4</w:t>
      </w:r>
      <w:r w:rsidRPr="00AB2957">
        <w:rPr>
          <w:rFonts w:ascii="Arial" w:eastAsia="Calibri" w:hAnsi="Arial" w:cs="Arial"/>
          <w:bCs/>
          <w:iCs/>
          <w:sz w:val="20"/>
          <w:szCs w:val="20"/>
          <w:lang w:eastAsia="en-US"/>
        </w:rPr>
        <w:t xml:space="preserve"> právě již zmíněný </w:t>
      </w:r>
      <w:r w:rsidRPr="00AB2957">
        <w:rPr>
          <w:rFonts w:ascii="Arial" w:eastAsia="Calibri" w:hAnsi="Arial" w:cs="Arial"/>
          <w:b/>
          <w:bCs/>
          <w:iCs/>
          <w:sz w:val="20"/>
          <w:szCs w:val="20"/>
          <w:lang w:eastAsia="en-US"/>
        </w:rPr>
        <w:t>elektronický průmysl</w:t>
      </w:r>
      <w:r w:rsidRPr="00AB2957">
        <w:rPr>
          <w:rFonts w:ascii="Arial" w:eastAsia="Calibri" w:hAnsi="Arial" w:cs="Arial"/>
          <w:bCs/>
          <w:iCs/>
          <w:sz w:val="20"/>
          <w:szCs w:val="20"/>
          <w:lang w:eastAsia="en-US"/>
        </w:rPr>
        <w:t>, tedy výroba počítačů, elektronických a optických přístrojů a zařízení (</w:t>
      </w:r>
      <w:r w:rsidR="00853973">
        <w:rPr>
          <w:rFonts w:ascii="Arial" w:eastAsia="Calibri" w:hAnsi="Arial" w:cs="Arial"/>
          <w:sz w:val="20"/>
          <w:szCs w:val="22"/>
          <w:lang w:eastAsia="en-US"/>
        </w:rPr>
        <w:t>71</w:t>
      </w:r>
      <w:r w:rsidRPr="00AB2957">
        <w:rPr>
          <w:rFonts w:ascii="Arial" w:eastAsia="Calibri" w:hAnsi="Arial" w:cs="Arial"/>
          <w:sz w:val="20"/>
          <w:szCs w:val="22"/>
          <w:lang w:eastAsia="en-US"/>
        </w:rPr>
        <w:t xml:space="preserve">% podíl na celkových tržbách podniků v tomto odvětví). </w:t>
      </w:r>
      <w:r>
        <w:rPr>
          <w:rFonts w:ascii="Arial" w:eastAsia="Calibri" w:hAnsi="Arial" w:cs="Arial"/>
          <w:sz w:val="20"/>
          <w:szCs w:val="22"/>
          <w:lang w:eastAsia="en-US"/>
        </w:rPr>
        <w:t>S velkým odstupem pak následují podniky v</w:t>
      </w:r>
      <w:r w:rsidR="00E66AFB">
        <w:rPr>
          <w:rFonts w:ascii="Arial" w:eastAsia="Calibri" w:hAnsi="Arial" w:cs="Arial"/>
          <w:sz w:val="20"/>
          <w:szCs w:val="22"/>
          <w:lang w:eastAsia="en-US"/>
        </w:rPr>
        <w:t> </w:t>
      </w:r>
      <w:r w:rsidR="00853973">
        <w:rPr>
          <w:rFonts w:ascii="Arial" w:eastAsia="Calibri" w:hAnsi="Arial" w:cs="Arial"/>
          <w:sz w:val="20"/>
          <w:szCs w:val="22"/>
          <w:lang w:eastAsia="en-US"/>
        </w:rPr>
        <w:t>potravinářském</w:t>
      </w:r>
      <w:r w:rsidR="00E66AFB">
        <w:rPr>
          <w:rFonts w:ascii="Arial" w:eastAsia="Calibri" w:hAnsi="Arial" w:cs="Arial"/>
          <w:sz w:val="20"/>
          <w:szCs w:val="22"/>
          <w:lang w:eastAsia="en-US"/>
        </w:rPr>
        <w:t>, nápojovém a tabákovém průmyslu</w:t>
      </w:r>
      <w:r w:rsidRPr="00AB2957">
        <w:rPr>
          <w:rFonts w:ascii="Arial" w:hAnsi="Arial" w:cs="Arial"/>
          <w:sz w:val="20"/>
        </w:rPr>
        <w:t xml:space="preserve"> </w:t>
      </w:r>
      <w:r w:rsidR="00E66AFB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3</w:t>
      </w:r>
      <w:r w:rsidR="00E66AFB">
        <w:rPr>
          <w:rFonts w:ascii="Arial" w:hAnsi="Arial" w:cs="Arial"/>
          <w:sz w:val="20"/>
        </w:rPr>
        <w:t>3</w:t>
      </w:r>
      <w:r w:rsidRPr="00AB2957">
        <w:rPr>
          <w:rFonts w:ascii="Arial" w:eastAsia="Calibri" w:hAnsi="Arial" w:cs="Arial"/>
          <w:sz w:val="20"/>
          <w:szCs w:val="22"/>
          <w:lang w:eastAsia="en-US"/>
        </w:rPr>
        <w:t xml:space="preserve"> % z celkových tržeb) nebo </w:t>
      </w:r>
      <w:r w:rsidRPr="00E9292D">
        <w:rPr>
          <w:rFonts w:ascii="Arial" w:eastAsia="Calibri" w:hAnsi="Arial" w:cs="Arial"/>
          <w:sz w:val="20"/>
          <w:szCs w:val="22"/>
          <w:lang w:eastAsia="en-US"/>
        </w:rPr>
        <w:t>v automobilovém průmyslu</w:t>
      </w:r>
      <w:r w:rsidRPr="00AB2957">
        <w:rPr>
          <w:rFonts w:ascii="Arial" w:eastAsia="Calibri" w:hAnsi="Arial" w:cs="Arial"/>
          <w:sz w:val="20"/>
          <w:szCs w:val="22"/>
          <w:lang w:eastAsia="en-US"/>
        </w:rPr>
        <w:t xml:space="preserve"> (</w:t>
      </w:r>
      <w:r>
        <w:rPr>
          <w:rFonts w:ascii="Arial" w:eastAsia="Calibri" w:hAnsi="Arial" w:cs="Arial"/>
          <w:sz w:val="20"/>
          <w:szCs w:val="22"/>
          <w:lang w:eastAsia="en-US"/>
        </w:rPr>
        <w:t>2</w:t>
      </w:r>
      <w:r w:rsidR="00E66AFB">
        <w:rPr>
          <w:rFonts w:ascii="Arial" w:eastAsia="Calibri" w:hAnsi="Arial" w:cs="Arial"/>
          <w:sz w:val="20"/>
          <w:szCs w:val="22"/>
          <w:lang w:eastAsia="en-US"/>
        </w:rPr>
        <w:t>9</w:t>
      </w:r>
      <w:r w:rsidRPr="00AB2957">
        <w:rPr>
          <w:rFonts w:ascii="Arial" w:eastAsia="Calibri" w:hAnsi="Arial" w:cs="Arial"/>
          <w:sz w:val="20"/>
          <w:szCs w:val="22"/>
          <w:lang w:eastAsia="en-US"/>
        </w:rPr>
        <w:t xml:space="preserve"> % z celkových tržeb). </w:t>
      </w:r>
    </w:p>
    <w:p w14:paraId="344EDBC1" w14:textId="77777777" w:rsidR="008C233F" w:rsidRPr="008D5B7E" w:rsidRDefault="008C233F" w:rsidP="008C233F">
      <w:p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iCs/>
          <w:sz w:val="20"/>
          <w:szCs w:val="20"/>
        </w:rPr>
      </w:pPr>
    </w:p>
    <w:p w14:paraId="41675DF2" w14:textId="57563089" w:rsidR="00475062" w:rsidRDefault="00475062" w:rsidP="00FE342C">
      <w:pPr>
        <w:tabs>
          <w:tab w:val="left" w:pos="360"/>
        </w:tabs>
        <w:autoSpaceDE w:val="0"/>
        <w:autoSpaceDN w:val="0"/>
        <w:adjustRightInd w:val="0"/>
        <w:spacing w:after="80" w:line="288" w:lineRule="auto"/>
        <w:jc w:val="both"/>
        <w:rPr>
          <w:rFonts w:ascii="Arial" w:hAnsi="Arial" w:cs="Arial"/>
          <w:b/>
          <w:spacing w:val="-4"/>
          <w:sz w:val="20"/>
        </w:rPr>
      </w:pPr>
      <w:r w:rsidRPr="00646715">
        <w:rPr>
          <w:rFonts w:ascii="Arial" w:hAnsi="Arial" w:cs="Arial"/>
          <w:b/>
          <w:spacing w:val="-4"/>
          <w:sz w:val="20"/>
        </w:rPr>
        <w:t xml:space="preserve">Graf </w:t>
      </w:r>
      <w:r w:rsidR="00745B69">
        <w:rPr>
          <w:rFonts w:ascii="Arial" w:hAnsi="Arial" w:cs="Arial"/>
          <w:b/>
          <w:spacing w:val="-4"/>
          <w:sz w:val="20"/>
        </w:rPr>
        <w:t>1</w:t>
      </w:r>
      <w:r w:rsidR="00A21A33">
        <w:rPr>
          <w:rFonts w:ascii="Arial" w:hAnsi="Arial" w:cs="Arial"/>
          <w:b/>
          <w:spacing w:val="-4"/>
          <w:sz w:val="20"/>
        </w:rPr>
        <w:t>2</w:t>
      </w:r>
      <w:r w:rsidRPr="00646715">
        <w:rPr>
          <w:rFonts w:ascii="Arial" w:hAnsi="Arial" w:cs="Arial"/>
          <w:b/>
          <w:spacing w:val="-4"/>
          <w:sz w:val="20"/>
        </w:rPr>
        <w:t xml:space="preserve">.1: </w:t>
      </w:r>
      <w:r w:rsidR="00615CC3">
        <w:rPr>
          <w:rFonts w:ascii="Arial" w:hAnsi="Arial" w:cs="Arial"/>
          <w:b/>
          <w:spacing w:val="-4"/>
          <w:sz w:val="20"/>
        </w:rPr>
        <w:t>Podniky v</w:t>
      </w:r>
      <w:r w:rsidR="001D3622">
        <w:rPr>
          <w:rFonts w:ascii="Arial" w:hAnsi="Arial" w:cs="Arial"/>
          <w:b/>
          <w:spacing w:val="-4"/>
          <w:sz w:val="20"/>
        </w:rPr>
        <w:t> </w:t>
      </w:r>
      <w:r w:rsidR="00060723">
        <w:rPr>
          <w:rFonts w:ascii="Arial" w:hAnsi="Arial" w:cs="Arial"/>
          <w:b/>
          <w:spacing w:val="-4"/>
          <w:sz w:val="20"/>
        </w:rPr>
        <w:t>Č</w:t>
      </w:r>
      <w:r w:rsidR="00615CC3">
        <w:rPr>
          <w:rFonts w:ascii="Arial" w:hAnsi="Arial" w:cs="Arial"/>
          <w:b/>
          <w:spacing w:val="-4"/>
          <w:sz w:val="20"/>
        </w:rPr>
        <w:t>esku</w:t>
      </w:r>
      <w:r w:rsidR="001D3622">
        <w:rPr>
          <w:rFonts w:ascii="Arial" w:hAnsi="Arial" w:cs="Arial"/>
          <w:b/>
          <w:spacing w:val="-4"/>
          <w:sz w:val="20"/>
        </w:rPr>
        <w:t xml:space="preserve"> </w:t>
      </w:r>
      <w:r w:rsidR="004B631D">
        <w:rPr>
          <w:rFonts w:ascii="Arial" w:hAnsi="Arial" w:cs="Arial"/>
          <w:b/>
          <w:spacing w:val="-4"/>
          <w:sz w:val="20"/>
        </w:rPr>
        <w:t>prodáva</w:t>
      </w:r>
      <w:r w:rsidR="00532F5D">
        <w:rPr>
          <w:rFonts w:ascii="Arial" w:hAnsi="Arial" w:cs="Arial"/>
          <w:b/>
          <w:spacing w:val="-4"/>
          <w:sz w:val="20"/>
        </w:rPr>
        <w:t>jící</w:t>
      </w:r>
      <w:r w:rsidR="004B631D">
        <w:rPr>
          <w:rFonts w:ascii="Arial" w:hAnsi="Arial" w:cs="Arial"/>
          <w:b/>
          <w:spacing w:val="-4"/>
          <w:sz w:val="20"/>
        </w:rPr>
        <w:t xml:space="preserve"> </w:t>
      </w:r>
      <w:r w:rsidR="00B66598">
        <w:rPr>
          <w:rFonts w:ascii="Arial" w:hAnsi="Arial" w:cs="Arial"/>
          <w:b/>
          <w:spacing w:val="-4"/>
          <w:sz w:val="20"/>
        </w:rPr>
        <w:t>výrobky, zboží nebo služby</w:t>
      </w:r>
      <w:r w:rsidR="00532F5D">
        <w:rPr>
          <w:rFonts w:ascii="Arial" w:hAnsi="Arial" w:cs="Arial"/>
          <w:b/>
          <w:spacing w:val="-4"/>
          <w:sz w:val="20"/>
        </w:rPr>
        <w:t xml:space="preserve"> elektronicky</w:t>
      </w:r>
      <w:r w:rsidR="0005480E">
        <w:rPr>
          <w:rFonts w:ascii="Arial" w:hAnsi="Arial" w:cs="Arial"/>
          <w:b/>
          <w:spacing w:val="-4"/>
          <w:sz w:val="20"/>
        </w:rPr>
        <w:t xml:space="preserve"> </w:t>
      </w:r>
    </w:p>
    <w:p w14:paraId="04440A7B" w14:textId="55ACC4EA" w:rsidR="003411FD" w:rsidRPr="000008BC" w:rsidRDefault="003411FD" w:rsidP="003411FD">
      <w:pPr>
        <w:spacing w:after="0" w:line="360" w:lineRule="auto"/>
        <w:rPr>
          <w:rFonts w:ascii="Arial" w:hAnsi="Arial" w:cs="Arial"/>
          <w:b/>
          <w:sz w:val="20"/>
        </w:rPr>
      </w:pPr>
      <w:r w:rsidRPr="000008BC">
        <w:rPr>
          <w:rFonts w:ascii="Arial" w:hAnsi="Arial" w:cs="Arial"/>
          <w:bCs/>
          <w:sz w:val="18"/>
        </w:rPr>
        <w:t>(% z celkového počtu podniků s 10+ zaměstnanci)</w:t>
      </w:r>
    </w:p>
    <w:p w14:paraId="771A37D1" w14:textId="36FFC8CE" w:rsidR="00AF6A09" w:rsidRPr="00646715" w:rsidRDefault="00AF6A09" w:rsidP="00FE342C">
      <w:pPr>
        <w:tabs>
          <w:tab w:val="left" w:pos="360"/>
        </w:tabs>
        <w:autoSpaceDE w:val="0"/>
        <w:autoSpaceDN w:val="0"/>
        <w:adjustRightInd w:val="0"/>
        <w:spacing w:after="80" w:line="288" w:lineRule="auto"/>
        <w:jc w:val="both"/>
        <w:rPr>
          <w:noProof/>
          <w:spacing w:val="-4"/>
          <w:lang w:eastAsia="cs-CZ"/>
        </w:rPr>
      </w:pPr>
      <w:r>
        <w:rPr>
          <w:noProof/>
        </w:rPr>
        <w:drawing>
          <wp:inline distT="0" distB="0" distL="0" distR="0" wp14:anchorId="0DC7536B" wp14:editId="62C40558">
            <wp:extent cx="6120765" cy="2251075"/>
            <wp:effectExtent l="0" t="0" r="0" b="0"/>
            <wp:docPr id="328448109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3A1F831C-1419-4B4C-9A05-2A6A6EF2CF2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728A704" w14:textId="5C88C1BE" w:rsidR="00BF1B85" w:rsidRDefault="00BF1B85" w:rsidP="00BF1B85">
      <w:pPr>
        <w:autoSpaceDE w:val="0"/>
        <w:autoSpaceDN w:val="0"/>
        <w:adjustRightInd w:val="0"/>
        <w:spacing w:after="40" w:line="288" w:lineRule="auto"/>
        <w:jc w:val="both"/>
        <w:rPr>
          <w:rFonts w:ascii="Arial" w:hAnsi="Arial" w:cs="Arial"/>
          <w:b/>
          <w:sz w:val="20"/>
        </w:rPr>
      </w:pPr>
      <w:r w:rsidRPr="00974FBE">
        <w:rPr>
          <w:rFonts w:ascii="Arial" w:hAnsi="Arial" w:cs="Arial"/>
          <w:b/>
          <w:sz w:val="20"/>
        </w:rPr>
        <w:t xml:space="preserve">Graf </w:t>
      </w:r>
      <w:r w:rsidR="00745B69">
        <w:rPr>
          <w:rFonts w:ascii="Arial" w:hAnsi="Arial" w:cs="Arial"/>
          <w:b/>
          <w:sz w:val="20"/>
        </w:rPr>
        <w:t>1</w:t>
      </w:r>
      <w:r w:rsidR="00A21A33">
        <w:rPr>
          <w:rFonts w:ascii="Arial" w:hAnsi="Arial" w:cs="Arial"/>
          <w:b/>
          <w:sz w:val="20"/>
        </w:rPr>
        <w:t>2</w:t>
      </w:r>
      <w:r w:rsidRPr="00974FBE">
        <w:rPr>
          <w:rFonts w:ascii="Arial" w:hAnsi="Arial" w:cs="Arial"/>
          <w:b/>
          <w:sz w:val="20"/>
        </w:rPr>
        <w:t>.</w:t>
      </w:r>
      <w:r>
        <w:rPr>
          <w:rFonts w:ascii="Arial" w:hAnsi="Arial" w:cs="Arial"/>
          <w:b/>
          <w:sz w:val="20"/>
        </w:rPr>
        <w:t>2</w:t>
      </w:r>
      <w:r w:rsidRPr="00974FBE">
        <w:rPr>
          <w:rFonts w:ascii="Arial" w:hAnsi="Arial" w:cs="Arial"/>
          <w:b/>
          <w:sz w:val="20"/>
        </w:rPr>
        <w:t xml:space="preserve">: </w:t>
      </w:r>
      <w:r>
        <w:rPr>
          <w:rFonts w:ascii="Arial" w:hAnsi="Arial" w:cs="Arial"/>
          <w:b/>
          <w:sz w:val="20"/>
        </w:rPr>
        <w:t xml:space="preserve">Tržby </w:t>
      </w:r>
      <w:r w:rsidR="005F335E">
        <w:rPr>
          <w:rFonts w:ascii="Arial" w:hAnsi="Arial" w:cs="Arial"/>
          <w:b/>
          <w:sz w:val="20"/>
        </w:rPr>
        <w:t>podniků v Česku z</w:t>
      </w:r>
      <w:r>
        <w:rPr>
          <w:rFonts w:ascii="Arial" w:hAnsi="Arial" w:cs="Arial"/>
          <w:b/>
          <w:sz w:val="20"/>
        </w:rPr>
        <w:t xml:space="preserve"> elektronických</w:t>
      </w:r>
      <w:r w:rsidRPr="007361FE">
        <w:rPr>
          <w:rFonts w:ascii="Arial" w:hAnsi="Arial" w:cs="Arial"/>
          <w:b/>
          <w:sz w:val="20"/>
        </w:rPr>
        <w:t xml:space="preserve"> prodej</w:t>
      </w:r>
      <w:r>
        <w:rPr>
          <w:rFonts w:ascii="Arial" w:hAnsi="Arial" w:cs="Arial"/>
          <w:b/>
          <w:sz w:val="20"/>
        </w:rPr>
        <w:t xml:space="preserve">ů </w:t>
      </w:r>
      <w:r w:rsidRPr="007361FE">
        <w:rPr>
          <w:rFonts w:ascii="Arial" w:hAnsi="Arial" w:cs="Arial"/>
          <w:b/>
          <w:sz w:val="20"/>
        </w:rPr>
        <w:t xml:space="preserve">podle </w:t>
      </w:r>
      <w:r w:rsidR="00854368">
        <w:rPr>
          <w:rFonts w:ascii="Arial" w:hAnsi="Arial" w:cs="Arial"/>
          <w:b/>
          <w:sz w:val="20"/>
        </w:rPr>
        <w:t>způsobu uskutečnění</w:t>
      </w:r>
    </w:p>
    <w:p w14:paraId="61F6CF69" w14:textId="7454E57B" w:rsidR="00842DCF" w:rsidRPr="000008BC" w:rsidRDefault="00842DCF" w:rsidP="00842DCF">
      <w:pPr>
        <w:spacing w:after="0" w:line="360" w:lineRule="auto"/>
        <w:rPr>
          <w:rFonts w:ascii="Arial" w:hAnsi="Arial" w:cs="Arial"/>
          <w:b/>
          <w:sz w:val="20"/>
        </w:rPr>
      </w:pPr>
      <w:r w:rsidRPr="000008BC">
        <w:rPr>
          <w:rFonts w:ascii="Arial" w:hAnsi="Arial" w:cs="Arial"/>
          <w:bCs/>
          <w:sz w:val="18"/>
        </w:rPr>
        <w:t>(% z</w:t>
      </w:r>
      <w:r>
        <w:rPr>
          <w:rFonts w:ascii="Arial" w:hAnsi="Arial" w:cs="Arial"/>
          <w:bCs/>
          <w:sz w:val="18"/>
        </w:rPr>
        <w:t> </w:t>
      </w:r>
      <w:r w:rsidRPr="000008BC">
        <w:rPr>
          <w:rFonts w:ascii="Arial" w:hAnsi="Arial" w:cs="Arial"/>
          <w:bCs/>
          <w:sz w:val="18"/>
        </w:rPr>
        <w:t>celkov</w:t>
      </w:r>
      <w:r>
        <w:rPr>
          <w:rFonts w:ascii="Arial" w:hAnsi="Arial" w:cs="Arial"/>
          <w:bCs/>
          <w:sz w:val="18"/>
        </w:rPr>
        <w:t>ých tržeb</w:t>
      </w:r>
      <w:r w:rsidRPr="000008BC">
        <w:rPr>
          <w:rFonts w:ascii="Arial" w:hAnsi="Arial" w:cs="Arial"/>
          <w:bCs/>
          <w:sz w:val="18"/>
        </w:rPr>
        <w:t xml:space="preserve"> podniků s 10+ zaměstnanci)</w:t>
      </w:r>
    </w:p>
    <w:p w14:paraId="3D9C04BE" w14:textId="3CE6E7C6" w:rsidR="00BF1B85" w:rsidRDefault="004B3219" w:rsidP="00A974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noProof/>
        </w:rPr>
        <w:drawing>
          <wp:inline distT="0" distB="0" distL="0" distR="0" wp14:anchorId="01567E69" wp14:editId="06B498BC">
            <wp:extent cx="6096000" cy="2371725"/>
            <wp:effectExtent l="0" t="0" r="0" b="9525"/>
            <wp:docPr id="1928257255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63C1229" w14:textId="4D803F61" w:rsidR="00DA7FE7" w:rsidRDefault="00DA7FE7" w:rsidP="00DA7FE7">
      <w:pPr>
        <w:spacing w:after="80" w:line="240" w:lineRule="auto"/>
        <w:rPr>
          <w:rFonts w:ascii="Arial" w:hAnsi="Arial" w:cs="Arial"/>
          <w:b/>
          <w:sz w:val="20"/>
        </w:rPr>
      </w:pPr>
      <w:r w:rsidRPr="002C6BA4">
        <w:rPr>
          <w:rFonts w:ascii="Arial" w:hAnsi="Arial" w:cs="Arial"/>
          <w:b/>
          <w:sz w:val="20"/>
        </w:rPr>
        <w:lastRenderedPageBreak/>
        <w:t xml:space="preserve">Graf </w:t>
      </w:r>
      <w:r w:rsidR="00745B69">
        <w:rPr>
          <w:rFonts w:ascii="Arial" w:hAnsi="Arial" w:cs="Arial"/>
          <w:b/>
          <w:sz w:val="20"/>
        </w:rPr>
        <w:t>1</w:t>
      </w:r>
      <w:r w:rsidR="00A21A33">
        <w:rPr>
          <w:rFonts w:ascii="Arial" w:hAnsi="Arial" w:cs="Arial"/>
          <w:b/>
          <w:sz w:val="20"/>
        </w:rPr>
        <w:t>2</w:t>
      </w:r>
      <w:r>
        <w:rPr>
          <w:rFonts w:ascii="Arial" w:hAnsi="Arial" w:cs="Arial"/>
          <w:b/>
          <w:sz w:val="20"/>
        </w:rPr>
        <w:t>.</w:t>
      </w:r>
      <w:r w:rsidR="00BF1B85">
        <w:rPr>
          <w:rFonts w:ascii="Arial" w:hAnsi="Arial" w:cs="Arial"/>
          <w:b/>
          <w:sz w:val="20"/>
        </w:rPr>
        <w:t>3</w:t>
      </w:r>
      <w:r w:rsidRPr="002C6BA4">
        <w:rPr>
          <w:rFonts w:ascii="Arial" w:hAnsi="Arial" w:cs="Arial"/>
          <w:b/>
          <w:sz w:val="20"/>
        </w:rPr>
        <w:t xml:space="preserve">: </w:t>
      </w:r>
      <w:r w:rsidR="0086216A">
        <w:rPr>
          <w:rFonts w:ascii="Arial" w:hAnsi="Arial" w:cs="Arial"/>
          <w:b/>
          <w:sz w:val="20"/>
        </w:rPr>
        <w:t>Způsoby uskutečnění elektronického prodeje p</w:t>
      </w:r>
      <w:r>
        <w:rPr>
          <w:rFonts w:ascii="Arial" w:hAnsi="Arial" w:cs="Arial"/>
          <w:b/>
          <w:sz w:val="20"/>
        </w:rPr>
        <w:t xml:space="preserve">odniky v </w:t>
      </w:r>
      <w:r w:rsidR="005F335E">
        <w:rPr>
          <w:rFonts w:ascii="Arial" w:hAnsi="Arial" w:cs="Arial"/>
          <w:b/>
          <w:sz w:val="20"/>
        </w:rPr>
        <w:t>Česku</w:t>
      </w:r>
      <w:r w:rsidRPr="0045049E">
        <w:rPr>
          <w:rFonts w:ascii="Arial" w:hAnsi="Arial" w:cs="Arial"/>
          <w:b/>
          <w:sz w:val="20"/>
        </w:rPr>
        <w:t xml:space="preserve"> </w:t>
      </w:r>
      <w:r w:rsidR="00854368">
        <w:rPr>
          <w:rFonts w:ascii="Arial" w:hAnsi="Arial" w:cs="Arial"/>
          <w:b/>
          <w:sz w:val="20"/>
        </w:rPr>
        <w:t>v roce</w:t>
      </w:r>
      <w:r w:rsidR="002F261C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202</w:t>
      </w:r>
      <w:r w:rsidR="00854368">
        <w:rPr>
          <w:rFonts w:ascii="Arial" w:hAnsi="Arial" w:cs="Arial"/>
          <w:b/>
          <w:sz w:val="20"/>
        </w:rPr>
        <w:t>4</w:t>
      </w:r>
    </w:p>
    <w:p w14:paraId="72B523A5" w14:textId="2A2559FE" w:rsidR="00FC3F5E" w:rsidRDefault="00FC3F5E" w:rsidP="00DA7FE7">
      <w:pPr>
        <w:spacing w:after="80" w:line="240" w:lineRule="auto"/>
        <w:rPr>
          <w:rFonts w:ascii="Arial" w:hAnsi="Arial" w:cs="Arial"/>
          <w:i/>
          <w:sz w:val="18"/>
          <w:szCs w:val="18"/>
        </w:rPr>
      </w:pPr>
      <w:r w:rsidRPr="000008BC">
        <w:rPr>
          <w:rFonts w:ascii="Arial" w:hAnsi="Arial" w:cs="Arial"/>
          <w:bCs/>
          <w:sz w:val="18"/>
        </w:rPr>
        <w:t>(% z celkového počtu podniků s 10+ zaměstnanci)</w:t>
      </w:r>
    </w:p>
    <w:p w14:paraId="09918F1B" w14:textId="211B5B67" w:rsidR="00DA7FE7" w:rsidRDefault="00A360AD" w:rsidP="00DA7F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noProof/>
        </w:rPr>
        <w:drawing>
          <wp:inline distT="0" distB="0" distL="0" distR="0" wp14:anchorId="318E45E7" wp14:editId="14557A79">
            <wp:extent cx="6086475" cy="2495550"/>
            <wp:effectExtent l="0" t="0" r="0" b="0"/>
            <wp:docPr id="1282084943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E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2E421EC" w14:textId="77777777" w:rsidR="000E7264" w:rsidRDefault="000E7264" w:rsidP="003420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sz w:val="18"/>
          <w:szCs w:val="18"/>
        </w:rPr>
      </w:pPr>
    </w:p>
    <w:p w14:paraId="23980B2C" w14:textId="315E3A2B" w:rsidR="00AF140D" w:rsidRDefault="00DA7FE7" w:rsidP="00B64C8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18"/>
        </w:rPr>
      </w:pPr>
      <w:r>
        <w:rPr>
          <w:rFonts w:ascii="Arial" w:hAnsi="Arial" w:cs="Arial"/>
          <w:i/>
          <w:sz w:val="18"/>
          <w:szCs w:val="18"/>
        </w:rPr>
        <w:t xml:space="preserve"> </w:t>
      </w:r>
      <w:r w:rsidR="00384DBB" w:rsidRPr="00974FBE">
        <w:rPr>
          <w:rFonts w:ascii="Arial" w:hAnsi="Arial" w:cs="Arial"/>
          <w:b/>
          <w:sz w:val="20"/>
        </w:rPr>
        <w:t xml:space="preserve">Graf </w:t>
      </w:r>
      <w:r w:rsidR="00745B69">
        <w:rPr>
          <w:rFonts w:ascii="Arial" w:hAnsi="Arial" w:cs="Arial"/>
          <w:b/>
          <w:sz w:val="20"/>
        </w:rPr>
        <w:t>1</w:t>
      </w:r>
      <w:r w:rsidR="00A21A33">
        <w:rPr>
          <w:rFonts w:ascii="Arial" w:hAnsi="Arial" w:cs="Arial"/>
          <w:b/>
          <w:sz w:val="20"/>
        </w:rPr>
        <w:t>2</w:t>
      </w:r>
      <w:r w:rsidR="00384DBB" w:rsidRPr="00974FBE">
        <w:rPr>
          <w:rFonts w:ascii="Arial" w:hAnsi="Arial" w:cs="Arial"/>
          <w:b/>
          <w:sz w:val="20"/>
        </w:rPr>
        <w:t>.</w:t>
      </w:r>
      <w:r w:rsidR="00384DBB">
        <w:rPr>
          <w:rFonts w:ascii="Arial" w:hAnsi="Arial" w:cs="Arial"/>
          <w:b/>
          <w:sz w:val="20"/>
        </w:rPr>
        <w:t>4</w:t>
      </w:r>
      <w:r w:rsidR="00384DBB" w:rsidRPr="00974FBE">
        <w:rPr>
          <w:rFonts w:ascii="Arial" w:hAnsi="Arial" w:cs="Arial"/>
          <w:b/>
          <w:sz w:val="20"/>
        </w:rPr>
        <w:t xml:space="preserve">: </w:t>
      </w:r>
      <w:r w:rsidR="00384DBB">
        <w:rPr>
          <w:rFonts w:ascii="Arial" w:hAnsi="Arial" w:cs="Arial"/>
          <w:b/>
          <w:sz w:val="20"/>
        </w:rPr>
        <w:t xml:space="preserve">Tržby </w:t>
      </w:r>
      <w:r w:rsidR="003310E6">
        <w:rPr>
          <w:rFonts w:ascii="Arial" w:hAnsi="Arial" w:cs="Arial"/>
          <w:b/>
          <w:sz w:val="20"/>
        </w:rPr>
        <w:t xml:space="preserve">podniků v Česku </w:t>
      </w:r>
      <w:r w:rsidR="00384DBB">
        <w:rPr>
          <w:rFonts w:ascii="Arial" w:hAnsi="Arial" w:cs="Arial"/>
          <w:b/>
          <w:sz w:val="20"/>
        </w:rPr>
        <w:t>z elektronických</w:t>
      </w:r>
      <w:r w:rsidR="00384DBB" w:rsidRPr="007361FE">
        <w:rPr>
          <w:rFonts w:ascii="Arial" w:hAnsi="Arial" w:cs="Arial"/>
          <w:b/>
          <w:sz w:val="20"/>
        </w:rPr>
        <w:t xml:space="preserve"> prodej</w:t>
      </w:r>
      <w:r w:rsidR="00384DBB">
        <w:rPr>
          <w:rFonts w:ascii="Arial" w:hAnsi="Arial" w:cs="Arial"/>
          <w:b/>
          <w:sz w:val="20"/>
        </w:rPr>
        <w:t xml:space="preserve">ů </w:t>
      </w:r>
      <w:r w:rsidR="003A6529">
        <w:rPr>
          <w:rFonts w:ascii="Arial" w:hAnsi="Arial" w:cs="Arial"/>
          <w:b/>
          <w:sz w:val="20"/>
        </w:rPr>
        <w:t>podle způsobu uskutečnění</w:t>
      </w:r>
      <w:r w:rsidR="00B64C83">
        <w:rPr>
          <w:rFonts w:ascii="Arial" w:hAnsi="Arial" w:cs="Arial"/>
          <w:b/>
          <w:sz w:val="20"/>
        </w:rPr>
        <w:t xml:space="preserve"> </w:t>
      </w:r>
      <w:r w:rsidR="00B64C83">
        <w:rPr>
          <w:rFonts w:ascii="Arial" w:hAnsi="Arial" w:cs="Arial"/>
          <w:b/>
          <w:sz w:val="20"/>
        </w:rPr>
        <w:br/>
      </w:r>
      <w:r w:rsidR="000E7264">
        <w:rPr>
          <w:rFonts w:ascii="Arial" w:hAnsi="Arial" w:cs="Arial"/>
          <w:b/>
          <w:sz w:val="20"/>
        </w:rPr>
        <w:t>v roce 2024</w:t>
      </w:r>
      <w:r w:rsidR="00384DBB" w:rsidRPr="007361FE">
        <w:rPr>
          <w:rFonts w:ascii="Arial" w:hAnsi="Arial" w:cs="Arial"/>
          <w:b/>
          <w:sz w:val="20"/>
        </w:rPr>
        <w:t xml:space="preserve"> </w:t>
      </w:r>
      <w:r w:rsidR="00AF140D" w:rsidRPr="000008BC">
        <w:rPr>
          <w:rFonts w:ascii="Arial" w:hAnsi="Arial" w:cs="Arial"/>
          <w:bCs/>
          <w:sz w:val="18"/>
        </w:rPr>
        <w:t>(% z</w:t>
      </w:r>
      <w:r w:rsidR="00AF140D">
        <w:rPr>
          <w:rFonts w:ascii="Arial" w:hAnsi="Arial" w:cs="Arial"/>
          <w:bCs/>
          <w:sz w:val="18"/>
        </w:rPr>
        <w:t> </w:t>
      </w:r>
      <w:r w:rsidR="00AF140D" w:rsidRPr="000008BC">
        <w:rPr>
          <w:rFonts w:ascii="Arial" w:hAnsi="Arial" w:cs="Arial"/>
          <w:bCs/>
          <w:sz w:val="18"/>
        </w:rPr>
        <w:t>celkov</w:t>
      </w:r>
      <w:r w:rsidR="00AF140D">
        <w:rPr>
          <w:rFonts w:ascii="Arial" w:hAnsi="Arial" w:cs="Arial"/>
          <w:bCs/>
          <w:sz w:val="18"/>
        </w:rPr>
        <w:t>ých tržeb</w:t>
      </w:r>
      <w:r w:rsidR="00AF140D" w:rsidRPr="000008BC">
        <w:rPr>
          <w:rFonts w:ascii="Arial" w:hAnsi="Arial" w:cs="Arial"/>
          <w:bCs/>
          <w:sz w:val="18"/>
        </w:rPr>
        <w:t xml:space="preserve"> podniků s 10+ zaměstnanci)</w:t>
      </w:r>
    </w:p>
    <w:p w14:paraId="538E3446" w14:textId="48158B26" w:rsidR="002F5F97" w:rsidRPr="000008BC" w:rsidRDefault="00653B0F" w:rsidP="00342014">
      <w:pPr>
        <w:spacing w:after="0" w:line="360" w:lineRule="auto"/>
        <w:rPr>
          <w:rFonts w:ascii="Arial" w:hAnsi="Arial" w:cs="Arial"/>
          <w:b/>
          <w:sz w:val="20"/>
        </w:rPr>
      </w:pPr>
      <w:r>
        <w:rPr>
          <w:noProof/>
        </w:rPr>
        <w:drawing>
          <wp:inline distT="0" distB="0" distL="0" distR="0" wp14:anchorId="7D87FB21" wp14:editId="3ED268E0">
            <wp:extent cx="6086475" cy="5257800"/>
            <wp:effectExtent l="0" t="0" r="0" b="0"/>
            <wp:docPr id="468800864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0A47898" w14:textId="77777777" w:rsidR="00653B0F" w:rsidRDefault="00653B0F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7246D34A" w14:textId="290E3218" w:rsidR="00B63DB5" w:rsidRPr="00C768E2" w:rsidRDefault="00B63DB5" w:rsidP="00B63DB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sz w:val="20"/>
        </w:rPr>
      </w:pPr>
      <w:r w:rsidRPr="00C768E2">
        <w:rPr>
          <w:rFonts w:ascii="Arial" w:hAnsi="Arial" w:cs="Arial"/>
          <w:b/>
          <w:sz w:val="20"/>
        </w:rPr>
        <w:lastRenderedPageBreak/>
        <w:t xml:space="preserve">Graf </w:t>
      </w:r>
      <w:r w:rsidR="00745B69">
        <w:rPr>
          <w:rFonts w:ascii="Arial" w:hAnsi="Arial" w:cs="Arial"/>
          <w:b/>
          <w:sz w:val="20"/>
        </w:rPr>
        <w:t>1</w:t>
      </w:r>
      <w:r w:rsidR="00A21A33">
        <w:rPr>
          <w:rFonts w:ascii="Arial" w:hAnsi="Arial" w:cs="Arial"/>
          <w:b/>
          <w:sz w:val="20"/>
        </w:rPr>
        <w:t>2</w:t>
      </w:r>
      <w:r w:rsidRPr="00C768E2">
        <w:rPr>
          <w:rFonts w:ascii="Arial" w:hAnsi="Arial" w:cs="Arial"/>
          <w:b/>
          <w:sz w:val="20"/>
        </w:rPr>
        <w:t>.</w:t>
      </w:r>
      <w:r w:rsidR="00681FA9">
        <w:rPr>
          <w:rFonts w:ascii="Arial" w:hAnsi="Arial" w:cs="Arial"/>
          <w:b/>
          <w:sz w:val="20"/>
        </w:rPr>
        <w:t>5</w:t>
      </w:r>
      <w:r w:rsidRPr="00C768E2">
        <w:rPr>
          <w:rFonts w:ascii="Arial" w:hAnsi="Arial" w:cs="Arial"/>
          <w:b/>
          <w:sz w:val="20"/>
        </w:rPr>
        <w:t>: Podniky v zemích EU</w:t>
      </w:r>
      <w:r w:rsidR="00D63B85">
        <w:rPr>
          <w:rFonts w:ascii="Arial" w:hAnsi="Arial" w:cs="Arial"/>
          <w:b/>
          <w:sz w:val="20"/>
        </w:rPr>
        <w:t>27</w:t>
      </w:r>
      <w:r w:rsidR="0086216A">
        <w:rPr>
          <w:rFonts w:ascii="Arial" w:hAnsi="Arial" w:cs="Arial"/>
          <w:b/>
          <w:sz w:val="20"/>
        </w:rPr>
        <w:t xml:space="preserve"> prodávající </w:t>
      </w:r>
      <w:r w:rsidR="0086216A">
        <w:rPr>
          <w:rFonts w:ascii="Arial" w:hAnsi="Arial" w:cs="Arial"/>
          <w:b/>
          <w:spacing w:val="-4"/>
          <w:sz w:val="20"/>
        </w:rPr>
        <w:t>výrobky, zboží nebo služby</w:t>
      </w:r>
      <w:r w:rsidR="0086216A">
        <w:rPr>
          <w:rFonts w:ascii="Arial" w:hAnsi="Arial" w:cs="Arial"/>
          <w:b/>
          <w:sz w:val="20"/>
        </w:rPr>
        <w:t xml:space="preserve"> </w:t>
      </w:r>
      <w:r w:rsidR="00D07817">
        <w:rPr>
          <w:rFonts w:ascii="Arial" w:hAnsi="Arial" w:cs="Arial"/>
          <w:b/>
          <w:sz w:val="20"/>
        </w:rPr>
        <w:t>elektronicky v roce 2024</w:t>
      </w:r>
    </w:p>
    <w:p w14:paraId="00CB2E96" w14:textId="67F0A49A" w:rsidR="004028B0" w:rsidRPr="000008BC" w:rsidRDefault="004028B0" w:rsidP="004028B0">
      <w:pPr>
        <w:spacing w:after="0" w:line="360" w:lineRule="auto"/>
        <w:rPr>
          <w:rFonts w:ascii="Arial" w:hAnsi="Arial" w:cs="Arial"/>
          <w:b/>
          <w:sz w:val="20"/>
        </w:rPr>
      </w:pPr>
      <w:r w:rsidRPr="000008BC">
        <w:rPr>
          <w:rFonts w:ascii="Arial" w:hAnsi="Arial" w:cs="Arial"/>
          <w:bCs/>
          <w:sz w:val="18"/>
        </w:rPr>
        <w:t>(% z celkového počtu podniků s 10+ zaměstnanci</w:t>
      </w:r>
      <w:r>
        <w:rPr>
          <w:rFonts w:ascii="Arial" w:hAnsi="Arial" w:cs="Arial"/>
          <w:bCs/>
          <w:sz w:val="18"/>
        </w:rPr>
        <w:t xml:space="preserve"> v dané zemi</w:t>
      </w:r>
      <w:r w:rsidRPr="000008BC">
        <w:rPr>
          <w:rFonts w:ascii="Arial" w:hAnsi="Arial" w:cs="Arial"/>
          <w:bCs/>
          <w:sz w:val="18"/>
        </w:rPr>
        <w:t>)</w:t>
      </w:r>
    </w:p>
    <w:p w14:paraId="2224AF7A" w14:textId="58A3EC1C" w:rsidR="00B63DB5" w:rsidRPr="00C768E2" w:rsidRDefault="006324E3" w:rsidP="00B63DB5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noProof/>
        </w:rPr>
        <w:drawing>
          <wp:inline distT="0" distB="0" distL="0" distR="0" wp14:anchorId="23A5D1D4" wp14:editId="000BFD38">
            <wp:extent cx="6086475" cy="3190875"/>
            <wp:effectExtent l="0" t="0" r="0" b="9525"/>
            <wp:docPr id="529888944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11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73085CE" w14:textId="3A01032B" w:rsidR="00C035B7" w:rsidRDefault="00C035B7">
      <w:pPr>
        <w:spacing w:after="0" w:line="240" w:lineRule="auto"/>
        <w:rPr>
          <w:rFonts w:ascii="Arial" w:hAnsi="Arial" w:cs="Arial"/>
          <w:b/>
          <w:spacing w:val="-6"/>
          <w:sz w:val="20"/>
        </w:rPr>
      </w:pPr>
    </w:p>
    <w:p w14:paraId="1A100B73" w14:textId="6CAE3573" w:rsidR="00B63DB5" w:rsidRDefault="00B63DB5" w:rsidP="00B63DB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spacing w:val="-6"/>
          <w:sz w:val="20"/>
        </w:rPr>
      </w:pPr>
      <w:r w:rsidRPr="00E5249D">
        <w:rPr>
          <w:rFonts w:ascii="Arial" w:hAnsi="Arial" w:cs="Arial"/>
          <w:b/>
          <w:spacing w:val="-6"/>
          <w:sz w:val="20"/>
        </w:rPr>
        <w:t xml:space="preserve">Graf </w:t>
      </w:r>
      <w:r w:rsidR="00745B69">
        <w:rPr>
          <w:rFonts w:ascii="Arial" w:hAnsi="Arial" w:cs="Arial"/>
          <w:b/>
          <w:spacing w:val="-6"/>
          <w:sz w:val="20"/>
        </w:rPr>
        <w:t>1</w:t>
      </w:r>
      <w:r w:rsidR="00A21A33">
        <w:rPr>
          <w:rFonts w:ascii="Arial" w:hAnsi="Arial" w:cs="Arial"/>
          <w:b/>
          <w:spacing w:val="-6"/>
          <w:sz w:val="20"/>
        </w:rPr>
        <w:t>2</w:t>
      </w:r>
      <w:r w:rsidR="00745B69">
        <w:rPr>
          <w:rFonts w:ascii="Arial" w:hAnsi="Arial" w:cs="Arial"/>
          <w:b/>
          <w:spacing w:val="-6"/>
          <w:sz w:val="20"/>
        </w:rPr>
        <w:t>.</w:t>
      </w:r>
      <w:r w:rsidR="00681FA9">
        <w:rPr>
          <w:rFonts w:ascii="Arial" w:hAnsi="Arial" w:cs="Arial"/>
          <w:b/>
          <w:spacing w:val="-6"/>
          <w:sz w:val="20"/>
        </w:rPr>
        <w:t>6</w:t>
      </w:r>
      <w:r w:rsidRPr="00E5249D">
        <w:rPr>
          <w:rFonts w:ascii="Arial" w:hAnsi="Arial" w:cs="Arial"/>
          <w:b/>
          <w:spacing w:val="-6"/>
          <w:sz w:val="20"/>
        </w:rPr>
        <w:t>: Tržby podniků v zemích EU</w:t>
      </w:r>
      <w:r w:rsidR="00D63B85">
        <w:rPr>
          <w:rFonts w:ascii="Arial" w:hAnsi="Arial" w:cs="Arial"/>
          <w:b/>
          <w:spacing w:val="-6"/>
          <w:sz w:val="20"/>
        </w:rPr>
        <w:t>27</w:t>
      </w:r>
      <w:r w:rsidRPr="00E5249D">
        <w:rPr>
          <w:rFonts w:ascii="Arial" w:hAnsi="Arial" w:cs="Arial"/>
          <w:b/>
          <w:spacing w:val="-6"/>
          <w:sz w:val="20"/>
        </w:rPr>
        <w:t xml:space="preserve"> z </w:t>
      </w:r>
      <w:r w:rsidR="000B197C" w:rsidRPr="00E5249D">
        <w:rPr>
          <w:rFonts w:ascii="Arial" w:hAnsi="Arial" w:cs="Arial"/>
          <w:b/>
          <w:spacing w:val="-6"/>
          <w:sz w:val="20"/>
        </w:rPr>
        <w:t>elektronických</w:t>
      </w:r>
      <w:r w:rsidR="002F261C" w:rsidRPr="00E5249D">
        <w:rPr>
          <w:rFonts w:ascii="Arial" w:hAnsi="Arial" w:cs="Arial"/>
          <w:b/>
          <w:spacing w:val="-6"/>
          <w:sz w:val="20"/>
        </w:rPr>
        <w:t xml:space="preserve"> prodejů</w:t>
      </w:r>
      <w:r w:rsidR="004028B0">
        <w:rPr>
          <w:rFonts w:ascii="Arial" w:hAnsi="Arial" w:cs="Arial"/>
          <w:b/>
          <w:spacing w:val="-6"/>
          <w:sz w:val="20"/>
        </w:rPr>
        <w:t xml:space="preserve"> v roce 2024</w:t>
      </w:r>
    </w:p>
    <w:p w14:paraId="7591A25D" w14:textId="776E9453" w:rsidR="004028B0" w:rsidRDefault="004028B0" w:rsidP="004028B0">
      <w:pPr>
        <w:spacing w:after="0" w:line="360" w:lineRule="auto"/>
        <w:rPr>
          <w:rFonts w:ascii="Arial" w:hAnsi="Arial" w:cs="Arial"/>
          <w:bCs/>
          <w:sz w:val="18"/>
        </w:rPr>
      </w:pPr>
      <w:r w:rsidRPr="000008BC">
        <w:rPr>
          <w:rFonts w:ascii="Arial" w:hAnsi="Arial" w:cs="Arial"/>
          <w:bCs/>
          <w:sz w:val="18"/>
        </w:rPr>
        <w:t>(% z</w:t>
      </w:r>
      <w:r>
        <w:rPr>
          <w:rFonts w:ascii="Arial" w:hAnsi="Arial" w:cs="Arial"/>
          <w:bCs/>
          <w:sz w:val="18"/>
        </w:rPr>
        <w:t> </w:t>
      </w:r>
      <w:r w:rsidRPr="000008BC">
        <w:rPr>
          <w:rFonts w:ascii="Arial" w:hAnsi="Arial" w:cs="Arial"/>
          <w:bCs/>
          <w:sz w:val="18"/>
        </w:rPr>
        <w:t>celkov</w:t>
      </w:r>
      <w:r>
        <w:rPr>
          <w:rFonts w:ascii="Arial" w:hAnsi="Arial" w:cs="Arial"/>
          <w:bCs/>
          <w:sz w:val="18"/>
        </w:rPr>
        <w:t>ých tržeb</w:t>
      </w:r>
      <w:r w:rsidRPr="000008BC">
        <w:rPr>
          <w:rFonts w:ascii="Arial" w:hAnsi="Arial" w:cs="Arial"/>
          <w:bCs/>
          <w:sz w:val="18"/>
        </w:rPr>
        <w:t xml:space="preserve"> podniků s 10+ zaměstnanci</w:t>
      </w:r>
      <w:r>
        <w:rPr>
          <w:rFonts w:ascii="Arial" w:hAnsi="Arial" w:cs="Arial"/>
          <w:bCs/>
          <w:sz w:val="18"/>
        </w:rPr>
        <w:t xml:space="preserve"> v dané zemi</w:t>
      </w:r>
      <w:r w:rsidRPr="000008BC">
        <w:rPr>
          <w:rFonts w:ascii="Arial" w:hAnsi="Arial" w:cs="Arial"/>
          <w:bCs/>
          <w:sz w:val="18"/>
        </w:rPr>
        <w:t>)</w:t>
      </w:r>
    </w:p>
    <w:p w14:paraId="30851892" w14:textId="5C38B1AD" w:rsidR="004028B0" w:rsidRPr="000008BC" w:rsidRDefault="00222893" w:rsidP="004028B0">
      <w:pPr>
        <w:spacing w:after="0" w:line="360" w:lineRule="auto"/>
        <w:rPr>
          <w:rFonts w:ascii="Arial" w:hAnsi="Arial" w:cs="Arial"/>
          <w:b/>
          <w:sz w:val="20"/>
        </w:rPr>
      </w:pPr>
      <w:r>
        <w:rPr>
          <w:noProof/>
        </w:rPr>
        <w:drawing>
          <wp:inline distT="0" distB="0" distL="0" distR="0" wp14:anchorId="0605217A" wp14:editId="17C4764D">
            <wp:extent cx="6143625" cy="3714750"/>
            <wp:effectExtent l="0" t="0" r="0" b="0"/>
            <wp:docPr id="107788049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A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4028B0" w:rsidRPr="000008BC" w:rsidSect="00C8573F">
      <w:pgSz w:w="11906" w:h="16838" w:code="9"/>
      <w:pgMar w:top="1134" w:right="1133" w:bottom="1418" w:left="1134" w:header="680" w:footer="680" w:gutter="0"/>
      <w:pgNumType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B7069" w14:textId="77777777" w:rsidR="00841DA6" w:rsidRDefault="00841DA6" w:rsidP="00E71A58">
      <w:r>
        <w:separator/>
      </w:r>
    </w:p>
  </w:endnote>
  <w:endnote w:type="continuationSeparator" w:id="0">
    <w:p w14:paraId="763FEEC0" w14:textId="77777777" w:rsidR="00841DA6" w:rsidRDefault="00841DA6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charset w:val="00"/>
    <w:family w:val="auto"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510C3" w14:textId="77777777" w:rsidR="00841DA6" w:rsidRDefault="00841DA6" w:rsidP="00E71A58">
      <w:r>
        <w:separator/>
      </w:r>
    </w:p>
  </w:footnote>
  <w:footnote w:type="continuationSeparator" w:id="0">
    <w:p w14:paraId="002FED30" w14:textId="77777777" w:rsidR="00841DA6" w:rsidRDefault="00841DA6" w:rsidP="00E71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3146"/>
    <w:multiLevelType w:val="hybridMultilevel"/>
    <w:tmpl w:val="F1387CC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F720E"/>
    <w:multiLevelType w:val="hybridMultilevel"/>
    <w:tmpl w:val="2718448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8EC1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D4E8C"/>
    <w:multiLevelType w:val="hybridMultilevel"/>
    <w:tmpl w:val="31DE8C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B4673"/>
    <w:multiLevelType w:val="hybridMultilevel"/>
    <w:tmpl w:val="82FA25BC"/>
    <w:lvl w:ilvl="0" w:tplc="3174A9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724924">
    <w:abstractNumId w:val="3"/>
  </w:num>
  <w:num w:numId="2" w16cid:durableId="1962686974">
    <w:abstractNumId w:val="1"/>
  </w:num>
  <w:num w:numId="3" w16cid:durableId="1162282730">
    <w:abstractNumId w:val="2"/>
  </w:num>
  <w:num w:numId="4" w16cid:durableId="714161136">
    <w:abstractNumId w:val="0"/>
  </w:num>
  <w:num w:numId="5" w16cid:durableId="1199195272">
    <w:abstractNumId w:val="4"/>
  </w:num>
  <w:num w:numId="6" w16cid:durableId="1141388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16F"/>
    <w:rsid w:val="000038F3"/>
    <w:rsid w:val="0000767A"/>
    <w:rsid w:val="00007A65"/>
    <w:rsid w:val="00010702"/>
    <w:rsid w:val="00012476"/>
    <w:rsid w:val="00014B27"/>
    <w:rsid w:val="00014E7A"/>
    <w:rsid w:val="00015B30"/>
    <w:rsid w:val="00015E95"/>
    <w:rsid w:val="000301B3"/>
    <w:rsid w:val="000371F2"/>
    <w:rsid w:val="0004694F"/>
    <w:rsid w:val="00046E9C"/>
    <w:rsid w:val="00047B1A"/>
    <w:rsid w:val="0005480E"/>
    <w:rsid w:val="00060723"/>
    <w:rsid w:val="00062EC5"/>
    <w:rsid w:val="00066A39"/>
    <w:rsid w:val="000776E0"/>
    <w:rsid w:val="00087634"/>
    <w:rsid w:val="000904A1"/>
    <w:rsid w:val="00091072"/>
    <w:rsid w:val="00095184"/>
    <w:rsid w:val="00096112"/>
    <w:rsid w:val="000A1183"/>
    <w:rsid w:val="000A1603"/>
    <w:rsid w:val="000A59B8"/>
    <w:rsid w:val="000A67F2"/>
    <w:rsid w:val="000B06B3"/>
    <w:rsid w:val="000B1085"/>
    <w:rsid w:val="000B197C"/>
    <w:rsid w:val="000B21FF"/>
    <w:rsid w:val="000B3036"/>
    <w:rsid w:val="000B39C0"/>
    <w:rsid w:val="000B476C"/>
    <w:rsid w:val="000B7912"/>
    <w:rsid w:val="000C2014"/>
    <w:rsid w:val="000C3408"/>
    <w:rsid w:val="000D0431"/>
    <w:rsid w:val="000D1E62"/>
    <w:rsid w:val="000D3BAF"/>
    <w:rsid w:val="000E1717"/>
    <w:rsid w:val="000E6057"/>
    <w:rsid w:val="000E7264"/>
    <w:rsid w:val="000E75E3"/>
    <w:rsid w:val="000F2434"/>
    <w:rsid w:val="000F49D3"/>
    <w:rsid w:val="000F6FD0"/>
    <w:rsid w:val="000F7491"/>
    <w:rsid w:val="000F7936"/>
    <w:rsid w:val="001015BD"/>
    <w:rsid w:val="001051A6"/>
    <w:rsid w:val="00110E16"/>
    <w:rsid w:val="0011204A"/>
    <w:rsid w:val="001121B4"/>
    <w:rsid w:val="001165D5"/>
    <w:rsid w:val="00116D03"/>
    <w:rsid w:val="0012002F"/>
    <w:rsid w:val="00121282"/>
    <w:rsid w:val="00134725"/>
    <w:rsid w:val="001405FA"/>
    <w:rsid w:val="001406DC"/>
    <w:rsid w:val="001425C3"/>
    <w:rsid w:val="00143453"/>
    <w:rsid w:val="00144F60"/>
    <w:rsid w:val="0016045B"/>
    <w:rsid w:val="00163793"/>
    <w:rsid w:val="0016380A"/>
    <w:rsid w:val="00164922"/>
    <w:rsid w:val="001665FB"/>
    <w:rsid w:val="001714F2"/>
    <w:rsid w:val="00180C81"/>
    <w:rsid w:val="00185010"/>
    <w:rsid w:val="0018666E"/>
    <w:rsid w:val="00191C8B"/>
    <w:rsid w:val="0019329A"/>
    <w:rsid w:val="00194F66"/>
    <w:rsid w:val="001A0BA1"/>
    <w:rsid w:val="001A43EC"/>
    <w:rsid w:val="001A5015"/>
    <w:rsid w:val="001A552F"/>
    <w:rsid w:val="001B1E80"/>
    <w:rsid w:val="001B2552"/>
    <w:rsid w:val="001B2BDA"/>
    <w:rsid w:val="001B3110"/>
    <w:rsid w:val="001B65FE"/>
    <w:rsid w:val="001B7F0E"/>
    <w:rsid w:val="001C43EE"/>
    <w:rsid w:val="001D3622"/>
    <w:rsid w:val="001E2243"/>
    <w:rsid w:val="001E2E61"/>
    <w:rsid w:val="001E7FB0"/>
    <w:rsid w:val="001F3765"/>
    <w:rsid w:val="001F4597"/>
    <w:rsid w:val="001F5E35"/>
    <w:rsid w:val="00201E83"/>
    <w:rsid w:val="00201F9E"/>
    <w:rsid w:val="00203758"/>
    <w:rsid w:val="002042E3"/>
    <w:rsid w:val="00205DEC"/>
    <w:rsid w:val="00215DD0"/>
    <w:rsid w:val="0021721B"/>
    <w:rsid w:val="00220DE2"/>
    <w:rsid w:val="0022139E"/>
    <w:rsid w:val="00221B6A"/>
    <w:rsid w:val="00221FFB"/>
    <w:rsid w:val="00222893"/>
    <w:rsid w:val="00223C41"/>
    <w:rsid w:val="002252E0"/>
    <w:rsid w:val="002255F6"/>
    <w:rsid w:val="002304A4"/>
    <w:rsid w:val="00233B14"/>
    <w:rsid w:val="00236443"/>
    <w:rsid w:val="002405CF"/>
    <w:rsid w:val="00241951"/>
    <w:rsid w:val="002436BA"/>
    <w:rsid w:val="00244A15"/>
    <w:rsid w:val="00244E29"/>
    <w:rsid w:val="0024799E"/>
    <w:rsid w:val="00253673"/>
    <w:rsid w:val="00257036"/>
    <w:rsid w:val="00270C59"/>
    <w:rsid w:val="0027595F"/>
    <w:rsid w:val="00281650"/>
    <w:rsid w:val="00282E7B"/>
    <w:rsid w:val="0028698F"/>
    <w:rsid w:val="00287D5C"/>
    <w:rsid w:val="0029440B"/>
    <w:rsid w:val="00295308"/>
    <w:rsid w:val="00295C1F"/>
    <w:rsid w:val="002A49B3"/>
    <w:rsid w:val="002B33CC"/>
    <w:rsid w:val="002C2193"/>
    <w:rsid w:val="002C31D3"/>
    <w:rsid w:val="002C43BD"/>
    <w:rsid w:val="002C6DD4"/>
    <w:rsid w:val="002D1075"/>
    <w:rsid w:val="002D36F9"/>
    <w:rsid w:val="002E02A1"/>
    <w:rsid w:val="002E0482"/>
    <w:rsid w:val="002E1D9F"/>
    <w:rsid w:val="002E3CD4"/>
    <w:rsid w:val="002E54BB"/>
    <w:rsid w:val="002E5BA0"/>
    <w:rsid w:val="002F261C"/>
    <w:rsid w:val="002F2864"/>
    <w:rsid w:val="002F5533"/>
    <w:rsid w:val="002F5F97"/>
    <w:rsid w:val="00302726"/>
    <w:rsid w:val="00303365"/>
    <w:rsid w:val="00303767"/>
    <w:rsid w:val="00304771"/>
    <w:rsid w:val="00306C5B"/>
    <w:rsid w:val="00310237"/>
    <w:rsid w:val="003155EE"/>
    <w:rsid w:val="003209D6"/>
    <w:rsid w:val="00321470"/>
    <w:rsid w:val="003310E6"/>
    <w:rsid w:val="003411FD"/>
    <w:rsid w:val="00341792"/>
    <w:rsid w:val="00342014"/>
    <w:rsid w:val="00343E00"/>
    <w:rsid w:val="0034440F"/>
    <w:rsid w:val="00345E04"/>
    <w:rsid w:val="0034657B"/>
    <w:rsid w:val="0035366E"/>
    <w:rsid w:val="003547FD"/>
    <w:rsid w:val="003549CC"/>
    <w:rsid w:val="00356452"/>
    <w:rsid w:val="00364760"/>
    <w:rsid w:val="0036533A"/>
    <w:rsid w:val="003657F3"/>
    <w:rsid w:val="00365C52"/>
    <w:rsid w:val="00366859"/>
    <w:rsid w:val="00384DBB"/>
    <w:rsid w:val="00385D98"/>
    <w:rsid w:val="00386E36"/>
    <w:rsid w:val="00387630"/>
    <w:rsid w:val="00390EE5"/>
    <w:rsid w:val="003924D3"/>
    <w:rsid w:val="00395F05"/>
    <w:rsid w:val="003A1530"/>
    <w:rsid w:val="003A2B4D"/>
    <w:rsid w:val="003A327C"/>
    <w:rsid w:val="003A46E0"/>
    <w:rsid w:val="003A478C"/>
    <w:rsid w:val="003A5525"/>
    <w:rsid w:val="003A6529"/>
    <w:rsid w:val="003A6B38"/>
    <w:rsid w:val="003B0334"/>
    <w:rsid w:val="003B3C31"/>
    <w:rsid w:val="003B58C2"/>
    <w:rsid w:val="003B5A32"/>
    <w:rsid w:val="003B5CA0"/>
    <w:rsid w:val="003C0DCB"/>
    <w:rsid w:val="003C0EA8"/>
    <w:rsid w:val="003C14FE"/>
    <w:rsid w:val="003C42E1"/>
    <w:rsid w:val="003E20C5"/>
    <w:rsid w:val="003E5D7B"/>
    <w:rsid w:val="003E77BE"/>
    <w:rsid w:val="003F313C"/>
    <w:rsid w:val="003F4995"/>
    <w:rsid w:val="003F6A21"/>
    <w:rsid w:val="004028B0"/>
    <w:rsid w:val="00413550"/>
    <w:rsid w:val="00414240"/>
    <w:rsid w:val="00424793"/>
    <w:rsid w:val="00427A73"/>
    <w:rsid w:val="0043194A"/>
    <w:rsid w:val="004357FF"/>
    <w:rsid w:val="00441D62"/>
    <w:rsid w:val="00443A51"/>
    <w:rsid w:val="004449EB"/>
    <w:rsid w:val="004523A3"/>
    <w:rsid w:val="0045392B"/>
    <w:rsid w:val="004560CB"/>
    <w:rsid w:val="004623AC"/>
    <w:rsid w:val="0046345D"/>
    <w:rsid w:val="004639D6"/>
    <w:rsid w:val="00465325"/>
    <w:rsid w:val="004703BF"/>
    <w:rsid w:val="00470578"/>
    <w:rsid w:val="00474204"/>
    <w:rsid w:val="00475062"/>
    <w:rsid w:val="0048139F"/>
    <w:rsid w:val="004843C6"/>
    <w:rsid w:val="00492224"/>
    <w:rsid w:val="00494678"/>
    <w:rsid w:val="004A402E"/>
    <w:rsid w:val="004A77DF"/>
    <w:rsid w:val="004B22BA"/>
    <w:rsid w:val="004B3219"/>
    <w:rsid w:val="004B411F"/>
    <w:rsid w:val="004B55B7"/>
    <w:rsid w:val="004B6206"/>
    <w:rsid w:val="004B631D"/>
    <w:rsid w:val="004C3867"/>
    <w:rsid w:val="004C4CD0"/>
    <w:rsid w:val="004C70DC"/>
    <w:rsid w:val="004D0211"/>
    <w:rsid w:val="004D0595"/>
    <w:rsid w:val="004D1234"/>
    <w:rsid w:val="004F06F5"/>
    <w:rsid w:val="004F0DF9"/>
    <w:rsid w:val="004F32CB"/>
    <w:rsid w:val="004F33A0"/>
    <w:rsid w:val="004F4666"/>
    <w:rsid w:val="004F596E"/>
    <w:rsid w:val="00501A82"/>
    <w:rsid w:val="00501D94"/>
    <w:rsid w:val="00503901"/>
    <w:rsid w:val="005068F4"/>
    <w:rsid w:val="00510082"/>
    <w:rsid w:val="00510498"/>
    <w:rsid w:val="005108C0"/>
    <w:rsid w:val="00511873"/>
    <w:rsid w:val="0051380C"/>
    <w:rsid w:val="00513B7E"/>
    <w:rsid w:val="005170C1"/>
    <w:rsid w:val="005209D8"/>
    <w:rsid w:val="00525137"/>
    <w:rsid w:val="005251DD"/>
    <w:rsid w:val="00526416"/>
    <w:rsid w:val="00532807"/>
    <w:rsid w:val="00532F5D"/>
    <w:rsid w:val="00537E9B"/>
    <w:rsid w:val="00541D8F"/>
    <w:rsid w:val="005478D0"/>
    <w:rsid w:val="00550A74"/>
    <w:rsid w:val="00550D33"/>
    <w:rsid w:val="00553139"/>
    <w:rsid w:val="005563B0"/>
    <w:rsid w:val="00560185"/>
    <w:rsid w:val="00565041"/>
    <w:rsid w:val="00567D3C"/>
    <w:rsid w:val="00574855"/>
    <w:rsid w:val="00574FD5"/>
    <w:rsid w:val="00583CF3"/>
    <w:rsid w:val="00583F39"/>
    <w:rsid w:val="00583FFD"/>
    <w:rsid w:val="00585475"/>
    <w:rsid w:val="00585D8F"/>
    <w:rsid w:val="00593152"/>
    <w:rsid w:val="0059491F"/>
    <w:rsid w:val="00596A79"/>
    <w:rsid w:val="005A21E0"/>
    <w:rsid w:val="005A60E8"/>
    <w:rsid w:val="005B4204"/>
    <w:rsid w:val="005B6A8B"/>
    <w:rsid w:val="005C1CE3"/>
    <w:rsid w:val="005C41DA"/>
    <w:rsid w:val="005D5802"/>
    <w:rsid w:val="005D6589"/>
    <w:rsid w:val="005E774B"/>
    <w:rsid w:val="005E7EC7"/>
    <w:rsid w:val="005F335E"/>
    <w:rsid w:val="005F419A"/>
    <w:rsid w:val="005F68D9"/>
    <w:rsid w:val="005F7FA5"/>
    <w:rsid w:val="00601A3B"/>
    <w:rsid w:val="00604307"/>
    <w:rsid w:val="0060487F"/>
    <w:rsid w:val="006123F0"/>
    <w:rsid w:val="00615CC3"/>
    <w:rsid w:val="006160DA"/>
    <w:rsid w:val="006169B6"/>
    <w:rsid w:val="00624093"/>
    <w:rsid w:val="006324E3"/>
    <w:rsid w:val="00636C93"/>
    <w:rsid w:val="00637FE6"/>
    <w:rsid w:val="0064036A"/>
    <w:rsid w:val="006404A7"/>
    <w:rsid w:val="00640712"/>
    <w:rsid w:val="00643E3A"/>
    <w:rsid w:val="006451E4"/>
    <w:rsid w:val="00646715"/>
    <w:rsid w:val="00647A2B"/>
    <w:rsid w:val="006535B3"/>
    <w:rsid w:val="00653B0F"/>
    <w:rsid w:val="00657968"/>
    <w:rsid w:val="00657E87"/>
    <w:rsid w:val="00660808"/>
    <w:rsid w:val="00660D29"/>
    <w:rsid w:val="0066151F"/>
    <w:rsid w:val="00661E58"/>
    <w:rsid w:val="00665CBF"/>
    <w:rsid w:val="006664D5"/>
    <w:rsid w:val="0066687D"/>
    <w:rsid w:val="006676B0"/>
    <w:rsid w:val="006710C9"/>
    <w:rsid w:val="00672D80"/>
    <w:rsid w:val="00675E37"/>
    <w:rsid w:val="00676B14"/>
    <w:rsid w:val="00681FA9"/>
    <w:rsid w:val="0068260E"/>
    <w:rsid w:val="00684ECC"/>
    <w:rsid w:val="00693C50"/>
    <w:rsid w:val="006953D1"/>
    <w:rsid w:val="00695BEF"/>
    <w:rsid w:val="006977F6"/>
    <w:rsid w:val="00697A13"/>
    <w:rsid w:val="00697BBB"/>
    <w:rsid w:val="006A09CC"/>
    <w:rsid w:val="006A109C"/>
    <w:rsid w:val="006A4C34"/>
    <w:rsid w:val="006B78D8"/>
    <w:rsid w:val="006C113F"/>
    <w:rsid w:val="006C1B42"/>
    <w:rsid w:val="006C7861"/>
    <w:rsid w:val="006D112E"/>
    <w:rsid w:val="006D61F6"/>
    <w:rsid w:val="006E279A"/>
    <w:rsid w:val="006E2B05"/>
    <w:rsid w:val="006E313B"/>
    <w:rsid w:val="006E7DE3"/>
    <w:rsid w:val="006F0FF4"/>
    <w:rsid w:val="00700A8D"/>
    <w:rsid w:val="00702936"/>
    <w:rsid w:val="007211F5"/>
    <w:rsid w:val="00723C36"/>
    <w:rsid w:val="00730AE8"/>
    <w:rsid w:val="00731941"/>
    <w:rsid w:val="0073299F"/>
    <w:rsid w:val="007348DE"/>
    <w:rsid w:val="007361FE"/>
    <w:rsid w:val="0073766C"/>
    <w:rsid w:val="00741493"/>
    <w:rsid w:val="00745B69"/>
    <w:rsid w:val="007477AC"/>
    <w:rsid w:val="00752180"/>
    <w:rsid w:val="00752629"/>
    <w:rsid w:val="00755B98"/>
    <w:rsid w:val="00755D3A"/>
    <w:rsid w:val="007609C6"/>
    <w:rsid w:val="00760AC9"/>
    <w:rsid w:val="00761B3D"/>
    <w:rsid w:val="00762576"/>
    <w:rsid w:val="007726F9"/>
    <w:rsid w:val="00775360"/>
    <w:rsid w:val="00776527"/>
    <w:rsid w:val="007807B6"/>
    <w:rsid w:val="0078139D"/>
    <w:rsid w:val="007814D6"/>
    <w:rsid w:val="007830F5"/>
    <w:rsid w:val="007855C6"/>
    <w:rsid w:val="00785B2D"/>
    <w:rsid w:val="0078651B"/>
    <w:rsid w:val="00786E68"/>
    <w:rsid w:val="00791C4D"/>
    <w:rsid w:val="007940ED"/>
    <w:rsid w:val="007A3FED"/>
    <w:rsid w:val="007A5C36"/>
    <w:rsid w:val="007A68B0"/>
    <w:rsid w:val="007B57B5"/>
    <w:rsid w:val="007B6EF0"/>
    <w:rsid w:val="007C3F6A"/>
    <w:rsid w:val="007C4904"/>
    <w:rsid w:val="007C700E"/>
    <w:rsid w:val="007C70D3"/>
    <w:rsid w:val="007D7174"/>
    <w:rsid w:val="007E3D24"/>
    <w:rsid w:val="007E43B8"/>
    <w:rsid w:val="007E7E61"/>
    <w:rsid w:val="007F0845"/>
    <w:rsid w:val="007F4B37"/>
    <w:rsid w:val="007F6765"/>
    <w:rsid w:val="00803AFB"/>
    <w:rsid w:val="00816B53"/>
    <w:rsid w:val="00821F6F"/>
    <w:rsid w:val="00821FF6"/>
    <w:rsid w:val="00823DDF"/>
    <w:rsid w:val="00825490"/>
    <w:rsid w:val="0082558C"/>
    <w:rsid w:val="0083143E"/>
    <w:rsid w:val="00831824"/>
    <w:rsid w:val="00834FAA"/>
    <w:rsid w:val="00836086"/>
    <w:rsid w:val="00837234"/>
    <w:rsid w:val="00841DA6"/>
    <w:rsid w:val="00842DCF"/>
    <w:rsid w:val="008448EC"/>
    <w:rsid w:val="00850A26"/>
    <w:rsid w:val="00853973"/>
    <w:rsid w:val="00853CFB"/>
    <w:rsid w:val="0085412C"/>
    <w:rsid w:val="00854368"/>
    <w:rsid w:val="0086216A"/>
    <w:rsid w:val="00865180"/>
    <w:rsid w:val="00866093"/>
    <w:rsid w:val="00874090"/>
    <w:rsid w:val="00876086"/>
    <w:rsid w:val="008777E4"/>
    <w:rsid w:val="00885B0B"/>
    <w:rsid w:val="00887564"/>
    <w:rsid w:val="008A5404"/>
    <w:rsid w:val="008B230C"/>
    <w:rsid w:val="008B34AF"/>
    <w:rsid w:val="008B474C"/>
    <w:rsid w:val="008B7C02"/>
    <w:rsid w:val="008C011B"/>
    <w:rsid w:val="008C015A"/>
    <w:rsid w:val="008C0E88"/>
    <w:rsid w:val="008C233F"/>
    <w:rsid w:val="008D2A16"/>
    <w:rsid w:val="008D39E9"/>
    <w:rsid w:val="008D5B7E"/>
    <w:rsid w:val="008D6CA0"/>
    <w:rsid w:val="008E31FF"/>
    <w:rsid w:val="008E4500"/>
    <w:rsid w:val="008E601C"/>
    <w:rsid w:val="008F1BD3"/>
    <w:rsid w:val="008F34CE"/>
    <w:rsid w:val="008F41A9"/>
    <w:rsid w:val="008F5C9F"/>
    <w:rsid w:val="008F7189"/>
    <w:rsid w:val="009003A8"/>
    <w:rsid w:val="009022E1"/>
    <w:rsid w:val="00902EFF"/>
    <w:rsid w:val="009055A6"/>
    <w:rsid w:val="00921F14"/>
    <w:rsid w:val="0092348A"/>
    <w:rsid w:val="00925EAA"/>
    <w:rsid w:val="00930676"/>
    <w:rsid w:val="00931A73"/>
    <w:rsid w:val="00931BA4"/>
    <w:rsid w:val="0093373E"/>
    <w:rsid w:val="00933ECC"/>
    <w:rsid w:val="00935018"/>
    <w:rsid w:val="00936E0F"/>
    <w:rsid w:val="00937B2C"/>
    <w:rsid w:val="00940253"/>
    <w:rsid w:val="0094427A"/>
    <w:rsid w:val="00950AEF"/>
    <w:rsid w:val="00951577"/>
    <w:rsid w:val="00953F72"/>
    <w:rsid w:val="00960952"/>
    <w:rsid w:val="00962C32"/>
    <w:rsid w:val="00963C67"/>
    <w:rsid w:val="009665E3"/>
    <w:rsid w:val="00967C71"/>
    <w:rsid w:val="00974923"/>
    <w:rsid w:val="009832E0"/>
    <w:rsid w:val="00983D08"/>
    <w:rsid w:val="009849A2"/>
    <w:rsid w:val="00985BBF"/>
    <w:rsid w:val="0098620F"/>
    <w:rsid w:val="00987E97"/>
    <w:rsid w:val="009A2301"/>
    <w:rsid w:val="009A3CE0"/>
    <w:rsid w:val="009A506C"/>
    <w:rsid w:val="009A758E"/>
    <w:rsid w:val="009A77F0"/>
    <w:rsid w:val="009B66DE"/>
    <w:rsid w:val="009B6FD3"/>
    <w:rsid w:val="009B76D3"/>
    <w:rsid w:val="009C1157"/>
    <w:rsid w:val="009C21F1"/>
    <w:rsid w:val="009D0373"/>
    <w:rsid w:val="009D0EDF"/>
    <w:rsid w:val="009D2DB3"/>
    <w:rsid w:val="009E4874"/>
    <w:rsid w:val="009F3E7F"/>
    <w:rsid w:val="009F5B71"/>
    <w:rsid w:val="00A02288"/>
    <w:rsid w:val="00A03415"/>
    <w:rsid w:val="00A07270"/>
    <w:rsid w:val="00A10D66"/>
    <w:rsid w:val="00A10DE4"/>
    <w:rsid w:val="00A11466"/>
    <w:rsid w:val="00A1546D"/>
    <w:rsid w:val="00A16592"/>
    <w:rsid w:val="00A20DCF"/>
    <w:rsid w:val="00A21A33"/>
    <w:rsid w:val="00A23E43"/>
    <w:rsid w:val="00A25341"/>
    <w:rsid w:val="00A32F5E"/>
    <w:rsid w:val="00A331AD"/>
    <w:rsid w:val="00A360AD"/>
    <w:rsid w:val="00A3713B"/>
    <w:rsid w:val="00A4066A"/>
    <w:rsid w:val="00A42547"/>
    <w:rsid w:val="00A4261A"/>
    <w:rsid w:val="00A46DE0"/>
    <w:rsid w:val="00A6044E"/>
    <w:rsid w:val="00A62CE1"/>
    <w:rsid w:val="00A7047C"/>
    <w:rsid w:val="00A74EF4"/>
    <w:rsid w:val="00A75E40"/>
    <w:rsid w:val="00A767EB"/>
    <w:rsid w:val="00A81588"/>
    <w:rsid w:val="00A82273"/>
    <w:rsid w:val="00A857C0"/>
    <w:rsid w:val="00A944EE"/>
    <w:rsid w:val="00A97359"/>
    <w:rsid w:val="00A9744B"/>
    <w:rsid w:val="00AA094B"/>
    <w:rsid w:val="00AA23A0"/>
    <w:rsid w:val="00AA5534"/>
    <w:rsid w:val="00AA559A"/>
    <w:rsid w:val="00AB06B2"/>
    <w:rsid w:val="00AB2957"/>
    <w:rsid w:val="00AB2AF1"/>
    <w:rsid w:val="00AB434A"/>
    <w:rsid w:val="00AB49E0"/>
    <w:rsid w:val="00AB76F3"/>
    <w:rsid w:val="00AC0C98"/>
    <w:rsid w:val="00AC77ED"/>
    <w:rsid w:val="00AD2995"/>
    <w:rsid w:val="00AD306C"/>
    <w:rsid w:val="00AD3E20"/>
    <w:rsid w:val="00AD55FD"/>
    <w:rsid w:val="00AE3A2E"/>
    <w:rsid w:val="00AF140D"/>
    <w:rsid w:val="00AF2A1B"/>
    <w:rsid w:val="00AF6A09"/>
    <w:rsid w:val="00B06255"/>
    <w:rsid w:val="00B066D7"/>
    <w:rsid w:val="00B0758E"/>
    <w:rsid w:val="00B112AC"/>
    <w:rsid w:val="00B1214B"/>
    <w:rsid w:val="00B1229C"/>
    <w:rsid w:val="00B14740"/>
    <w:rsid w:val="00B17E71"/>
    <w:rsid w:val="00B17FDE"/>
    <w:rsid w:val="00B21D75"/>
    <w:rsid w:val="00B21F49"/>
    <w:rsid w:val="00B25457"/>
    <w:rsid w:val="00B27F79"/>
    <w:rsid w:val="00B32D12"/>
    <w:rsid w:val="00B32DDB"/>
    <w:rsid w:val="00B56B11"/>
    <w:rsid w:val="00B63DB5"/>
    <w:rsid w:val="00B64C83"/>
    <w:rsid w:val="00B6608F"/>
    <w:rsid w:val="00B662CA"/>
    <w:rsid w:val="00B66598"/>
    <w:rsid w:val="00B71E75"/>
    <w:rsid w:val="00B7498A"/>
    <w:rsid w:val="00B76D1E"/>
    <w:rsid w:val="00B86381"/>
    <w:rsid w:val="00B903A2"/>
    <w:rsid w:val="00B94DEF"/>
    <w:rsid w:val="00B94F4E"/>
    <w:rsid w:val="00B95940"/>
    <w:rsid w:val="00BA055C"/>
    <w:rsid w:val="00BA10B3"/>
    <w:rsid w:val="00BA5F57"/>
    <w:rsid w:val="00BB18BD"/>
    <w:rsid w:val="00BC64D5"/>
    <w:rsid w:val="00BD0D40"/>
    <w:rsid w:val="00BD214C"/>
    <w:rsid w:val="00BD258B"/>
    <w:rsid w:val="00BD32AA"/>
    <w:rsid w:val="00BD366B"/>
    <w:rsid w:val="00BD6D50"/>
    <w:rsid w:val="00BE5D22"/>
    <w:rsid w:val="00BF1B85"/>
    <w:rsid w:val="00C035B7"/>
    <w:rsid w:val="00C0475C"/>
    <w:rsid w:val="00C04FFA"/>
    <w:rsid w:val="00C063B6"/>
    <w:rsid w:val="00C14C63"/>
    <w:rsid w:val="00C21F94"/>
    <w:rsid w:val="00C22FED"/>
    <w:rsid w:val="00C2361E"/>
    <w:rsid w:val="00C3259F"/>
    <w:rsid w:val="00C353FB"/>
    <w:rsid w:val="00C3575E"/>
    <w:rsid w:val="00C422E8"/>
    <w:rsid w:val="00C442B4"/>
    <w:rsid w:val="00C51B83"/>
    <w:rsid w:val="00C60282"/>
    <w:rsid w:val="00C64462"/>
    <w:rsid w:val="00C73584"/>
    <w:rsid w:val="00C768E2"/>
    <w:rsid w:val="00C847A8"/>
    <w:rsid w:val="00C84831"/>
    <w:rsid w:val="00C8573F"/>
    <w:rsid w:val="00C87923"/>
    <w:rsid w:val="00C90CF4"/>
    <w:rsid w:val="00C93389"/>
    <w:rsid w:val="00CA0C7F"/>
    <w:rsid w:val="00CA286B"/>
    <w:rsid w:val="00CB26CD"/>
    <w:rsid w:val="00CB35AC"/>
    <w:rsid w:val="00CB5435"/>
    <w:rsid w:val="00CC0868"/>
    <w:rsid w:val="00CC2137"/>
    <w:rsid w:val="00CC24AD"/>
    <w:rsid w:val="00CC28C9"/>
    <w:rsid w:val="00CC61F7"/>
    <w:rsid w:val="00CD57C7"/>
    <w:rsid w:val="00CD7220"/>
    <w:rsid w:val="00CF35BC"/>
    <w:rsid w:val="00CF431A"/>
    <w:rsid w:val="00CF51EC"/>
    <w:rsid w:val="00D040DD"/>
    <w:rsid w:val="00D0581C"/>
    <w:rsid w:val="00D06B82"/>
    <w:rsid w:val="00D07817"/>
    <w:rsid w:val="00D12065"/>
    <w:rsid w:val="00D1416F"/>
    <w:rsid w:val="00D2189F"/>
    <w:rsid w:val="00D33A87"/>
    <w:rsid w:val="00D3535F"/>
    <w:rsid w:val="00D356E2"/>
    <w:rsid w:val="00D3579F"/>
    <w:rsid w:val="00D35C67"/>
    <w:rsid w:val="00D466E6"/>
    <w:rsid w:val="00D57B0B"/>
    <w:rsid w:val="00D603E0"/>
    <w:rsid w:val="00D63B85"/>
    <w:rsid w:val="00D64918"/>
    <w:rsid w:val="00D64D31"/>
    <w:rsid w:val="00D67EA5"/>
    <w:rsid w:val="00D72E09"/>
    <w:rsid w:val="00D87840"/>
    <w:rsid w:val="00D87883"/>
    <w:rsid w:val="00D9569D"/>
    <w:rsid w:val="00DA6083"/>
    <w:rsid w:val="00DA7FE7"/>
    <w:rsid w:val="00DB5CCD"/>
    <w:rsid w:val="00DB619C"/>
    <w:rsid w:val="00DB6B38"/>
    <w:rsid w:val="00DC29B0"/>
    <w:rsid w:val="00DC3488"/>
    <w:rsid w:val="00DC5B3B"/>
    <w:rsid w:val="00DE0111"/>
    <w:rsid w:val="00DE1D1B"/>
    <w:rsid w:val="00DF1B5C"/>
    <w:rsid w:val="00DF4EA4"/>
    <w:rsid w:val="00DF7B9A"/>
    <w:rsid w:val="00DF7C0A"/>
    <w:rsid w:val="00E01C0E"/>
    <w:rsid w:val="00E02C6D"/>
    <w:rsid w:val="00E0343F"/>
    <w:rsid w:val="00E04694"/>
    <w:rsid w:val="00E110C4"/>
    <w:rsid w:val="00E160D7"/>
    <w:rsid w:val="00E16DEA"/>
    <w:rsid w:val="00E17BDD"/>
    <w:rsid w:val="00E20E07"/>
    <w:rsid w:val="00E27262"/>
    <w:rsid w:val="00E36F00"/>
    <w:rsid w:val="00E405A0"/>
    <w:rsid w:val="00E43279"/>
    <w:rsid w:val="00E446D9"/>
    <w:rsid w:val="00E51673"/>
    <w:rsid w:val="00E5249D"/>
    <w:rsid w:val="00E54C58"/>
    <w:rsid w:val="00E66015"/>
    <w:rsid w:val="00E660A2"/>
    <w:rsid w:val="00E66AFB"/>
    <w:rsid w:val="00E71A58"/>
    <w:rsid w:val="00E72046"/>
    <w:rsid w:val="00E72ACD"/>
    <w:rsid w:val="00E84308"/>
    <w:rsid w:val="00E856E0"/>
    <w:rsid w:val="00E9292D"/>
    <w:rsid w:val="00E95707"/>
    <w:rsid w:val="00E957F4"/>
    <w:rsid w:val="00E970A8"/>
    <w:rsid w:val="00EA066C"/>
    <w:rsid w:val="00EA0C68"/>
    <w:rsid w:val="00EA347C"/>
    <w:rsid w:val="00EA71E3"/>
    <w:rsid w:val="00EB46E6"/>
    <w:rsid w:val="00EC4851"/>
    <w:rsid w:val="00EC7132"/>
    <w:rsid w:val="00ED0CA0"/>
    <w:rsid w:val="00ED4E55"/>
    <w:rsid w:val="00ED58C0"/>
    <w:rsid w:val="00EE01F9"/>
    <w:rsid w:val="00EE3E78"/>
    <w:rsid w:val="00EF1F5A"/>
    <w:rsid w:val="00EF3374"/>
    <w:rsid w:val="00EF473C"/>
    <w:rsid w:val="00F04811"/>
    <w:rsid w:val="00F0488C"/>
    <w:rsid w:val="00F07344"/>
    <w:rsid w:val="00F15BEF"/>
    <w:rsid w:val="00F226D7"/>
    <w:rsid w:val="00F24FAA"/>
    <w:rsid w:val="00F2509D"/>
    <w:rsid w:val="00F30A87"/>
    <w:rsid w:val="00F3364D"/>
    <w:rsid w:val="00F4274E"/>
    <w:rsid w:val="00F42C99"/>
    <w:rsid w:val="00F4606F"/>
    <w:rsid w:val="00F52232"/>
    <w:rsid w:val="00F52336"/>
    <w:rsid w:val="00F52969"/>
    <w:rsid w:val="00F55806"/>
    <w:rsid w:val="00F55BAA"/>
    <w:rsid w:val="00F63DDE"/>
    <w:rsid w:val="00F63FB7"/>
    <w:rsid w:val="00F650E6"/>
    <w:rsid w:val="00F65524"/>
    <w:rsid w:val="00F66522"/>
    <w:rsid w:val="00F70727"/>
    <w:rsid w:val="00F73A0C"/>
    <w:rsid w:val="00F80945"/>
    <w:rsid w:val="00F90D7B"/>
    <w:rsid w:val="00F93573"/>
    <w:rsid w:val="00F976F8"/>
    <w:rsid w:val="00FA00AC"/>
    <w:rsid w:val="00FA0E74"/>
    <w:rsid w:val="00FA2BED"/>
    <w:rsid w:val="00FA522E"/>
    <w:rsid w:val="00FA616F"/>
    <w:rsid w:val="00FA70EC"/>
    <w:rsid w:val="00FB73C1"/>
    <w:rsid w:val="00FC03F2"/>
    <w:rsid w:val="00FC0E5F"/>
    <w:rsid w:val="00FC1388"/>
    <w:rsid w:val="00FC3F5E"/>
    <w:rsid w:val="00FC54F9"/>
    <w:rsid w:val="00FC56DE"/>
    <w:rsid w:val="00FC5E1C"/>
    <w:rsid w:val="00FD097C"/>
    <w:rsid w:val="00FD1179"/>
    <w:rsid w:val="00FD1B9D"/>
    <w:rsid w:val="00FD4D68"/>
    <w:rsid w:val="00FD65FD"/>
    <w:rsid w:val="00FD7662"/>
    <w:rsid w:val="00FE087F"/>
    <w:rsid w:val="00FE2F78"/>
    <w:rsid w:val="00FE342C"/>
    <w:rsid w:val="00FE415B"/>
    <w:rsid w:val="00FF01C1"/>
    <w:rsid w:val="00FF4AD8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589DF738"/>
  <w15:docId w15:val="{1BD93FBE-05B0-437E-98BB-4C781E25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274E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next w:val="Normln"/>
    <w:link w:val="Nadpis1Char"/>
    <w:uiPriority w:val="9"/>
    <w:qFormat/>
    <w:rsid w:val="007F0845"/>
    <w:pPr>
      <w:keepNext/>
      <w:keepLines/>
      <w:spacing w:after="200" w:line="288" w:lineRule="auto"/>
      <w:outlineLvl w:val="0"/>
    </w:pPr>
    <w:rPr>
      <w:rFonts w:ascii="Arial" w:eastAsia="MS Gothic" w:hAnsi="Arial"/>
      <w:b/>
      <w:bCs/>
      <w:color w:val="009BB4"/>
      <w:sz w:val="32"/>
      <w:szCs w:val="28"/>
    </w:rPr>
  </w:style>
  <w:style w:type="paragraph" w:styleId="Nadpis2">
    <w:name w:val="heading 2"/>
    <w:next w:val="Normln"/>
    <w:link w:val="Nadpis2Char"/>
    <w:uiPriority w:val="9"/>
    <w:qFormat/>
    <w:rsid w:val="007F0845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009BB4"/>
      <w:sz w:val="28"/>
      <w:szCs w:val="26"/>
    </w:rPr>
  </w:style>
  <w:style w:type="paragraph" w:styleId="Nadpis3">
    <w:name w:val="heading 3"/>
    <w:next w:val="Normln"/>
    <w:link w:val="Nadpis3Char"/>
    <w:uiPriority w:val="9"/>
    <w:qFormat/>
    <w:rsid w:val="007F0845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009BB4"/>
      <w:sz w:val="24"/>
      <w:szCs w:val="24"/>
    </w:rPr>
  </w:style>
  <w:style w:type="paragraph" w:styleId="Nadpis4">
    <w:name w:val="heading 4"/>
    <w:next w:val="Normln"/>
    <w:link w:val="Nadpis4Char"/>
    <w:uiPriority w:val="9"/>
    <w:qFormat/>
    <w:rsid w:val="005108C0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0B06B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E71A58"/>
    <w:rPr>
      <w:color w:val="0000FF"/>
      <w:u w:val="single"/>
    </w:rPr>
  </w:style>
  <w:style w:type="paragraph" w:customStyle="1" w:styleId="Styl1">
    <w:name w:val="Styl1"/>
    <w:rsid w:val="00E71A58"/>
    <w:pPr>
      <w:suppressAutoHyphens/>
      <w:autoSpaceDE w:val="0"/>
    </w:pPr>
    <w:rPr>
      <w:rFonts w:ascii="Arial" w:eastAsia="Times New Roman" w:hAnsi="Arial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71A58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E71A58"/>
  </w:style>
  <w:style w:type="paragraph" w:styleId="Zpat">
    <w:name w:val="footer"/>
    <w:basedOn w:val="Normln"/>
    <w:link w:val="ZpatChar"/>
    <w:uiPriority w:val="99"/>
    <w:unhideWhenUsed/>
    <w:rsid w:val="00E71A58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E71A58"/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link w:val="ZkladnodstavecChar"/>
    <w:uiPriority w:val="99"/>
    <w:rsid w:val="001714F2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</w:rPr>
  </w:style>
  <w:style w:type="paragraph" w:styleId="Nzev">
    <w:name w:val="Title"/>
    <w:next w:val="Normln"/>
    <w:link w:val="NzevChar"/>
    <w:uiPriority w:val="10"/>
    <w:qFormat/>
    <w:rsid w:val="007C3F6A"/>
    <w:pPr>
      <w:spacing w:line="288" w:lineRule="auto"/>
      <w:contextualSpacing/>
      <w:outlineLvl w:val="0"/>
    </w:pPr>
    <w:rPr>
      <w:rFonts w:ascii="Arial" w:eastAsia="MS Gothic" w:hAnsi="Arial"/>
      <w:b/>
      <w:caps/>
      <w:color w:val="009BB4"/>
      <w:sz w:val="56"/>
      <w:szCs w:val="52"/>
    </w:rPr>
  </w:style>
  <w:style w:type="character" w:customStyle="1" w:styleId="NzevChar">
    <w:name w:val="Název Char"/>
    <w:link w:val="Nzev"/>
    <w:uiPriority w:val="10"/>
    <w:rsid w:val="007C3F6A"/>
    <w:rPr>
      <w:rFonts w:ascii="Arial" w:eastAsia="MS Gothic" w:hAnsi="Arial" w:cs="Times New Roman"/>
      <w:b/>
      <w:caps/>
      <w:color w:val="009BB4"/>
      <w:sz w:val="56"/>
      <w:szCs w:val="52"/>
    </w:rPr>
  </w:style>
  <w:style w:type="paragraph" w:styleId="Podnadpis">
    <w:name w:val="Subtitle"/>
    <w:next w:val="Normln"/>
    <w:link w:val="PodnadpisChar"/>
    <w:uiPriority w:val="11"/>
    <w:qFormat/>
    <w:rsid w:val="007F0845"/>
    <w:pPr>
      <w:numPr>
        <w:ilvl w:val="1"/>
      </w:numPr>
      <w:spacing w:line="288" w:lineRule="auto"/>
    </w:pPr>
    <w:rPr>
      <w:rFonts w:ascii="Arial" w:eastAsia="MS Gothic" w:hAnsi="Arial"/>
      <w:b/>
      <w:iCs/>
      <w:color w:val="009BB4"/>
      <w:sz w:val="28"/>
      <w:szCs w:val="24"/>
    </w:rPr>
  </w:style>
  <w:style w:type="character" w:customStyle="1" w:styleId="PodnadpisChar">
    <w:name w:val="Podnadpis Char"/>
    <w:link w:val="Podnadpis"/>
    <w:uiPriority w:val="11"/>
    <w:rsid w:val="007F0845"/>
    <w:rPr>
      <w:rFonts w:ascii="Arial" w:eastAsia="MS Gothic" w:hAnsi="Arial" w:cs="Times New Roman"/>
      <w:b/>
      <w:iCs/>
      <w:color w:val="009BB4"/>
      <w:sz w:val="28"/>
      <w:szCs w:val="24"/>
    </w:rPr>
  </w:style>
  <w:style w:type="character" w:customStyle="1" w:styleId="Nadpis1Char">
    <w:name w:val="Nadpis 1 Char"/>
    <w:link w:val="Nadpis1"/>
    <w:uiPriority w:val="9"/>
    <w:rsid w:val="007F0845"/>
    <w:rPr>
      <w:rFonts w:ascii="Arial" w:eastAsia="MS Gothic" w:hAnsi="Arial" w:cs="Times New Roman"/>
      <w:b/>
      <w:bCs/>
      <w:color w:val="009BB4"/>
      <w:sz w:val="32"/>
      <w:szCs w:val="28"/>
    </w:rPr>
  </w:style>
  <w:style w:type="character" w:customStyle="1" w:styleId="Nadpis2Char">
    <w:name w:val="Nadpis 2 Char"/>
    <w:link w:val="Nadpis2"/>
    <w:uiPriority w:val="9"/>
    <w:rsid w:val="007F0845"/>
    <w:rPr>
      <w:rFonts w:ascii="Arial" w:eastAsia="MS Gothic" w:hAnsi="Arial" w:cs="Times New Roman"/>
      <w:b/>
      <w:bCs/>
      <w:color w:val="009BB4"/>
      <w:sz w:val="28"/>
      <w:szCs w:val="26"/>
    </w:rPr>
  </w:style>
  <w:style w:type="character" w:customStyle="1" w:styleId="Nadpis3Char">
    <w:name w:val="Nadpis 3 Char"/>
    <w:link w:val="Nadpis3"/>
    <w:uiPriority w:val="9"/>
    <w:rsid w:val="007F0845"/>
    <w:rPr>
      <w:rFonts w:ascii="Arial" w:eastAsia="MS Gothic" w:hAnsi="Arial" w:cs="Times New Roman"/>
      <w:b/>
      <w:bCs/>
      <w:color w:val="009BB4"/>
      <w:sz w:val="24"/>
      <w:szCs w:val="24"/>
    </w:rPr>
  </w:style>
  <w:style w:type="character" w:customStyle="1" w:styleId="Nadpis4Char">
    <w:name w:val="Nadpis 4 Char"/>
    <w:link w:val="Nadpis4"/>
    <w:uiPriority w:val="9"/>
    <w:rsid w:val="005108C0"/>
    <w:rPr>
      <w:rFonts w:ascii="Arial" w:eastAsia="MS Gothic" w:hAnsi="Arial" w:cs="Times New Roman"/>
      <w:b/>
      <w:bCs/>
      <w:iCs/>
      <w:szCs w:val="24"/>
    </w:rPr>
  </w:style>
  <w:style w:type="paragraph" w:customStyle="1" w:styleId="Stednmka21">
    <w:name w:val="Střední mřížka 21"/>
    <w:aliases w:val="Bez zarážky"/>
    <w:link w:val="Stednmka2Char"/>
    <w:uiPriority w:val="1"/>
    <w:qFormat/>
    <w:rsid w:val="008D2A16"/>
    <w:pPr>
      <w:spacing w:line="288" w:lineRule="auto"/>
    </w:pPr>
    <w:rPr>
      <w:rFonts w:ascii="Arial" w:eastAsia="Times New Roman" w:hAnsi="Arial"/>
      <w:szCs w:val="24"/>
    </w:rPr>
  </w:style>
  <w:style w:type="paragraph" w:customStyle="1" w:styleId="Box1">
    <w:name w:val="Box 1"/>
    <w:basedOn w:val="Zkladnodstavec"/>
    <w:next w:val="Normln"/>
    <w:qFormat/>
    <w:rsid w:val="007F0845"/>
    <w:pPr>
      <w:ind w:left="1134"/>
    </w:pPr>
    <w:rPr>
      <w:rFonts w:ascii="Arial" w:hAnsi="Arial" w:cs="Arial"/>
      <w:color w:val="009BB4"/>
      <w:sz w:val="20"/>
      <w:szCs w:val="20"/>
    </w:rPr>
  </w:style>
  <w:style w:type="paragraph" w:customStyle="1" w:styleId="Box2">
    <w:name w:val="Box 2"/>
    <w:basedOn w:val="Zkladnodstavec"/>
    <w:link w:val="Box2Char"/>
    <w:rsid w:val="00010702"/>
    <w:pPr>
      <w:shd w:val="clear" w:color="auto" w:fill="CCC0D9"/>
      <w:tabs>
        <w:tab w:val="left" w:pos="9638"/>
      </w:tabs>
      <w:ind w:left="1134" w:right="-1"/>
      <w:jc w:val="both"/>
    </w:pPr>
    <w:rPr>
      <w:rFonts w:ascii="Arial" w:hAnsi="Arial" w:cs="Arial"/>
      <w:b/>
      <w:color w:val="auto"/>
      <w:sz w:val="20"/>
      <w:szCs w:val="20"/>
    </w:rPr>
  </w:style>
  <w:style w:type="paragraph" w:customStyle="1" w:styleId="Box">
    <w:name w:val="Box"/>
    <w:next w:val="Normln"/>
    <w:link w:val="BoxChar"/>
    <w:qFormat/>
    <w:rsid w:val="007C3F6A"/>
    <w:pPr>
      <w:shd w:val="clear" w:color="auto" w:fill="D9F0F4"/>
      <w:spacing w:line="288" w:lineRule="auto"/>
      <w:ind w:left="1134"/>
    </w:pPr>
    <w:rPr>
      <w:rFonts w:ascii="Arial" w:hAnsi="Arial" w:cs="Arial"/>
    </w:rPr>
  </w:style>
  <w:style w:type="paragraph" w:customStyle="1" w:styleId="TL-Kontakty">
    <w:name w:val="TL - Kontakty"/>
    <w:next w:val="Normln"/>
    <w:link w:val="TL-KontaktyChar"/>
    <w:qFormat/>
    <w:rsid w:val="004F06F5"/>
    <w:pPr>
      <w:spacing w:after="80"/>
    </w:pPr>
    <w:rPr>
      <w:rFonts w:ascii="Arial" w:eastAsia="Times New Roman" w:hAnsi="Arial"/>
      <w:b/>
      <w:caps/>
      <w:color w:val="BD1B21"/>
      <w:sz w:val="24"/>
      <w:szCs w:val="24"/>
    </w:rPr>
  </w:style>
  <w:style w:type="character" w:customStyle="1" w:styleId="ZkladnodstavecChar">
    <w:name w:val="[Základní odstavec] Char"/>
    <w:link w:val="Zkladnodstavec"/>
    <w:uiPriority w:val="99"/>
    <w:rsid w:val="006710C9"/>
    <w:rPr>
      <w:rFonts w:ascii="Minion Pro" w:hAnsi="Minion Pro" w:cs="Minion Pro"/>
      <w:color w:val="000000"/>
      <w:sz w:val="24"/>
      <w:szCs w:val="24"/>
    </w:rPr>
  </w:style>
  <w:style w:type="character" w:customStyle="1" w:styleId="Box2Char">
    <w:name w:val="Box 2 Char"/>
    <w:link w:val="Box2"/>
    <w:rsid w:val="006710C9"/>
    <w:rPr>
      <w:rFonts w:ascii="Arial" w:hAnsi="Arial" w:cs="Arial"/>
      <w:b/>
      <w:color w:val="000000"/>
      <w:sz w:val="24"/>
      <w:szCs w:val="24"/>
      <w:shd w:val="clear" w:color="auto" w:fill="CCC0D9"/>
    </w:rPr>
  </w:style>
  <w:style w:type="character" w:customStyle="1" w:styleId="BoxChar">
    <w:name w:val="Box Char"/>
    <w:link w:val="Box"/>
    <w:rsid w:val="007C3F6A"/>
    <w:rPr>
      <w:rFonts w:ascii="Arial" w:hAnsi="Arial" w:cs="Arial"/>
      <w:b w:val="0"/>
      <w:color w:val="000000"/>
      <w:sz w:val="24"/>
      <w:szCs w:val="24"/>
      <w:shd w:val="clear" w:color="auto" w:fill="D9F0F4"/>
    </w:rPr>
  </w:style>
  <w:style w:type="paragraph" w:customStyle="1" w:styleId="TL-Identifikace">
    <w:name w:val="TL - Identifikace"/>
    <w:next w:val="Normln"/>
    <w:link w:val="TL-IdentifikaceChar"/>
    <w:qFormat/>
    <w:rsid w:val="004F06F5"/>
    <w:pPr>
      <w:spacing w:after="200" w:line="288" w:lineRule="auto"/>
    </w:pPr>
    <w:rPr>
      <w:rFonts w:ascii="Arial" w:eastAsia="Times New Roman" w:hAnsi="Arial"/>
      <w:sz w:val="24"/>
      <w:szCs w:val="24"/>
    </w:rPr>
  </w:style>
  <w:style w:type="character" w:customStyle="1" w:styleId="TL-KontaktyChar">
    <w:name w:val="TL - Kontakty Char"/>
    <w:link w:val="TL-Kontakty"/>
    <w:rsid w:val="004F06F5"/>
    <w:rPr>
      <w:rFonts w:ascii="Arial" w:eastAsia="Times New Roman" w:hAnsi="Arial"/>
      <w:b/>
      <w:caps/>
      <w:color w:val="BD1B21"/>
      <w:sz w:val="24"/>
      <w:szCs w:val="24"/>
    </w:rPr>
  </w:style>
  <w:style w:type="character" w:customStyle="1" w:styleId="TL-IdentifikaceChar">
    <w:name w:val="TL - Identifikace Char"/>
    <w:link w:val="TL-Identifikace"/>
    <w:rsid w:val="004F06F5"/>
    <w:rPr>
      <w:rFonts w:ascii="Arial" w:eastAsia="Times New Roman" w:hAnsi="Arial"/>
      <w:sz w:val="24"/>
      <w:szCs w:val="24"/>
    </w:rPr>
  </w:style>
  <w:style w:type="paragraph" w:customStyle="1" w:styleId="3372873BB58A4DED866D2BE34882C06C">
    <w:name w:val="3372873BB58A4DED866D2BE34882C06C"/>
    <w:rsid w:val="00EE3E78"/>
    <w:pPr>
      <w:spacing w:after="200" w:line="276" w:lineRule="auto"/>
    </w:pPr>
    <w:rPr>
      <w:rFonts w:eastAsia="MS Mincho"/>
      <w:sz w:val="22"/>
      <w:szCs w:val="22"/>
    </w:rPr>
  </w:style>
  <w:style w:type="paragraph" w:customStyle="1" w:styleId="233E5CD5853943F4BD7E8C4B124C0E1D">
    <w:name w:val="233E5CD5853943F4BD7E8C4B124C0E1D"/>
    <w:rsid w:val="00EE3E78"/>
    <w:pPr>
      <w:spacing w:after="200" w:line="276" w:lineRule="auto"/>
    </w:pPr>
    <w:rPr>
      <w:rFonts w:eastAsia="MS Mincho"/>
      <w:sz w:val="22"/>
      <w:szCs w:val="22"/>
    </w:rPr>
  </w:style>
  <w:style w:type="paragraph" w:customStyle="1" w:styleId="D345FF3D873148C5AE3FBF3267827368">
    <w:name w:val="D345FF3D873148C5AE3FBF3267827368"/>
    <w:rsid w:val="00EE3E78"/>
    <w:pPr>
      <w:spacing w:after="200" w:line="276" w:lineRule="auto"/>
    </w:pPr>
    <w:rPr>
      <w:rFonts w:eastAsia="MS Mincho"/>
      <w:sz w:val="22"/>
      <w:szCs w:val="22"/>
    </w:rPr>
  </w:style>
  <w:style w:type="character" w:customStyle="1" w:styleId="Stednmka2Char">
    <w:name w:val="Střední mřížka 2 Char"/>
    <w:aliases w:val="Bez zarážky Char"/>
    <w:link w:val="Stednmka21"/>
    <w:uiPriority w:val="1"/>
    <w:rsid w:val="00EE3E78"/>
    <w:rPr>
      <w:rFonts w:ascii="Arial" w:eastAsia="Times New Roman" w:hAnsi="Arial"/>
      <w:szCs w:val="24"/>
    </w:rPr>
  </w:style>
  <w:style w:type="paragraph" w:customStyle="1" w:styleId="TL-identifikace-sted">
    <w:name w:val="TL - identifikace - střed"/>
    <w:basedOn w:val="Normln"/>
    <w:link w:val="TL-identifikace-stedChar"/>
    <w:qFormat/>
    <w:rsid w:val="006C113F"/>
  </w:style>
  <w:style w:type="paragraph" w:customStyle="1" w:styleId="TL-Identifikace-dole">
    <w:name w:val="TL - Identifikace - dole"/>
    <w:basedOn w:val="Normln"/>
    <w:link w:val="TL-Identifikace-doleChar"/>
    <w:qFormat/>
    <w:rsid w:val="006C113F"/>
    <w:rPr>
      <w:rFonts w:cs="Arial"/>
      <w:szCs w:val="20"/>
      <w:lang w:eastAsia="ar-SA"/>
    </w:rPr>
  </w:style>
  <w:style w:type="character" w:customStyle="1" w:styleId="TL-identifikace-stedChar">
    <w:name w:val="TL - identifikace - střed Char"/>
    <w:link w:val="TL-identifikace-sted"/>
    <w:rsid w:val="006C113F"/>
    <w:rPr>
      <w:rFonts w:ascii="Arial" w:eastAsia="Times New Roman" w:hAnsi="Arial"/>
      <w:sz w:val="24"/>
      <w:szCs w:val="24"/>
    </w:rPr>
  </w:style>
  <w:style w:type="character" w:customStyle="1" w:styleId="TL-Identifikace-doleChar">
    <w:name w:val="TL - Identifikace - dole Char"/>
    <w:link w:val="TL-Identifikace-dole"/>
    <w:rsid w:val="006C113F"/>
    <w:rPr>
      <w:rFonts w:ascii="Arial" w:eastAsia="Times New Roman" w:hAnsi="Arial" w:cs="Arial"/>
      <w:lang w:eastAsia="ar-SA"/>
    </w:rPr>
  </w:style>
  <w:style w:type="paragraph" w:customStyle="1" w:styleId="Obsah">
    <w:name w:val="Obsah"/>
    <w:next w:val="Normln"/>
    <w:link w:val="ObsahChar"/>
    <w:qFormat/>
    <w:rsid w:val="00CD57C7"/>
    <w:pPr>
      <w:spacing w:after="200"/>
    </w:pPr>
    <w:rPr>
      <w:rFonts w:ascii="Arial" w:eastAsia="MS Gothic" w:hAnsi="Arial"/>
      <w:b/>
      <w:bCs/>
      <w:color w:val="009BB4"/>
      <w:sz w:val="32"/>
      <w:szCs w:val="28"/>
    </w:rPr>
  </w:style>
  <w:style w:type="paragraph" w:styleId="Odstavecseseznamem">
    <w:name w:val="List Paragraph"/>
    <w:basedOn w:val="Normln"/>
    <w:uiPriority w:val="34"/>
    <w:qFormat/>
    <w:rsid w:val="00F4274E"/>
    <w:pPr>
      <w:ind w:left="720"/>
      <w:contextualSpacing/>
    </w:pPr>
  </w:style>
  <w:style w:type="character" w:customStyle="1" w:styleId="ObsahChar">
    <w:name w:val="Obsah Char"/>
    <w:link w:val="Obsah"/>
    <w:rsid w:val="00CD57C7"/>
    <w:rPr>
      <w:rFonts w:ascii="Arial" w:eastAsia="MS Gothic" w:hAnsi="Arial"/>
      <w:b/>
      <w:bCs/>
      <w:color w:val="009BB4"/>
      <w:sz w:val="32"/>
      <w:szCs w:val="28"/>
    </w:rPr>
  </w:style>
  <w:style w:type="paragraph" w:styleId="Zkladntext">
    <w:name w:val="Body Text"/>
    <w:basedOn w:val="Normln"/>
    <w:link w:val="ZkladntextChar"/>
    <w:semiHidden/>
    <w:rsid w:val="00194F66"/>
    <w:pPr>
      <w:spacing w:before="120" w:after="120" w:line="240" w:lineRule="auto"/>
      <w:ind w:right="-13"/>
      <w:jc w:val="both"/>
    </w:pPr>
    <w:rPr>
      <w:rFonts w:eastAsia="Times New Roman"/>
      <w:sz w:val="22"/>
      <w:szCs w:val="24"/>
      <w:lang w:eastAsia="cs-CZ"/>
    </w:rPr>
  </w:style>
  <w:style w:type="character" w:customStyle="1" w:styleId="ZkladntextChar">
    <w:name w:val="Základní text Char"/>
    <w:link w:val="Zkladntext"/>
    <w:semiHidden/>
    <w:rsid w:val="00194F66"/>
    <w:rPr>
      <w:rFonts w:ascii="Times New Roman" w:eastAsia="Times New Roman" w:hAnsi="Times New Roman"/>
      <w:sz w:val="22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5209D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209D8"/>
    <w:rPr>
      <w:rFonts w:ascii="Times New Roman" w:hAnsi="Times New Roman"/>
      <w:lang w:eastAsia="en-US"/>
    </w:rPr>
  </w:style>
  <w:style w:type="character" w:styleId="Znakapoznpodarou">
    <w:name w:val="footnote reference"/>
    <w:uiPriority w:val="99"/>
    <w:semiHidden/>
    <w:unhideWhenUsed/>
    <w:rsid w:val="005209D8"/>
    <w:rPr>
      <w:vertAlign w:val="superscript"/>
    </w:rPr>
  </w:style>
  <w:style w:type="character" w:styleId="Odkaznakoment">
    <w:name w:val="annotation reference"/>
    <w:uiPriority w:val="99"/>
    <w:semiHidden/>
    <w:unhideWhenUsed/>
    <w:rsid w:val="002944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440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9440B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440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9440B"/>
    <w:rPr>
      <w:rFonts w:ascii="Times New Roman" w:hAnsi="Times New Roman"/>
      <w:b/>
      <w:bCs/>
      <w:lang w:eastAsia="en-US"/>
    </w:rPr>
  </w:style>
  <w:style w:type="character" w:styleId="Sledovanodkaz">
    <w:name w:val="FollowedHyperlink"/>
    <w:uiPriority w:val="99"/>
    <w:semiHidden/>
    <w:unhideWhenUsed/>
    <w:rsid w:val="00FE342C"/>
    <w:rPr>
      <w:color w:val="800080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B06B3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publikace\062005-15\publikace%20bar_veda%20I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6966711238572421E-2"/>
          <c:y val="1.136101310778289E-2"/>
          <c:w val="0.95707553046871696"/>
          <c:h val="0.713403113767405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el_prodej!$A$2</c:f>
              <c:strCache>
                <c:ptCount val="1"/>
                <c:pt idx="0">
                  <c:v> Celkem</c:v>
                </c:pt>
              </c:strCache>
            </c:strRef>
          </c:tx>
          <c:spPr>
            <a:solidFill>
              <a:srgbClr val="009CB5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(el_prodej!$F$1,el_prodej!$H$1,el_prodej!$J$1,el_prodej!$L$1,el_prodej!$N$1,el_prodej!$P$1)</c:f>
              <c:numCache>
                <c:formatCode>General</c:formatCode>
                <c:ptCount val="6"/>
                <c:pt idx="0">
                  <c:v>2014</c:v>
                </c:pt>
                <c:pt idx="1">
                  <c:v>2016</c:v>
                </c:pt>
                <c:pt idx="2">
                  <c:v>2018</c:v>
                </c:pt>
                <c:pt idx="3">
                  <c:v>2020</c:v>
                </c:pt>
                <c:pt idx="4">
                  <c:v>2022</c:v>
                </c:pt>
                <c:pt idx="5">
                  <c:v>2024</c:v>
                </c:pt>
              </c:numCache>
              <c:extLst/>
            </c:numRef>
          </c:cat>
          <c:val>
            <c:numRef>
              <c:f>(el_prodej!$F$2,el_prodej!$H$2,el_prodej!$J$2,el_prodej!$L$2,el_prodej!$N$2,el_prodej!$P$2)</c:f>
              <c:numCache>
                <c:formatCode>0%</c:formatCode>
                <c:ptCount val="6"/>
                <c:pt idx="0">
                  <c:v>0.246</c:v>
                </c:pt>
                <c:pt idx="1">
                  <c:v>0.23899999999999999</c:v>
                </c:pt>
                <c:pt idx="2">
                  <c:v>0.29799999999999999</c:v>
                </c:pt>
                <c:pt idx="3">
                  <c:v>0.255</c:v>
                </c:pt>
                <c:pt idx="4">
                  <c:v>0.247</c:v>
                </c:pt>
                <c:pt idx="5">
                  <c:v>0.25900000000000001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ED96-4D12-B7A1-687925BCF422}"/>
            </c:ext>
          </c:extLst>
        </c:ser>
        <c:ser>
          <c:idx val="1"/>
          <c:order val="1"/>
          <c:tx>
            <c:strRef>
              <c:f>el_prodej!$A$3</c:f>
              <c:strCache>
                <c:ptCount val="1"/>
                <c:pt idx="0">
                  <c:v> přes webové stránky, mobilní aplikace nebo online tržiště</c:v>
                </c:pt>
              </c:strCache>
            </c:strRef>
          </c:tx>
          <c:spPr>
            <a:solidFill>
              <a:srgbClr val="9FC9D7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(el_prodej!$F$1,el_prodej!$H$1,el_prodej!$J$1,el_prodej!$L$1,el_prodej!$N$1,el_prodej!$P$1)</c:f>
              <c:numCache>
                <c:formatCode>General</c:formatCode>
                <c:ptCount val="6"/>
                <c:pt idx="0">
                  <c:v>2014</c:v>
                </c:pt>
                <c:pt idx="1">
                  <c:v>2016</c:v>
                </c:pt>
                <c:pt idx="2">
                  <c:v>2018</c:v>
                </c:pt>
                <c:pt idx="3">
                  <c:v>2020</c:v>
                </c:pt>
                <c:pt idx="4">
                  <c:v>2022</c:v>
                </c:pt>
                <c:pt idx="5">
                  <c:v>2024</c:v>
                </c:pt>
              </c:numCache>
              <c:extLst/>
            </c:numRef>
          </c:cat>
          <c:val>
            <c:numRef>
              <c:f>(el_prodej!$F$3,el_prodej!$H$3,el_prodej!$J$3,el_prodej!$L$3,el_prodej!$N$3,el_prodej!$P$3)</c:f>
              <c:numCache>
                <c:formatCode>0%</c:formatCode>
                <c:ptCount val="6"/>
                <c:pt idx="0">
                  <c:v>0.19699999999999998</c:v>
                </c:pt>
                <c:pt idx="1">
                  <c:v>0.191</c:v>
                </c:pt>
                <c:pt idx="2">
                  <c:v>0.23199999999999998</c:v>
                </c:pt>
                <c:pt idx="3">
                  <c:v>0.20793606826839939</c:v>
                </c:pt>
                <c:pt idx="4">
                  <c:v>0.20514230726746213</c:v>
                </c:pt>
                <c:pt idx="5">
                  <c:v>0.22243727600302876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ED96-4D12-B7A1-687925BCF422}"/>
            </c:ext>
          </c:extLst>
        </c:ser>
        <c:ser>
          <c:idx val="2"/>
          <c:order val="2"/>
          <c:tx>
            <c:strRef>
              <c:f>el_prodej!$A$4</c:f>
              <c:strCache>
                <c:ptCount val="1"/>
                <c:pt idx="0">
                  <c:v> pomocí elektronické výměny dat (EDI)</c:v>
                </c:pt>
              </c:strCache>
            </c:strRef>
          </c:tx>
          <c:spPr>
            <a:solidFill>
              <a:srgbClr val="174F70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(el_prodej!$F$1,el_prodej!$H$1,el_prodej!$J$1,el_prodej!$L$1,el_prodej!$N$1,el_prodej!$P$1)</c:f>
              <c:numCache>
                <c:formatCode>General</c:formatCode>
                <c:ptCount val="6"/>
                <c:pt idx="0">
                  <c:v>2014</c:v>
                </c:pt>
                <c:pt idx="1">
                  <c:v>2016</c:v>
                </c:pt>
                <c:pt idx="2">
                  <c:v>2018</c:v>
                </c:pt>
                <c:pt idx="3">
                  <c:v>2020</c:v>
                </c:pt>
                <c:pt idx="4">
                  <c:v>2022</c:v>
                </c:pt>
                <c:pt idx="5">
                  <c:v>2024</c:v>
                </c:pt>
              </c:numCache>
              <c:extLst/>
            </c:numRef>
          </c:cat>
          <c:val>
            <c:numRef>
              <c:f>(el_prodej!$F$4,el_prodej!$H$4,el_prodej!$J$4,el_prodej!$L$4,el_prodej!$N$4,el_prodej!$P$4)</c:f>
              <c:numCache>
                <c:formatCode>0%</c:formatCode>
                <c:ptCount val="6"/>
                <c:pt idx="0">
                  <c:v>0.10300000000000001</c:v>
                </c:pt>
                <c:pt idx="1">
                  <c:v>0.10099999999999999</c:v>
                </c:pt>
                <c:pt idx="2">
                  <c:v>0.13400000000000001</c:v>
                </c:pt>
                <c:pt idx="3">
                  <c:v>8.9204827475376267E-2</c:v>
                </c:pt>
                <c:pt idx="4">
                  <c:v>7.3818009635249288E-2</c:v>
                </c:pt>
                <c:pt idx="5">
                  <c:v>7.6420045914469173E-2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ED96-4D12-B7A1-687925BCF4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97604736"/>
        <c:axId val="97606272"/>
      </c:barChart>
      <c:catAx>
        <c:axId val="9760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crossAx val="97606272"/>
        <c:crosses val="autoZero"/>
        <c:auto val="1"/>
        <c:lblAlgn val="ctr"/>
        <c:lblOffset val="100"/>
        <c:noMultiLvlLbl val="0"/>
      </c:catAx>
      <c:valAx>
        <c:axId val="97606272"/>
        <c:scaling>
          <c:orientation val="minMax"/>
          <c:max val="0.5"/>
          <c:min val="0"/>
        </c:scaling>
        <c:delete val="1"/>
        <c:axPos val="l"/>
        <c:numFmt formatCode="0%" sourceLinked="0"/>
        <c:majorTickMark val="out"/>
        <c:minorTickMark val="none"/>
        <c:tickLblPos val="nextTo"/>
        <c:crossAx val="97604736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2.0868971880730572E-2"/>
          <c:y val="0.89422635423584096"/>
          <c:w val="0.96804661603414799"/>
          <c:h val="8.6117488326007435E-2"/>
        </c:manualLayout>
      </c:layout>
      <c:overlay val="0"/>
      <c:spPr>
        <a:solidFill>
          <a:sysClr val="window" lastClr="FFFFFF"/>
        </a:solidFill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cs-CZ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8799318091669406E-2"/>
          <c:y val="5.0925925925925923E-2"/>
          <c:w val="0.9011739288215983"/>
          <c:h val="0.75018321915720554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el_prodej!$A$8</c:f>
              <c:strCache>
                <c:ptCount val="1"/>
                <c:pt idx="0">
                  <c:v> přes webové stránky, mobilní aplikace nebo online tržiště</c:v>
                </c:pt>
              </c:strCache>
            </c:strRef>
          </c:tx>
          <c:spPr>
            <a:solidFill>
              <a:srgbClr val="9FC9D7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(el_prodej!$I$7,el_prodej!$K$7,el_prodej!$M$7,el_prodej!$O$7,el_prodej!$Q$7,el_prodej!$S$7)</c:f>
              <c:strCache>
                <c:ptCount val="6"/>
                <c:pt idx="0">
                  <c:v>2014</c:v>
                </c:pt>
                <c:pt idx="1">
                  <c:v>2016</c:v>
                </c:pt>
                <c:pt idx="2">
                  <c:v>2018</c:v>
                </c:pt>
                <c:pt idx="3">
                  <c:v>2020</c:v>
                </c:pt>
                <c:pt idx="4">
                  <c:v>2022</c:v>
                </c:pt>
                <c:pt idx="5">
                  <c:v>2024</c:v>
                </c:pt>
              </c:strCache>
              <c:extLst/>
            </c:strRef>
          </c:cat>
          <c:val>
            <c:numRef>
              <c:f>(el_prodej!$I$8,el_prodej!$K$8,el_prodej!$M$8,el_prodej!$O$8,el_prodej!$Q$8,el_prodej!$S$8)</c:f>
              <c:numCache>
                <c:formatCode>0%</c:formatCode>
                <c:ptCount val="6"/>
                <c:pt idx="0">
                  <c:v>5.1999999999999998E-2</c:v>
                </c:pt>
                <c:pt idx="1">
                  <c:v>8.5999999999999993E-2</c:v>
                </c:pt>
                <c:pt idx="2">
                  <c:v>8.7999999999999995E-2</c:v>
                </c:pt>
                <c:pt idx="3">
                  <c:v>8.5999999999999993E-2</c:v>
                </c:pt>
                <c:pt idx="4">
                  <c:v>9.1999999999999998E-2</c:v>
                </c:pt>
                <c:pt idx="5">
                  <c:v>8.6999999999999994E-2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BA5B-4770-A63C-831CD147694F}"/>
            </c:ext>
          </c:extLst>
        </c:ser>
        <c:ser>
          <c:idx val="1"/>
          <c:order val="1"/>
          <c:tx>
            <c:strRef>
              <c:f>el_prodej!$A$9</c:f>
              <c:strCache>
                <c:ptCount val="1"/>
                <c:pt idx="0">
                  <c:v> pomocí elektronické výměny dat (EDI)</c:v>
                </c:pt>
              </c:strCache>
            </c:strRef>
          </c:tx>
          <c:spPr>
            <a:solidFill>
              <a:srgbClr val="009CB5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(el_prodej!$I$7,el_prodej!$K$7,el_prodej!$M$7,el_prodej!$O$7,el_prodej!$Q$7,el_prodej!$S$7)</c:f>
              <c:strCache>
                <c:ptCount val="6"/>
                <c:pt idx="0">
                  <c:v>2014</c:v>
                </c:pt>
                <c:pt idx="1">
                  <c:v>2016</c:v>
                </c:pt>
                <c:pt idx="2">
                  <c:v>2018</c:v>
                </c:pt>
                <c:pt idx="3">
                  <c:v>2020</c:v>
                </c:pt>
                <c:pt idx="4">
                  <c:v>2022</c:v>
                </c:pt>
                <c:pt idx="5">
                  <c:v>2024</c:v>
                </c:pt>
              </c:strCache>
              <c:extLst/>
            </c:strRef>
          </c:cat>
          <c:val>
            <c:numRef>
              <c:f>(el_prodej!$I$9,el_prodej!$K$9,el_prodej!$M$9,el_prodej!$O$9,el_prodej!$Q$9,el_prodej!$S$9)</c:f>
              <c:numCache>
                <c:formatCode>0%</c:formatCode>
                <c:ptCount val="6"/>
                <c:pt idx="0">
                  <c:v>0.23599999999999999</c:v>
                </c:pt>
                <c:pt idx="1">
                  <c:v>0.22500000000000001</c:v>
                </c:pt>
                <c:pt idx="2">
                  <c:v>0.22999999999999998</c:v>
                </c:pt>
                <c:pt idx="3">
                  <c:v>0.21400000000000002</c:v>
                </c:pt>
                <c:pt idx="4">
                  <c:v>0.21299999999999999</c:v>
                </c:pt>
                <c:pt idx="5">
                  <c:v>0.16900000000000001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BA5B-4770-A63C-831CD14769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97604736"/>
        <c:axId val="97606272"/>
      </c:barChart>
      <c:catAx>
        <c:axId val="976047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crossAx val="97606272"/>
        <c:crosses val="autoZero"/>
        <c:auto val="1"/>
        <c:lblAlgn val="ctr"/>
        <c:lblOffset val="100"/>
        <c:noMultiLvlLbl val="0"/>
      </c:catAx>
      <c:valAx>
        <c:axId val="97606272"/>
        <c:scaling>
          <c:orientation val="minMax"/>
          <c:max val="0.4"/>
        </c:scaling>
        <c:delete val="0"/>
        <c:axPos val="b"/>
        <c:majorGridlines>
          <c:spPr>
            <a:ln w="6350">
              <a:solidFill>
                <a:srgbClr val="BFBFBF"/>
              </a:solidFill>
              <a:prstDash val="solid"/>
            </a:ln>
          </c:spPr>
        </c:majorGridlines>
        <c:numFmt formatCode="0&quot; &quot;%" sourceLinked="0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txPr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cs-CZ"/>
          </a:p>
        </c:txPr>
        <c:crossAx val="97604736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6.6764564397295986E-2"/>
          <c:y val="0.9344407311426508"/>
          <c:w val="0.87964486754268256"/>
          <c:h val="6.3852045619876813E-2"/>
        </c:manualLayout>
      </c:layout>
      <c:overlay val="0"/>
      <c:spPr>
        <a:solidFill>
          <a:sysClr val="window" lastClr="FFFFFF"/>
        </a:solidFill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cs-CZ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0061536722445366E-2"/>
          <c:y val="5.0925925925925923E-2"/>
          <c:w val="0.90551708362894812"/>
          <c:h val="0.66187142269866872"/>
        </c:manualLayout>
      </c:layout>
      <c:barChart>
        <c:barDir val="col"/>
        <c:grouping val="stacked"/>
        <c:varyColors val="0"/>
        <c:ser>
          <c:idx val="1"/>
          <c:order val="0"/>
          <c:tx>
            <c:strRef>
              <c:f>el_prodej!$C$148</c:f>
              <c:strCache>
                <c:ptCount val="1"/>
                <c:pt idx="0">
                  <c:v> přes webové stránky, mobilní aplikace nebo online tržiště</c:v>
                </c:pt>
              </c:strCache>
            </c:strRef>
          </c:tx>
          <c:spPr>
            <a:solidFill>
              <a:srgbClr val="009CB5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el_prodej!$A$149:$A$152</c:f>
              <c:strCache>
                <c:ptCount val="4"/>
                <c:pt idx="0">
                  <c:v>Podniky celkem 
(10+ zaměstnanců)</c:v>
                </c:pt>
                <c:pt idx="1">
                  <c:v> malé 
(10–49 zaměstnanců)</c:v>
                </c:pt>
                <c:pt idx="2">
                  <c:v> středně velké 
(50–249 zaměstnanců)</c:v>
                </c:pt>
                <c:pt idx="3">
                  <c:v> velké 
(250+ zaměstnanců)</c:v>
                </c:pt>
              </c:strCache>
            </c:strRef>
          </c:cat>
          <c:val>
            <c:numRef>
              <c:f>el_prodej!$C$149:$C$152</c:f>
              <c:numCache>
                <c:formatCode>0%</c:formatCode>
                <c:ptCount val="4"/>
                <c:pt idx="0">
                  <c:v>0.222</c:v>
                </c:pt>
                <c:pt idx="1">
                  <c:v>0.217</c:v>
                </c:pt>
                <c:pt idx="2">
                  <c:v>0.23799999999999999</c:v>
                </c:pt>
                <c:pt idx="3">
                  <c:v>0.26700000000000002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4A-448C-9298-6755EC2274BF}"/>
            </c:ext>
          </c:extLst>
        </c:ser>
        <c:ser>
          <c:idx val="2"/>
          <c:order val="1"/>
          <c:tx>
            <c:strRef>
              <c:f>el_prodej!$D$148</c:f>
              <c:strCache>
                <c:ptCount val="1"/>
                <c:pt idx="0">
                  <c:v> pomocí elektronické výměny dat (EDI)</c:v>
                </c:pt>
              </c:strCache>
            </c:strRef>
          </c:tx>
          <c:spPr>
            <a:solidFill>
              <a:srgbClr val="9FC9D7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el_prodej!$A$149:$A$152</c:f>
              <c:strCache>
                <c:ptCount val="4"/>
                <c:pt idx="0">
                  <c:v>Podniky celkem 
(10+ zaměstnanců)</c:v>
                </c:pt>
                <c:pt idx="1">
                  <c:v> malé 
(10–49 zaměstnanců)</c:v>
                </c:pt>
                <c:pt idx="2">
                  <c:v> středně velké 
(50–249 zaměstnanců)</c:v>
                </c:pt>
                <c:pt idx="3">
                  <c:v> velké 
(250+ zaměstnanců)</c:v>
                </c:pt>
              </c:strCache>
            </c:strRef>
          </c:cat>
          <c:val>
            <c:numRef>
              <c:f>el_prodej!$D$149:$D$152</c:f>
              <c:numCache>
                <c:formatCode>0%</c:formatCode>
                <c:ptCount val="4"/>
                <c:pt idx="0">
                  <c:v>7.5999999999999998E-2</c:v>
                </c:pt>
                <c:pt idx="1">
                  <c:v>0.04</c:v>
                </c:pt>
                <c:pt idx="2">
                  <c:v>0.183</c:v>
                </c:pt>
                <c:pt idx="3">
                  <c:v>0.35199999999999998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C4A-448C-9298-6755EC2274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97604736"/>
        <c:axId val="97606272"/>
        <c:extLst>
          <c:ext xmlns:c15="http://schemas.microsoft.com/office/drawing/2012/chart" uri="{02D57815-91ED-43cb-92C2-25804820EDAC}">
            <c15:filteredBarSeries>
              <c15:ser>
                <c:idx val="0"/>
                <c:order val="2"/>
                <c:tx>
                  <c:strRef>
                    <c:extLst>
                      <c:ext uri="{02D57815-91ED-43cb-92C2-25804820EDAC}">
                        <c15:formulaRef>
                          <c15:sqref>el_prodej!$B$148</c15:sqref>
                        </c15:formulaRef>
                      </c:ext>
                    </c:extLst>
                    <c:strCache>
                      <c:ptCount val="1"/>
                      <c:pt idx="0">
                        <c:v> Celkem</c:v>
                      </c:pt>
                    </c:strCache>
                  </c:strRef>
                </c:tx>
                <c:spPr>
                  <a:solidFill>
                    <a:srgbClr val="009CB5"/>
                  </a:solidFill>
                </c:spPr>
                <c:invertIfNegative val="0"/>
                <c:val>
                  <c:numRef>
                    <c:extLst>
                      <c:ext uri="{02D57815-91ED-43cb-92C2-25804820EDAC}">
                        <c15:formulaRef>
                          <c15:sqref>el_prodej!$B$149:$B$152</c15:sqref>
                        </c15:formulaRef>
                      </c:ext>
                    </c:extLst>
                    <c:numCache>
                      <c:formatCode>0%</c:formatCode>
                      <c:ptCount val="4"/>
                      <c:pt idx="0">
                        <c:v>0.25900000000000001</c:v>
                      </c:pt>
                      <c:pt idx="1">
                        <c:v>0.23</c:v>
                      </c:pt>
                      <c:pt idx="2">
                        <c:v>0.34300000000000003</c:v>
                      </c:pt>
                      <c:pt idx="3">
                        <c:v>0.49399999999999999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2-6C4A-448C-9298-6755EC2274BF}"/>
                  </c:ext>
                </c:extLst>
              </c15:ser>
            </c15:filteredBarSeries>
          </c:ext>
        </c:extLst>
      </c:barChart>
      <c:catAx>
        <c:axId val="9760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crossAx val="97606272"/>
        <c:crosses val="autoZero"/>
        <c:auto val="1"/>
        <c:lblAlgn val="ctr"/>
        <c:lblOffset val="100"/>
        <c:noMultiLvlLbl val="0"/>
      </c:catAx>
      <c:valAx>
        <c:axId val="97606272"/>
        <c:scaling>
          <c:orientation val="minMax"/>
          <c:max val="0.8"/>
          <c:min val="0"/>
        </c:scaling>
        <c:delete val="0"/>
        <c:axPos val="l"/>
        <c:majorGridlines>
          <c:spPr>
            <a:ln w="6350">
              <a:solidFill>
                <a:srgbClr val="BFBFBF"/>
              </a:solidFill>
              <a:prstDash val="solid"/>
            </a:ln>
          </c:spPr>
        </c:majorGridlines>
        <c:numFmt formatCode="0&quot; &quot;%" sourceLinked="0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txPr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cs-CZ"/>
          </a:p>
        </c:txPr>
        <c:crossAx val="97604736"/>
        <c:crosses val="autoZero"/>
        <c:crossBetween val="between"/>
      </c:valAx>
      <c:spPr>
        <a:ln>
          <a:noFill/>
        </a:ln>
      </c:spPr>
    </c:plotArea>
    <c:legend>
      <c:legendPos val="b"/>
      <c:overlay val="0"/>
      <c:spPr>
        <a:solidFill>
          <a:sysClr val="window" lastClr="FFFFFF"/>
        </a:solidFill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cs-CZ"/>
    </a:p>
  </c:txPr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7393704856660359"/>
          <c:y val="3.8495181157348415E-2"/>
          <c:w val="0.59573964882296682"/>
          <c:h val="0.8577770818740551"/>
        </c:manualLayout>
      </c:layout>
      <c:barChart>
        <c:barDir val="bar"/>
        <c:grouping val="stacked"/>
        <c:varyColors val="0"/>
        <c:ser>
          <c:idx val="1"/>
          <c:order val="0"/>
          <c:tx>
            <c:strRef>
              <c:f>el_prodej!$A$162</c:f>
              <c:strCache>
                <c:ptCount val="1"/>
                <c:pt idx="0">
                  <c:v> pomocí elektronické výměny dat (EDI)</c:v>
                </c:pt>
              </c:strCache>
            </c:strRef>
          </c:tx>
          <c:spPr>
            <a:solidFill>
              <a:srgbClr val="9FC9D7"/>
            </a:solidFill>
          </c:spPr>
          <c:invertIfNegative val="0"/>
          <c:dLbls>
            <c:dLbl>
              <c:idx val="11"/>
              <c:layout>
                <c:manualLayout>
                  <c:x val="6.201550387596823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DF7-4BB8-B707-4B274E7237A2}"/>
                </c:ext>
              </c:extLst>
            </c:dLbl>
            <c:dLbl>
              <c:idx val="13"/>
              <c:layout>
                <c:manualLayout>
                  <c:x val="8.268733850129198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DF7-4BB8-B707-4B274E7237A2}"/>
                </c:ext>
              </c:extLst>
            </c:dLbl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el_prodej!$B$160:$O$160</c:f>
              <c:strCache>
                <c:ptCount val="14"/>
                <c:pt idx="0">
                  <c:v>Elektronický průmysl - Výroba počítačů 
(CZ NACE 26)</c:v>
                </c:pt>
                <c:pt idx="1">
                  <c:v>Ubytování (CZ NACE 55)</c:v>
                </c:pt>
                <c:pt idx="2">
                  <c:v>Činnosti v oblasti vydavatelství, 
filmu a TV programů (CZ NACE 58–60)</c:v>
                </c:pt>
                <c:pt idx="3">
                  <c:v>Činnosti cestovních kanceláří (CZ NACE 79)</c:v>
                </c:pt>
                <c:pt idx="4">
                  <c:v>Potravinářský, nápojový a tabákový 
průmysl (CZ NACE 10–12)</c:v>
                </c:pt>
                <c:pt idx="5">
                  <c:v>Elektrotechnický a strojírenský průmysl 
(CZ NACE 27–28)</c:v>
                </c:pt>
                <c:pt idx="6">
                  <c:v>Maloobchod (CZ NACE 47)</c:v>
                </c:pt>
                <c:pt idx="7">
                  <c:v>Velkoobchod (CZ NACE 46)</c:v>
                </c:pt>
                <c:pt idx="8">
                  <c:v>Automobilový průmysl a výroba ostatních
dopravních prostředků (CZ NACE 29–30)</c:v>
                </c:pt>
                <c:pt idx="9">
                  <c:v> Doprava a skladování (CZ NACE 49–53)</c:v>
                </c:pt>
                <c:pt idx="10">
                  <c:v>Metalurgický a kovozpracující průmysl 
(CZ NACE 24–25)</c:v>
                </c:pt>
                <c:pt idx="11">
                  <c:v>Činnosti v oblasti IT; Informační činnosti 
(CZ NACE 62–63)</c:v>
                </c:pt>
                <c:pt idx="12">
                  <c:v>Stravování a pohostinství (CZ NACE 56)</c:v>
                </c:pt>
                <c:pt idx="13">
                  <c:v>Textilní, oděvní, kožedělní a obuvnický průmysl 
(CZ NACE 13–15)</c:v>
                </c:pt>
              </c:strCache>
            </c:strRef>
          </c:cat>
          <c:val>
            <c:numRef>
              <c:f>el_prodej!$B$162:$O$162</c:f>
              <c:numCache>
                <c:formatCode>0%</c:formatCode>
                <c:ptCount val="14"/>
                <c:pt idx="0">
                  <c:v>0.70499999999999996</c:v>
                </c:pt>
                <c:pt idx="1">
                  <c:v>5.8000000000000003E-2</c:v>
                </c:pt>
                <c:pt idx="2">
                  <c:v>4.3999999999999997E-2</c:v>
                </c:pt>
                <c:pt idx="3">
                  <c:v>4.1000000000000002E-2</c:v>
                </c:pt>
                <c:pt idx="4">
                  <c:v>0.33400000000000002</c:v>
                </c:pt>
                <c:pt idx="5">
                  <c:v>0.26800000000000002</c:v>
                </c:pt>
                <c:pt idx="6">
                  <c:v>8.2000000000000003E-2</c:v>
                </c:pt>
                <c:pt idx="7">
                  <c:v>0.155</c:v>
                </c:pt>
                <c:pt idx="8">
                  <c:v>0.28699999999999998</c:v>
                </c:pt>
                <c:pt idx="9">
                  <c:v>0.08</c:v>
                </c:pt>
                <c:pt idx="10">
                  <c:v>0.14399999999999999</c:v>
                </c:pt>
                <c:pt idx="11">
                  <c:v>3.5999999999999997E-2</c:v>
                </c:pt>
                <c:pt idx="12">
                  <c:v>4.4999999999999998E-2</c:v>
                </c:pt>
                <c:pt idx="13">
                  <c:v>2.9000000000000001E-2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DF7-4BB8-B707-4B274E7237A2}"/>
            </c:ext>
          </c:extLst>
        </c:ser>
        <c:ser>
          <c:idx val="0"/>
          <c:order val="1"/>
          <c:tx>
            <c:strRef>
              <c:f>el_prodej!$A$161</c:f>
              <c:strCache>
                <c:ptCount val="1"/>
                <c:pt idx="0">
                  <c:v> přes webové stránky, mobilní aplikace, online tržiště</c:v>
                </c:pt>
              </c:strCache>
            </c:strRef>
          </c:tx>
          <c:spPr>
            <a:solidFill>
              <a:srgbClr val="009CB5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4806201550387597E-2"/>
                  <c:y val="1.8038978986573768E-7"/>
                </c:manualLayout>
              </c:layout>
              <c:numFmt formatCode="0&quot; &quot;%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ysClr val="windowText" lastClr="000000"/>
                      </a:solidFill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DF7-4BB8-B707-4B274E7237A2}"/>
                </c:ext>
              </c:extLst>
            </c:dLbl>
            <c:dLbl>
              <c:idx val="8"/>
              <c:layout>
                <c:manualLayout>
                  <c:x val="2.480620155038752E-2"/>
                  <c:y val="8.4000541766051984E-17"/>
                </c:manualLayout>
              </c:layout>
              <c:numFmt formatCode="0&quot; &quot;%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ysClr val="windowText" lastClr="000000"/>
                      </a:solidFill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DF7-4BB8-B707-4B274E7237A2}"/>
                </c:ext>
              </c:extLst>
            </c:dLbl>
            <c:dLbl>
              <c:idx val="10"/>
              <c:layout>
                <c:manualLayout>
                  <c:x val="2.2739018087855296E-2"/>
                  <c:y val="8.4000541766051984E-17"/>
                </c:manualLayout>
              </c:layout>
              <c:numFmt formatCode="0&quot; &quot;%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ysClr val="windowText" lastClr="000000"/>
                      </a:solidFill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DF7-4BB8-B707-4B274E7237A2}"/>
                </c:ext>
              </c:extLst>
            </c:dLbl>
            <c:numFmt formatCode="0&quot; &quot;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el_prodej!$B$160:$O$160</c:f>
              <c:strCache>
                <c:ptCount val="14"/>
                <c:pt idx="0">
                  <c:v>Elektronický průmysl - Výroba počítačů 
(CZ NACE 26)</c:v>
                </c:pt>
                <c:pt idx="1">
                  <c:v>Ubytování (CZ NACE 55)</c:v>
                </c:pt>
                <c:pt idx="2">
                  <c:v>Činnosti v oblasti vydavatelství, 
filmu a TV programů (CZ NACE 58–60)</c:v>
                </c:pt>
                <c:pt idx="3">
                  <c:v>Činnosti cestovních kanceláří (CZ NACE 79)</c:v>
                </c:pt>
                <c:pt idx="4">
                  <c:v>Potravinářský, nápojový a tabákový 
průmysl (CZ NACE 10–12)</c:v>
                </c:pt>
                <c:pt idx="5">
                  <c:v>Elektrotechnický a strojírenský průmysl 
(CZ NACE 27–28)</c:v>
                </c:pt>
                <c:pt idx="6">
                  <c:v>Maloobchod (CZ NACE 47)</c:v>
                </c:pt>
                <c:pt idx="7">
                  <c:v>Velkoobchod (CZ NACE 46)</c:v>
                </c:pt>
                <c:pt idx="8">
                  <c:v>Automobilový průmysl a výroba ostatních
dopravních prostředků (CZ NACE 29–30)</c:v>
                </c:pt>
                <c:pt idx="9">
                  <c:v> Doprava a skladování (CZ NACE 49–53)</c:v>
                </c:pt>
                <c:pt idx="10">
                  <c:v>Metalurgický a kovozpracující průmysl 
(CZ NACE 24–25)</c:v>
                </c:pt>
                <c:pt idx="11">
                  <c:v>Činnosti v oblasti IT; Informační činnosti 
(CZ NACE 62–63)</c:v>
                </c:pt>
                <c:pt idx="12">
                  <c:v>Stravování a pohostinství (CZ NACE 56)</c:v>
                </c:pt>
                <c:pt idx="13">
                  <c:v>Textilní, oděvní, kožedělní a obuvnický průmysl 
(CZ NACE 13–15)</c:v>
                </c:pt>
              </c:strCache>
            </c:strRef>
          </c:cat>
          <c:val>
            <c:numRef>
              <c:f>el_prodej!$B$161:$O$161</c:f>
              <c:numCache>
                <c:formatCode>0%</c:formatCode>
                <c:ptCount val="14"/>
                <c:pt idx="0">
                  <c:v>2.1999999999999999E-2</c:v>
                </c:pt>
                <c:pt idx="1">
                  <c:v>0.42599999999999999</c:v>
                </c:pt>
                <c:pt idx="2">
                  <c:v>0.42499999999999999</c:v>
                </c:pt>
                <c:pt idx="3">
                  <c:v>0.39600000000000002</c:v>
                </c:pt>
                <c:pt idx="4">
                  <c:v>5.1999999999999998E-2</c:v>
                </c:pt>
                <c:pt idx="5">
                  <c:v>6.3E-2</c:v>
                </c:pt>
                <c:pt idx="6">
                  <c:v>0.222</c:v>
                </c:pt>
                <c:pt idx="7">
                  <c:v>0.14000000000000001</c:v>
                </c:pt>
                <c:pt idx="8">
                  <c:v>7.0000000000000001E-3</c:v>
                </c:pt>
                <c:pt idx="9">
                  <c:v>0.10199999999999999</c:v>
                </c:pt>
                <c:pt idx="10">
                  <c:v>2.1000000000000001E-2</c:v>
                </c:pt>
                <c:pt idx="11">
                  <c:v>9.5000000000000001E-2</c:v>
                </c:pt>
                <c:pt idx="12">
                  <c:v>0.08</c:v>
                </c:pt>
                <c:pt idx="13">
                  <c:v>7.5999999999999998E-2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DF7-4BB8-B707-4B274E7237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1247080512"/>
        <c:axId val="1247078016"/>
      </c:barChart>
      <c:catAx>
        <c:axId val="1247080512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rgbClr val="D8D9DB">
                <a:lumMod val="10000"/>
              </a:srgb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247078016"/>
        <c:crosses val="autoZero"/>
        <c:auto val="1"/>
        <c:lblAlgn val="ctr"/>
        <c:lblOffset val="100"/>
        <c:noMultiLvlLbl val="0"/>
      </c:catAx>
      <c:valAx>
        <c:axId val="1247078016"/>
        <c:scaling>
          <c:orientation val="minMax"/>
        </c:scaling>
        <c:delete val="0"/>
        <c:axPos val="b"/>
        <c:majorGridlines>
          <c:spPr>
            <a:ln w="6350" cap="flat" cmpd="sng" algn="ctr">
              <a:solidFill>
                <a:srgbClr val="BFBFBF"/>
              </a:solidFill>
              <a:round/>
            </a:ln>
            <a:effectLst/>
          </c:spPr>
        </c:majorGridlines>
        <c:numFmt formatCode="0&quot; &quot;%" sourceLinked="0"/>
        <c:majorTickMark val="out"/>
        <c:minorTickMark val="none"/>
        <c:tickLblPos val="nextTo"/>
        <c:spPr>
          <a:noFill/>
          <a:ln w="9525">
            <a:solidFill>
              <a:sysClr val="windowText" lastClr="00000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247080512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4616468290300921"/>
          <c:y val="0.95224378742073446"/>
          <c:w val="0.84203739648822962"/>
          <c:h val="3.4010510591496318E-2"/>
        </c:manualLayout>
      </c:layout>
      <c:overlay val="0"/>
      <c:spPr>
        <a:noFill/>
      </c:sp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</a:defRPr>
      </a:pPr>
      <a:endParaRPr lang="cs-CZ"/>
    </a:p>
  </c:txPr>
  <c:externalData r:id="rId2">
    <c:autoUpdate val="0"/>
  </c:externalData>
  <c:userShapes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4360487862316763E-2"/>
          <c:y val="5.0925925925925923E-2"/>
          <c:w val="0.89968177277406169"/>
          <c:h val="0.611506721558282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el_prodej!$B$32</c:f>
              <c:strCache>
                <c:ptCount val="1"/>
                <c:pt idx="0">
                  <c:v> Celkem</c:v>
                </c:pt>
              </c:strCache>
            </c:strRef>
          </c:tx>
          <c:spPr>
            <a:solidFill>
              <a:srgbClr val="009CB5"/>
            </a:solidFill>
          </c:spPr>
          <c:invertIfNegative val="0"/>
          <c:dPt>
            <c:idx val="8"/>
            <c:invertIfNegative val="0"/>
            <c:bubble3D val="0"/>
            <c:spPr>
              <a:solidFill>
                <a:srgbClr val="009CB5"/>
              </a:solidFill>
              <a:ln w="19050">
                <a:noFill/>
              </a:ln>
            </c:spPr>
            <c:extLst>
              <c:ext xmlns:c16="http://schemas.microsoft.com/office/drawing/2014/chart" uri="{C3380CC4-5D6E-409C-BE32-E72D297353CC}">
                <c16:uniqueId val="{00000001-78D8-4BDD-B9FD-87D017A53A8C}"/>
              </c:ext>
            </c:extLst>
          </c:dPt>
          <c:dPt>
            <c:idx val="11"/>
            <c:invertIfNegative val="0"/>
            <c:bubble3D val="0"/>
            <c:spPr>
              <a:solidFill>
                <a:srgbClr val="009CB5"/>
              </a:solidFill>
              <a:ln w="19050">
                <a:solidFill>
                  <a:srgbClr val="174F7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3-78D8-4BDD-B9FD-87D017A53A8C}"/>
              </c:ext>
            </c:extLst>
          </c:dPt>
          <c:dPt>
            <c:idx val="14"/>
            <c:invertIfNegative val="0"/>
            <c:bubble3D val="0"/>
            <c:spPr>
              <a:solidFill>
                <a:srgbClr val="009CB5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5-78D8-4BDD-B9FD-87D017A53A8C}"/>
              </c:ext>
            </c:extLst>
          </c:dPt>
          <c:dPt>
            <c:idx val="15"/>
            <c:invertIfNegative val="0"/>
            <c:bubble3D val="0"/>
            <c:spPr>
              <a:solidFill>
                <a:srgbClr val="009CB5"/>
              </a:solidFill>
              <a:ln w="19050">
                <a:solidFill>
                  <a:srgbClr val="174F7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7-78D8-4BDD-B9FD-87D017A53A8C}"/>
              </c:ext>
            </c:extLst>
          </c:dPt>
          <c:dPt>
            <c:idx val="17"/>
            <c:invertIfNegative val="0"/>
            <c:bubble3D val="0"/>
            <c:spPr>
              <a:solidFill>
                <a:srgbClr val="009CB5"/>
              </a:solidFill>
              <a:ln w="19050">
                <a:noFill/>
              </a:ln>
            </c:spPr>
            <c:extLst>
              <c:ext xmlns:c16="http://schemas.microsoft.com/office/drawing/2014/chart" uri="{C3380CC4-5D6E-409C-BE32-E72D297353CC}">
                <c16:uniqueId val="{00000009-78D8-4BDD-B9FD-87D017A53A8C}"/>
              </c:ext>
            </c:extLst>
          </c:dPt>
          <c:dPt>
            <c:idx val="23"/>
            <c:invertIfNegative val="0"/>
            <c:bubble3D val="0"/>
            <c:spPr>
              <a:solidFill>
                <a:srgbClr val="009CB5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B-78D8-4BDD-B9FD-87D017A53A8C}"/>
              </c:ext>
            </c:extLst>
          </c:dPt>
          <c:dLbls>
            <c:dLbl>
              <c:idx val="1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8D8-4BDD-B9FD-87D017A53A8C}"/>
                </c:ext>
              </c:extLst>
            </c:dLbl>
            <c:dLbl>
              <c:idx val="1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8D8-4BDD-B9FD-87D017A53A8C}"/>
                </c:ext>
              </c:extLst>
            </c:dLbl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el_prodej!$A$33:$A$60</c:f>
              <c:strCache>
                <c:ptCount val="28"/>
                <c:pt idx="0">
                  <c:v>Litva</c:v>
                </c:pt>
                <c:pt idx="1">
                  <c:v>Dánsko</c:v>
                </c:pt>
                <c:pt idx="2">
                  <c:v>Švédsko</c:v>
                </c:pt>
                <c:pt idx="3">
                  <c:v>Irsko</c:v>
                </c:pt>
                <c:pt idx="4">
                  <c:v>Finsko</c:v>
                </c:pt>
                <c:pt idx="5">
                  <c:v>Belgie</c:v>
                </c:pt>
                <c:pt idx="6">
                  <c:v>Rakousko</c:v>
                </c:pt>
                <c:pt idx="7">
                  <c:v>Španělsko</c:v>
                </c:pt>
                <c:pt idx="8">
                  <c:v>Nizozemsko</c:v>
                </c:pt>
                <c:pt idx="9">
                  <c:v>Malta</c:v>
                </c:pt>
                <c:pt idx="10">
                  <c:v>Slovinsko</c:v>
                </c:pt>
                <c:pt idx="11">
                  <c:v>Česko</c:v>
                </c:pt>
                <c:pt idx="12">
                  <c:v>Estonsko</c:v>
                </c:pt>
                <c:pt idx="13">
                  <c:v>Řecko</c:v>
                </c:pt>
                <c:pt idx="14">
                  <c:v>Kypr</c:v>
                </c:pt>
                <c:pt idx="15">
                  <c:v>EU27</c:v>
                </c:pt>
                <c:pt idx="16">
                  <c:v>Chorvatsko</c:v>
                </c:pt>
                <c:pt idx="17">
                  <c:v>Německo</c:v>
                </c:pt>
                <c:pt idx="18">
                  <c:v>Portugalsko</c:v>
                </c:pt>
                <c:pt idx="19">
                  <c:v>Maďarsko</c:v>
                </c:pt>
                <c:pt idx="20">
                  <c:v>Itálie</c:v>
                </c:pt>
                <c:pt idx="21">
                  <c:v>Lotyšsko</c:v>
                </c:pt>
                <c:pt idx="22">
                  <c:v>Francie</c:v>
                </c:pt>
                <c:pt idx="23">
                  <c:v>Slovensko</c:v>
                </c:pt>
                <c:pt idx="24">
                  <c:v>Polsko</c:v>
                </c:pt>
                <c:pt idx="25">
                  <c:v>Bulharsko</c:v>
                </c:pt>
                <c:pt idx="26">
                  <c:v>Lucembursko</c:v>
                </c:pt>
                <c:pt idx="27">
                  <c:v>Rumunsko</c:v>
                </c:pt>
              </c:strCache>
            </c:strRef>
          </c:cat>
          <c:val>
            <c:numRef>
              <c:f>el_prodej!$B$33:$B$60</c:f>
              <c:numCache>
                <c:formatCode>0%</c:formatCode>
                <c:ptCount val="28"/>
                <c:pt idx="0">
                  <c:v>0.43026500000000001</c:v>
                </c:pt>
                <c:pt idx="1">
                  <c:v>0.38779799999999998</c:v>
                </c:pt>
                <c:pt idx="2">
                  <c:v>0.36717100000000003</c:v>
                </c:pt>
                <c:pt idx="3">
                  <c:v>0.36568099999999998</c:v>
                </c:pt>
                <c:pt idx="4">
                  <c:v>0.34331299999999998</c:v>
                </c:pt>
                <c:pt idx="5">
                  <c:v>0.31825500000000001</c:v>
                </c:pt>
                <c:pt idx="6">
                  <c:v>0.29639199999999999</c:v>
                </c:pt>
                <c:pt idx="7">
                  <c:v>0.28623799999999999</c:v>
                </c:pt>
                <c:pt idx="8">
                  <c:v>0.28551300000000002</c:v>
                </c:pt>
                <c:pt idx="9">
                  <c:v>0.28325800000000001</c:v>
                </c:pt>
                <c:pt idx="10">
                  <c:v>0.28258299999999997</c:v>
                </c:pt>
                <c:pt idx="11">
                  <c:v>0.25954899999999997</c:v>
                </c:pt>
                <c:pt idx="12">
                  <c:v>0.254687</c:v>
                </c:pt>
                <c:pt idx="13">
                  <c:v>0.247395</c:v>
                </c:pt>
                <c:pt idx="14">
                  <c:v>0.23866799999999999</c:v>
                </c:pt>
                <c:pt idx="15">
                  <c:v>0.23575199999999999</c:v>
                </c:pt>
                <c:pt idx="16">
                  <c:v>0.23391400000000001</c:v>
                </c:pt>
                <c:pt idx="17">
                  <c:v>0.23111899999999999</c:v>
                </c:pt>
                <c:pt idx="18">
                  <c:v>0.218055</c:v>
                </c:pt>
                <c:pt idx="19">
                  <c:v>0.21305299999999999</c:v>
                </c:pt>
                <c:pt idx="20">
                  <c:v>0.20102999999999999</c:v>
                </c:pt>
                <c:pt idx="21">
                  <c:v>0.19606999999999999</c:v>
                </c:pt>
                <c:pt idx="22">
                  <c:v>0.19442799999999999</c:v>
                </c:pt>
                <c:pt idx="23">
                  <c:v>0.191381</c:v>
                </c:pt>
                <c:pt idx="24">
                  <c:v>0.18551799999999999</c:v>
                </c:pt>
                <c:pt idx="25">
                  <c:v>0.16182299999999999</c:v>
                </c:pt>
                <c:pt idx="26">
                  <c:v>0.147005</c:v>
                </c:pt>
                <c:pt idx="27">
                  <c:v>0.14573800000000001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78D8-4BDD-B9FD-87D017A53A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overlap val="-20"/>
        <c:axId val="97604736"/>
        <c:axId val="97606272"/>
      </c:barChart>
      <c:barChart>
        <c:barDir val="col"/>
        <c:grouping val="clustered"/>
        <c:varyColors val="0"/>
        <c:ser>
          <c:idx val="1"/>
          <c:order val="1"/>
          <c:tx>
            <c:strRef>
              <c:f>el_prodej!$C$32</c:f>
              <c:strCache>
                <c:ptCount val="1"/>
                <c:pt idx="0">
                  <c:v> z toho pomocí elektronické výměny dat (EDI)</c:v>
                </c:pt>
              </c:strCache>
            </c:strRef>
          </c:tx>
          <c:spPr>
            <a:solidFill>
              <a:srgbClr val="9FC9D7"/>
            </a:solidFill>
          </c:spPr>
          <c:invertIfNegative val="0"/>
          <c:dLbls>
            <c:dLbl>
              <c:idx val="1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8D8-4BDD-B9FD-87D017A53A8C}"/>
                </c:ext>
              </c:extLst>
            </c:dLbl>
            <c:dLbl>
              <c:idx val="1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78D8-4BDD-B9FD-87D017A53A8C}"/>
                </c:ext>
              </c:extLst>
            </c:dLbl>
            <c:numFmt formatCode="0&quot; &quot;%" sourceLinked="0"/>
            <c:spPr>
              <a:noFill/>
              <a:ln>
                <a:noFill/>
              </a:ln>
              <a:effectLst/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cs-CZ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el_prodej!$A$33:$A$60</c:f>
              <c:strCache>
                <c:ptCount val="28"/>
                <c:pt idx="0">
                  <c:v>Litva</c:v>
                </c:pt>
                <c:pt idx="1">
                  <c:v>Dánsko</c:v>
                </c:pt>
                <c:pt idx="2">
                  <c:v>Švédsko</c:v>
                </c:pt>
                <c:pt idx="3">
                  <c:v>Irsko</c:v>
                </c:pt>
                <c:pt idx="4">
                  <c:v>Finsko</c:v>
                </c:pt>
                <c:pt idx="5">
                  <c:v>Belgie</c:v>
                </c:pt>
                <c:pt idx="6">
                  <c:v>Rakousko</c:v>
                </c:pt>
                <c:pt idx="7">
                  <c:v>Španělsko</c:v>
                </c:pt>
                <c:pt idx="8">
                  <c:v>Nizozemsko</c:v>
                </c:pt>
                <c:pt idx="9">
                  <c:v>Malta</c:v>
                </c:pt>
                <c:pt idx="10">
                  <c:v>Slovinsko</c:v>
                </c:pt>
                <c:pt idx="11">
                  <c:v>Česko</c:v>
                </c:pt>
                <c:pt idx="12">
                  <c:v>Estonsko</c:v>
                </c:pt>
                <c:pt idx="13">
                  <c:v>Řecko</c:v>
                </c:pt>
                <c:pt idx="14">
                  <c:v>Kypr</c:v>
                </c:pt>
                <c:pt idx="15">
                  <c:v>EU27</c:v>
                </c:pt>
                <c:pt idx="16">
                  <c:v>Chorvatsko</c:v>
                </c:pt>
                <c:pt idx="17">
                  <c:v>Německo</c:v>
                </c:pt>
                <c:pt idx="18">
                  <c:v>Portugalsko</c:v>
                </c:pt>
                <c:pt idx="19">
                  <c:v>Maďarsko</c:v>
                </c:pt>
                <c:pt idx="20">
                  <c:v>Itálie</c:v>
                </c:pt>
                <c:pt idx="21">
                  <c:v>Lotyšsko</c:v>
                </c:pt>
                <c:pt idx="22">
                  <c:v>Francie</c:v>
                </c:pt>
                <c:pt idx="23">
                  <c:v>Slovensko</c:v>
                </c:pt>
                <c:pt idx="24">
                  <c:v>Polsko</c:v>
                </c:pt>
                <c:pt idx="25">
                  <c:v>Bulharsko</c:v>
                </c:pt>
                <c:pt idx="26">
                  <c:v>Lucembursko</c:v>
                </c:pt>
                <c:pt idx="27">
                  <c:v>Rumunsko</c:v>
                </c:pt>
              </c:strCache>
            </c:strRef>
          </c:cat>
          <c:val>
            <c:numRef>
              <c:f>el_prodej!$C$33:$C$60</c:f>
              <c:numCache>
                <c:formatCode>0%</c:formatCode>
                <c:ptCount val="28"/>
                <c:pt idx="0">
                  <c:v>5.9277999999999997E-2</c:v>
                </c:pt>
                <c:pt idx="1">
                  <c:v>0.1565</c:v>
                </c:pt>
                <c:pt idx="2">
                  <c:v>0.111764</c:v>
                </c:pt>
                <c:pt idx="3">
                  <c:v>0.10222000000000001</c:v>
                </c:pt>
                <c:pt idx="4">
                  <c:v>0.11287999999999999</c:v>
                </c:pt>
                <c:pt idx="5">
                  <c:v>0.12848399999999999</c:v>
                </c:pt>
                <c:pt idx="6">
                  <c:v>5.3800000000000001E-2</c:v>
                </c:pt>
                <c:pt idx="7">
                  <c:v>5.2322E-2</c:v>
                </c:pt>
                <c:pt idx="8">
                  <c:v>7.7896999999999994E-2</c:v>
                </c:pt>
                <c:pt idx="9">
                  <c:v>5.5995999999999997E-2</c:v>
                </c:pt>
                <c:pt idx="10">
                  <c:v>6.9297999999999998E-2</c:v>
                </c:pt>
                <c:pt idx="11">
                  <c:v>7.6414999999999997E-2</c:v>
                </c:pt>
                <c:pt idx="12">
                  <c:v>7.3168999999999998E-2</c:v>
                </c:pt>
                <c:pt idx="13">
                  <c:v>1.3521E-2</c:v>
                </c:pt>
                <c:pt idx="14">
                  <c:v>1.9061999999999999E-2</c:v>
                </c:pt>
                <c:pt idx="15">
                  <c:v>5.5978E-2</c:v>
                </c:pt>
                <c:pt idx="16">
                  <c:v>7.6583999999999999E-2</c:v>
                </c:pt>
                <c:pt idx="17">
                  <c:v>5.5937000000000001E-2</c:v>
                </c:pt>
                <c:pt idx="18">
                  <c:v>7.4178999999999995E-2</c:v>
                </c:pt>
                <c:pt idx="19">
                  <c:v>3.9188000000000001E-2</c:v>
                </c:pt>
                <c:pt idx="20">
                  <c:v>4.5626E-2</c:v>
                </c:pt>
                <c:pt idx="21">
                  <c:v>4.9800999999999998E-2</c:v>
                </c:pt>
                <c:pt idx="22">
                  <c:v>4.9387E-2</c:v>
                </c:pt>
                <c:pt idx="23">
                  <c:v>4.9364999999999999E-2</c:v>
                </c:pt>
                <c:pt idx="24">
                  <c:v>3.3438000000000002E-2</c:v>
                </c:pt>
                <c:pt idx="25">
                  <c:v>1.9116000000000001E-2</c:v>
                </c:pt>
                <c:pt idx="26">
                  <c:v>3.4341999999999998E-2</c:v>
                </c:pt>
                <c:pt idx="27">
                  <c:v>3.4687999999999997E-2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78D8-4BDD-B9FD-87D017A53A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5"/>
        <c:overlap val="-100"/>
        <c:axId val="1915991456"/>
        <c:axId val="1915996032"/>
      </c:barChart>
      <c:catAx>
        <c:axId val="9760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txPr>
          <a:bodyPr rot="-5400000"/>
          <a:lstStyle/>
          <a:p>
            <a:pPr>
              <a:defRPr/>
            </a:pPr>
            <a:endParaRPr lang="cs-CZ"/>
          </a:p>
        </c:txPr>
        <c:crossAx val="97606272"/>
        <c:crosses val="autoZero"/>
        <c:auto val="1"/>
        <c:lblAlgn val="ctr"/>
        <c:lblOffset val="100"/>
        <c:noMultiLvlLbl val="0"/>
      </c:catAx>
      <c:valAx>
        <c:axId val="97606272"/>
        <c:scaling>
          <c:orientation val="minMax"/>
          <c:max val="0.5"/>
          <c:min val="0"/>
        </c:scaling>
        <c:delete val="0"/>
        <c:axPos val="l"/>
        <c:majorGridlines>
          <c:spPr>
            <a:ln w="6350">
              <a:solidFill>
                <a:srgbClr val="BFBFBF"/>
              </a:solidFill>
              <a:prstDash val="solid"/>
            </a:ln>
          </c:spPr>
        </c:majorGridlines>
        <c:numFmt formatCode="0&quot; &quot;%" sourceLinked="0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txPr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cs-CZ"/>
          </a:p>
        </c:txPr>
        <c:crossAx val="97604736"/>
        <c:crosses val="autoZero"/>
        <c:crossBetween val="between"/>
        <c:majorUnit val="5.000000000000001E-2"/>
      </c:valAx>
      <c:valAx>
        <c:axId val="1915996032"/>
        <c:scaling>
          <c:orientation val="minMax"/>
          <c:max val="1"/>
        </c:scaling>
        <c:delete val="1"/>
        <c:axPos val="r"/>
        <c:numFmt formatCode="0%" sourceLinked="1"/>
        <c:majorTickMark val="out"/>
        <c:minorTickMark val="none"/>
        <c:tickLblPos val="nextTo"/>
        <c:crossAx val="1915991456"/>
        <c:crosses val="max"/>
        <c:crossBetween val="between"/>
      </c:valAx>
      <c:catAx>
        <c:axId val="19159914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915996032"/>
        <c:crosses val="autoZero"/>
        <c:auto val="1"/>
        <c:lblAlgn val="ctr"/>
        <c:lblOffset val="100"/>
        <c:noMultiLvlLbl val="0"/>
      </c:catAx>
      <c:spPr>
        <a:ln>
          <a:noFill/>
        </a:ln>
      </c:spPr>
    </c:plotArea>
    <c:legend>
      <c:legendPos val="b"/>
      <c:overlay val="0"/>
      <c:spPr>
        <a:solidFill>
          <a:sysClr val="window" lastClr="FFFFFF"/>
        </a:solidFill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cs-CZ"/>
    </a:p>
  </c:txPr>
  <c:externalData r:id="rId2">
    <c:autoUpdate val="0"/>
  </c:externalData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4360487862316763E-2"/>
          <c:y val="5.0925925925925923E-2"/>
          <c:w val="0.89968177277406169"/>
          <c:h val="0.611506721558282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el_prodej!$B$63</c:f>
              <c:strCache>
                <c:ptCount val="1"/>
                <c:pt idx="0">
                  <c:v> Celkem</c:v>
                </c:pt>
              </c:strCache>
            </c:strRef>
          </c:tx>
          <c:spPr>
            <a:solidFill>
              <a:srgbClr val="009CB5"/>
            </a:solidFill>
          </c:spPr>
          <c:invertIfNegative val="0"/>
          <c:dPt>
            <c:idx val="6"/>
            <c:invertIfNegative val="0"/>
            <c:bubble3D val="0"/>
            <c:spPr>
              <a:solidFill>
                <a:srgbClr val="009CB5"/>
              </a:solidFill>
              <a:ln w="19050">
                <a:solidFill>
                  <a:srgbClr val="174F7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6938-4FC7-BBB0-0F0CAD9B959A}"/>
              </c:ext>
            </c:extLst>
          </c:dPt>
          <c:dPt>
            <c:idx val="8"/>
            <c:invertIfNegative val="0"/>
            <c:bubble3D val="0"/>
            <c:spPr>
              <a:solidFill>
                <a:srgbClr val="009CB5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3-6938-4FC7-BBB0-0F0CAD9B959A}"/>
              </c:ext>
            </c:extLst>
          </c:dPt>
          <c:dPt>
            <c:idx val="11"/>
            <c:invertIfNegative val="0"/>
            <c:bubble3D val="0"/>
            <c:spPr>
              <a:solidFill>
                <a:srgbClr val="009CB5"/>
              </a:solidFill>
              <a:ln w="19050">
                <a:solidFill>
                  <a:srgbClr val="174F7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5-6938-4FC7-BBB0-0F0CAD9B959A}"/>
              </c:ext>
            </c:extLst>
          </c:dPt>
          <c:dPt>
            <c:idx val="14"/>
            <c:invertIfNegative val="0"/>
            <c:bubble3D val="0"/>
            <c:spPr>
              <a:solidFill>
                <a:srgbClr val="009CB5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7-6938-4FC7-BBB0-0F0CAD9B959A}"/>
              </c:ext>
            </c:extLst>
          </c:dPt>
          <c:dPt>
            <c:idx val="23"/>
            <c:invertIfNegative val="0"/>
            <c:bubble3D val="0"/>
            <c:spPr>
              <a:solidFill>
                <a:srgbClr val="009CB5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9-6938-4FC7-BBB0-0F0CAD9B959A}"/>
              </c:ext>
            </c:extLst>
          </c:dPt>
          <c:dLbls>
            <c:dLbl>
              <c:idx val="6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938-4FC7-BBB0-0F0CAD9B959A}"/>
                </c:ext>
              </c:extLst>
            </c:dLbl>
            <c:dLbl>
              <c:idx val="1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938-4FC7-BBB0-0F0CAD9B959A}"/>
                </c:ext>
              </c:extLst>
            </c:dLbl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el_prodej!$A$64:$A$91</c:f>
              <c:strCache>
                <c:ptCount val="28"/>
                <c:pt idx="0">
                  <c:v>Irsko</c:v>
                </c:pt>
                <c:pt idx="1">
                  <c:v>Dánsko</c:v>
                </c:pt>
                <c:pt idx="2">
                  <c:v>Finsko</c:v>
                </c:pt>
                <c:pt idx="3">
                  <c:v>Belgie</c:v>
                </c:pt>
                <c:pt idx="4">
                  <c:v>Slovensko</c:v>
                </c:pt>
                <c:pt idx="5">
                  <c:v>Švédsko</c:v>
                </c:pt>
                <c:pt idx="6">
                  <c:v>Česko</c:v>
                </c:pt>
                <c:pt idx="7">
                  <c:v>Lucembursko</c:v>
                </c:pt>
                <c:pt idx="8">
                  <c:v>Nizozemsko</c:v>
                </c:pt>
                <c:pt idx="9">
                  <c:v>Maďarsko</c:v>
                </c:pt>
                <c:pt idx="10">
                  <c:v>Portugalsko</c:v>
                </c:pt>
                <c:pt idx="11">
                  <c:v>EU27</c:v>
                </c:pt>
                <c:pt idx="12">
                  <c:v>Německo</c:v>
                </c:pt>
                <c:pt idx="13">
                  <c:v>Rakousko</c:v>
                </c:pt>
                <c:pt idx="14">
                  <c:v>Litva</c:v>
                </c:pt>
                <c:pt idx="15">
                  <c:v>Chorvatsko</c:v>
                </c:pt>
                <c:pt idx="16">
                  <c:v>Španělsko</c:v>
                </c:pt>
                <c:pt idx="17">
                  <c:v>Polsko</c:v>
                </c:pt>
                <c:pt idx="18">
                  <c:v>Slovinsko</c:v>
                </c:pt>
                <c:pt idx="19">
                  <c:v>Estonsko</c:v>
                </c:pt>
                <c:pt idx="20">
                  <c:v>Itálie</c:v>
                </c:pt>
                <c:pt idx="21">
                  <c:v>Malta</c:v>
                </c:pt>
                <c:pt idx="22">
                  <c:v>Francie</c:v>
                </c:pt>
                <c:pt idx="23">
                  <c:v>Kypr</c:v>
                </c:pt>
                <c:pt idx="24">
                  <c:v>Rumunsko</c:v>
                </c:pt>
                <c:pt idx="25">
                  <c:v>Lotyšsko</c:v>
                </c:pt>
                <c:pt idx="26">
                  <c:v>Řecko</c:v>
                </c:pt>
                <c:pt idx="27">
                  <c:v>Bulharsko</c:v>
                </c:pt>
              </c:strCache>
            </c:strRef>
          </c:cat>
          <c:val>
            <c:numRef>
              <c:f>el_prodej!$B$64:$B$91</c:f>
              <c:numCache>
                <c:formatCode>0%</c:formatCode>
                <c:ptCount val="28"/>
                <c:pt idx="0">
                  <c:v>0.38254899999999997</c:v>
                </c:pt>
                <c:pt idx="1">
                  <c:v>0.33312000000000003</c:v>
                </c:pt>
                <c:pt idx="2">
                  <c:v>0.30127599999999999</c:v>
                </c:pt>
                <c:pt idx="3">
                  <c:v>0.295126</c:v>
                </c:pt>
                <c:pt idx="4">
                  <c:v>0.27429300000000001</c:v>
                </c:pt>
                <c:pt idx="5">
                  <c:v>0.26320500000000002</c:v>
                </c:pt>
                <c:pt idx="6">
                  <c:v>0.25650600000000001</c:v>
                </c:pt>
                <c:pt idx="7">
                  <c:v>0.23861999999999997</c:v>
                </c:pt>
                <c:pt idx="8">
                  <c:v>0.21715799999999999</c:v>
                </c:pt>
                <c:pt idx="9">
                  <c:v>0.21353900000000001</c:v>
                </c:pt>
                <c:pt idx="10">
                  <c:v>0.20560200000000001</c:v>
                </c:pt>
                <c:pt idx="11">
                  <c:v>0.19487599999999999</c:v>
                </c:pt>
                <c:pt idx="12">
                  <c:v>0.19045699999999999</c:v>
                </c:pt>
                <c:pt idx="13">
                  <c:v>0.18956899999999999</c:v>
                </c:pt>
                <c:pt idx="14">
                  <c:v>0.188885</c:v>
                </c:pt>
                <c:pt idx="15">
                  <c:v>0.18484400000000001</c:v>
                </c:pt>
                <c:pt idx="16">
                  <c:v>0.18270299999999998</c:v>
                </c:pt>
                <c:pt idx="17">
                  <c:v>0.17663899999999999</c:v>
                </c:pt>
                <c:pt idx="18">
                  <c:v>0.16775999999999999</c:v>
                </c:pt>
                <c:pt idx="19">
                  <c:v>0.166903</c:v>
                </c:pt>
                <c:pt idx="20">
                  <c:v>0.15662599999999999</c:v>
                </c:pt>
                <c:pt idx="21">
                  <c:v>0.15456900000000001</c:v>
                </c:pt>
                <c:pt idx="22">
                  <c:v>0.142456</c:v>
                </c:pt>
                <c:pt idx="23">
                  <c:v>0.13355</c:v>
                </c:pt>
                <c:pt idx="24">
                  <c:v>0.132413</c:v>
                </c:pt>
                <c:pt idx="25">
                  <c:v>0.121693</c:v>
                </c:pt>
                <c:pt idx="26">
                  <c:v>9.4862000000000002E-2</c:v>
                </c:pt>
                <c:pt idx="27">
                  <c:v>7.6331999999999997E-2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6938-4FC7-BBB0-0F0CAD9B95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overlap val="-20"/>
        <c:axId val="97604736"/>
        <c:axId val="97606272"/>
      </c:barChart>
      <c:barChart>
        <c:barDir val="col"/>
        <c:grouping val="clustered"/>
        <c:varyColors val="0"/>
        <c:ser>
          <c:idx val="1"/>
          <c:order val="1"/>
          <c:tx>
            <c:strRef>
              <c:f>el_prodej!$C$63</c:f>
              <c:strCache>
                <c:ptCount val="1"/>
                <c:pt idx="0">
                  <c:v> z toho pomocí elektronické výměny dat (EDI)</c:v>
                </c:pt>
              </c:strCache>
            </c:strRef>
          </c:tx>
          <c:spPr>
            <a:solidFill>
              <a:srgbClr val="9FC9D7"/>
            </a:solidFill>
          </c:spPr>
          <c:invertIfNegative val="0"/>
          <c:dLbls>
            <c:dLbl>
              <c:idx val="6"/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938-4FC7-BBB0-0F0CAD9B959A}"/>
                </c:ext>
              </c:extLst>
            </c:dLbl>
            <c:dLbl>
              <c:idx val="11"/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938-4FC7-BBB0-0F0CAD9B959A}"/>
                </c:ext>
              </c:extLst>
            </c:dLbl>
            <c:numFmt formatCode="0&quot; &quot;%" sourceLinked="0"/>
            <c:spPr>
              <a:noFill/>
              <a:ln>
                <a:noFill/>
              </a:ln>
              <a:effectLst/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cs-CZ"/>
              </a:p>
            </c:txPr>
            <c:dLblPos val="inBase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el_prodej!$A$64:$A$91</c:f>
              <c:strCache>
                <c:ptCount val="28"/>
                <c:pt idx="0">
                  <c:v>Irsko</c:v>
                </c:pt>
                <c:pt idx="1">
                  <c:v>Dánsko</c:v>
                </c:pt>
                <c:pt idx="2">
                  <c:v>Finsko</c:v>
                </c:pt>
                <c:pt idx="3">
                  <c:v>Belgie</c:v>
                </c:pt>
                <c:pt idx="4">
                  <c:v>Slovensko</c:v>
                </c:pt>
                <c:pt idx="5">
                  <c:v>Švédsko</c:v>
                </c:pt>
                <c:pt idx="6">
                  <c:v>Česko</c:v>
                </c:pt>
                <c:pt idx="7">
                  <c:v>Lucembursko</c:v>
                </c:pt>
                <c:pt idx="8">
                  <c:v>Nizozemsko</c:v>
                </c:pt>
                <c:pt idx="9">
                  <c:v>Maďarsko</c:v>
                </c:pt>
                <c:pt idx="10">
                  <c:v>Portugalsko</c:v>
                </c:pt>
                <c:pt idx="11">
                  <c:v>EU27</c:v>
                </c:pt>
                <c:pt idx="12">
                  <c:v>Německo</c:v>
                </c:pt>
                <c:pt idx="13">
                  <c:v>Rakousko</c:v>
                </c:pt>
                <c:pt idx="14">
                  <c:v>Litva</c:v>
                </c:pt>
                <c:pt idx="15">
                  <c:v>Chorvatsko</c:v>
                </c:pt>
                <c:pt idx="16">
                  <c:v>Španělsko</c:v>
                </c:pt>
                <c:pt idx="17">
                  <c:v>Polsko</c:v>
                </c:pt>
                <c:pt idx="18">
                  <c:v>Slovinsko</c:v>
                </c:pt>
                <c:pt idx="19">
                  <c:v>Estonsko</c:v>
                </c:pt>
                <c:pt idx="20">
                  <c:v>Itálie</c:v>
                </c:pt>
                <c:pt idx="21">
                  <c:v>Malta</c:v>
                </c:pt>
                <c:pt idx="22">
                  <c:v>Francie</c:v>
                </c:pt>
                <c:pt idx="23">
                  <c:v>Kypr</c:v>
                </c:pt>
                <c:pt idx="24">
                  <c:v>Rumunsko</c:v>
                </c:pt>
                <c:pt idx="25">
                  <c:v>Lotyšsko</c:v>
                </c:pt>
                <c:pt idx="26">
                  <c:v>Řecko</c:v>
                </c:pt>
                <c:pt idx="27">
                  <c:v>Bulharsko</c:v>
                </c:pt>
              </c:strCache>
            </c:strRef>
          </c:cat>
          <c:val>
            <c:numRef>
              <c:f>el_prodej!$C$64:$C$91</c:f>
              <c:numCache>
                <c:formatCode>0%</c:formatCode>
                <c:ptCount val="28"/>
                <c:pt idx="0">
                  <c:v>0.13104399999999999</c:v>
                </c:pt>
                <c:pt idx="1">
                  <c:v>0.24921800000000002</c:v>
                </c:pt>
                <c:pt idx="2">
                  <c:v>0.21070700000000003</c:v>
                </c:pt>
                <c:pt idx="3">
                  <c:v>0.19476599999999997</c:v>
                </c:pt>
                <c:pt idx="4">
                  <c:v>0.169851</c:v>
                </c:pt>
                <c:pt idx="5">
                  <c:v>0.138712</c:v>
                </c:pt>
                <c:pt idx="6">
                  <c:v>0.16919300000000001</c:v>
                </c:pt>
                <c:pt idx="7">
                  <c:v>0</c:v>
                </c:pt>
                <c:pt idx="8">
                  <c:v>0.10393100000000001</c:v>
                </c:pt>
                <c:pt idx="9">
                  <c:v>0.138295</c:v>
                </c:pt>
                <c:pt idx="10">
                  <c:v>0.12801599999999999</c:v>
                </c:pt>
                <c:pt idx="11">
                  <c:v>0.11067599999999998</c:v>
                </c:pt>
                <c:pt idx="12">
                  <c:v>9.5942000000000013E-2</c:v>
                </c:pt>
                <c:pt idx="13">
                  <c:v>0.121909</c:v>
                </c:pt>
                <c:pt idx="14">
                  <c:v>6.6013000000000002E-2</c:v>
                </c:pt>
                <c:pt idx="15">
                  <c:v>0.102738</c:v>
                </c:pt>
                <c:pt idx="16">
                  <c:v>9.7797999999999996E-2</c:v>
                </c:pt>
                <c:pt idx="17">
                  <c:v>0.110015</c:v>
                </c:pt>
                <c:pt idx="18">
                  <c:v>0.12149000000000001</c:v>
                </c:pt>
                <c:pt idx="19">
                  <c:v>8.8200000000000001E-2</c:v>
                </c:pt>
                <c:pt idx="20">
                  <c:v>0.10323299999999999</c:v>
                </c:pt>
                <c:pt idx="21">
                  <c:v>6.8045999999999995E-2</c:v>
                </c:pt>
                <c:pt idx="22">
                  <c:v>0.10197799999999999</c:v>
                </c:pt>
                <c:pt idx="23">
                  <c:v>1.7481E-2</c:v>
                </c:pt>
                <c:pt idx="24">
                  <c:v>5.6174000000000002E-2</c:v>
                </c:pt>
                <c:pt idx="25">
                  <c:v>5.6739999999999992E-2</c:v>
                </c:pt>
                <c:pt idx="26">
                  <c:v>2.5731E-2</c:v>
                </c:pt>
                <c:pt idx="27">
                  <c:v>2.479E-2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6938-4FC7-BBB0-0F0CAD9B95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5"/>
        <c:overlap val="-100"/>
        <c:axId val="1915991456"/>
        <c:axId val="1915996032"/>
      </c:barChart>
      <c:catAx>
        <c:axId val="9760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txPr>
          <a:bodyPr rot="-5400000"/>
          <a:lstStyle/>
          <a:p>
            <a:pPr>
              <a:defRPr/>
            </a:pPr>
            <a:endParaRPr lang="cs-CZ"/>
          </a:p>
        </c:txPr>
        <c:crossAx val="97606272"/>
        <c:crosses val="autoZero"/>
        <c:auto val="1"/>
        <c:lblAlgn val="ctr"/>
        <c:lblOffset val="100"/>
        <c:noMultiLvlLbl val="0"/>
      </c:catAx>
      <c:valAx>
        <c:axId val="97606272"/>
        <c:scaling>
          <c:orientation val="minMax"/>
          <c:max val="0.5"/>
          <c:min val="0"/>
        </c:scaling>
        <c:delete val="0"/>
        <c:axPos val="l"/>
        <c:majorGridlines>
          <c:spPr>
            <a:ln w="6350">
              <a:solidFill>
                <a:srgbClr val="BFBFBF"/>
              </a:solidFill>
              <a:prstDash val="solid"/>
            </a:ln>
          </c:spPr>
        </c:majorGridlines>
        <c:numFmt formatCode="0&quot; &quot;%" sourceLinked="0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txPr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cs-CZ"/>
          </a:p>
        </c:txPr>
        <c:crossAx val="97604736"/>
        <c:crosses val="autoZero"/>
        <c:crossBetween val="between"/>
        <c:majorUnit val="5.000000000000001E-2"/>
      </c:valAx>
      <c:valAx>
        <c:axId val="1915996032"/>
        <c:scaling>
          <c:orientation val="minMax"/>
          <c:max val="1"/>
        </c:scaling>
        <c:delete val="1"/>
        <c:axPos val="r"/>
        <c:numFmt formatCode="0%" sourceLinked="1"/>
        <c:majorTickMark val="out"/>
        <c:minorTickMark val="none"/>
        <c:tickLblPos val="nextTo"/>
        <c:crossAx val="1915991456"/>
        <c:crosses val="max"/>
        <c:crossBetween val="between"/>
      </c:valAx>
      <c:catAx>
        <c:axId val="19159914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915996032"/>
        <c:crosses val="autoZero"/>
        <c:auto val="1"/>
        <c:lblAlgn val="ctr"/>
        <c:lblOffset val="100"/>
        <c:noMultiLvlLbl val="0"/>
      </c:catAx>
      <c:spPr>
        <a:ln>
          <a:noFill/>
        </a:ln>
      </c:spPr>
    </c:plotArea>
    <c:legend>
      <c:legendPos val="b"/>
      <c:overlay val="0"/>
      <c:spPr>
        <a:solidFill>
          <a:sysClr val="window" lastClr="FFFFFF"/>
        </a:solidFill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cs-CZ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5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6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7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8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9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0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1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3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4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5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6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7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8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9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0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1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3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4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5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6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7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8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9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0" name="TextovéPole 1">
          <a:extLst xmlns:a="http://schemas.openxmlformats.org/drawingml/2006/main">
            <a:ext uri="{FF2B5EF4-FFF2-40B4-BE49-F238E27FC236}">
              <a16:creationId xmlns:a16="http://schemas.microsoft.com/office/drawing/2014/main" id="{B2D9B3D7-D250-6BAA-CF6A-068DB8A8E968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31" name="TextovéPole 3">
          <a:extLst xmlns:a="http://schemas.openxmlformats.org/drawingml/2006/main">
            <a:ext uri="{FF2B5EF4-FFF2-40B4-BE49-F238E27FC236}">
              <a16:creationId xmlns:a16="http://schemas.microsoft.com/office/drawing/2014/main" id="{26A35222-6281-8CBC-E8BE-91D6A85F5CD1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2" name="TextovéPole 1">
          <a:extLst xmlns:a="http://schemas.openxmlformats.org/drawingml/2006/main">
            <a:ext uri="{FF2B5EF4-FFF2-40B4-BE49-F238E27FC236}">
              <a16:creationId xmlns:a16="http://schemas.microsoft.com/office/drawing/2014/main" id="{DCBE28FF-AE3F-D984-416A-375F329E2C7A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33" name="TextovéPole 3">
          <a:extLst xmlns:a="http://schemas.openxmlformats.org/drawingml/2006/main">
            <a:ext uri="{FF2B5EF4-FFF2-40B4-BE49-F238E27FC236}">
              <a16:creationId xmlns:a16="http://schemas.microsoft.com/office/drawing/2014/main" id="{1BC21689-7717-AB16-95B8-A91750C67667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4" name="TextovéPole 1">
          <a:extLst xmlns:a="http://schemas.openxmlformats.org/drawingml/2006/main">
            <a:ext uri="{FF2B5EF4-FFF2-40B4-BE49-F238E27FC236}">
              <a16:creationId xmlns:a16="http://schemas.microsoft.com/office/drawing/2014/main" id="{575387B0-BFDB-6D7C-F186-33DBD59E01C7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35" name="TextovéPole 3">
          <a:extLst xmlns:a="http://schemas.openxmlformats.org/drawingml/2006/main">
            <a:ext uri="{FF2B5EF4-FFF2-40B4-BE49-F238E27FC236}">
              <a16:creationId xmlns:a16="http://schemas.microsoft.com/office/drawing/2014/main" id="{DC49CC6D-8F2F-D1CC-E69C-C14120E339D0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6" name="TextovéPole 1">
          <a:extLst xmlns:a="http://schemas.openxmlformats.org/drawingml/2006/main">
            <a:ext uri="{FF2B5EF4-FFF2-40B4-BE49-F238E27FC236}">
              <a16:creationId xmlns:a16="http://schemas.microsoft.com/office/drawing/2014/main" id="{9825F597-08AD-19BF-2957-AC024E65F341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37" name="TextovéPole 3">
          <a:extLst xmlns:a="http://schemas.openxmlformats.org/drawingml/2006/main">
            <a:ext uri="{FF2B5EF4-FFF2-40B4-BE49-F238E27FC236}">
              <a16:creationId xmlns:a16="http://schemas.microsoft.com/office/drawing/2014/main" id="{F07114A4-A63F-1C56-FBAD-CBB47E390BCC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8" name="TextovéPole 1">
          <a:extLst xmlns:a="http://schemas.openxmlformats.org/drawingml/2006/main">
            <a:ext uri="{FF2B5EF4-FFF2-40B4-BE49-F238E27FC236}">
              <a16:creationId xmlns:a16="http://schemas.microsoft.com/office/drawing/2014/main" id="{C5E1FFBE-D933-55CF-105F-A53C0324D464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39" name="TextovéPole 3">
          <a:extLst xmlns:a="http://schemas.openxmlformats.org/drawingml/2006/main">
            <a:ext uri="{FF2B5EF4-FFF2-40B4-BE49-F238E27FC236}">
              <a16:creationId xmlns:a16="http://schemas.microsoft.com/office/drawing/2014/main" id="{E04A6850-9E63-A8A4-2E46-72F46B018820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40" name="TextovéPole 1">
          <a:extLst xmlns:a="http://schemas.openxmlformats.org/drawingml/2006/main">
            <a:ext uri="{FF2B5EF4-FFF2-40B4-BE49-F238E27FC236}">
              <a16:creationId xmlns:a16="http://schemas.microsoft.com/office/drawing/2014/main" id="{6F9098D0-164F-9A95-63D8-88F1AE370AB1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1" name="TextovéPole 3">
          <a:extLst xmlns:a="http://schemas.openxmlformats.org/drawingml/2006/main">
            <a:ext uri="{FF2B5EF4-FFF2-40B4-BE49-F238E27FC236}">
              <a16:creationId xmlns:a16="http://schemas.microsoft.com/office/drawing/2014/main" id="{37B3D0AC-648B-30C6-B67B-80224B7306CD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42" name="TextovéPole 1">
          <a:extLst xmlns:a="http://schemas.openxmlformats.org/drawingml/2006/main">
            <a:ext uri="{FF2B5EF4-FFF2-40B4-BE49-F238E27FC236}">
              <a16:creationId xmlns:a16="http://schemas.microsoft.com/office/drawing/2014/main" id="{C7E795AB-A5E0-AE10-0F1D-351A8A7B6383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3" name="TextovéPole 3">
          <a:extLst xmlns:a="http://schemas.openxmlformats.org/drawingml/2006/main">
            <a:ext uri="{FF2B5EF4-FFF2-40B4-BE49-F238E27FC236}">
              <a16:creationId xmlns:a16="http://schemas.microsoft.com/office/drawing/2014/main" id="{1328F52A-5F6D-41FF-74D3-11C5AB476A7B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44" name="TextovéPole 1">
          <a:extLst xmlns:a="http://schemas.openxmlformats.org/drawingml/2006/main">
            <a:ext uri="{FF2B5EF4-FFF2-40B4-BE49-F238E27FC236}">
              <a16:creationId xmlns:a16="http://schemas.microsoft.com/office/drawing/2014/main" id="{65905C9D-C7C4-B18C-A005-2F0698CE7792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5" name="TextovéPole 3">
          <a:extLst xmlns:a="http://schemas.openxmlformats.org/drawingml/2006/main">
            <a:ext uri="{FF2B5EF4-FFF2-40B4-BE49-F238E27FC236}">
              <a16:creationId xmlns:a16="http://schemas.microsoft.com/office/drawing/2014/main" id="{1FB9C0F0-2716-EB63-32A4-03C3AC4DE1A8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46" name="TextovéPole 1">
          <a:extLst xmlns:a="http://schemas.openxmlformats.org/drawingml/2006/main">
            <a:ext uri="{FF2B5EF4-FFF2-40B4-BE49-F238E27FC236}">
              <a16:creationId xmlns:a16="http://schemas.microsoft.com/office/drawing/2014/main" id="{13093CB8-FECC-1DC7-CE41-19B9A25D5D74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7" name="TextovéPole 3">
          <a:extLst xmlns:a="http://schemas.openxmlformats.org/drawingml/2006/main">
            <a:ext uri="{FF2B5EF4-FFF2-40B4-BE49-F238E27FC236}">
              <a16:creationId xmlns:a16="http://schemas.microsoft.com/office/drawing/2014/main" id="{4F34E510-8A51-CB54-6B77-BEE64463D9C4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48" name="TextovéPole 1">
          <a:extLst xmlns:a="http://schemas.openxmlformats.org/drawingml/2006/main">
            <a:ext uri="{FF2B5EF4-FFF2-40B4-BE49-F238E27FC236}">
              <a16:creationId xmlns:a16="http://schemas.microsoft.com/office/drawing/2014/main" id="{A95B35C1-CAD5-A538-8F1E-C6D717F66A83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9" name="TextovéPole 3">
          <a:extLst xmlns:a="http://schemas.openxmlformats.org/drawingml/2006/main">
            <a:ext uri="{FF2B5EF4-FFF2-40B4-BE49-F238E27FC236}">
              <a16:creationId xmlns:a16="http://schemas.microsoft.com/office/drawing/2014/main" id="{2A939E0B-B862-CD76-FD63-2F777CFA5C95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5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6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7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8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9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0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1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3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4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5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6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7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8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9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0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1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3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4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5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6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7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8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9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6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7" name="TextovéPole 1">
          <a:extLst xmlns:a="http://schemas.openxmlformats.org/drawingml/2006/main">
            <a:ext uri="{FF2B5EF4-FFF2-40B4-BE49-F238E27FC236}">
              <a16:creationId xmlns:a16="http://schemas.microsoft.com/office/drawing/2014/main" id="{067F888C-D495-ACE1-5BD2-BB5E2AD78A1F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8" name="TextovéPole 3">
          <a:extLst xmlns:a="http://schemas.openxmlformats.org/drawingml/2006/main">
            <a:ext uri="{FF2B5EF4-FFF2-40B4-BE49-F238E27FC236}">
              <a16:creationId xmlns:a16="http://schemas.microsoft.com/office/drawing/2014/main" id="{9F0743A4-1B50-64E9-4E80-AD8F9BBFF772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9" name="TextovéPole 1">
          <a:extLst xmlns:a="http://schemas.openxmlformats.org/drawingml/2006/main">
            <a:ext uri="{FF2B5EF4-FFF2-40B4-BE49-F238E27FC236}">
              <a16:creationId xmlns:a16="http://schemas.microsoft.com/office/drawing/2014/main" id="{D7FDCB5B-DDD2-B6C5-FB6D-24165797142E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0" name="TextovéPole 3">
          <a:extLst xmlns:a="http://schemas.openxmlformats.org/drawingml/2006/main">
            <a:ext uri="{FF2B5EF4-FFF2-40B4-BE49-F238E27FC236}">
              <a16:creationId xmlns:a16="http://schemas.microsoft.com/office/drawing/2014/main" id="{ED8D8023-28F5-C90B-93A3-DF7EFFD73751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1" name="TextovéPole 1">
          <a:extLst xmlns:a="http://schemas.openxmlformats.org/drawingml/2006/main">
            <a:ext uri="{FF2B5EF4-FFF2-40B4-BE49-F238E27FC236}">
              <a16:creationId xmlns:a16="http://schemas.microsoft.com/office/drawing/2014/main" id="{51113BFD-BC30-1BD8-7276-6729BFA6B6D6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2" name="TextovéPole 3">
          <a:extLst xmlns:a="http://schemas.openxmlformats.org/drawingml/2006/main">
            <a:ext uri="{FF2B5EF4-FFF2-40B4-BE49-F238E27FC236}">
              <a16:creationId xmlns:a16="http://schemas.microsoft.com/office/drawing/2014/main" id="{0B82C890-CEB7-C598-3293-282D62F84D7E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3" name="TextovéPole 1">
          <a:extLst xmlns:a="http://schemas.openxmlformats.org/drawingml/2006/main">
            <a:ext uri="{FF2B5EF4-FFF2-40B4-BE49-F238E27FC236}">
              <a16:creationId xmlns:a16="http://schemas.microsoft.com/office/drawing/2014/main" id="{10F9B64E-E707-9484-11D4-19B80E199C43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4" name="TextovéPole 3">
          <a:extLst xmlns:a="http://schemas.openxmlformats.org/drawingml/2006/main">
            <a:ext uri="{FF2B5EF4-FFF2-40B4-BE49-F238E27FC236}">
              <a16:creationId xmlns:a16="http://schemas.microsoft.com/office/drawing/2014/main" id="{1CB2A5CD-E220-7E1E-CBB1-658594F9E3BC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6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8" name="TextovéPole 1">
          <a:extLst xmlns:a="http://schemas.openxmlformats.org/drawingml/2006/main">
            <a:ext uri="{FF2B5EF4-FFF2-40B4-BE49-F238E27FC236}">
              <a16:creationId xmlns:a16="http://schemas.microsoft.com/office/drawing/2014/main" id="{617CA6C1-D242-8FB2-6AED-F2AFCBE26F9B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9" name="TextovéPole 3">
          <a:extLst xmlns:a="http://schemas.openxmlformats.org/drawingml/2006/main">
            <a:ext uri="{FF2B5EF4-FFF2-40B4-BE49-F238E27FC236}">
              <a16:creationId xmlns:a16="http://schemas.microsoft.com/office/drawing/2014/main" id="{2F546BB1-5757-3B8C-8C01-656E14E9DBEA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0" name="TextovéPole 1">
          <a:extLst xmlns:a="http://schemas.openxmlformats.org/drawingml/2006/main">
            <a:ext uri="{FF2B5EF4-FFF2-40B4-BE49-F238E27FC236}">
              <a16:creationId xmlns:a16="http://schemas.microsoft.com/office/drawing/2014/main" id="{1A81C63B-53C3-1880-5D2B-6BAEFA27A9D2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1" name="TextovéPole 3">
          <a:extLst xmlns:a="http://schemas.openxmlformats.org/drawingml/2006/main">
            <a:ext uri="{FF2B5EF4-FFF2-40B4-BE49-F238E27FC236}">
              <a16:creationId xmlns:a16="http://schemas.microsoft.com/office/drawing/2014/main" id="{DF599AA7-598E-B076-7D9E-467223F2AF9F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2" name="TextovéPole 1">
          <a:extLst xmlns:a="http://schemas.openxmlformats.org/drawingml/2006/main">
            <a:ext uri="{FF2B5EF4-FFF2-40B4-BE49-F238E27FC236}">
              <a16:creationId xmlns:a16="http://schemas.microsoft.com/office/drawing/2014/main" id="{51113BFD-BC30-1BD8-7276-6729BFA6B6D6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3" name="TextovéPole 3">
          <a:extLst xmlns:a="http://schemas.openxmlformats.org/drawingml/2006/main">
            <a:ext uri="{FF2B5EF4-FFF2-40B4-BE49-F238E27FC236}">
              <a16:creationId xmlns:a16="http://schemas.microsoft.com/office/drawing/2014/main" id="{0B82C890-CEB7-C598-3293-282D62F84D7E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4" name="TextovéPole 1">
          <a:extLst xmlns:a="http://schemas.openxmlformats.org/drawingml/2006/main">
            <a:ext uri="{FF2B5EF4-FFF2-40B4-BE49-F238E27FC236}">
              <a16:creationId xmlns:a16="http://schemas.microsoft.com/office/drawing/2014/main" id="{10F9B64E-E707-9484-11D4-19B80E199C43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5" name="TextovéPole 3">
          <a:extLst xmlns:a="http://schemas.openxmlformats.org/drawingml/2006/main">
            <a:ext uri="{FF2B5EF4-FFF2-40B4-BE49-F238E27FC236}">
              <a16:creationId xmlns:a16="http://schemas.microsoft.com/office/drawing/2014/main" id="{1CB2A5CD-E220-7E1E-CBB1-658594F9E3BC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CSU_OBECNÉ">
    <a:dk1>
      <a:sysClr val="windowText" lastClr="000000"/>
    </a:dk1>
    <a:lt1>
      <a:sysClr val="window" lastClr="FFFFFF"/>
    </a:lt1>
    <a:dk2>
      <a:srgbClr val="DEE6F6"/>
    </a:dk2>
    <a:lt2>
      <a:srgbClr val="DEE6F6"/>
    </a:lt2>
    <a:accent1>
      <a:srgbClr val="0085BC"/>
    </a:accent1>
    <a:accent2>
      <a:srgbClr val="174F70"/>
    </a:accent2>
    <a:accent3>
      <a:srgbClr val="BC091B"/>
    </a:accent3>
    <a:accent4>
      <a:srgbClr val="009CB5"/>
    </a:accent4>
    <a:accent5>
      <a:srgbClr val="BC5B80"/>
    </a:accent5>
    <a:accent6>
      <a:srgbClr val="85898E"/>
    </a:accent6>
    <a:hlink>
      <a:srgbClr val="0085BC"/>
    </a:hlink>
    <a:folHlink>
      <a:srgbClr val="174F70"/>
    </a:folHlink>
  </a:clrScheme>
  <a:fontScheme name="Arial">
    <a:majorFont>
      <a:latin typeface="Arial" panose="020B0604020202020204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ajorFont>
    <a:minorFont>
      <a:latin typeface="Arial" panose="020B0604020202020204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DCE6A-A0B2-4208-ABB1-AB92DABCF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bar_veda IT.dot</Template>
  <TotalTime>374</TotalTime>
  <Pages>4</Pages>
  <Words>930</Words>
  <Characters>5491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Burešová</dc:creator>
  <cp:lastModifiedBy>Burešová Kamila</cp:lastModifiedBy>
  <cp:revision>160</cp:revision>
  <cp:lastPrinted>2017-10-16T09:51:00Z</cp:lastPrinted>
  <dcterms:created xsi:type="dcterms:W3CDTF">2025-11-20T16:55:00Z</dcterms:created>
  <dcterms:modified xsi:type="dcterms:W3CDTF">2026-02-02T13:06:00Z</dcterms:modified>
</cp:coreProperties>
</file>