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32897" w14:textId="77777777" w:rsidR="00A75E40" w:rsidRPr="000A3A2C" w:rsidRDefault="00D57677" w:rsidP="00EA0987">
      <w:pPr>
        <w:pStyle w:val="Obsah"/>
        <w:rPr>
          <w:lang w:eastAsia="ar-SA"/>
        </w:rPr>
        <w:sectPr w:rsidR="00A75E40" w:rsidRPr="000A3A2C" w:rsidSect="0085114D">
          <w:headerReference w:type="even" r:id="rId11"/>
          <w:headerReference w:type="default" r:id="rId12"/>
          <w:footerReference w:type="even" r:id="rId13"/>
          <w:footerReference w:type="default" r:id="rId14"/>
          <w:pgSz w:w="11906" w:h="16838" w:code="9"/>
          <w:pgMar w:top="1134" w:right="1134" w:bottom="1418" w:left="1134" w:header="709" w:footer="709" w:gutter="0"/>
          <w:pgNumType w:start="1"/>
          <w:cols w:space="708"/>
          <w:docGrid w:linePitch="360"/>
        </w:sectPr>
      </w:pPr>
      <w:r>
        <w:rPr>
          <w:noProof/>
        </w:rPr>
        <mc:AlternateContent>
          <mc:Choice Requires="wpg">
            <w:drawing>
              <wp:anchor distT="0" distB="0" distL="114300" distR="114300" simplePos="0" relativeHeight="251657728" behindDoc="0" locked="1" layoutInCell="1" allowOverlap="1" wp14:anchorId="21432970" wp14:editId="21432971">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16="http://schemas.microsoft.com/office/drawing/2014/main" xmlns:c="http://schemas.openxmlformats.org/drawingml/2006/chart">
            <w:pict w14:anchorId="006ECE7A">
              <v:group id="Group 24" style="position:absolute;margin-left:45pt;margin-top:36.75pt;width:177.15pt;height:43.65pt;z-index:251657728;mso-position-horizontal-relative:page;mso-position-vertical-relative:page" coordsize="2714,667" coordorigin="567,851" o:spid="_x0000_s1026" w14:anchorId="39969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">
                <o:lock v:ext="edit" aspectratio="t"/>
                <v:rect id="Rectangle 9" style="position:absolute;left:1215;top:901;width:676;height:154;visibility:visible;mso-wrap-style:square;v-text-anchor:top" o:spid="_x0000_s1027" fillcolor="#007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o:lock v:ext="edit" aspectratio="t"/>
                </v:rect>
                <v:rect id="Rectangle 10" style="position:absolute;left:567;top:1131;width:1324;height:154;visibility:visible;mso-wrap-style:square;v-text-anchor:top" o:spid="_x0000_s1028" fillcolor="#007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o:lock v:ext="edit" aspectratio="t"/>
                </v:rect>
                <v:rect id="Rectangle 11" style="position:absolute;left:1288;top:1361;width:603;height:153;visibility:visible;mso-wrap-style:square;v-text-anchor:top" o:spid="_x0000_s1029" fillcolor="#007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o:lock v:ext="edit" aspectratio="t"/>
                </v:rect>
                <v:shape id="Freeform 12" style="position:absolute;left:1969;top:1311;width:600;height:207;visibility:visible;mso-wrap-style:square;v-text-anchor:top" coordsize="1200,415" o:spid="_x0000_s1030" fillcolor="#bd1b21" stroked="f"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">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verticies="t" aspectratio="t"/>
                </v:shape>
                <v:shape id="Freeform 13" style="position:absolute;left:1962;top:1081;width:1319;height:208;visibility:visible;mso-wrap-style:square;v-text-anchor:top" coordsize="2637,416" o:spid="_x0000_s1031" fillcolor="#bd1b21" stroked="f"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">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verticies="t" aspectratio="t"/>
                </v:shape>
                <v:shape id="Freeform 14" style="position:absolute;left:1962;top:851;width:679;height:208;visibility:visible;mso-wrap-style:square;v-text-anchor:top" coordsize="1358,416" o:spid="_x0000_s1032" fillcolor="#bd1b21" stroked="f"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">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verticies="t" aspectratio="t"/>
                </v:shape>
                <w10:wrap type="square"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21432972" wp14:editId="21432973">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8E" w14:textId="62A2CBF3" w:rsidR="00A04CEF" w:rsidRPr="006C5577" w:rsidRDefault="00A04CEF" w:rsidP="004924DC">
                            <w:r>
                              <w:t>Z</w:t>
                            </w:r>
                            <w:r w:rsidRPr="006C5577">
                              <w:t xml:space="preserve">pracoval: </w:t>
                            </w:r>
                            <w:r>
                              <w:t>o</w:t>
                            </w:r>
                            <w:r w:rsidRPr="006C5577">
                              <w:t>dbor</w:t>
                            </w:r>
                            <w:r>
                              <w:t xml:space="preserve"> Kancelář předsedy</w:t>
                            </w:r>
                            <w:r w:rsidRPr="006C5577">
                              <w:t xml:space="preserve"> </w:t>
                            </w:r>
                          </w:p>
                          <w:p w14:paraId="2143298F" w14:textId="3A6544AB" w:rsidR="00A04CEF" w:rsidRPr="006C5577" w:rsidRDefault="00A04CEF" w:rsidP="004924DC">
                            <w:r w:rsidRPr="006C5577">
                              <w:t xml:space="preserve">Ředitel odboru: </w:t>
                            </w:r>
                            <w:r>
                              <w:t>Egor Sidorov, Ph.D.</w:t>
                            </w:r>
                          </w:p>
                          <w:p w14:paraId="21432990" w14:textId="384FDA5E" w:rsidR="00A04CEF" w:rsidRPr="006C5577" w:rsidRDefault="00A04CEF" w:rsidP="004924DC">
                            <w:r w:rsidRPr="006C5577">
                              <w:t xml:space="preserve">Kontaktní osoba: </w:t>
                            </w:r>
                            <w:r>
                              <w:t>Karolína Zábojníková</w:t>
                            </w:r>
                            <w:r w:rsidRPr="006C5577">
                              <w:t>,</w:t>
                            </w:r>
                            <w:r>
                              <w:t xml:space="preserve"> e-mail: karolina.zabojnikova@csu.gov.cz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2972" id="_x0000_t202" coordsize="21600,21600" o:spt="202" path="m,l,21600r21600,l21600,xe">
                <v:stroke joinstyle="miter"/>
                <v:path gradientshapeok="t" o:connecttype="rect"/>
              </v:shapetype>
              <v:shape id="Textové pole 2" o:spid="_x0000_s1026" type="#_x0000_t202" style="position:absolute;margin-left:134.3pt;margin-top:643.55pt;width:403.95pt;height:72.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" filled="f" stroked="f">
                <v:textbox inset="0,0,0,0">
                  <w:txbxContent>
                    <w:p w14:paraId="2143298E" w14:textId="62A2CBF3" w:rsidR="00A04CEF" w:rsidRPr="006C5577" w:rsidRDefault="00A04CEF" w:rsidP="004924DC">
                      <w:r>
                        <w:t>Z</w:t>
                      </w:r>
                      <w:r w:rsidRPr="006C5577">
                        <w:t xml:space="preserve">pracoval: </w:t>
                      </w:r>
                      <w:r>
                        <w:t>o</w:t>
                      </w:r>
                      <w:r w:rsidRPr="006C5577">
                        <w:t>dbor</w:t>
                      </w:r>
                      <w:r>
                        <w:t xml:space="preserve"> Kancelář předsedy</w:t>
                      </w:r>
                      <w:r w:rsidRPr="006C5577">
                        <w:t xml:space="preserve"> </w:t>
                      </w:r>
                    </w:p>
                    <w:p w14:paraId="2143298F" w14:textId="3A6544AB" w:rsidR="00A04CEF" w:rsidRPr="006C5577" w:rsidRDefault="00A04CEF" w:rsidP="004924DC">
                      <w:r w:rsidRPr="006C5577">
                        <w:t xml:space="preserve">Ředitel odboru: </w:t>
                      </w:r>
                      <w:r>
                        <w:t>Egor Sidorov, Ph.D.</w:t>
                      </w:r>
                    </w:p>
                    <w:p w14:paraId="21432990" w14:textId="384FDA5E" w:rsidR="00A04CEF" w:rsidRPr="006C5577" w:rsidRDefault="00A04CEF" w:rsidP="004924DC">
                      <w:r w:rsidRPr="006C5577">
                        <w:t xml:space="preserve">Kontaktní osoba: </w:t>
                      </w:r>
                      <w:r>
                        <w:t>Karolína Zábojníková</w:t>
                      </w:r>
                      <w:r w:rsidRPr="006C5577">
                        <w:t>,</w:t>
                      </w:r>
                      <w:r>
                        <w:t xml:space="preserve"> e-mail: karolina.zabojnikova@csu.gov.cz</w:t>
                      </w: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14:anchorId="21432974" wp14:editId="21432975">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79046422" w14:textId="77777777" w:rsidR="00A04CEF" w:rsidRDefault="00A04CEF" w:rsidP="004924DC">
                            <w:pPr>
                              <w:pStyle w:val="TLIdentifikace-sted"/>
                            </w:pPr>
                            <w:r w:rsidRPr="00C72884">
                              <w:t>Souhrnná data o České republice</w:t>
                            </w:r>
                          </w:p>
                          <w:p w14:paraId="21432992" w14:textId="773DF36C" w:rsidR="00A04CEF" w:rsidRPr="004924DC" w:rsidRDefault="00A04CEF" w:rsidP="004924DC">
                            <w:pPr>
                              <w:pStyle w:val="TLIdentifikace-sted"/>
                            </w:pPr>
                            <w:r>
                              <w:t>Praha, 17. 6. 2025</w:t>
                            </w:r>
                          </w:p>
                          <w:p w14:paraId="21432993" w14:textId="08E82A7D" w:rsidR="00A04CEF" w:rsidRPr="004924DC" w:rsidRDefault="00A04CEF" w:rsidP="004924DC">
                            <w:pPr>
                              <w:pStyle w:val="TLIdentifikace-sted"/>
                            </w:pPr>
                            <w:r w:rsidRPr="004924DC">
                              <w:t xml:space="preserve">Kód publikace: </w:t>
                            </w:r>
                            <w:r>
                              <w:t>320193-25</w:t>
                            </w:r>
                          </w:p>
                          <w:p w14:paraId="21432994" w14:textId="4C133AA0" w:rsidR="00A04CEF" w:rsidRPr="004924DC" w:rsidRDefault="00A04CEF" w:rsidP="004924DC">
                            <w:pPr>
                              <w:pStyle w:val="TLIdentifikace-sted"/>
                            </w:pPr>
                            <w:r>
                              <w:t>Pořadové číslo v roce: 1</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4" id="_x0000_s1027" type="#_x0000_t202" style="position:absolute;margin-left:134.65pt;margin-top:368.55pt;width:403.9pt;height:132.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" filled="f" stroked="f">
                <v:textbox style="mso-fit-shape-to-text:t" inset="0,0,0,0">
                  <w:txbxContent>
                    <w:p w14:paraId="79046422" w14:textId="77777777" w:rsidR="00A04CEF" w:rsidRDefault="00A04CEF" w:rsidP="004924DC">
                      <w:pPr>
                        <w:pStyle w:val="TLIdentifikace-sted"/>
                      </w:pPr>
                      <w:r w:rsidRPr="00C72884">
                        <w:t>Souhrnná data o České republice</w:t>
                      </w:r>
                    </w:p>
                    <w:p w14:paraId="21432992" w14:textId="773DF36C" w:rsidR="00A04CEF" w:rsidRPr="004924DC" w:rsidRDefault="00A04CEF" w:rsidP="004924DC">
                      <w:pPr>
                        <w:pStyle w:val="TLIdentifikace-sted"/>
                      </w:pPr>
                      <w:r>
                        <w:t>Praha, 17. 6. 2025</w:t>
                      </w:r>
                    </w:p>
                    <w:p w14:paraId="21432993" w14:textId="08E82A7D" w:rsidR="00A04CEF" w:rsidRPr="004924DC" w:rsidRDefault="00A04CEF" w:rsidP="004924DC">
                      <w:pPr>
                        <w:pStyle w:val="TLIdentifikace-sted"/>
                      </w:pPr>
                      <w:r w:rsidRPr="004924DC">
                        <w:t xml:space="preserve">Kód publikace: </w:t>
                      </w:r>
                      <w:r>
                        <w:t>320193-25</w:t>
                      </w:r>
                    </w:p>
                    <w:p w14:paraId="21432994" w14:textId="4C133AA0" w:rsidR="00A04CEF" w:rsidRPr="004924DC" w:rsidRDefault="00A04CEF" w:rsidP="004924DC">
                      <w:pPr>
                        <w:pStyle w:val="TLIdentifikace-sted"/>
                      </w:pPr>
                      <w:r>
                        <w:t>Pořadové číslo v roce: 1</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1" allowOverlap="1" wp14:anchorId="21432976" wp14:editId="21432977">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1570B5D3" w14:textId="77777777" w:rsidR="00A04CEF" w:rsidRDefault="00A04CE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66EF915D" w:rsidR="00A04CEF" w:rsidRPr="00DE02BD" w:rsidRDefault="00A04CEF" w:rsidP="007342AC">
                            <w:pPr>
                              <w:pStyle w:val="Podnadpis"/>
                            </w:pPr>
                            <w:r>
                              <w:t>1. čtvrtletí 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6" id="_x0000_s1028" type="#_x0000_t202" style="position:absolute;margin-left:134.65pt;margin-top:116.25pt;width:403.9pt;height:173.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" filled="f" stroked="f">
                <v:textbox style="mso-fit-shape-to-text:t" inset="0,0,0,0">
                  <w:txbxContent>
                    <w:p w14:paraId="1570B5D3" w14:textId="77777777" w:rsidR="00A04CEF" w:rsidRDefault="00A04CEF" w:rsidP="007342AC">
                      <w:pPr>
                        <w:pStyle w:val="Podnadpis"/>
                        <w:rPr>
                          <w:rFonts w:cs="Times New Roman"/>
                          <w:bCs/>
                          <w:caps/>
                          <w:kern w:val="28"/>
                          <w:sz w:val="56"/>
                          <w:szCs w:val="32"/>
                        </w:rPr>
                      </w:pPr>
                      <w:r w:rsidRPr="00C72884">
                        <w:rPr>
                          <w:rFonts w:cs="Times New Roman"/>
                          <w:bCs/>
                          <w:caps/>
                          <w:kern w:val="28"/>
                          <w:sz w:val="56"/>
                          <w:szCs w:val="32"/>
                        </w:rPr>
                        <w:t>VÝVOJ EKONOMIKY ČESKÉ REPUBLIKY</w:t>
                      </w:r>
                    </w:p>
                    <w:p w14:paraId="21432997" w14:textId="66EF915D" w:rsidR="00A04CEF" w:rsidRPr="00DE02BD" w:rsidRDefault="00A04CEF" w:rsidP="007342AC">
                      <w:pPr>
                        <w:pStyle w:val="Podnadpis"/>
                      </w:pPr>
                      <w:r>
                        <w:t>1. čtvrtletí 2025</w:t>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14:anchorId="21432978" wp14:editId="5BD8AB08">
                <wp:simplePos x="0" y="0"/>
                <wp:positionH relativeFrom="page">
                  <wp:posOffset>1700530</wp:posOffset>
                </wp:positionH>
                <wp:positionV relativeFrom="page">
                  <wp:posOffset>9649460</wp:posOffset>
                </wp:positionV>
                <wp:extent cx="5130165" cy="179705"/>
                <wp:effectExtent l="0" t="0" r="13335" b="1079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99" w14:textId="4910B63B" w:rsidR="00A04CEF" w:rsidRPr="004924DC" w:rsidRDefault="00A04CEF" w:rsidP="004924DC">
                            <w:r w:rsidRPr="004924DC">
                              <w:t xml:space="preserve">© Český statistický úřad, </w:t>
                            </w:r>
                            <w:r>
                              <w:t>Praha</w:t>
                            </w:r>
                            <w:r w:rsidRPr="004924DC">
                              <w:t xml:space="preserve">, </w:t>
                            </w:r>
                            <w:r>
                              <w:t>2025</w:t>
                            </w:r>
                          </w:p>
                          <w:p w14:paraId="2143299A" w14:textId="77777777" w:rsidR="00A04CEF" w:rsidRPr="005251DD" w:rsidRDefault="00A04CEF" w:rsidP="00665BA4"/>
                          <w:p w14:paraId="2143299B" w14:textId="77777777" w:rsidR="00A04CEF" w:rsidRPr="005251DD" w:rsidRDefault="00A04CEF" w:rsidP="00FC684B"/>
                          <w:p w14:paraId="2143299C" w14:textId="77777777" w:rsidR="00A04CEF" w:rsidRDefault="00A04CEF"/>
                          <w:p w14:paraId="2143299D" w14:textId="77777777" w:rsidR="00A04CEF" w:rsidRPr="00097407" w:rsidRDefault="00A04CEF"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A04CEF" w:rsidRPr="005251DD" w:rsidRDefault="00A04CEF" w:rsidP="00665BA4"/>
                          <w:p w14:paraId="2143299F" w14:textId="77777777" w:rsidR="00A04CEF" w:rsidRPr="005251DD" w:rsidRDefault="00A04CEF"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8" id="_x0000_s1029" type="#_x0000_t202" style="position:absolute;margin-left:133.9pt;margin-top:759.8pt;width:403.9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" filled="f" stroked="f">
                <v:textbox inset="0,0,0,0">
                  <w:txbxContent>
                    <w:p w14:paraId="21432999" w14:textId="4910B63B" w:rsidR="00A04CEF" w:rsidRPr="004924DC" w:rsidRDefault="00A04CEF" w:rsidP="004924DC">
                      <w:r w:rsidRPr="004924DC">
                        <w:t xml:space="preserve">© Český statistický úřad, </w:t>
                      </w:r>
                      <w:r>
                        <w:t>Praha</w:t>
                      </w:r>
                      <w:r w:rsidRPr="004924DC">
                        <w:t xml:space="preserve">, </w:t>
                      </w:r>
                      <w:r>
                        <w:t>2025</w:t>
                      </w:r>
                    </w:p>
                    <w:p w14:paraId="2143299A" w14:textId="77777777" w:rsidR="00A04CEF" w:rsidRPr="005251DD" w:rsidRDefault="00A04CEF" w:rsidP="00665BA4"/>
                    <w:p w14:paraId="2143299B" w14:textId="77777777" w:rsidR="00A04CEF" w:rsidRPr="005251DD" w:rsidRDefault="00A04CEF" w:rsidP="00FC684B"/>
                    <w:p w14:paraId="2143299C" w14:textId="77777777" w:rsidR="00A04CEF" w:rsidRDefault="00A04CEF"/>
                    <w:p w14:paraId="2143299D" w14:textId="77777777" w:rsidR="00A04CEF" w:rsidRPr="00097407" w:rsidRDefault="00A04CEF"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2143299E" w14:textId="77777777" w:rsidR="00A04CEF" w:rsidRPr="005251DD" w:rsidRDefault="00A04CEF" w:rsidP="00665BA4"/>
                    <w:p w14:paraId="2143299F" w14:textId="77777777" w:rsidR="00A04CEF" w:rsidRPr="005251DD" w:rsidRDefault="00A04CEF" w:rsidP="00FC684B"/>
                  </w:txbxContent>
                </v:textbox>
                <w10:wrap anchorx="page" anchory="page"/>
                <w10:anchorlock/>
              </v:shape>
            </w:pict>
          </mc:Fallback>
        </mc:AlternateContent>
      </w:r>
      <w:r>
        <w:rPr>
          <w:noProof/>
        </w:rPr>
        <mc:AlternateContent>
          <mc:Choice Requires="wps">
            <w:drawing>
              <wp:anchor distT="4294967294" distB="4294967294" distL="114300" distR="114300" simplePos="0" relativeHeight="251653632" behindDoc="0" locked="1" layoutInCell="0" allowOverlap="1" wp14:anchorId="2143297A" wp14:editId="2143297B">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16="http://schemas.microsoft.com/office/drawing/2014/main" xmlns:c="http://schemas.openxmlformats.org/drawingml/2006/chart">
            <w:pict w14:anchorId="36768FC7">
              <v:line id="Přímá spojnice 33" style="position:absolute;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o:allowincell="f" strokecolor="windowText" strokeweight="1pt" from="134.65pt,737.1pt" to="538.6pt,737.1pt" w14:anchorId="053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">
                <o:lock v:ext="edit" shapetype="f"/>
                <w10:wrap anchorx="page" anchory="page"/>
                <w10:anchorlock/>
              </v:line>
            </w:pict>
          </mc:Fallback>
        </mc:AlternateContent>
      </w:r>
      <w:r w:rsidR="00F63FB7">
        <w:br w:type="page"/>
      </w:r>
      <w:r>
        <w:lastRenderedPageBreak/>
        <w:br w:type="page"/>
      </w:r>
      <w:r>
        <w:rPr>
          <w:noProof/>
        </w:rPr>
        <mc:AlternateContent>
          <mc:Choice Requires="wps">
            <w:drawing>
              <wp:anchor distT="0" distB="0" distL="114300" distR="114300" simplePos="0" relativeHeight="251659776" behindDoc="0" locked="1" layoutInCell="1" allowOverlap="1" wp14:anchorId="2143297C" wp14:editId="2143297D">
                <wp:simplePos x="0" y="0"/>
                <wp:positionH relativeFrom="page">
                  <wp:posOffset>723900</wp:posOffset>
                </wp:positionH>
                <wp:positionV relativeFrom="page">
                  <wp:posOffset>1440180</wp:posOffset>
                </wp:positionV>
                <wp:extent cx="6119495" cy="7673340"/>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7334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A0" w14:textId="77777777" w:rsidR="00A04CEF" w:rsidRPr="00DE02BD" w:rsidRDefault="00A04CEF" w:rsidP="00040D10">
                            <w:pPr>
                              <w:pStyle w:val="TLKontaktyerven"/>
                            </w:pPr>
                            <w:r w:rsidRPr="00DE02BD">
                              <w:t>KONTAKTY V ÚSTŘEDÍ</w:t>
                            </w:r>
                          </w:p>
                          <w:p w14:paraId="214329A1" w14:textId="77777777" w:rsidR="00A04CEF" w:rsidRPr="007D40DF" w:rsidRDefault="00A04CE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A04CEF" w:rsidRPr="00D235B7" w:rsidRDefault="00A04CE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A04CEF" w:rsidRPr="00D235B7" w:rsidRDefault="00A04CE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A04CEF" w:rsidRPr="00D235B7" w:rsidRDefault="00A04CE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A04CEF" w:rsidRPr="00D235B7" w:rsidRDefault="00A04CE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A04CEF" w:rsidRPr="004A61C5" w:rsidRDefault="00A04CEF" w:rsidP="00040D10">
                            <w:pPr>
                              <w:pStyle w:val="TLKontakty"/>
                              <w:spacing w:after="80" w:line="240" w:lineRule="auto"/>
                              <w:contextualSpacing w:val="0"/>
                              <w:rPr>
                                <w:color w:val="auto"/>
                              </w:rPr>
                            </w:pPr>
                          </w:p>
                          <w:p w14:paraId="40288679" w14:textId="77777777" w:rsidR="00A04CEF" w:rsidRPr="00DE02BD" w:rsidRDefault="00A04CEF" w:rsidP="00AB535B">
                            <w:pPr>
                              <w:pStyle w:val="TLKontaktyerven"/>
                            </w:pPr>
                            <w:r w:rsidRPr="00DE02BD">
                              <w:t>INFORMAČNÍ SLUŽBY V REGIONECH</w:t>
                            </w:r>
                          </w:p>
                          <w:p w14:paraId="6DBBA526" w14:textId="77777777" w:rsidR="00A04CEF" w:rsidRPr="00992CF3" w:rsidRDefault="00A04CE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A04CEF" w:rsidRPr="00992CF3" w:rsidRDefault="00A04CE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A04CEF" w:rsidRPr="004A61C5" w:rsidRDefault="00A04CEF" w:rsidP="00AB535B">
                            <w:pPr>
                              <w:pStyle w:val="TLKontakty"/>
                              <w:spacing w:after="80" w:line="240" w:lineRule="auto"/>
                              <w:rPr>
                                <w:color w:val="auto"/>
                              </w:rPr>
                            </w:pPr>
                          </w:p>
                          <w:p w14:paraId="4E278003" w14:textId="77777777" w:rsidR="00A04CEF" w:rsidRPr="00992CF3" w:rsidRDefault="00A04CE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A04CEF" w:rsidRPr="00992CF3" w:rsidRDefault="00A04CE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A04CEF" w:rsidRPr="004A61C5" w:rsidRDefault="00A04CEF" w:rsidP="00AB535B">
                            <w:pPr>
                              <w:pStyle w:val="TLKontakty"/>
                              <w:spacing w:after="80" w:line="240" w:lineRule="auto"/>
                              <w:rPr>
                                <w:color w:val="auto"/>
                              </w:rPr>
                            </w:pPr>
                          </w:p>
                          <w:p w14:paraId="56C99FCE" w14:textId="77777777" w:rsidR="00A04CEF" w:rsidRPr="00992CF3" w:rsidRDefault="00A04CE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A04CEF" w:rsidRPr="00992CF3" w:rsidRDefault="00A04CE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A04CEF" w:rsidRPr="004A61C5" w:rsidRDefault="00A04CEF" w:rsidP="00AB535B">
                            <w:pPr>
                              <w:pStyle w:val="TLKontakty"/>
                              <w:spacing w:after="80" w:line="240" w:lineRule="auto"/>
                              <w:rPr>
                                <w:color w:val="auto"/>
                              </w:rPr>
                            </w:pPr>
                          </w:p>
                          <w:p w14:paraId="073A8F45" w14:textId="77777777" w:rsidR="00A04CEF" w:rsidRPr="00BC731E" w:rsidRDefault="00A04CE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A04CEF" w:rsidRPr="004A61C5" w:rsidRDefault="00A04CE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A04CEF" w:rsidRPr="004A61C5" w:rsidRDefault="00A04CEF" w:rsidP="00AB535B">
                            <w:pPr>
                              <w:pStyle w:val="TLKontakty"/>
                              <w:spacing w:after="80" w:line="240" w:lineRule="auto"/>
                              <w:rPr>
                                <w:color w:val="auto"/>
                              </w:rPr>
                            </w:pPr>
                          </w:p>
                          <w:p w14:paraId="00F3D1DC" w14:textId="77777777" w:rsidR="00A04CEF" w:rsidRPr="004A61C5" w:rsidRDefault="00A04CE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A04CEF" w:rsidRPr="004A61C5" w:rsidRDefault="00A04CE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A04CEF" w:rsidRPr="004A61C5" w:rsidRDefault="00A04CEF" w:rsidP="00AB535B">
                            <w:pPr>
                              <w:pStyle w:val="TLKontakty"/>
                              <w:spacing w:after="80" w:line="240" w:lineRule="auto"/>
                              <w:rPr>
                                <w:color w:val="auto"/>
                              </w:rPr>
                            </w:pPr>
                          </w:p>
                          <w:p w14:paraId="77286DF2" w14:textId="77777777" w:rsidR="00A04CEF" w:rsidRPr="004A61C5" w:rsidRDefault="00A04CE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A04CEF" w:rsidRPr="004A61C5" w:rsidRDefault="00A04CE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A04CEF" w:rsidRPr="004A61C5" w:rsidRDefault="00A04CEF" w:rsidP="00AB535B">
                            <w:pPr>
                              <w:pStyle w:val="TLKontakty"/>
                              <w:spacing w:after="80" w:line="240" w:lineRule="auto"/>
                              <w:rPr>
                                <w:color w:val="auto"/>
                              </w:rPr>
                            </w:pPr>
                          </w:p>
                          <w:p w14:paraId="29194436" w14:textId="77777777" w:rsidR="00A04CEF" w:rsidRPr="004A61C5" w:rsidRDefault="00A04CE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A04CEF" w:rsidRPr="004A61C5" w:rsidRDefault="00A04CE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A04CEF" w:rsidRPr="004A61C5" w:rsidRDefault="00A04CEF" w:rsidP="00AB535B">
                            <w:pPr>
                              <w:pStyle w:val="TLKontakty"/>
                              <w:spacing w:after="80" w:line="240" w:lineRule="auto"/>
                              <w:rPr>
                                <w:b w:val="0"/>
                                <w:color w:val="auto"/>
                              </w:rPr>
                            </w:pPr>
                          </w:p>
                          <w:p w14:paraId="4CA59A3C" w14:textId="77777777" w:rsidR="00A04CEF" w:rsidRPr="004A61C5" w:rsidRDefault="00A04CE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A04CEF" w:rsidRPr="004A61C5" w:rsidRDefault="00A04CE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A04CEF" w:rsidRPr="004A61C5" w:rsidRDefault="00A04CEF" w:rsidP="00AB535B">
                            <w:pPr>
                              <w:pStyle w:val="TLKontakty"/>
                              <w:spacing w:after="80" w:line="240" w:lineRule="auto"/>
                              <w:rPr>
                                <w:color w:val="auto"/>
                              </w:rPr>
                            </w:pPr>
                          </w:p>
                          <w:p w14:paraId="7586B150" w14:textId="77777777" w:rsidR="00A04CEF" w:rsidRPr="004A61C5" w:rsidRDefault="00A04CE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A04CEF" w:rsidRPr="004A61C5" w:rsidRDefault="00A04CE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A04CEF" w:rsidRPr="004A61C5" w:rsidRDefault="00A04CEF" w:rsidP="00AB535B">
                            <w:pPr>
                              <w:pStyle w:val="TLKontakty"/>
                              <w:spacing w:after="80" w:line="240" w:lineRule="auto"/>
                              <w:rPr>
                                <w:b w:val="0"/>
                                <w:color w:val="auto"/>
                              </w:rPr>
                            </w:pPr>
                          </w:p>
                          <w:p w14:paraId="30BAB159" w14:textId="77777777" w:rsidR="00A04CEF" w:rsidRPr="004A61C5" w:rsidRDefault="00A04CE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A04CEF" w:rsidRPr="004A61C5" w:rsidRDefault="00A04CE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A04CEF" w:rsidRDefault="00A04CEF" w:rsidP="00AB535B">
                            <w:pPr>
                              <w:pStyle w:val="TLKontakty"/>
                              <w:spacing w:after="80" w:line="240" w:lineRule="auto"/>
                            </w:pPr>
                          </w:p>
                          <w:p w14:paraId="3DCDC97A" w14:textId="77777777" w:rsidR="00A04CEF" w:rsidRPr="00BC731E" w:rsidRDefault="00A04CE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A04CEF" w:rsidRPr="004A61C5" w:rsidRDefault="00A04CE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A04CEF" w:rsidRPr="004A61C5" w:rsidRDefault="00A04CEF" w:rsidP="00AB535B">
                            <w:pPr>
                              <w:pStyle w:val="TLKontakty"/>
                              <w:spacing w:after="80" w:line="240" w:lineRule="auto"/>
                              <w:rPr>
                                <w:b w:val="0"/>
                                <w:color w:val="auto"/>
                              </w:rPr>
                            </w:pPr>
                          </w:p>
                          <w:p w14:paraId="50E3CB39" w14:textId="77777777" w:rsidR="00A04CEF" w:rsidRPr="005E7C78" w:rsidRDefault="00A04CE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A04CEF" w:rsidRPr="005E7C78" w:rsidRDefault="00A04CE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A04CEF" w:rsidRPr="005E7C78" w:rsidRDefault="00A04CEF" w:rsidP="00AB535B">
                            <w:pPr>
                              <w:pStyle w:val="TLKontakty"/>
                              <w:spacing w:after="80" w:line="240" w:lineRule="auto"/>
                              <w:rPr>
                                <w:b w:val="0"/>
                                <w:color w:val="auto"/>
                              </w:rPr>
                            </w:pPr>
                          </w:p>
                          <w:p w14:paraId="16A6BEB7" w14:textId="77777777" w:rsidR="00A04CEF" w:rsidRPr="005E7C78" w:rsidRDefault="00A04CE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A04CEF" w:rsidRDefault="00A04CE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A04CEF" w:rsidRPr="005E7C78" w:rsidRDefault="00A04CEF" w:rsidP="00AB535B">
                            <w:pPr>
                              <w:pStyle w:val="TLKontakty"/>
                              <w:spacing w:after="80" w:line="240" w:lineRule="auto"/>
                              <w:rPr>
                                <w:b w:val="0"/>
                                <w:color w:val="auto"/>
                              </w:rPr>
                            </w:pPr>
                          </w:p>
                          <w:p w14:paraId="61D04DDC" w14:textId="77777777" w:rsidR="00A04CEF" w:rsidRPr="005E7C78" w:rsidRDefault="00A04CE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A04CEF" w:rsidRPr="00095135" w:rsidRDefault="00A04CE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7C" id="_x0000_s1030" type="#_x0000_t202" style="position:absolute;margin-left:57pt;margin-top:113.4pt;width:481.85pt;height:604.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" filled="f" stroked="f">
                <v:textbox style="mso-fit-shape-to-text:t" inset="0,0,0,0">
                  <w:txbxContent>
                    <w:p w14:paraId="214329A0" w14:textId="77777777" w:rsidR="00A04CEF" w:rsidRPr="00DE02BD" w:rsidRDefault="00A04CEF" w:rsidP="00040D10">
                      <w:pPr>
                        <w:pStyle w:val="TLKontaktyerven"/>
                      </w:pPr>
                      <w:r w:rsidRPr="00DE02BD">
                        <w:t>KONTAKTY V ÚSTŘEDÍ</w:t>
                      </w:r>
                    </w:p>
                    <w:p w14:paraId="214329A1" w14:textId="77777777" w:rsidR="00A04CEF" w:rsidRPr="007D40DF" w:rsidRDefault="00A04CEF" w:rsidP="00040D10">
                      <w:pPr>
                        <w:pStyle w:val="TLKontakty"/>
                        <w:spacing w:after="80" w:line="240" w:lineRule="auto"/>
                        <w:contextualSpacing w:val="0"/>
                        <w:rPr>
                          <w:b w:val="0"/>
                          <w:color w:val="auto"/>
                        </w:rPr>
                      </w:pPr>
                      <w:r w:rsidRPr="00EA0987">
                        <w:t>Český statistický úřad</w:t>
                      </w:r>
                      <w:r w:rsidRPr="00EA0987">
                        <w:rPr>
                          <w:b w:val="0"/>
                        </w:rPr>
                        <w:t xml:space="preserve"> </w:t>
                      </w:r>
                      <w:r w:rsidRPr="007D40DF">
                        <w:rPr>
                          <w:b w:val="0"/>
                          <w:color w:val="auto"/>
                        </w:rPr>
                        <w:t>|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Pr>
                          <w:color w:val="auto"/>
                        </w:rPr>
                        <w:t>www.csu.gov</w:t>
                      </w:r>
                      <w:r w:rsidRPr="007D40DF">
                        <w:rPr>
                          <w:color w:val="auto"/>
                        </w:rPr>
                        <w:t>.cz</w:t>
                      </w:r>
                    </w:p>
                    <w:p w14:paraId="214329A2" w14:textId="77777777" w:rsidR="00A04CEF" w:rsidRPr="00D235B7" w:rsidRDefault="00A04CEF" w:rsidP="00040D10">
                      <w:pPr>
                        <w:pStyle w:val="TLKontakty"/>
                        <w:spacing w:after="80" w:line="240" w:lineRule="auto"/>
                        <w:contextualSpacing w:val="0"/>
                        <w:rPr>
                          <w:b w:val="0"/>
                          <w:color w:val="auto"/>
                        </w:rPr>
                      </w:pPr>
                      <w:r w:rsidRPr="00D235B7">
                        <w:rPr>
                          <w:color w:val="auto"/>
                        </w:rPr>
                        <w:t>Oddělení informačních služeb</w:t>
                      </w:r>
                      <w:r>
                        <w:rPr>
                          <w:b w:val="0"/>
                          <w:color w:val="auto"/>
                        </w:rPr>
                        <w:t xml:space="preserve"> | tel.: 274 056 789 | e-mail: infoservis@csu.gov</w:t>
                      </w:r>
                      <w:r w:rsidRPr="00D235B7">
                        <w:rPr>
                          <w:b w:val="0"/>
                          <w:color w:val="auto"/>
                        </w:rPr>
                        <w:t>.cz</w:t>
                      </w:r>
                    </w:p>
                    <w:p w14:paraId="214329A3" w14:textId="77777777" w:rsidR="00A04CEF" w:rsidRPr="00D235B7" w:rsidRDefault="00A04CEF" w:rsidP="00040D10">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w:t>
                      </w:r>
                      <w:r>
                        <w:rPr>
                          <w:b w:val="0"/>
                          <w:color w:val="auto"/>
                        </w:rPr>
                        <w:t xml:space="preserve"> 052 361 | e-mail: prodejna@csu.gov</w:t>
                      </w:r>
                      <w:r w:rsidRPr="00D235B7">
                        <w:rPr>
                          <w:b w:val="0"/>
                          <w:color w:val="auto"/>
                        </w:rPr>
                        <w:t>.cz</w:t>
                      </w:r>
                    </w:p>
                    <w:p w14:paraId="214329A4" w14:textId="77777777" w:rsidR="00A04CEF" w:rsidRPr="00D235B7" w:rsidRDefault="00A04CEF" w:rsidP="00040D10">
                      <w:pPr>
                        <w:pStyle w:val="TLKontakty"/>
                        <w:spacing w:after="80" w:line="240" w:lineRule="auto"/>
                        <w:contextualSpacing w:val="0"/>
                        <w:rPr>
                          <w:b w:val="0"/>
                          <w:color w:val="auto"/>
                        </w:rPr>
                      </w:pPr>
                      <w:r w:rsidRPr="00D235B7">
                        <w:rPr>
                          <w:color w:val="auto"/>
                        </w:rPr>
                        <w:t>Evropská data (ESDS), mezinárodní srovnání</w:t>
                      </w:r>
                      <w:r>
                        <w:rPr>
                          <w:b w:val="0"/>
                          <w:color w:val="auto"/>
                        </w:rPr>
                        <w:t xml:space="preserve"> | tel.: 274 052 732 | e-mail: esds@csu.gov</w:t>
                      </w:r>
                      <w:r w:rsidRPr="00D235B7">
                        <w:rPr>
                          <w:b w:val="0"/>
                          <w:color w:val="auto"/>
                        </w:rPr>
                        <w:t>.cz</w:t>
                      </w:r>
                    </w:p>
                    <w:p w14:paraId="214329A5" w14:textId="77777777" w:rsidR="00A04CEF" w:rsidRPr="00D235B7" w:rsidRDefault="00A04CEF" w:rsidP="00040D10">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w:t>
                      </w:r>
                      <w:r>
                        <w:rPr>
                          <w:b w:val="0"/>
                          <w:color w:val="auto"/>
                        </w:rPr>
                        <w:t xml:space="preserve"> 052 361 | e-mail: knihovna@csu.gov</w:t>
                      </w:r>
                      <w:r w:rsidRPr="00D235B7">
                        <w:rPr>
                          <w:b w:val="0"/>
                          <w:color w:val="auto"/>
                        </w:rPr>
                        <w:t>.cz</w:t>
                      </w:r>
                    </w:p>
                    <w:p w14:paraId="214329A6" w14:textId="77777777" w:rsidR="00A04CEF" w:rsidRPr="004A61C5" w:rsidRDefault="00A04CEF" w:rsidP="00040D10">
                      <w:pPr>
                        <w:pStyle w:val="TLKontakty"/>
                        <w:spacing w:after="80" w:line="240" w:lineRule="auto"/>
                        <w:contextualSpacing w:val="0"/>
                        <w:rPr>
                          <w:color w:val="auto"/>
                        </w:rPr>
                      </w:pPr>
                    </w:p>
                    <w:p w14:paraId="40288679" w14:textId="77777777" w:rsidR="00A04CEF" w:rsidRPr="00DE02BD" w:rsidRDefault="00A04CEF" w:rsidP="00AB535B">
                      <w:pPr>
                        <w:pStyle w:val="TLKontaktyerven"/>
                      </w:pPr>
                      <w:r w:rsidRPr="00DE02BD">
                        <w:t>INFORMAČNÍ SLUŽBY V REGIONECH</w:t>
                      </w:r>
                    </w:p>
                    <w:p w14:paraId="6DBBA526" w14:textId="77777777" w:rsidR="00A04CEF" w:rsidRPr="00992CF3" w:rsidRDefault="00A04CEF" w:rsidP="00AB535B">
                      <w:pPr>
                        <w:pStyle w:val="TLKontakty"/>
                        <w:spacing w:after="80" w:line="240" w:lineRule="auto"/>
                        <w:rPr>
                          <w:b w:val="0"/>
                          <w:color w:val="auto"/>
                        </w:rPr>
                      </w:pPr>
                      <w:r w:rsidRPr="00EA0987">
                        <w:t>Hl. m. Praha</w:t>
                      </w:r>
                      <w:r w:rsidRPr="00EA0987">
                        <w:rPr>
                          <w:b w:val="0"/>
                        </w:rPr>
                        <w:t xml:space="preserve"> </w:t>
                      </w:r>
                      <w:r w:rsidRPr="00992CF3">
                        <w:rPr>
                          <w:b w:val="0"/>
                          <w:color w:val="auto"/>
                        </w:rPr>
                        <w:t>|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w:t>
                      </w:r>
                    </w:p>
                    <w:p w14:paraId="52BB90CC" w14:textId="77777777" w:rsidR="00A04CEF" w:rsidRPr="00992CF3" w:rsidRDefault="00A04CEF" w:rsidP="00AB535B">
                      <w:pPr>
                        <w:pStyle w:val="TLKontakty"/>
                        <w:spacing w:after="80" w:line="240" w:lineRule="auto"/>
                        <w:rPr>
                          <w:b w:val="0"/>
                          <w:color w:val="auto"/>
                        </w:rPr>
                      </w:pPr>
                      <w:r w:rsidRPr="00992CF3">
                        <w:rPr>
                          <w:b w:val="0"/>
                          <w:color w:val="auto"/>
                        </w:rPr>
                        <w:t>e-mail: infoservispraha@</w:t>
                      </w:r>
                      <w:r>
                        <w:rPr>
                          <w:b w:val="0"/>
                          <w:color w:val="auto"/>
                        </w:rPr>
                        <w:t>csu.gov</w:t>
                      </w:r>
                      <w:r w:rsidRPr="00D235B7">
                        <w:rPr>
                          <w:b w:val="0"/>
                          <w:color w:val="auto"/>
                        </w:rPr>
                        <w:t>.cz</w:t>
                      </w:r>
                      <w:r w:rsidRPr="00992CF3">
                        <w:rPr>
                          <w:b w:val="0"/>
                          <w:color w:val="auto"/>
                        </w:rPr>
                        <w:t xml:space="preserve"> | </w:t>
                      </w:r>
                      <w:r>
                        <w:rPr>
                          <w:color w:val="auto"/>
                        </w:rPr>
                        <w:t>www.csu.gov.cz/praha</w:t>
                      </w:r>
                    </w:p>
                    <w:p w14:paraId="00AED4D4" w14:textId="77777777" w:rsidR="00A04CEF" w:rsidRPr="004A61C5" w:rsidRDefault="00A04CEF" w:rsidP="00AB535B">
                      <w:pPr>
                        <w:pStyle w:val="TLKontakty"/>
                        <w:spacing w:after="80" w:line="240" w:lineRule="auto"/>
                        <w:rPr>
                          <w:color w:val="auto"/>
                        </w:rPr>
                      </w:pPr>
                    </w:p>
                    <w:p w14:paraId="4E278003" w14:textId="77777777" w:rsidR="00A04CEF" w:rsidRPr="00992CF3" w:rsidRDefault="00A04CEF" w:rsidP="00AB535B">
                      <w:pPr>
                        <w:pStyle w:val="TLKontakty"/>
                        <w:spacing w:after="80" w:line="240" w:lineRule="auto"/>
                        <w:rPr>
                          <w:b w:val="0"/>
                          <w:color w:val="auto"/>
                        </w:rPr>
                      </w:pPr>
                      <w:r w:rsidRPr="00EA0987">
                        <w:t>Středočeský kraj</w:t>
                      </w:r>
                      <w:r w:rsidRPr="00EA0987">
                        <w:rPr>
                          <w:b w:val="0"/>
                        </w:rPr>
                        <w:t xml:space="preserve"> </w:t>
                      </w:r>
                      <w:r w:rsidRPr="00992CF3">
                        <w:rPr>
                          <w:b w:val="0"/>
                          <w:color w:val="auto"/>
                        </w:rPr>
                        <w:t>| Na padesátém 81, 100 82 Praha 10, tel.</w:t>
                      </w:r>
                      <w:r>
                        <w:rPr>
                          <w:b w:val="0"/>
                          <w:color w:val="auto"/>
                        </w:rPr>
                        <w:t xml:space="preserve">: </w:t>
                      </w:r>
                      <w:r w:rsidRPr="00992CF3">
                        <w:rPr>
                          <w:b w:val="0"/>
                          <w:color w:val="auto"/>
                        </w:rPr>
                        <w:t>274 054 175</w:t>
                      </w:r>
                    </w:p>
                    <w:p w14:paraId="5C66D95E" w14:textId="77777777" w:rsidR="00A04CEF" w:rsidRPr="00992CF3" w:rsidRDefault="00A04CEF" w:rsidP="00AB535B">
                      <w:pPr>
                        <w:pStyle w:val="TLKontakty"/>
                        <w:spacing w:after="80" w:line="240" w:lineRule="auto"/>
                        <w:rPr>
                          <w:color w:val="auto"/>
                        </w:rPr>
                      </w:pPr>
                      <w:r w:rsidRPr="00992CF3">
                        <w:rPr>
                          <w:b w:val="0"/>
                          <w:color w:val="auto"/>
                        </w:rPr>
                        <w:t>e-mail: infoservisstc@</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csu.gov.cz/stredocesky</w:t>
                      </w:r>
                    </w:p>
                    <w:p w14:paraId="70ADCE20" w14:textId="77777777" w:rsidR="00A04CEF" w:rsidRPr="004A61C5" w:rsidRDefault="00A04CEF" w:rsidP="00AB535B">
                      <w:pPr>
                        <w:pStyle w:val="TLKontakty"/>
                        <w:spacing w:after="80" w:line="240" w:lineRule="auto"/>
                        <w:rPr>
                          <w:color w:val="auto"/>
                        </w:rPr>
                      </w:pPr>
                    </w:p>
                    <w:p w14:paraId="56C99FCE" w14:textId="77777777" w:rsidR="00A04CEF" w:rsidRPr="00992CF3" w:rsidRDefault="00A04CEF" w:rsidP="00AB535B">
                      <w:pPr>
                        <w:pStyle w:val="TLKontakty"/>
                        <w:spacing w:after="80" w:line="240" w:lineRule="auto"/>
                        <w:rPr>
                          <w:b w:val="0"/>
                          <w:color w:val="auto"/>
                        </w:rPr>
                      </w:pPr>
                      <w:r w:rsidRPr="00EA0987">
                        <w:t>České Budějovice</w:t>
                      </w:r>
                      <w:r w:rsidRPr="00EA0987">
                        <w:rPr>
                          <w:b w:val="0"/>
                        </w:rPr>
                        <w:t xml:space="preserve"> </w:t>
                      </w:r>
                      <w:r w:rsidRPr="00992CF3">
                        <w:rPr>
                          <w:b w:val="0"/>
                          <w:color w:val="auto"/>
                        </w:rPr>
                        <w:t>| Žižkova 1</w:t>
                      </w:r>
                      <w:r>
                        <w:rPr>
                          <w:b w:val="0"/>
                          <w:color w:val="auto"/>
                        </w:rPr>
                        <w:t>a</w:t>
                      </w:r>
                      <w:r w:rsidRPr="00992CF3">
                        <w:rPr>
                          <w:b w:val="0"/>
                          <w:color w:val="auto"/>
                        </w:rPr>
                        <w:t>,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004772F" w14:textId="77777777" w:rsidR="00A04CEF" w:rsidRPr="00992CF3" w:rsidRDefault="00A04CEF" w:rsidP="00AB535B">
                      <w:pPr>
                        <w:pStyle w:val="TLKontakty"/>
                        <w:spacing w:after="80" w:line="240" w:lineRule="auto"/>
                        <w:rPr>
                          <w:b w:val="0"/>
                          <w:color w:val="auto"/>
                        </w:rPr>
                      </w:pPr>
                      <w:r w:rsidRPr="00992CF3">
                        <w:rPr>
                          <w:b w:val="0"/>
                          <w:color w:val="auto"/>
                        </w:rPr>
                        <w:t>e-mail: infoserviscb@</w:t>
                      </w:r>
                      <w:r>
                        <w:rPr>
                          <w:b w:val="0"/>
                          <w:color w:val="auto"/>
                        </w:rPr>
                        <w:t>csu.gov</w:t>
                      </w:r>
                      <w:r w:rsidRPr="00D235B7">
                        <w:rPr>
                          <w:b w:val="0"/>
                          <w:color w:val="auto"/>
                        </w:rPr>
                        <w:t>.cz</w:t>
                      </w:r>
                      <w:r w:rsidRPr="00992CF3">
                        <w:rPr>
                          <w:b w:val="0"/>
                          <w:color w:val="auto"/>
                        </w:rPr>
                        <w:t xml:space="preserve"> | </w:t>
                      </w:r>
                      <w:r w:rsidRPr="00992CF3">
                        <w:rPr>
                          <w:color w:val="auto"/>
                        </w:rPr>
                        <w:t>www.</w:t>
                      </w:r>
                      <w:r>
                        <w:rPr>
                          <w:color w:val="auto"/>
                        </w:rPr>
                        <w:t>csu.gov.cz/jihocesky</w:t>
                      </w:r>
                    </w:p>
                    <w:p w14:paraId="165CF548" w14:textId="77777777" w:rsidR="00A04CEF" w:rsidRPr="004A61C5" w:rsidRDefault="00A04CEF" w:rsidP="00AB535B">
                      <w:pPr>
                        <w:pStyle w:val="TLKontakty"/>
                        <w:spacing w:after="80" w:line="240" w:lineRule="auto"/>
                        <w:rPr>
                          <w:color w:val="auto"/>
                        </w:rPr>
                      </w:pPr>
                    </w:p>
                    <w:p w14:paraId="073A8F45" w14:textId="77777777" w:rsidR="00A04CEF" w:rsidRPr="00BC731E" w:rsidRDefault="00A04CEF" w:rsidP="00AB535B">
                      <w:pPr>
                        <w:pStyle w:val="TLKontakty"/>
                        <w:spacing w:after="80" w:line="240" w:lineRule="auto"/>
                        <w:rPr>
                          <w:b w:val="0"/>
                          <w:color w:val="auto"/>
                        </w:rPr>
                      </w:pPr>
                      <w:r w:rsidRPr="00EA0987">
                        <w:t>Plzeň</w:t>
                      </w:r>
                      <w:r w:rsidRPr="00DE02BD">
                        <w:rPr>
                          <w:b w:val="0"/>
                          <w:color w:val="685B7A"/>
                        </w:rPr>
                        <w:t xml:space="preserve"> </w:t>
                      </w:r>
                      <w:r w:rsidRPr="004A61C5">
                        <w:rPr>
                          <w:b w:val="0"/>
                          <w:color w:val="auto"/>
                        </w:rPr>
                        <w:t>|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p>
                    <w:p w14:paraId="6C9701D0" w14:textId="77777777" w:rsidR="00A04CEF" w:rsidRPr="004A61C5" w:rsidRDefault="00A04CEF" w:rsidP="00AB535B">
                      <w:pPr>
                        <w:pStyle w:val="TLKontakty"/>
                        <w:spacing w:after="80" w:line="240" w:lineRule="auto"/>
                        <w:rPr>
                          <w:b w:val="0"/>
                          <w:color w:val="auto"/>
                        </w:rPr>
                      </w:pPr>
                      <w:r w:rsidRPr="004A61C5">
                        <w:rPr>
                          <w:b w:val="0"/>
                          <w:color w:val="auto"/>
                        </w:rPr>
                        <w:t>e-mail: infoservisplzen@</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csu.gov.cz/plzensky</w:t>
                      </w:r>
                    </w:p>
                    <w:p w14:paraId="782D67CB" w14:textId="77777777" w:rsidR="00A04CEF" w:rsidRPr="004A61C5" w:rsidRDefault="00A04CEF" w:rsidP="00AB535B">
                      <w:pPr>
                        <w:pStyle w:val="TLKontakty"/>
                        <w:spacing w:after="80" w:line="240" w:lineRule="auto"/>
                        <w:rPr>
                          <w:color w:val="auto"/>
                        </w:rPr>
                      </w:pPr>
                    </w:p>
                    <w:p w14:paraId="00F3D1DC" w14:textId="77777777" w:rsidR="00A04CEF" w:rsidRPr="004A61C5" w:rsidRDefault="00A04CEF" w:rsidP="00AB535B">
                      <w:pPr>
                        <w:pStyle w:val="TLKontakty"/>
                        <w:spacing w:after="80" w:line="240" w:lineRule="auto"/>
                        <w:rPr>
                          <w:b w:val="0"/>
                          <w:color w:val="auto"/>
                        </w:rPr>
                      </w:pPr>
                      <w:r w:rsidRPr="00EA0987">
                        <w:t>Karlovy Vary</w:t>
                      </w:r>
                      <w:r w:rsidRPr="00EA0987">
                        <w:rPr>
                          <w:b w:val="0"/>
                        </w:rPr>
                        <w:t xml:space="preserve"> </w:t>
                      </w:r>
                      <w:r w:rsidRPr="004A61C5">
                        <w:rPr>
                          <w:b w:val="0"/>
                          <w:color w:val="auto"/>
                        </w:rPr>
                        <w:t xml:space="preserve">| </w:t>
                      </w:r>
                      <w:r w:rsidRPr="00095135">
                        <w:rPr>
                          <w:b w:val="0"/>
                          <w:color w:val="auto"/>
                        </w:rPr>
                        <w:t>Závodní 360/94, 360 06 Karlovy Vary</w:t>
                      </w:r>
                      <w:r w:rsidRPr="004A61C5">
                        <w:rPr>
                          <w:b w:val="0"/>
                          <w:color w:val="auto"/>
                        </w:rPr>
                        <w:t>, tel.</w:t>
                      </w:r>
                      <w:r>
                        <w:rPr>
                          <w:b w:val="0"/>
                          <w:color w:val="auto"/>
                        </w:rPr>
                        <w:t>: 353 114 529</w:t>
                      </w:r>
                    </w:p>
                    <w:p w14:paraId="24C682D2" w14:textId="77777777" w:rsidR="00A04CEF" w:rsidRPr="004A61C5" w:rsidRDefault="00A04CEF" w:rsidP="00AB535B">
                      <w:pPr>
                        <w:pStyle w:val="TLKontakty"/>
                        <w:spacing w:after="80" w:line="240" w:lineRule="auto"/>
                        <w:rPr>
                          <w:b w:val="0"/>
                          <w:color w:val="auto"/>
                        </w:rPr>
                      </w:pPr>
                      <w:r w:rsidRPr="004A61C5">
                        <w:rPr>
                          <w:b w:val="0"/>
                          <w:color w:val="auto"/>
                        </w:rPr>
                        <w:t>e-mail: infoserviskv@</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csu.gov.cz/karlovarsky</w:t>
                      </w:r>
                    </w:p>
                    <w:p w14:paraId="6E9577F9" w14:textId="77777777" w:rsidR="00A04CEF" w:rsidRPr="004A61C5" w:rsidRDefault="00A04CEF" w:rsidP="00AB535B">
                      <w:pPr>
                        <w:pStyle w:val="TLKontakty"/>
                        <w:spacing w:after="80" w:line="240" w:lineRule="auto"/>
                        <w:rPr>
                          <w:color w:val="auto"/>
                        </w:rPr>
                      </w:pPr>
                    </w:p>
                    <w:p w14:paraId="77286DF2" w14:textId="77777777" w:rsidR="00A04CEF" w:rsidRPr="004A61C5" w:rsidRDefault="00A04CEF" w:rsidP="00AB535B">
                      <w:pPr>
                        <w:pStyle w:val="TLKontakty"/>
                        <w:spacing w:after="80" w:line="240" w:lineRule="auto"/>
                        <w:rPr>
                          <w:b w:val="0"/>
                          <w:color w:val="auto"/>
                        </w:rPr>
                      </w:pPr>
                      <w:r w:rsidRPr="00EA0987">
                        <w:t>Ústí nad Labem</w:t>
                      </w:r>
                      <w:r w:rsidRPr="00EA0987">
                        <w:rPr>
                          <w:b w:val="0"/>
                        </w:rPr>
                        <w:t xml:space="preserve"> </w:t>
                      </w:r>
                      <w:r w:rsidRPr="004A61C5">
                        <w:rPr>
                          <w:b w:val="0"/>
                          <w:color w:val="auto"/>
                        </w:rPr>
                        <w:t>| Špálova 2684, 400 11 Ústí nad Labem</w:t>
                      </w:r>
                      <w:r>
                        <w:rPr>
                          <w:b w:val="0"/>
                          <w:color w:val="auto"/>
                        </w:rPr>
                        <w:t xml:space="preserve">, </w:t>
                      </w:r>
                      <w:r w:rsidRPr="004A61C5">
                        <w:rPr>
                          <w:b w:val="0"/>
                          <w:color w:val="auto"/>
                        </w:rPr>
                        <w:t>tel.</w:t>
                      </w:r>
                      <w:r>
                        <w:rPr>
                          <w:b w:val="0"/>
                          <w:color w:val="auto"/>
                        </w:rPr>
                        <w:t>: 472 706 176</w:t>
                      </w:r>
                    </w:p>
                    <w:p w14:paraId="650EE774" w14:textId="77777777" w:rsidR="00A04CEF" w:rsidRPr="004A61C5" w:rsidRDefault="00A04CEF" w:rsidP="00AB535B">
                      <w:pPr>
                        <w:pStyle w:val="TLKontakty"/>
                        <w:spacing w:after="80" w:line="240" w:lineRule="auto"/>
                        <w:rPr>
                          <w:b w:val="0"/>
                          <w:color w:val="auto"/>
                        </w:rPr>
                      </w:pPr>
                      <w:r w:rsidRPr="004A61C5">
                        <w:rPr>
                          <w:b w:val="0"/>
                          <w:color w:val="auto"/>
                        </w:rPr>
                        <w:t>e-mail: infoservisul@</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csu.gov.cz/ustecky</w:t>
                      </w:r>
                    </w:p>
                    <w:p w14:paraId="07D247CD" w14:textId="77777777" w:rsidR="00A04CEF" w:rsidRPr="004A61C5" w:rsidRDefault="00A04CEF" w:rsidP="00AB535B">
                      <w:pPr>
                        <w:pStyle w:val="TLKontakty"/>
                        <w:spacing w:after="80" w:line="240" w:lineRule="auto"/>
                        <w:rPr>
                          <w:color w:val="auto"/>
                        </w:rPr>
                      </w:pPr>
                    </w:p>
                    <w:p w14:paraId="29194436" w14:textId="77777777" w:rsidR="00A04CEF" w:rsidRPr="004A61C5" w:rsidRDefault="00A04CEF" w:rsidP="00AB535B">
                      <w:pPr>
                        <w:pStyle w:val="TLKontakty"/>
                        <w:spacing w:after="80" w:line="240" w:lineRule="auto"/>
                        <w:rPr>
                          <w:b w:val="0"/>
                          <w:color w:val="auto"/>
                        </w:rPr>
                      </w:pPr>
                      <w:r w:rsidRPr="00EA0987">
                        <w:t>Liberec</w:t>
                      </w:r>
                      <w:r>
                        <w:rPr>
                          <w:b w:val="0"/>
                          <w:color w:val="auto"/>
                        </w:rPr>
                        <w:t xml:space="preserve"> | n</w:t>
                      </w:r>
                      <w:r w:rsidRPr="004A61C5">
                        <w:rPr>
                          <w:b w:val="0"/>
                          <w:color w:val="auto"/>
                        </w:rPr>
                        <w:t>ám. Dr. Edvarda</w:t>
                      </w:r>
                      <w:r>
                        <w:rPr>
                          <w:b w:val="0"/>
                          <w:color w:val="auto"/>
                        </w:rPr>
                        <w:t xml:space="preserve"> Beneše 585/26, 460 01 Liberec</w:t>
                      </w:r>
                      <w:r w:rsidRPr="004A61C5">
                        <w:rPr>
                          <w:b w:val="0"/>
                          <w:color w:val="auto"/>
                        </w:rPr>
                        <w:t>, tel.</w:t>
                      </w:r>
                      <w:r>
                        <w:rPr>
                          <w:b w:val="0"/>
                          <w:color w:val="auto"/>
                        </w:rPr>
                        <w:t>: 704 675 184</w:t>
                      </w:r>
                    </w:p>
                    <w:p w14:paraId="495AA30F" w14:textId="77777777" w:rsidR="00A04CEF" w:rsidRPr="004A61C5" w:rsidRDefault="00A04CEF" w:rsidP="00AB535B">
                      <w:pPr>
                        <w:pStyle w:val="TLKontakty"/>
                        <w:spacing w:after="80" w:line="240" w:lineRule="auto"/>
                        <w:rPr>
                          <w:b w:val="0"/>
                          <w:color w:val="auto"/>
                        </w:rPr>
                      </w:pPr>
                      <w:r w:rsidRPr="004A61C5">
                        <w:rPr>
                          <w:b w:val="0"/>
                          <w:color w:val="auto"/>
                        </w:rPr>
                        <w:t>e-mail: infoservislbc@</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csu.gov.cz/liberecky</w:t>
                      </w:r>
                    </w:p>
                    <w:p w14:paraId="352E4F51" w14:textId="77777777" w:rsidR="00A04CEF" w:rsidRPr="004A61C5" w:rsidRDefault="00A04CEF" w:rsidP="00AB535B">
                      <w:pPr>
                        <w:pStyle w:val="TLKontakty"/>
                        <w:spacing w:after="80" w:line="240" w:lineRule="auto"/>
                        <w:rPr>
                          <w:b w:val="0"/>
                          <w:color w:val="auto"/>
                        </w:rPr>
                      </w:pPr>
                    </w:p>
                    <w:p w14:paraId="4CA59A3C" w14:textId="77777777" w:rsidR="00A04CEF" w:rsidRPr="004A61C5" w:rsidRDefault="00A04CEF" w:rsidP="00AB535B">
                      <w:pPr>
                        <w:pStyle w:val="TLKontakty"/>
                        <w:spacing w:after="80" w:line="240" w:lineRule="auto"/>
                        <w:rPr>
                          <w:b w:val="0"/>
                          <w:color w:val="auto"/>
                        </w:rPr>
                      </w:pPr>
                      <w:r w:rsidRPr="00EA0987">
                        <w:t>Hradec Králové</w:t>
                      </w:r>
                      <w:r w:rsidRPr="00EA0987">
                        <w:rPr>
                          <w:b w:val="0"/>
                        </w:rPr>
                        <w:t xml:space="preserve"> </w:t>
                      </w:r>
                      <w:r w:rsidRPr="004A61C5">
                        <w:rPr>
                          <w:b w:val="0"/>
                          <w:color w:val="auto"/>
                        </w:rPr>
                        <w:t>| Myslivečk</w:t>
                      </w:r>
                      <w:r>
                        <w:rPr>
                          <w:b w:val="0"/>
                          <w:color w:val="auto"/>
                        </w:rPr>
                        <w:t>ova 914, 500 03 Hradec Králové</w:t>
                      </w:r>
                      <w:r w:rsidRPr="004A61C5">
                        <w:rPr>
                          <w:b w:val="0"/>
                          <w:color w:val="auto"/>
                        </w:rPr>
                        <w:t xml:space="preserve">, </w:t>
                      </w:r>
                      <w:r>
                        <w:rPr>
                          <w:b w:val="0"/>
                          <w:color w:val="auto"/>
                        </w:rPr>
                        <w:t>tel.</w:t>
                      </w:r>
                      <w:r w:rsidRPr="007D40DF">
                        <w:rPr>
                          <w:b w:val="0"/>
                          <w:color w:val="auto"/>
                        </w:rPr>
                        <w:t>:</w:t>
                      </w:r>
                      <w:r>
                        <w:rPr>
                          <w:b w:val="0"/>
                          <w:color w:val="auto"/>
                        </w:rPr>
                        <w:t xml:space="preserve"> 495 762 322</w:t>
                      </w:r>
                    </w:p>
                    <w:p w14:paraId="081AD867" w14:textId="77777777" w:rsidR="00A04CEF" w:rsidRPr="004A61C5" w:rsidRDefault="00A04CEF" w:rsidP="00AB535B">
                      <w:pPr>
                        <w:pStyle w:val="TLKontakty"/>
                        <w:spacing w:after="80" w:line="240" w:lineRule="auto"/>
                        <w:rPr>
                          <w:b w:val="0"/>
                          <w:color w:val="auto"/>
                        </w:rPr>
                      </w:pPr>
                      <w:r w:rsidRPr="004A61C5">
                        <w:rPr>
                          <w:b w:val="0"/>
                          <w:color w:val="auto"/>
                        </w:rPr>
                        <w:t>e-mail: infoservishk@</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csu.gov.cz/kralovehradecky</w:t>
                      </w:r>
                    </w:p>
                    <w:p w14:paraId="08EC8A6A" w14:textId="77777777" w:rsidR="00A04CEF" w:rsidRPr="004A61C5" w:rsidRDefault="00A04CEF" w:rsidP="00AB535B">
                      <w:pPr>
                        <w:pStyle w:val="TLKontakty"/>
                        <w:spacing w:after="80" w:line="240" w:lineRule="auto"/>
                        <w:rPr>
                          <w:color w:val="auto"/>
                        </w:rPr>
                      </w:pPr>
                    </w:p>
                    <w:p w14:paraId="7586B150" w14:textId="77777777" w:rsidR="00A04CEF" w:rsidRPr="004A61C5" w:rsidRDefault="00A04CEF" w:rsidP="00AB535B">
                      <w:pPr>
                        <w:pStyle w:val="TLKontakty"/>
                        <w:spacing w:after="80" w:line="240" w:lineRule="auto"/>
                        <w:rPr>
                          <w:b w:val="0"/>
                          <w:color w:val="auto"/>
                        </w:rPr>
                      </w:pPr>
                      <w:r w:rsidRPr="00EA0987">
                        <w:t>Pardubice</w:t>
                      </w:r>
                      <w:r w:rsidRPr="00EA0987">
                        <w:rPr>
                          <w:b w:val="0"/>
                        </w:rPr>
                        <w:t xml:space="preserve"> </w:t>
                      </w:r>
                      <w:r w:rsidRPr="004A61C5">
                        <w:rPr>
                          <w:b w:val="0"/>
                          <w:color w:val="auto"/>
                        </w:rPr>
                        <w:t>| V Ráji 872, 531 53 Pardubice</w:t>
                      </w:r>
                      <w:r>
                        <w:rPr>
                          <w:b w:val="0"/>
                          <w:color w:val="auto"/>
                        </w:rPr>
                        <w:t xml:space="preserve">, </w:t>
                      </w:r>
                      <w:r w:rsidRPr="004A61C5">
                        <w:rPr>
                          <w:b w:val="0"/>
                          <w:color w:val="auto"/>
                        </w:rPr>
                        <w:t>tel.</w:t>
                      </w:r>
                      <w:r>
                        <w:rPr>
                          <w:b w:val="0"/>
                          <w:color w:val="auto"/>
                        </w:rPr>
                        <w:t>: 466 743 480</w:t>
                      </w:r>
                    </w:p>
                    <w:p w14:paraId="4B4D3BBA" w14:textId="77777777" w:rsidR="00A04CEF" w:rsidRPr="004A61C5" w:rsidRDefault="00A04CEF" w:rsidP="00AB535B">
                      <w:pPr>
                        <w:pStyle w:val="TLKontakty"/>
                        <w:spacing w:after="80" w:line="240" w:lineRule="auto"/>
                        <w:rPr>
                          <w:b w:val="0"/>
                          <w:color w:val="auto"/>
                        </w:rPr>
                      </w:pPr>
                      <w:r w:rsidRPr="004A61C5">
                        <w:rPr>
                          <w:b w:val="0"/>
                          <w:color w:val="auto"/>
                        </w:rPr>
                        <w:t>e-mail: infoservispa@</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csu.gov.cz/pardubicky</w:t>
                      </w:r>
                    </w:p>
                    <w:p w14:paraId="6CF93D89" w14:textId="77777777" w:rsidR="00A04CEF" w:rsidRPr="004A61C5" w:rsidRDefault="00A04CEF" w:rsidP="00AB535B">
                      <w:pPr>
                        <w:pStyle w:val="TLKontakty"/>
                        <w:spacing w:after="80" w:line="240" w:lineRule="auto"/>
                        <w:rPr>
                          <w:b w:val="0"/>
                          <w:color w:val="auto"/>
                        </w:rPr>
                      </w:pPr>
                    </w:p>
                    <w:p w14:paraId="30BAB159" w14:textId="77777777" w:rsidR="00A04CEF" w:rsidRPr="004A61C5" w:rsidRDefault="00A04CEF" w:rsidP="00AB535B">
                      <w:pPr>
                        <w:pStyle w:val="TLKontakty"/>
                        <w:spacing w:after="80" w:line="240" w:lineRule="auto"/>
                        <w:rPr>
                          <w:b w:val="0"/>
                          <w:color w:val="auto"/>
                        </w:rPr>
                      </w:pPr>
                      <w:r w:rsidRPr="00EA0987">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Pr>
                          <w:b w:val="0"/>
                          <w:color w:val="auto"/>
                        </w:rPr>
                        <w:t>080</w:t>
                      </w:r>
                    </w:p>
                    <w:p w14:paraId="0532717C" w14:textId="77777777" w:rsidR="00A04CEF" w:rsidRPr="004A61C5" w:rsidRDefault="00A04CEF" w:rsidP="00AB535B">
                      <w:pPr>
                        <w:pStyle w:val="TLKontakty"/>
                        <w:spacing w:after="80" w:line="240" w:lineRule="auto"/>
                        <w:rPr>
                          <w:b w:val="0"/>
                          <w:color w:val="auto"/>
                        </w:rPr>
                      </w:pPr>
                      <w:r w:rsidRPr="004A61C5">
                        <w:rPr>
                          <w:b w:val="0"/>
                          <w:color w:val="auto"/>
                        </w:rPr>
                        <w:t>e-mail: infoservisvys@</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csu.gov.cz/vysocina</w:t>
                      </w:r>
                    </w:p>
                    <w:p w14:paraId="7B3866D4" w14:textId="77777777" w:rsidR="00A04CEF" w:rsidRDefault="00A04CEF" w:rsidP="00AB535B">
                      <w:pPr>
                        <w:pStyle w:val="TLKontakty"/>
                        <w:spacing w:after="80" w:line="240" w:lineRule="auto"/>
                      </w:pPr>
                    </w:p>
                    <w:p w14:paraId="3DCDC97A" w14:textId="77777777" w:rsidR="00A04CEF" w:rsidRPr="00BC731E" w:rsidRDefault="00A04CEF" w:rsidP="00AB535B">
                      <w:pPr>
                        <w:pStyle w:val="TLKontakty"/>
                        <w:spacing w:after="80" w:line="240" w:lineRule="auto"/>
                        <w:rPr>
                          <w:b w:val="0"/>
                          <w:color w:val="auto"/>
                        </w:rPr>
                      </w:pPr>
                      <w:r w:rsidRPr="00EA0987">
                        <w:t>Brno</w:t>
                      </w:r>
                      <w:r w:rsidRPr="00DE02BD">
                        <w:rPr>
                          <w:b w:val="0"/>
                          <w:color w:val="685B7A"/>
                        </w:rPr>
                        <w:t xml:space="preserve"> </w:t>
                      </w:r>
                      <w:r w:rsidRPr="004A61C5">
                        <w:rPr>
                          <w:b w:val="0"/>
                          <w:color w:val="auto"/>
                        </w:rPr>
                        <w:t xml:space="preserve">| Jezuitská 2, 601 59 Brno, </w:t>
                      </w:r>
                      <w:r>
                        <w:rPr>
                          <w:b w:val="0"/>
                          <w:color w:val="auto"/>
                        </w:rPr>
                        <w:t xml:space="preserve">tel: </w:t>
                      </w:r>
                      <w:r w:rsidRPr="00BC731E">
                        <w:rPr>
                          <w:b w:val="0"/>
                          <w:color w:val="auto"/>
                        </w:rPr>
                        <w:t>542 528 200</w:t>
                      </w:r>
                    </w:p>
                    <w:p w14:paraId="1AB72DE8" w14:textId="77777777" w:rsidR="00A04CEF" w:rsidRPr="004A61C5" w:rsidRDefault="00A04CEF" w:rsidP="00AB535B">
                      <w:pPr>
                        <w:pStyle w:val="TLKontakty"/>
                        <w:spacing w:after="80" w:line="240" w:lineRule="auto"/>
                        <w:rPr>
                          <w:color w:val="auto"/>
                        </w:rPr>
                      </w:pPr>
                      <w:r w:rsidRPr="004A61C5">
                        <w:rPr>
                          <w:b w:val="0"/>
                          <w:color w:val="auto"/>
                        </w:rPr>
                        <w:t>e-mail: infoservisbrno@</w:t>
                      </w:r>
                      <w:r>
                        <w:rPr>
                          <w:b w:val="0"/>
                          <w:color w:val="auto"/>
                        </w:rPr>
                        <w:t>csu.gov</w:t>
                      </w:r>
                      <w:r w:rsidRPr="00D235B7">
                        <w:rPr>
                          <w:b w:val="0"/>
                          <w:color w:val="auto"/>
                        </w:rPr>
                        <w:t>.cz</w:t>
                      </w:r>
                      <w:r w:rsidRPr="004A61C5">
                        <w:rPr>
                          <w:b w:val="0"/>
                          <w:color w:val="auto"/>
                        </w:rPr>
                        <w:t xml:space="preserve"> | </w:t>
                      </w:r>
                      <w:r w:rsidRPr="00992CF3">
                        <w:rPr>
                          <w:color w:val="auto"/>
                        </w:rPr>
                        <w:t>www.</w:t>
                      </w:r>
                      <w:r>
                        <w:rPr>
                          <w:color w:val="auto"/>
                        </w:rPr>
                        <w:t>csu.gov.cz/jihomoravsky</w:t>
                      </w:r>
                    </w:p>
                    <w:p w14:paraId="0068D5EE" w14:textId="77777777" w:rsidR="00A04CEF" w:rsidRPr="004A61C5" w:rsidRDefault="00A04CEF" w:rsidP="00AB535B">
                      <w:pPr>
                        <w:pStyle w:val="TLKontakty"/>
                        <w:spacing w:after="80" w:line="240" w:lineRule="auto"/>
                        <w:rPr>
                          <w:b w:val="0"/>
                          <w:color w:val="auto"/>
                        </w:rPr>
                      </w:pPr>
                    </w:p>
                    <w:p w14:paraId="50E3CB39" w14:textId="77777777" w:rsidR="00A04CEF" w:rsidRPr="005E7C78" w:rsidRDefault="00A04CEF" w:rsidP="00AB535B">
                      <w:pPr>
                        <w:pStyle w:val="TLKontakty"/>
                        <w:spacing w:after="80" w:line="240" w:lineRule="auto"/>
                        <w:rPr>
                          <w:b w:val="0"/>
                          <w:color w:val="auto"/>
                        </w:rPr>
                      </w:pPr>
                      <w:r w:rsidRPr="00EA0987">
                        <w:t>Olomouc</w:t>
                      </w:r>
                      <w:r w:rsidRPr="005E7C78">
                        <w:rPr>
                          <w:b w:val="0"/>
                          <w:color w:val="auto"/>
                        </w:rPr>
                        <w:t xml:space="preserve"> | Jeremenkova 1142/42, 772 11 Olomouc, </w:t>
                      </w:r>
                      <w:r>
                        <w:rPr>
                          <w:b w:val="0"/>
                          <w:color w:val="auto"/>
                        </w:rPr>
                        <w:t xml:space="preserve">tel.: </w:t>
                      </w:r>
                      <w:r w:rsidRPr="00BC731E">
                        <w:rPr>
                          <w:b w:val="0"/>
                          <w:color w:val="auto"/>
                        </w:rPr>
                        <w:t>585 731 511</w:t>
                      </w:r>
                    </w:p>
                    <w:p w14:paraId="4DF839A7" w14:textId="77777777" w:rsidR="00A04CEF" w:rsidRPr="005E7C78" w:rsidRDefault="00A04CEF" w:rsidP="00AB535B">
                      <w:pPr>
                        <w:pStyle w:val="TLKontakty"/>
                        <w:spacing w:after="80" w:line="240" w:lineRule="auto"/>
                        <w:rPr>
                          <w:b w:val="0"/>
                          <w:color w:val="auto"/>
                        </w:rPr>
                      </w:pPr>
                      <w:r w:rsidRPr="005E7C78">
                        <w:rPr>
                          <w:b w:val="0"/>
                          <w:color w:val="auto"/>
                        </w:rPr>
                        <w:t>e-mail: infoservisolom@</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csu.gov.cz/olomoucky</w:t>
                      </w:r>
                    </w:p>
                    <w:p w14:paraId="46C88BC4" w14:textId="77777777" w:rsidR="00A04CEF" w:rsidRPr="005E7C78" w:rsidRDefault="00A04CEF" w:rsidP="00AB535B">
                      <w:pPr>
                        <w:pStyle w:val="TLKontakty"/>
                        <w:spacing w:after="80" w:line="240" w:lineRule="auto"/>
                        <w:rPr>
                          <w:b w:val="0"/>
                          <w:color w:val="auto"/>
                        </w:rPr>
                      </w:pPr>
                    </w:p>
                    <w:p w14:paraId="16A6BEB7" w14:textId="77777777" w:rsidR="00A04CEF" w:rsidRPr="005E7C78" w:rsidRDefault="00A04CEF" w:rsidP="00AB535B">
                      <w:pPr>
                        <w:pStyle w:val="TLKontakty"/>
                        <w:spacing w:after="80" w:line="240" w:lineRule="auto"/>
                        <w:rPr>
                          <w:b w:val="0"/>
                          <w:color w:val="auto"/>
                        </w:rPr>
                      </w:pPr>
                      <w:r w:rsidRPr="00EA0987">
                        <w:t>Zlín</w:t>
                      </w:r>
                      <w:r w:rsidRPr="00EA0987">
                        <w:rPr>
                          <w:b w:val="0"/>
                        </w:rPr>
                        <w:t xml:space="preserve"> </w:t>
                      </w:r>
                      <w:r w:rsidRPr="005E7C78">
                        <w:rPr>
                          <w:b w:val="0"/>
                          <w:color w:val="auto"/>
                        </w:rPr>
                        <w:t>| tř</w:t>
                      </w:r>
                      <w:r>
                        <w:rPr>
                          <w:b w:val="0"/>
                          <w:color w:val="auto"/>
                        </w:rPr>
                        <w:t>ída</w:t>
                      </w:r>
                      <w:r w:rsidRPr="005E7C78">
                        <w:rPr>
                          <w:b w:val="0"/>
                          <w:color w:val="auto"/>
                        </w:rPr>
                        <w:t xml:space="preserve"> Tomáše Bati 1565, 761 76 Zlín, </w:t>
                      </w:r>
                      <w:r>
                        <w:rPr>
                          <w:b w:val="0"/>
                          <w:color w:val="auto"/>
                        </w:rPr>
                        <w:t>tel.: 577 004 936</w:t>
                      </w:r>
                    </w:p>
                    <w:p w14:paraId="15EF2429" w14:textId="77777777" w:rsidR="00A04CEF" w:rsidRDefault="00A04CEF" w:rsidP="00AB535B">
                      <w:pPr>
                        <w:pStyle w:val="TLKontakty"/>
                        <w:spacing w:after="80" w:line="240" w:lineRule="auto"/>
                        <w:rPr>
                          <w:color w:val="auto"/>
                        </w:rPr>
                      </w:pPr>
                      <w:r>
                        <w:rPr>
                          <w:b w:val="0"/>
                          <w:color w:val="auto"/>
                        </w:rPr>
                        <w:t>e-mail: infoservis</w:t>
                      </w:r>
                      <w:r w:rsidRPr="005E7C78">
                        <w:rPr>
                          <w:b w:val="0"/>
                          <w:color w:val="auto"/>
                        </w:rPr>
                        <w:t>zl@</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csu.gov.cz/zlinsky</w:t>
                      </w:r>
                    </w:p>
                    <w:p w14:paraId="124AFCC8" w14:textId="77777777" w:rsidR="00A04CEF" w:rsidRPr="005E7C78" w:rsidRDefault="00A04CEF" w:rsidP="00AB535B">
                      <w:pPr>
                        <w:pStyle w:val="TLKontakty"/>
                        <w:spacing w:after="80" w:line="240" w:lineRule="auto"/>
                        <w:rPr>
                          <w:b w:val="0"/>
                          <w:color w:val="auto"/>
                        </w:rPr>
                      </w:pPr>
                    </w:p>
                    <w:p w14:paraId="61D04DDC" w14:textId="77777777" w:rsidR="00A04CEF" w:rsidRPr="005E7C78" w:rsidRDefault="00A04CEF" w:rsidP="00AB535B">
                      <w:pPr>
                        <w:pStyle w:val="TLKontakty"/>
                        <w:spacing w:after="80" w:line="240" w:lineRule="auto"/>
                        <w:rPr>
                          <w:b w:val="0"/>
                          <w:color w:val="auto"/>
                        </w:rPr>
                      </w:pPr>
                      <w:r w:rsidRPr="00EA0987">
                        <w:t>Ostrava</w:t>
                      </w:r>
                      <w:r w:rsidRPr="00EA0987">
                        <w:rPr>
                          <w:b w:val="0"/>
                        </w:rPr>
                        <w:t xml:space="preserve"> </w:t>
                      </w:r>
                      <w:r w:rsidRPr="005E7C78">
                        <w:rPr>
                          <w:b w:val="0"/>
                          <w:color w:val="auto"/>
                        </w:rPr>
                        <w:t>| Repinova 17, 702 03 Ostrava,</w:t>
                      </w:r>
                      <w:r>
                        <w:rPr>
                          <w:b w:val="0"/>
                          <w:color w:val="auto"/>
                        </w:rPr>
                        <w:t xml:space="preserve"> tel: 595 131 230</w:t>
                      </w:r>
                    </w:p>
                    <w:p w14:paraId="0F47DC86" w14:textId="77777777" w:rsidR="00A04CEF" w:rsidRPr="00095135" w:rsidRDefault="00A04CEF" w:rsidP="00AB535B">
                      <w:pPr>
                        <w:pStyle w:val="TLKontakty"/>
                        <w:spacing w:after="80" w:line="240" w:lineRule="auto"/>
                        <w:rPr>
                          <w:b w:val="0"/>
                          <w:color w:val="auto"/>
                        </w:rPr>
                      </w:pPr>
                      <w:r>
                        <w:rPr>
                          <w:b w:val="0"/>
                          <w:color w:val="auto"/>
                        </w:rPr>
                        <w:t>e-mail: infoservis</w:t>
                      </w:r>
                      <w:r w:rsidRPr="005E7C78">
                        <w:rPr>
                          <w:b w:val="0"/>
                          <w:color w:val="auto"/>
                        </w:rPr>
                        <w:t>ov@</w:t>
                      </w:r>
                      <w:r>
                        <w:rPr>
                          <w:b w:val="0"/>
                          <w:color w:val="auto"/>
                        </w:rPr>
                        <w:t>csu.gov</w:t>
                      </w:r>
                      <w:r w:rsidRPr="00D235B7">
                        <w:rPr>
                          <w:b w:val="0"/>
                          <w:color w:val="auto"/>
                        </w:rPr>
                        <w:t>.cz</w:t>
                      </w:r>
                      <w:r w:rsidRPr="005E7C78">
                        <w:rPr>
                          <w:b w:val="0"/>
                          <w:color w:val="auto"/>
                        </w:rPr>
                        <w:t xml:space="preserve"> | </w:t>
                      </w:r>
                      <w:r w:rsidRPr="00992CF3">
                        <w:rPr>
                          <w:color w:val="auto"/>
                        </w:rPr>
                        <w:t>www.</w:t>
                      </w:r>
                      <w:r>
                        <w:rPr>
                          <w:color w:val="auto"/>
                        </w:rPr>
                        <w:t>csu.gov.cz/moravskoslezsky</w:t>
                      </w:r>
                    </w:p>
                  </w:txbxContent>
                </v:textbox>
                <w10:wrap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anchorId="2143297E" wp14:editId="2143297F">
                <wp:simplePos x="0" y="0"/>
                <wp:positionH relativeFrom="page">
                  <wp:posOffset>720090</wp:posOffset>
                </wp:positionH>
                <wp:positionV relativeFrom="page">
                  <wp:posOffset>9324975</wp:posOffset>
                </wp:positionV>
                <wp:extent cx="6120000" cy="540000"/>
                <wp:effectExtent l="0" t="0" r="14605" b="1270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0C2ABDC7" w14:textId="77777777" w:rsidR="00A04CEF" w:rsidRDefault="00A04CEF" w:rsidP="00884AD6"/>
                          <w:p w14:paraId="214329D3" w14:textId="0CC4A87D" w:rsidR="00A04CEF" w:rsidRPr="00321924" w:rsidRDefault="00A04CEF" w:rsidP="00884AD6">
                            <w:r w:rsidRPr="00321924">
                              <w:t xml:space="preserve">© Český statistický úřad, </w:t>
                            </w:r>
                            <w:r>
                              <w:t>Praha</w:t>
                            </w:r>
                            <w:r w:rsidRPr="00321924">
                              <w:t xml:space="preserve">, </w:t>
                            </w:r>
                            <w:r>
                              <w:t>2025</w:t>
                            </w:r>
                          </w:p>
                          <w:p w14:paraId="214329D4" w14:textId="77777777" w:rsidR="00A04CEF" w:rsidRDefault="00A04CEF"/>
                          <w:p w14:paraId="214329D5" w14:textId="77777777" w:rsidR="00A04CEF" w:rsidRPr="00841D9F" w:rsidRDefault="00A04CEF" w:rsidP="000A3A2C">
                            <w:r w:rsidRPr="00841D9F">
                              <w:rPr>
                                <w:szCs w:val="26"/>
                              </w:rPr>
                              <w:t xml:space="preserve">ISBN XX-XXXX-XXX-X  </w:t>
                            </w:r>
                            <w:r w:rsidRPr="00841D9F">
                              <w:t>(pouze u nepravidelných a ročních publikací)</w:t>
                            </w:r>
                          </w:p>
                          <w:p w14:paraId="214329D6" w14:textId="77777777" w:rsidR="00A04CEF" w:rsidRPr="00AF2852" w:rsidRDefault="00A04CEF"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3297E" id="_x0000_s1031" type="#_x0000_t202" style="position:absolute;margin-left:56.7pt;margin-top:734.25pt;width:481.9pt;height:4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" filled="f" stroked="f">
                <v:textbox inset="0,0,0,0">
                  <w:txbxContent>
                    <w:p w14:paraId="0C2ABDC7" w14:textId="77777777" w:rsidR="00A04CEF" w:rsidRDefault="00A04CEF" w:rsidP="00884AD6"/>
                    <w:p w14:paraId="214329D3" w14:textId="0CC4A87D" w:rsidR="00A04CEF" w:rsidRPr="00321924" w:rsidRDefault="00A04CEF" w:rsidP="00884AD6">
                      <w:r w:rsidRPr="00321924">
                        <w:t xml:space="preserve">© Český statistický úřad, </w:t>
                      </w:r>
                      <w:r>
                        <w:t>Praha</w:t>
                      </w:r>
                      <w:r w:rsidRPr="00321924">
                        <w:t xml:space="preserve">, </w:t>
                      </w:r>
                      <w:r>
                        <w:t>2025</w:t>
                      </w:r>
                    </w:p>
                    <w:p w14:paraId="214329D4" w14:textId="77777777" w:rsidR="00A04CEF" w:rsidRDefault="00A04CEF"/>
                    <w:p w14:paraId="214329D5" w14:textId="77777777" w:rsidR="00A04CEF" w:rsidRPr="00841D9F" w:rsidRDefault="00A04CEF" w:rsidP="000A3A2C">
                      <w:r w:rsidRPr="00841D9F">
                        <w:rPr>
                          <w:szCs w:val="26"/>
                        </w:rPr>
                        <w:t xml:space="preserve">ISBN XX-XXXX-XXX-X  </w:t>
                      </w:r>
                      <w:r w:rsidRPr="00841D9F">
                        <w:t>(pouze u nepravidelných a ročních publikací)</w:t>
                      </w:r>
                    </w:p>
                    <w:p w14:paraId="214329D6" w14:textId="77777777" w:rsidR="00A04CEF" w:rsidRPr="00AF2852" w:rsidRDefault="00A04CEF"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Pr>
          <w:noProof/>
        </w:rPr>
        <mc:AlternateContent>
          <mc:Choice Requires="wps">
            <w:drawing>
              <wp:anchor distT="0" distB="0" distL="114300" distR="114300" simplePos="0" relativeHeight="251660800" behindDoc="0" locked="1" layoutInCell="1" allowOverlap="1" wp14:anchorId="21432980" wp14:editId="21432981">
                <wp:simplePos x="0" y="0"/>
                <wp:positionH relativeFrom="page">
                  <wp:posOffset>723265</wp:posOffset>
                </wp:positionH>
                <wp:positionV relativeFrom="page">
                  <wp:posOffset>723265</wp:posOffset>
                </wp:positionV>
                <wp:extent cx="6119495" cy="555625"/>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5562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w="9525">
                              <a:solidFill>
                                <a:srgbClr val="000000"/>
                              </a:solidFill>
                              <a:miter lim="800000"/>
                              <a:headEnd/>
                              <a:tailEnd/>
                            </a14:hiddenLine>
                          </a:ext>
                        </a:extLst>
                      </wps:spPr>
                      <wps:txbx>
                        <w:txbxContent>
                          <w:p w14:paraId="214329D7" w14:textId="77777777" w:rsidR="00A04CEF" w:rsidRPr="009A1902" w:rsidRDefault="00A04CE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432980" id="_x0000_s1032" type="#_x0000_t202" style="position:absolute;margin-left:56.95pt;margin-top:56.95pt;width:481.85pt;height:4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" filled="f" stroked="f">
                <v:textbox style="mso-fit-shape-to-text:t" inset="0,0,0,0">
                  <w:txbxContent>
                    <w:p w14:paraId="214329D7" w14:textId="77777777" w:rsidR="00A04CEF" w:rsidRPr="009A1902" w:rsidRDefault="00A04CEF" w:rsidP="00214CF7">
                      <w:pPr>
                        <w:jc w:val="left"/>
                        <w:rPr>
                          <w:b/>
                          <w:bCs/>
                          <w:i/>
                          <w:sz w:val="24"/>
                        </w:rPr>
                      </w:pPr>
                      <w:r w:rsidRPr="00EA0987">
                        <w:rPr>
                          <w:b/>
                          <w:color w:val="86BF5E"/>
                          <w:sz w:val="24"/>
                        </w:rPr>
                        <w:t xml:space="preserve">Zajímají Vás nejnovější údaje o inflaci, HDP, obyvatelstvu, průměrných mzdách </w:t>
                      </w:r>
                      <w:r w:rsidRPr="00EA0987">
                        <w:rPr>
                          <w:b/>
                          <w:color w:val="86BF5E"/>
                          <w:sz w:val="24"/>
                        </w:rPr>
                        <w:br/>
                        <w:t xml:space="preserve">a mnohé další? Najdete je na stránkách ČSÚ na internetu: </w:t>
                      </w:r>
                      <w:r>
                        <w:rPr>
                          <w:b/>
                          <w:bCs/>
                          <w:sz w:val="24"/>
                        </w:rPr>
                        <w:t>www.csu.gov.cz</w:t>
                      </w:r>
                    </w:p>
                  </w:txbxContent>
                </v:textbox>
                <w10:wrap anchorx="page" anchory="page"/>
                <w10:anchorlock/>
              </v:shape>
            </w:pict>
          </mc:Fallback>
        </mc:AlternateContent>
      </w:r>
    </w:p>
    <w:sdt>
      <w:sdtPr>
        <w:rPr>
          <w:b w:val="0"/>
          <w:color w:val="auto"/>
          <w:sz w:val="20"/>
          <w:szCs w:val="20"/>
        </w:rPr>
        <w:id w:val="129444162"/>
        <w:docPartObj>
          <w:docPartGallery w:val="Table of Contents"/>
          <w:docPartUnique/>
        </w:docPartObj>
      </w:sdtPr>
      <w:sdtEndPr/>
      <w:sdtContent>
        <w:p w14:paraId="7D810B7A" w14:textId="77777777" w:rsidR="00C72884" w:rsidRPr="009110F7" w:rsidRDefault="00C72884" w:rsidP="00C72884">
          <w:pPr>
            <w:pStyle w:val="Obsah"/>
          </w:pPr>
          <w:r>
            <w:t>Obsah</w:t>
          </w:r>
        </w:p>
        <w:p w14:paraId="31D08F25" w14:textId="0B0958D4" w:rsidR="005E705E" w:rsidRDefault="00C72884">
          <w:pPr>
            <w:pStyle w:val="Obsah1"/>
            <w:rPr>
              <w:rFonts w:asciiTheme="minorHAnsi" w:eastAsiaTheme="minorEastAsia" w:hAnsiTheme="minorHAnsi" w:cstheme="minorBidi"/>
              <w:noProof/>
              <w:sz w:val="22"/>
              <w:szCs w:val="22"/>
            </w:rPr>
          </w:pPr>
          <w:r>
            <w:fldChar w:fldCharType="begin"/>
          </w:r>
          <w:r>
            <w:instrText>TOC \o "1-3" \h \z \u</w:instrText>
          </w:r>
          <w:r>
            <w:fldChar w:fldCharType="separate"/>
          </w:r>
          <w:hyperlink w:anchor="_Toc200969288" w:history="1">
            <w:r w:rsidR="005E705E" w:rsidRPr="00BA6C9D">
              <w:rPr>
                <w:rStyle w:val="Hypertextovodkaz"/>
                <w:noProof/>
              </w:rPr>
              <w:t>1. Shrnutí</w:t>
            </w:r>
            <w:r w:rsidR="005E705E">
              <w:rPr>
                <w:noProof/>
                <w:webHidden/>
              </w:rPr>
              <w:tab/>
            </w:r>
            <w:r w:rsidR="005E705E">
              <w:rPr>
                <w:noProof/>
                <w:webHidden/>
              </w:rPr>
              <w:fldChar w:fldCharType="begin"/>
            </w:r>
            <w:r w:rsidR="005E705E">
              <w:rPr>
                <w:noProof/>
                <w:webHidden/>
              </w:rPr>
              <w:instrText xml:space="preserve"> PAGEREF _Toc200969288 \h </w:instrText>
            </w:r>
            <w:r w:rsidR="005E705E">
              <w:rPr>
                <w:noProof/>
                <w:webHidden/>
              </w:rPr>
            </w:r>
            <w:r w:rsidR="005E705E">
              <w:rPr>
                <w:noProof/>
                <w:webHidden/>
              </w:rPr>
              <w:fldChar w:fldCharType="separate"/>
            </w:r>
            <w:r w:rsidR="005E705E">
              <w:rPr>
                <w:noProof/>
                <w:webHidden/>
              </w:rPr>
              <w:t>4</w:t>
            </w:r>
            <w:r w:rsidR="005E705E">
              <w:rPr>
                <w:noProof/>
                <w:webHidden/>
              </w:rPr>
              <w:fldChar w:fldCharType="end"/>
            </w:r>
          </w:hyperlink>
        </w:p>
        <w:p w14:paraId="29104CF8" w14:textId="0DD82665" w:rsidR="005E705E" w:rsidRDefault="002F3E4F">
          <w:pPr>
            <w:pStyle w:val="Obsah1"/>
            <w:rPr>
              <w:rFonts w:asciiTheme="minorHAnsi" w:eastAsiaTheme="minorEastAsia" w:hAnsiTheme="minorHAnsi" w:cstheme="minorBidi"/>
              <w:noProof/>
              <w:sz w:val="22"/>
              <w:szCs w:val="22"/>
            </w:rPr>
          </w:pPr>
          <w:hyperlink w:anchor="_Toc200969289" w:history="1">
            <w:r w:rsidR="005E705E" w:rsidRPr="00BA6C9D">
              <w:rPr>
                <w:rStyle w:val="Hypertextovodkaz"/>
                <w:noProof/>
              </w:rPr>
              <w:t>2. Souhrnná výkonnost</w:t>
            </w:r>
            <w:r w:rsidR="005E705E">
              <w:rPr>
                <w:noProof/>
                <w:webHidden/>
              </w:rPr>
              <w:tab/>
            </w:r>
            <w:r w:rsidR="005E705E">
              <w:rPr>
                <w:noProof/>
                <w:webHidden/>
              </w:rPr>
              <w:fldChar w:fldCharType="begin"/>
            </w:r>
            <w:r w:rsidR="005E705E">
              <w:rPr>
                <w:noProof/>
                <w:webHidden/>
              </w:rPr>
              <w:instrText xml:space="preserve"> PAGEREF _Toc200969289 \h </w:instrText>
            </w:r>
            <w:r w:rsidR="005E705E">
              <w:rPr>
                <w:noProof/>
                <w:webHidden/>
              </w:rPr>
            </w:r>
            <w:r w:rsidR="005E705E">
              <w:rPr>
                <w:noProof/>
                <w:webHidden/>
              </w:rPr>
              <w:fldChar w:fldCharType="separate"/>
            </w:r>
            <w:r w:rsidR="005E705E">
              <w:rPr>
                <w:noProof/>
                <w:webHidden/>
              </w:rPr>
              <w:t>6</w:t>
            </w:r>
            <w:r w:rsidR="005E705E">
              <w:rPr>
                <w:noProof/>
                <w:webHidden/>
              </w:rPr>
              <w:fldChar w:fldCharType="end"/>
            </w:r>
          </w:hyperlink>
        </w:p>
        <w:p w14:paraId="7165875B" w14:textId="673F025F" w:rsidR="005E705E" w:rsidRDefault="002F3E4F">
          <w:pPr>
            <w:pStyle w:val="Obsah1"/>
            <w:rPr>
              <w:rFonts w:asciiTheme="minorHAnsi" w:eastAsiaTheme="minorEastAsia" w:hAnsiTheme="minorHAnsi" w:cstheme="minorBidi"/>
              <w:noProof/>
              <w:sz w:val="22"/>
              <w:szCs w:val="22"/>
            </w:rPr>
          </w:pPr>
          <w:hyperlink w:anchor="_Toc200969290" w:history="1">
            <w:r w:rsidR="005E705E" w:rsidRPr="00BA6C9D">
              <w:rPr>
                <w:rStyle w:val="Hypertextovodkaz"/>
                <w:noProof/>
              </w:rPr>
              <w:t>3. Výkonnost odvětví</w:t>
            </w:r>
            <w:r w:rsidR="005E705E">
              <w:rPr>
                <w:noProof/>
                <w:webHidden/>
              </w:rPr>
              <w:tab/>
            </w:r>
            <w:r w:rsidR="005E705E">
              <w:rPr>
                <w:noProof/>
                <w:webHidden/>
              </w:rPr>
              <w:fldChar w:fldCharType="begin"/>
            </w:r>
            <w:r w:rsidR="005E705E">
              <w:rPr>
                <w:noProof/>
                <w:webHidden/>
              </w:rPr>
              <w:instrText xml:space="preserve"> PAGEREF _Toc200969290 \h </w:instrText>
            </w:r>
            <w:r w:rsidR="005E705E">
              <w:rPr>
                <w:noProof/>
                <w:webHidden/>
              </w:rPr>
            </w:r>
            <w:r w:rsidR="005E705E">
              <w:rPr>
                <w:noProof/>
                <w:webHidden/>
              </w:rPr>
              <w:fldChar w:fldCharType="separate"/>
            </w:r>
            <w:r w:rsidR="005E705E">
              <w:rPr>
                <w:noProof/>
                <w:webHidden/>
              </w:rPr>
              <w:t>10</w:t>
            </w:r>
            <w:r w:rsidR="005E705E">
              <w:rPr>
                <w:noProof/>
                <w:webHidden/>
              </w:rPr>
              <w:fldChar w:fldCharType="end"/>
            </w:r>
          </w:hyperlink>
        </w:p>
        <w:p w14:paraId="5F068FEA" w14:textId="1EF47324" w:rsidR="005E705E" w:rsidRDefault="002F3E4F">
          <w:pPr>
            <w:pStyle w:val="Obsah1"/>
            <w:rPr>
              <w:rFonts w:asciiTheme="minorHAnsi" w:eastAsiaTheme="minorEastAsia" w:hAnsiTheme="minorHAnsi" w:cstheme="minorBidi"/>
              <w:noProof/>
              <w:sz w:val="22"/>
              <w:szCs w:val="22"/>
            </w:rPr>
          </w:pPr>
          <w:hyperlink w:anchor="_Toc200969291" w:history="1">
            <w:r w:rsidR="005E705E" w:rsidRPr="00BA6C9D">
              <w:rPr>
                <w:rStyle w:val="Hypertextovodkaz"/>
                <w:noProof/>
              </w:rPr>
              <w:t>4. Vnější vztahy</w:t>
            </w:r>
            <w:r w:rsidR="005E705E">
              <w:rPr>
                <w:noProof/>
                <w:webHidden/>
              </w:rPr>
              <w:tab/>
            </w:r>
            <w:r w:rsidR="005E705E">
              <w:rPr>
                <w:noProof/>
                <w:webHidden/>
              </w:rPr>
              <w:fldChar w:fldCharType="begin"/>
            </w:r>
            <w:r w:rsidR="005E705E">
              <w:rPr>
                <w:noProof/>
                <w:webHidden/>
              </w:rPr>
              <w:instrText xml:space="preserve"> PAGEREF _Toc200969291 \h </w:instrText>
            </w:r>
            <w:r w:rsidR="005E705E">
              <w:rPr>
                <w:noProof/>
                <w:webHidden/>
              </w:rPr>
            </w:r>
            <w:r w:rsidR="005E705E">
              <w:rPr>
                <w:noProof/>
                <w:webHidden/>
              </w:rPr>
              <w:fldChar w:fldCharType="separate"/>
            </w:r>
            <w:r w:rsidR="005E705E">
              <w:rPr>
                <w:noProof/>
                <w:webHidden/>
              </w:rPr>
              <w:t>21</w:t>
            </w:r>
            <w:r w:rsidR="005E705E">
              <w:rPr>
                <w:noProof/>
                <w:webHidden/>
              </w:rPr>
              <w:fldChar w:fldCharType="end"/>
            </w:r>
          </w:hyperlink>
        </w:p>
        <w:p w14:paraId="19CBE68B" w14:textId="7CA049DD" w:rsidR="005E705E" w:rsidRDefault="002F3E4F">
          <w:pPr>
            <w:pStyle w:val="Obsah1"/>
            <w:rPr>
              <w:rFonts w:asciiTheme="minorHAnsi" w:eastAsiaTheme="minorEastAsia" w:hAnsiTheme="minorHAnsi" w:cstheme="minorBidi"/>
              <w:noProof/>
              <w:sz w:val="22"/>
              <w:szCs w:val="22"/>
            </w:rPr>
          </w:pPr>
          <w:hyperlink w:anchor="_Toc200969292" w:history="1">
            <w:r w:rsidR="005E705E" w:rsidRPr="00BA6C9D">
              <w:rPr>
                <w:rStyle w:val="Hypertextovodkaz"/>
                <w:noProof/>
              </w:rPr>
              <w:t>5. Ceny</w:t>
            </w:r>
            <w:r w:rsidR="005E705E">
              <w:rPr>
                <w:noProof/>
                <w:webHidden/>
              </w:rPr>
              <w:tab/>
            </w:r>
            <w:r w:rsidR="005E705E">
              <w:rPr>
                <w:noProof/>
                <w:webHidden/>
              </w:rPr>
              <w:fldChar w:fldCharType="begin"/>
            </w:r>
            <w:r w:rsidR="005E705E">
              <w:rPr>
                <w:noProof/>
                <w:webHidden/>
              </w:rPr>
              <w:instrText xml:space="preserve"> PAGEREF _Toc200969292 \h </w:instrText>
            </w:r>
            <w:r w:rsidR="005E705E">
              <w:rPr>
                <w:noProof/>
                <w:webHidden/>
              </w:rPr>
            </w:r>
            <w:r w:rsidR="005E705E">
              <w:rPr>
                <w:noProof/>
                <w:webHidden/>
              </w:rPr>
              <w:fldChar w:fldCharType="separate"/>
            </w:r>
            <w:r w:rsidR="005E705E">
              <w:rPr>
                <w:noProof/>
                <w:webHidden/>
              </w:rPr>
              <w:t>24</w:t>
            </w:r>
            <w:r w:rsidR="005E705E">
              <w:rPr>
                <w:noProof/>
                <w:webHidden/>
              </w:rPr>
              <w:fldChar w:fldCharType="end"/>
            </w:r>
          </w:hyperlink>
        </w:p>
        <w:p w14:paraId="3E581081" w14:textId="1D309F09" w:rsidR="005E705E" w:rsidRDefault="002F3E4F">
          <w:pPr>
            <w:pStyle w:val="Obsah1"/>
            <w:rPr>
              <w:rFonts w:asciiTheme="minorHAnsi" w:eastAsiaTheme="minorEastAsia" w:hAnsiTheme="minorHAnsi" w:cstheme="minorBidi"/>
              <w:noProof/>
              <w:sz w:val="22"/>
              <w:szCs w:val="22"/>
            </w:rPr>
          </w:pPr>
          <w:hyperlink w:anchor="_Toc200969293" w:history="1">
            <w:r w:rsidR="005E705E" w:rsidRPr="00BA6C9D">
              <w:rPr>
                <w:rStyle w:val="Hypertextovodkaz"/>
                <w:noProof/>
              </w:rPr>
              <w:t>6. Trh práce</w:t>
            </w:r>
            <w:r w:rsidR="005E705E">
              <w:rPr>
                <w:noProof/>
                <w:webHidden/>
              </w:rPr>
              <w:tab/>
            </w:r>
            <w:r w:rsidR="005E705E">
              <w:rPr>
                <w:noProof/>
                <w:webHidden/>
              </w:rPr>
              <w:fldChar w:fldCharType="begin"/>
            </w:r>
            <w:r w:rsidR="005E705E">
              <w:rPr>
                <w:noProof/>
                <w:webHidden/>
              </w:rPr>
              <w:instrText xml:space="preserve"> PAGEREF _Toc200969293 \h </w:instrText>
            </w:r>
            <w:r w:rsidR="005E705E">
              <w:rPr>
                <w:noProof/>
                <w:webHidden/>
              </w:rPr>
            </w:r>
            <w:r w:rsidR="005E705E">
              <w:rPr>
                <w:noProof/>
                <w:webHidden/>
              </w:rPr>
              <w:fldChar w:fldCharType="separate"/>
            </w:r>
            <w:r w:rsidR="005E705E">
              <w:rPr>
                <w:noProof/>
                <w:webHidden/>
              </w:rPr>
              <w:t>30</w:t>
            </w:r>
            <w:r w:rsidR="005E705E">
              <w:rPr>
                <w:noProof/>
                <w:webHidden/>
              </w:rPr>
              <w:fldChar w:fldCharType="end"/>
            </w:r>
          </w:hyperlink>
        </w:p>
        <w:p w14:paraId="537DEC92" w14:textId="72A9D4E9" w:rsidR="005E705E" w:rsidRDefault="002F3E4F">
          <w:pPr>
            <w:pStyle w:val="Obsah1"/>
            <w:rPr>
              <w:rFonts w:asciiTheme="minorHAnsi" w:eastAsiaTheme="minorEastAsia" w:hAnsiTheme="minorHAnsi" w:cstheme="minorBidi"/>
              <w:noProof/>
              <w:sz w:val="22"/>
              <w:szCs w:val="22"/>
            </w:rPr>
          </w:pPr>
          <w:hyperlink w:anchor="_Toc200969294" w:history="1">
            <w:r w:rsidR="005E705E" w:rsidRPr="00BA6C9D">
              <w:rPr>
                <w:rStyle w:val="Hypertextovodkaz"/>
                <w:noProof/>
              </w:rPr>
              <w:t>7. Měnové podmínky</w:t>
            </w:r>
            <w:r w:rsidR="005E705E">
              <w:rPr>
                <w:noProof/>
                <w:webHidden/>
              </w:rPr>
              <w:tab/>
            </w:r>
            <w:r w:rsidR="005E705E">
              <w:rPr>
                <w:noProof/>
                <w:webHidden/>
              </w:rPr>
              <w:fldChar w:fldCharType="begin"/>
            </w:r>
            <w:r w:rsidR="005E705E">
              <w:rPr>
                <w:noProof/>
                <w:webHidden/>
              </w:rPr>
              <w:instrText xml:space="preserve"> PAGEREF _Toc200969294 \h </w:instrText>
            </w:r>
            <w:r w:rsidR="005E705E">
              <w:rPr>
                <w:noProof/>
                <w:webHidden/>
              </w:rPr>
            </w:r>
            <w:r w:rsidR="005E705E">
              <w:rPr>
                <w:noProof/>
                <w:webHidden/>
              </w:rPr>
              <w:fldChar w:fldCharType="separate"/>
            </w:r>
            <w:r w:rsidR="005E705E">
              <w:rPr>
                <w:noProof/>
                <w:webHidden/>
              </w:rPr>
              <w:t>37</w:t>
            </w:r>
            <w:r w:rsidR="005E705E">
              <w:rPr>
                <w:noProof/>
                <w:webHidden/>
              </w:rPr>
              <w:fldChar w:fldCharType="end"/>
            </w:r>
          </w:hyperlink>
        </w:p>
        <w:p w14:paraId="20E9705D" w14:textId="6D60518F" w:rsidR="005E705E" w:rsidRDefault="002F3E4F">
          <w:pPr>
            <w:pStyle w:val="Obsah1"/>
            <w:rPr>
              <w:rFonts w:asciiTheme="minorHAnsi" w:eastAsiaTheme="minorEastAsia" w:hAnsiTheme="minorHAnsi" w:cstheme="minorBidi"/>
              <w:noProof/>
              <w:sz w:val="22"/>
              <w:szCs w:val="22"/>
            </w:rPr>
          </w:pPr>
          <w:hyperlink w:anchor="_Toc200969295" w:history="1">
            <w:r w:rsidR="005E705E" w:rsidRPr="00BA6C9D">
              <w:rPr>
                <w:rStyle w:val="Hypertextovodkaz"/>
                <w:noProof/>
              </w:rPr>
              <w:t>8. Státní rozpočet</w:t>
            </w:r>
            <w:r w:rsidR="005E705E">
              <w:rPr>
                <w:noProof/>
                <w:webHidden/>
              </w:rPr>
              <w:tab/>
            </w:r>
            <w:r w:rsidR="005E705E">
              <w:rPr>
                <w:noProof/>
                <w:webHidden/>
              </w:rPr>
              <w:fldChar w:fldCharType="begin"/>
            </w:r>
            <w:r w:rsidR="005E705E">
              <w:rPr>
                <w:noProof/>
                <w:webHidden/>
              </w:rPr>
              <w:instrText xml:space="preserve"> PAGEREF _Toc200969295 \h </w:instrText>
            </w:r>
            <w:r w:rsidR="005E705E">
              <w:rPr>
                <w:noProof/>
                <w:webHidden/>
              </w:rPr>
            </w:r>
            <w:r w:rsidR="005E705E">
              <w:rPr>
                <w:noProof/>
                <w:webHidden/>
              </w:rPr>
              <w:fldChar w:fldCharType="separate"/>
            </w:r>
            <w:r w:rsidR="005E705E">
              <w:rPr>
                <w:noProof/>
                <w:webHidden/>
              </w:rPr>
              <w:t>39</w:t>
            </w:r>
            <w:r w:rsidR="005E705E">
              <w:rPr>
                <w:noProof/>
                <w:webHidden/>
              </w:rPr>
              <w:fldChar w:fldCharType="end"/>
            </w:r>
          </w:hyperlink>
        </w:p>
        <w:p w14:paraId="6BBE4EAD" w14:textId="1B7D5272" w:rsidR="00C72884" w:rsidRDefault="00C72884" w:rsidP="00C72884">
          <w:pPr>
            <w:pStyle w:val="Obsah1"/>
            <w:tabs>
              <w:tab w:val="clear" w:pos="9639"/>
              <w:tab w:val="right" w:leader="dot" w:pos="9630"/>
            </w:tabs>
            <w:rPr>
              <w:szCs w:val="20"/>
            </w:rPr>
          </w:pPr>
          <w:r>
            <w:fldChar w:fldCharType="end"/>
          </w:r>
        </w:p>
      </w:sdtContent>
    </w:sdt>
    <w:p w14:paraId="5A20DB3F" w14:textId="73D676D0" w:rsidR="00C72884" w:rsidRDefault="00C72884" w:rsidP="00C72884">
      <w:pPr>
        <w:pStyle w:val="Obsahpoloky"/>
      </w:pPr>
    </w:p>
    <w:p w14:paraId="0598EDD2" w14:textId="4CB38494" w:rsidR="00C72884" w:rsidRDefault="00C72884" w:rsidP="00C72884">
      <w:pPr>
        <w:pStyle w:val="Obsahpoloky"/>
      </w:pPr>
    </w:p>
    <w:p w14:paraId="1DF1F77C" w14:textId="67D40279" w:rsidR="00C72884" w:rsidRDefault="00C72884" w:rsidP="00C72884">
      <w:pPr>
        <w:pStyle w:val="Obsahpoloky"/>
      </w:pPr>
    </w:p>
    <w:p w14:paraId="480CABA8" w14:textId="77777777" w:rsidR="00C72884" w:rsidRPr="009110F7" w:rsidRDefault="00C72884" w:rsidP="00C72884">
      <w:pPr>
        <w:pStyle w:val="Textpoznpodarou"/>
        <w:jc w:val="both"/>
        <w:rPr>
          <w:rFonts w:cs="Arial"/>
          <w:color w:val="000000"/>
        </w:rPr>
      </w:pPr>
    </w:p>
    <w:p w14:paraId="7A1FB62F" w14:textId="77777777" w:rsidR="00C72884" w:rsidRDefault="00C72884" w:rsidP="00C72884">
      <w:pPr>
        <w:pStyle w:val="Textpoznpodarou"/>
        <w:jc w:val="both"/>
        <w:rPr>
          <w:rFonts w:cs="Arial"/>
          <w:color w:val="000000"/>
        </w:rPr>
      </w:pPr>
    </w:p>
    <w:p w14:paraId="21461640" w14:textId="77777777" w:rsidR="00C72884" w:rsidRDefault="00C72884" w:rsidP="00C72884">
      <w:pPr>
        <w:pStyle w:val="Textpoznpodarou"/>
        <w:jc w:val="both"/>
        <w:rPr>
          <w:rFonts w:cs="Arial"/>
          <w:color w:val="000000"/>
        </w:rPr>
      </w:pPr>
    </w:p>
    <w:p w14:paraId="3AF697A4" w14:textId="77777777" w:rsidR="00C72884" w:rsidRDefault="00C72884" w:rsidP="00C72884">
      <w:pPr>
        <w:pStyle w:val="Textpoznpodarou"/>
        <w:jc w:val="both"/>
        <w:rPr>
          <w:rFonts w:cs="Arial"/>
          <w:color w:val="000000"/>
        </w:rPr>
      </w:pPr>
    </w:p>
    <w:p w14:paraId="6696E482" w14:textId="77777777" w:rsidR="00C72884" w:rsidRDefault="00C72884" w:rsidP="00C72884">
      <w:pPr>
        <w:pStyle w:val="Textpoznpodarou"/>
        <w:jc w:val="both"/>
        <w:rPr>
          <w:rFonts w:cs="Arial"/>
          <w:color w:val="000000"/>
        </w:rPr>
      </w:pPr>
    </w:p>
    <w:p w14:paraId="29222EF0" w14:textId="4A0CC2B8" w:rsidR="00C72884" w:rsidRPr="009110F7" w:rsidRDefault="00C72884" w:rsidP="00C72884">
      <w:pPr>
        <w:pStyle w:val="Textpoznpodarou"/>
        <w:jc w:val="both"/>
        <w:rPr>
          <w:rFonts w:cs="Arial"/>
          <w:color w:val="000000"/>
        </w:rPr>
      </w:pPr>
      <w:r>
        <w:rPr>
          <w:rFonts w:cs="Arial"/>
          <w:color w:val="000000"/>
        </w:rPr>
        <w:t>Hlavní z</w:t>
      </w:r>
      <w:r w:rsidRPr="009110F7">
        <w:rPr>
          <w:rFonts w:cs="Arial"/>
          <w:color w:val="000000"/>
        </w:rPr>
        <w:t>droje dat v celé analýze: ČSÚ, MF ČR, ČNB, MPSV, ČSSZ, Eurostat, propočty ČSÚ.</w:t>
      </w:r>
    </w:p>
    <w:p w14:paraId="1F6F7E0A" w14:textId="47758B40" w:rsidR="00C72884" w:rsidRDefault="00C72884" w:rsidP="00C72884">
      <w:pPr>
        <w:pStyle w:val="Textpoznpodarou"/>
        <w:jc w:val="both"/>
        <w:rPr>
          <w:rFonts w:cs="Arial"/>
          <w:color w:val="000000"/>
        </w:rPr>
      </w:pPr>
      <w:r w:rsidRPr="009110F7">
        <w:rPr>
          <w:rFonts w:cs="Arial"/>
          <w:color w:val="000000"/>
        </w:rPr>
        <w:t>Poslední informace uváděné v této publikaci pocházejí z</w:t>
      </w:r>
      <w:r>
        <w:rPr>
          <w:rFonts w:cs="Arial"/>
          <w:color w:val="000000"/>
        </w:rPr>
        <w:t xml:space="preserve"> </w:t>
      </w:r>
      <w:r w:rsidR="007342AC">
        <w:rPr>
          <w:rFonts w:cs="Arial"/>
          <w:color w:val="000000"/>
        </w:rPr>
        <w:t>6</w:t>
      </w:r>
      <w:r>
        <w:rPr>
          <w:rFonts w:cs="Arial"/>
          <w:color w:val="000000"/>
        </w:rPr>
        <w:t xml:space="preserve">. </w:t>
      </w:r>
      <w:r w:rsidR="007342AC">
        <w:rPr>
          <w:rFonts w:cs="Arial"/>
          <w:color w:val="000000"/>
        </w:rPr>
        <w:t>června</w:t>
      </w:r>
      <w:r>
        <w:rPr>
          <w:rFonts w:cs="Arial"/>
          <w:color w:val="000000"/>
        </w:rPr>
        <w:t xml:space="preserve"> 202</w:t>
      </w:r>
      <w:r w:rsidR="00D96855">
        <w:rPr>
          <w:rFonts w:cs="Arial"/>
          <w:color w:val="000000"/>
        </w:rPr>
        <w:t>5</w:t>
      </w:r>
      <w:r w:rsidRPr="009110F7">
        <w:rPr>
          <w:rFonts w:cs="Arial"/>
          <w:color w:val="000000"/>
        </w:rPr>
        <w:t>.</w:t>
      </w:r>
    </w:p>
    <w:p w14:paraId="4B6FCFF2" w14:textId="77777777" w:rsidR="00C72884" w:rsidRPr="00C72884" w:rsidRDefault="00C72884" w:rsidP="00C72884"/>
    <w:p w14:paraId="1CE9DFF1" w14:textId="338F16EE" w:rsidR="00A668A3" w:rsidRPr="00C72884" w:rsidRDefault="00852217" w:rsidP="00A668A3">
      <w:pPr>
        <w:pStyle w:val="Nadpis1"/>
      </w:pPr>
      <w:r>
        <w:br w:type="page"/>
      </w:r>
      <w:bookmarkStart w:id="0" w:name="_Toc511215218"/>
    </w:p>
    <w:p w14:paraId="5243C5F7" w14:textId="77777777" w:rsidR="00343182" w:rsidRPr="00275385" w:rsidRDefault="00343182" w:rsidP="00343182">
      <w:pPr>
        <w:pStyle w:val="Nadpis1"/>
      </w:pPr>
      <w:bookmarkStart w:id="1" w:name="_Toc200969288"/>
      <w:bookmarkStart w:id="2" w:name="_Toc145318531"/>
      <w:bookmarkStart w:id="3" w:name="_Toc153531174"/>
      <w:bookmarkStart w:id="4" w:name="_Toc169258114"/>
      <w:bookmarkStart w:id="5" w:name="_Toc137233026"/>
      <w:bookmarkStart w:id="6" w:name="_Toc130286019"/>
      <w:bookmarkStart w:id="7" w:name="_Toc114134050"/>
      <w:bookmarkStart w:id="8" w:name="_Toc145318534"/>
      <w:bookmarkStart w:id="9" w:name="_Toc153531177"/>
      <w:bookmarkStart w:id="10" w:name="_Toc121993822"/>
      <w:bookmarkStart w:id="11" w:name="_Toc137233031"/>
      <w:bookmarkEnd w:id="0"/>
      <w:r w:rsidRPr="00275385">
        <w:lastRenderedPageBreak/>
        <w:t>1. Shrnutí</w:t>
      </w:r>
      <w:bookmarkEnd w:id="1"/>
    </w:p>
    <w:p w14:paraId="0D0E7158" w14:textId="77777777" w:rsidR="00343182" w:rsidRDefault="00343182" w:rsidP="00343182">
      <w:pPr>
        <w:pStyle w:val="Normalodrka"/>
        <w:numPr>
          <w:ilvl w:val="0"/>
          <w:numId w:val="20"/>
        </w:numPr>
        <w:ind w:left="357" w:hanging="357"/>
      </w:pPr>
      <w:r w:rsidRPr="00275385">
        <w:t>Hrubý domácí produkt (HDP) v</w:t>
      </w:r>
      <w:r>
        <w:t> 1. čtvrtletí 2025</w:t>
      </w:r>
      <w:r w:rsidRPr="00275385">
        <w:t xml:space="preserve"> </w:t>
      </w:r>
      <w:r>
        <w:t xml:space="preserve">mezičtvrtletně </w:t>
      </w:r>
      <w:r w:rsidRPr="00275385">
        <w:t xml:space="preserve">vzrostl o </w:t>
      </w:r>
      <w:r>
        <w:t>0,8</w:t>
      </w:r>
      <w:r w:rsidRPr="00275385">
        <w:t xml:space="preserve"> %</w:t>
      </w:r>
      <w:r w:rsidRPr="00275385">
        <w:rPr>
          <w:rStyle w:val="Znakapoznpodarou"/>
          <w:spacing w:val="-4"/>
        </w:rPr>
        <w:footnoteReference w:id="1"/>
      </w:r>
      <w:r>
        <w:t xml:space="preserve"> </w:t>
      </w:r>
      <w:r>
        <w:rPr>
          <w:spacing w:val="-2"/>
        </w:rPr>
        <w:t>a přírůstek potřetí v řadě posílil</w:t>
      </w:r>
      <w:r w:rsidRPr="00275385">
        <w:t xml:space="preserve">. </w:t>
      </w:r>
      <w:r>
        <w:t xml:space="preserve">K růstu přispělo oživení investiční aktivity i vývoj zásob. Spotřeba domácností spíše stagnovala </w:t>
      </w:r>
      <w:r>
        <w:br/>
        <w:t>a v případě vládních institucí klesala. Bilance zahraničního obchodu dosáhla vysokého přebytku, ale její vývoj k růstu HDP nepřispěl. M</w:t>
      </w:r>
      <w:r w:rsidRPr="00275385">
        <w:t xml:space="preserve">eziroční přírůstek HDP </w:t>
      </w:r>
      <w:r>
        <w:t xml:space="preserve">posílil v 1. kvartálu </w:t>
      </w:r>
      <w:r w:rsidRPr="00275385">
        <w:t xml:space="preserve">na </w:t>
      </w:r>
      <w:r>
        <w:t>2,2 %</w:t>
      </w:r>
      <w:r w:rsidRPr="00275385">
        <w:t xml:space="preserve">. </w:t>
      </w:r>
      <w:r>
        <w:t>Rostla domácí spotřeba a p</w:t>
      </w:r>
      <w:r w:rsidRPr="00275385">
        <w:t>ozitivně působila změna zásob. Meziroční růst</w:t>
      </w:r>
      <w:r>
        <w:t xml:space="preserve"> ekonomiky</w:t>
      </w:r>
      <w:r w:rsidRPr="00275385">
        <w:t xml:space="preserve"> ale brzdila investiční aktivita </w:t>
      </w:r>
      <w:r>
        <w:br/>
      </w:r>
      <w:r w:rsidRPr="00275385">
        <w:t xml:space="preserve">a </w:t>
      </w:r>
      <w:r>
        <w:t xml:space="preserve">bilance zahraničního obchodu. </w:t>
      </w:r>
      <w:r w:rsidRPr="00275385">
        <w:t>Hrubý domácí produkt v EU v</w:t>
      </w:r>
      <w:r>
        <w:t> 1. čtvrtletí mezičtvrtletně</w:t>
      </w:r>
      <w:r w:rsidRPr="00275385">
        <w:t xml:space="preserve"> vzrostl o</w:t>
      </w:r>
      <w:r>
        <w:t xml:space="preserve"> 0</w:t>
      </w:r>
      <w:r w:rsidRPr="00275385">
        <w:t>,</w:t>
      </w:r>
      <w:r>
        <w:t>6</w:t>
      </w:r>
      <w:r w:rsidRPr="00275385">
        <w:t xml:space="preserve"> %</w:t>
      </w:r>
      <w:r>
        <w:t xml:space="preserve"> </w:t>
      </w:r>
      <w:r>
        <w:br/>
        <w:t>a meziročně o 1,6 %</w:t>
      </w:r>
      <w:r w:rsidRPr="00275385">
        <w:t xml:space="preserve">. </w:t>
      </w:r>
      <w:r>
        <w:t>Česko mělo čtvrté nejsilnější mezičtvrtletní oživení HDP v Unii. Solidní mezičtvrtletní nárůst po sérii poklesů a stagnací zaznamenalo N</w:t>
      </w:r>
      <w:r w:rsidRPr="00275385">
        <w:t>ěmeck</w:t>
      </w:r>
      <w:r>
        <w:t>o.</w:t>
      </w:r>
    </w:p>
    <w:p w14:paraId="7E1F03EC" w14:textId="77777777" w:rsidR="00343182" w:rsidRPr="00A23447" w:rsidRDefault="00343182" w:rsidP="00343182">
      <w:pPr>
        <w:pStyle w:val="Normalodrka"/>
        <w:numPr>
          <w:ilvl w:val="0"/>
          <w:numId w:val="48"/>
        </w:numPr>
      </w:pPr>
      <w:r w:rsidRPr="00A23447">
        <w:rPr>
          <w:shd w:val="clear" w:color="auto" w:fill="FAFAFA"/>
        </w:rPr>
        <w:t>V 1. čtvrtletí 2025 se hrubá přidaná hodnota mezičtvrtletně zvýšila o 1,3 %</w:t>
      </w:r>
      <w:r>
        <w:rPr>
          <w:shd w:val="clear" w:color="auto" w:fill="FAFAFA"/>
        </w:rPr>
        <w:t xml:space="preserve">. K růstu přispívala odvětví služeb, nejvíce </w:t>
      </w:r>
      <w:r w:rsidRPr="00A23447">
        <w:rPr>
          <w:shd w:val="clear" w:color="auto" w:fill="FAFAFA"/>
        </w:rPr>
        <w:t>peněžnictví a pojišťovnictví</w:t>
      </w:r>
      <w:r>
        <w:rPr>
          <w:shd w:val="clear" w:color="auto" w:fill="FAFAFA"/>
        </w:rPr>
        <w:t>,</w:t>
      </w:r>
      <w:r w:rsidRPr="00A23447">
        <w:rPr>
          <w:shd w:val="clear" w:color="auto" w:fill="FAFAFA"/>
        </w:rPr>
        <w:t xml:space="preserve"> ostatní činnosti a informační a komunikační činnosti</w:t>
      </w:r>
      <w:r>
        <w:rPr>
          <w:shd w:val="clear" w:color="auto" w:fill="FAFAFA"/>
        </w:rPr>
        <w:t xml:space="preserve">. </w:t>
      </w:r>
      <w:r>
        <w:t>V rámci služeb mezičtvrtletně klesala HPH jen v uskupení obchod, doprava, ubytování a pohostinství.</w:t>
      </w:r>
      <w:r w:rsidRPr="00A23447">
        <w:rPr>
          <w:shd w:val="clear" w:color="auto" w:fill="FAFAFA"/>
        </w:rPr>
        <w:t xml:space="preserve"> Dařilo se také stavebnictví a</w:t>
      </w:r>
      <w:r>
        <w:rPr>
          <w:shd w:val="clear" w:color="auto" w:fill="FAFAFA"/>
        </w:rPr>
        <w:t xml:space="preserve"> oživení zaznamenal </w:t>
      </w:r>
      <w:r w:rsidRPr="00A23447">
        <w:rPr>
          <w:shd w:val="clear" w:color="auto" w:fill="FAFAFA"/>
        </w:rPr>
        <w:t>průmysl</w:t>
      </w:r>
      <w:r>
        <w:rPr>
          <w:shd w:val="clear" w:color="auto" w:fill="FAFAFA"/>
        </w:rPr>
        <w:t xml:space="preserve">, ačkoli v samotném </w:t>
      </w:r>
      <w:r w:rsidRPr="00A23447">
        <w:rPr>
          <w:shd w:val="clear" w:color="auto" w:fill="FAFAFA"/>
        </w:rPr>
        <w:t>zpracovatelsk</w:t>
      </w:r>
      <w:r>
        <w:rPr>
          <w:shd w:val="clear" w:color="auto" w:fill="FAFAFA"/>
        </w:rPr>
        <w:t>ém</w:t>
      </w:r>
      <w:r w:rsidRPr="00A23447">
        <w:rPr>
          <w:shd w:val="clear" w:color="auto" w:fill="FAFAFA"/>
        </w:rPr>
        <w:t xml:space="preserve"> průmysl</w:t>
      </w:r>
      <w:r>
        <w:rPr>
          <w:shd w:val="clear" w:color="auto" w:fill="FAFAFA"/>
        </w:rPr>
        <w:t>u HPH</w:t>
      </w:r>
      <w:r w:rsidRPr="00A23447">
        <w:rPr>
          <w:shd w:val="clear" w:color="auto" w:fill="FAFAFA"/>
        </w:rPr>
        <w:t xml:space="preserve"> mírně klesl</w:t>
      </w:r>
      <w:r>
        <w:rPr>
          <w:shd w:val="clear" w:color="auto" w:fill="FAFAFA"/>
        </w:rPr>
        <w:t>a</w:t>
      </w:r>
      <w:r w:rsidRPr="00A23447">
        <w:rPr>
          <w:shd w:val="clear" w:color="auto" w:fill="FAFAFA"/>
        </w:rPr>
        <w:t>. Meziročně HPH vzrostla o 2,5 %, přičemž největší příspěvek přinesly služby, zejména obchod, doprava, ubytování a pohostinství. Výrazně rostla HPH v</w:t>
      </w:r>
      <w:r>
        <w:rPr>
          <w:shd w:val="clear" w:color="auto" w:fill="FAFAFA"/>
        </w:rPr>
        <w:t> </w:t>
      </w:r>
      <w:r w:rsidRPr="00A23447">
        <w:rPr>
          <w:shd w:val="clear" w:color="auto" w:fill="FAFAFA"/>
        </w:rPr>
        <w:t>peněžnictví</w:t>
      </w:r>
      <w:r>
        <w:rPr>
          <w:shd w:val="clear" w:color="auto" w:fill="FAFAFA"/>
        </w:rPr>
        <w:t xml:space="preserve"> a pojišťovnictví</w:t>
      </w:r>
      <w:r w:rsidRPr="00A23447">
        <w:rPr>
          <w:shd w:val="clear" w:color="auto" w:fill="FAFAFA"/>
        </w:rPr>
        <w:t xml:space="preserve">, ostatních činnostech a </w:t>
      </w:r>
      <w:r>
        <w:rPr>
          <w:shd w:val="clear" w:color="auto" w:fill="FAFAFA"/>
        </w:rPr>
        <w:t>v informačních a komunikačních činnostech</w:t>
      </w:r>
      <w:r w:rsidRPr="00A23447">
        <w:rPr>
          <w:shd w:val="clear" w:color="auto" w:fill="FAFAFA"/>
        </w:rPr>
        <w:t xml:space="preserve">. </w:t>
      </w:r>
      <w:r>
        <w:rPr>
          <w:shd w:val="clear" w:color="auto" w:fill="FAFAFA"/>
        </w:rPr>
        <w:t>Počtvrté v řadě meziročně vzrostla HPH v dlouhodobě zaostávajícím s</w:t>
      </w:r>
      <w:r w:rsidRPr="00A23447">
        <w:rPr>
          <w:shd w:val="clear" w:color="auto" w:fill="FAFAFA"/>
        </w:rPr>
        <w:t>tavebnictví</w:t>
      </w:r>
      <w:r>
        <w:rPr>
          <w:shd w:val="clear" w:color="auto" w:fill="FAFAFA"/>
        </w:rPr>
        <w:t xml:space="preserve">. </w:t>
      </w:r>
      <w:r>
        <w:t xml:space="preserve"> </w:t>
      </w:r>
    </w:p>
    <w:p w14:paraId="06E67577" w14:textId="77777777" w:rsidR="00343182" w:rsidRPr="00261A17" w:rsidRDefault="00343182" w:rsidP="00343182">
      <w:pPr>
        <w:pStyle w:val="Normalodrka"/>
        <w:numPr>
          <w:ilvl w:val="0"/>
          <w:numId w:val="20"/>
        </w:numPr>
        <w:ind w:left="357" w:hanging="357"/>
      </w:pPr>
      <w:r w:rsidRPr="00261A17">
        <w:t>Vývoz zboží a služeb se</w:t>
      </w:r>
      <w:r>
        <w:t xml:space="preserve"> v 1. čtvrtletí </w:t>
      </w:r>
      <w:r w:rsidRPr="00261A17">
        <w:t xml:space="preserve">zvýšil </w:t>
      </w:r>
      <w:r>
        <w:t>mezičtvrtletně o 2,8 %</w:t>
      </w:r>
      <w:r w:rsidRPr="00261A17">
        <w:rPr>
          <w:rStyle w:val="Znakapoznpodarou"/>
          <w:spacing w:val="-4"/>
        </w:rPr>
        <w:footnoteReference w:id="2"/>
      </w:r>
      <w:r w:rsidRPr="00261A17">
        <w:t xml:space="preserve"> a dovoz o </w:t>
      </w:r>
      <w:r>
        <w:t>2,1</w:t>
      </w:r>
      <w:r w:rsidRPr="00261A17">
        <w:t xml:space="preserve"> %.</w:t>
      </w:r>
      <w:r>
        <w:t xml:space="preserve"> Meziroční nárůst exportu dosáhl 3,6 % a importu 4,6 %.</w:t>
      </w:r>
      <w:r w:rsidRPr="00261A17">
        <w:t xml:space="preserve"> Bilance zahraničního obchodu se zbožím a službami v běžných cenách dosáhla</w:t>
      </w:r>
      <w:r>
        <w:t xml:space="preserve"> v 1. čtvrtletí </w:t>
      </w:r>
      <w:r w:rsidRPr="00261A17">
        <w:t xml:space="preserve">přebytku </w:t>
      </w:r>
      <w:r>
        <w:t>140,8</w:t>
      </w:r>
      <w:r w:rsidRPr="00261A17">
        <w:t xml:space="preserve"> mld. korun a ten se tak meziročně zvýšil o </w:t>
      </w:r>
      <w:r>
        <w:t>3,3</w:t>
      </w:r>
      <w:r w:rsidRPr="00261A17">
        <w:t xml:space="preserve"> mld., </w:t>
      </w:r>
      <w:r>
        <w:t xml:space="preserve">výhradně </w:t>
      </w:r>
      <w:r w:rsidRPr="00261A17">
        <w:t xml:space="preserve">vlivem zvýšení přebytku obchodu se zbožím. </w:t>
      </w:r>
      <w:r>
        <w:t>Z</w:t>
      </w:r>
      <w:r w:rsidRPr="00261A17">
        <w:t>lepš</w:t>
      </w:r>
      <w:r>
        <w:t xml:space="preserve">ovala se zejména bilance obchodu s motorovými vozidly. Naopak ve směru zhoršení bilance působil obchod s kovodělnými výrobky a </w:t>
      </w:r>
      <w:r w:rsidRPr="00261A17">
        <w:t>elektrickými zařízeními</w:t>
      </w:r>
      <w:r w:rsidRPr="00261A17">
        <w:rPr>
          <w:lang w:eastAsia="en-US"/>
        </w:rPr>
        <w:t>.</w:t>
      </w:r>
    </w:p>
    <w:p w14:paraId="52350C1A" w14:textId="76040B2C" w:rsidR="00343182" w:rsidRPr="006C4460" w:rsidRDefault="00343182" w:rsidP="00343182">
      <w:pPr>
        <w:pStyle w:val="Normalodrka"/>
        <w:numPr>
          <w:ilvl w:val="0"/>
          <w:numId w:val="20"/>
        </w:numPr>
      </w:pPr>
      <w:r w:rsidRPr="00456339">
        <w:t>Celková cenová hladina (podle deflátoru HDP) v</w:t>
      </w:r>
      <w:r>
        <w:t> 1. čtvrtletí</w:t>
      </w:r>
      <w:r w:rsidRPr="00456339">
        <w:t xml:space="preserve"> meziročně </w:t>
      </w:r>
      <w:r>
        <w:t>vzrostla</w:t>
      </w:r>
      <w:r w:rsidRPr="00456339">
        <w:t xml:space="preserve"> o 3,</w:t>
      </w:r>
      <w:r>
        <w:t>1</w:t>
      </w:r>
      <w:r w:rsidRPr="00456339">
        <w:t xml:space="preserve"> % a mezičtvrtletně </w:t>
      </w:r>
      <w:r>
        <w:br/>
      </w:r>
      <w:r w:rsidRPr="00456339">
        <w:t xml:space="preserve">o </w:t>
      </w:r>
      <w:r>
        <w:t>1,0</w:t>
      </w:r>
      <w:r w:rsidRPr="00456339">
        <w:t xml:space="preserve"> %. Spotřebitelské ceny byly </w:t>
      </w:r>
      <w:r>
        <w:t xml:space="preserve">v 1. čtvrtletí meziročně </w:t>
      </w:r>
      <w:r w:rsidRPr="00456339">
        <w:t>vyšší o 2,</w:t>
      </w:r>
      <w:r>
        <w:t>7</w:t>
      </w:r>
      <w:r w:rsidRPr="00456339">
        <w:t xml:space="preserve"> %</w:t>
      </w:r>
      <w:r>
        <w:t xml:space="preserve"> a </w:t>
      </w:r>
      <w:r w:rsidRPr="00456339">
        <w:t xml:space="preserve">mezičtvrtletně vzrostly o </w:t>
      </w:r>
      <w:r>
        <w:t>1,3</w:t>
      </w:r>
      <w:r w:rsidRPr="00456339">
        <w:t xml:space="preserve"> %. </w:t>
      </w:r>
      <w:r w:rsidR="009D1120">
        <w:t>Ve směru p</w:t>
      </w:r>
      <w:r w:rsidRPr="008D6B35">
        <w:t xml:space="preserve">osílení celkového meziročního růstu cen </w:t>
      </w:r>
      <w:r w:rsidR="009D1120">
        <w:t>působily</w:t>
      </w:r>
      <w:r>
        <w:t xml:space="preserve"> zejména</w:t>
      </w:r>
      <w:r w:rsidRPr="008D6B35">
        <w:t xml:space="preserve"> potraviny a nealkoholické nápoje, jejichž cen</w:t>
      </w:r>
      <w:r>
        <w:t xml:space="preserve">y </w:t>
      </w:r>
      <w:r w:rsidRPr="008D6B35">
        <w:t xml:space="preserve">na konec roku 2024 navázaly dalším </w:t>
      </w:r>
      <w:r w:rsidR="009D1120">
        <w:t>zrychlením</w:t>
      </w:r>
      <w:r w:rsidRPr="008D6B35">
        <w:t xml:space="preserve"> růstu. Naopak </w:t>
      </w:r>
      <w:r>
        <w:t xml:space="preserve">růst </w:t>
      </w:r>
      <w:r w:rsidRPr="008D6B35">
        <w:t>cen bydlení a energií oslab</w:t>
      </w:r>
      <w:r>
        <w:t>il</w:t>
      </w:r>
      <w:r w:rsidRPr="008D6B35">
        <w:t xml:space="preserve"> a oddíl tak </w:t>
      </w:r>
      <w:r w:rsidRPr="006C4460">
        <w:t>po několika letech přestal být tím, který nejvíce pohání růst spotřebitelských cen.</w:t>
      </w:r>
      <w:r w:rsidRPr="006C4460">
        <w:rPr>
          <w:lang w:eastAsia="en-US"/>
        </w:rPr>
        <w:t xml:space="preserve"> Jako jediné meziročně klesly ceny odívání a obuvi.</w:t>
      </w:r>
      <w:r w:rsidRPr="006C4460">
        <w:t xml:space="preserve"> Dál p</w:t>
      </w:r>
      <w:r w:rsidRPr="006C4460">
        <w:rPr>
          <w:lang w:eastAsia="en-US"/>
        </w:rPr>
        <w:t xml:space="preserve">osiloval růst nabídkových i realizovaných cen bytů. </w:t>
      </w:r>
      <w:r w:rsidRPr="006C4460">
        <w:t xml:space="preserve"> </w:t>
      </w:r>
    </w:p>
    <w:p w14:paraId="581E3249" w14:textId="44316BC6" w:rsidR="00343182" w:rsidRPr="006C4460" w:rsidRDefault="00343182" w:rsidP="00343182">
      <w:pPr>
        <w:pStyle w:val="Normalodrka"/>
        <w:numPr>
          <w:ilvl w:val="0"/>
          <w:numId w:val="20"/>
        </w:numPr>
        <w:ind w:left="357" w:hanging="357"/>
      </w:pPr>
      <w:r w:rsidRPr="006C4460">
        <w:t>Celková zaměstnanost</w:t>
      </w:r>
      <w:r w:rsidRPr="006C4460">
        <w:rPr>
          <w:rStyle w:val="Znakapoznpodarou"/>
        </w:rPr>
        <w:footnoteReference w:id="3"/>
      </w:r>
      <w:r w:rsidRPr="006C4460">
        <w:t xml:space="preserve"> </w:t>
      </w:r>
      <w:r>
        <w:t>v 1. č</w:t>
      </w:r>
      <w:r w:rsidRPr="006C4460">
        <w:t xml:space="preserve">tvrtletí byla meziročně vyšší o </w:t>
      </w:r>
      <w:r>
        <w:t>1,1</w:t>
      </w:r>
      <w:r w:rsidRPr="006C4460">
        <w:t xml:space="preserve"> % a mezičtvrtletně se </w:t>
      </w:r>
      <w:r>
        <w:t>zvýšila</w:t>
      </w:r>
      <w:r w:rsidRPr="006C4460">
        <w:t xml:space="preserve"> o 0,</w:t>
      </w:r>
      <w:r>
        <w:t>7</w:t>
      </w:r>
      <w:r w:rsidRPr="006C4460">
        <w:t xml:space="preserve"> %. Celková míra nezaměstnanosti </w:t>
      </w:r>
      <w:r>
        <w:t xml:space="preserve">se od počátku roku držela pod </w:t>
      </w:r>
      <w:r w:rsidRPr="006C4460">
        <w:t xml:space="preserve">3 %. V </w:t>
      </w:r>
      <w:r>
        <w:t>1</w:t>
      </w:r>
      <w:r w:rsidRPr="006C4460">
        <w:t xml:space="preserve">. čtvrtletí průměrná </w:t>
      </w:r>
      <w:r>
        <w:t xml:space="preserve">hrubá měsíční </w:t>
      </w:r>
      <w:r w:rsidRPr="006C4460">
        <w:t xml:space="preserve">mzda meziročně vzrostla o </w:t>
      </w:r>
      <w:r>
        <w:t>6,7</w:t>
      </w:r>
      <w:r w:rsidRPr="006C4460">
        <w:t xml:space="preserve"> % a dosáhla 4</w:t>
      </w:r>
      <w:r w:rsidR="00AA2A70">
        <w:t>6</w:t>
      </w:r>
      <w:r w:rsidRPr="006C4460">
        <w:t xml:space="preserve"> </w:t>
      </w:r>
      <w:r>
        <w:t>924</w:t>
      </w:r>
      <w:r w:rsidRPr="006C4460">
        <w:t xml:space="preserve"> korun. Reálně průměrná mzda posílila o </w:t>
      </w:r>
      <w:r>
        <w:t>3,9</w:t>
      </w:r>
      <w:r w:rsidRPr="006C4460">
        <w:t xml:space="preserve"> %. Mezičtvrtletní nominální navýšení </w:t>
      </w:r>
      <w:r>
        <w:t xml:space="preserve">sezónně očištěné </w:t>
      </w:r>
      <w:r w:rsidRPr="006C4460">
        <w:t xml:space="preserve">průměrné mzdy činilo 1,7 %. </w:t>
      </w:r>
    </w:p>
    <w:p w14:paraId="197C097E" w14:textId="77777777" w:rsidR="00343182" w:rsidRPr="003B7AFA" w:rsidRDefault="00343182" w:rsidP="00343182">
      <w:pPr>
        <w:pStyle w:val="Normalodrka"/>
        <w:numPr>
          <w:ilvl w:val="0"/>
          <w:numId w:val="20"/>
        </w:numPr>
        <w:ind w:left="357" w:hanging="357"/>
      </w:pPr>
      <w:r w:rsidRPr="007D293C">
        <w:t xml:space="preserve">Základní měnověpolitické úrokové sazby </w:t>
      </w:r>
      <w:r>
        <w:t>byly v 1. čtvrtletí jednou sníženy</w:t>
      </w:r>
      <w:r w:rsidRPr="007D293C">
        <w:t xml:space="preserve">. Spolu s nimi se snižovaly také úrokové sazby u </w:t>
      </w:r>
      <w:r>
        <w:t>v</w:t>
      </w:r>
      <w:r w:rsidRPr="007D293C">
        <w:t>kladů</w:t>
      </w:r>
      <w:r>
        <w:t>, zejména těch termínovaných, což bylo spojeno také se snížením jejich objemu.</w:t>
      </w:r>
      <w:r w:rsidRPr="007D293C">
        <w:t xml:space="preserve"> </w:t>
      </w:r>
      <w:r w:rsidRPr="007D293C">
        <w:rPr>
          <w:lang w:eastAsia="en-US"/>
        </w:rPr>
        <w:t xml:space="preserve"> </w:t>
      </w:r>
      <w:r w:rsidRPr="003B7AFA">
        <w:rPr>
          <w:lang w:eastAsia="en-US"/>
        </w:rPr>
        <w:t>V nových hypotečních smlouvách posiloval podíl čistých nových úvěrů.</w:t>
      </w:r>
    </w:p>
    <w:p w14:paraId="4684DAA0" w14:textId="77777777" w:rsidR="00343182" w:rsidRPr="003B7AFA" w:rsidRDefault="00343182" w:rsidP="00343182">
      <w:pPr>
        <w:pStyle w:val="Normalodrka"/>
        <w:numPr>
          <w:ilvl w:val="0"/>
          <w:numId w:val="20"/>
        </w:numPr>
        <w:spacing w:after="0"/>
        <w:ind w:left="357" w:hanging="357"/>
      </w:pPr>
      <w:r>
        <w:rPr>
          <w:spacing w:val="-4"/>
        </w:rPr>
        <w:t xml:space="preserve">Hospodaření státního rozpočtu (SR) skončilo v 1. čtvrtletí se schodkem 91,2 mld. korun. Meziročně se deficit snížil o 13,8 mld. Za zlepšením schodku stálo relativně solidní tempo růstu celkových příjmů SR, ve kterém se postupně projevuje dopad oživení výkonu ekonomiky. Růst výdajů SR byl navíc tlumen </w:t>
      </w:r>
      <w:r w:rsidRPr="00B72A69">
        <w:rPr>
          <w:spacing w:val="-5"/>
        </w:rPr>
        <w:t>odeznívání</w:t>
      </w:r>
      <w:r>
        <w:rPr>
          <w:spacing w:val="-5"/>
        </w:rPr>
        <w:t>m</w:t>
      </w:r>
      <w:r w:rsidRPr="00B72A69">
        <w:rPr>
          <w:spacing w:val="-5"/>
        </w:rPr>
        <w:t xml:space="preserve"> potřeby mimořádných výdajů domácnostem i firmám zasaženým dopady vysoké</w:t>
      </w:r>
      <w:r>
        <w:rPr>
          <w:spacing w:val="-4"/>
        </w:rPr>
        <w:t xml:space="preserve"> inflace. Na příjmovou i výdajovou stranu rozpočtu působí také dopady </w:t>
      </w:r>
      <w:r w:rsidRPr="009E7F3F">
        <w:rPr>
          <w:spacing w:val="-5"/>
        </w:rPr>
        <w:t xml:space="preserve">konsolidačního </w:t>
      </w:r>
      <w:r>
        <w:rPr>
          <w:spacing w:val="-5"/>
        </w:rPr>
        <w:t xml:space="preserve">ozdravného </w:t>
      </w:r>
      <w:r w:rsidRPr="009E7F3F">
        <w:rPr>
          <w:spacing w:val="-5"/>
        </w:rPr>
        <w:t>balíčku schváleného</w:t>
      </w:r>
      <w:r>
        <w:rPr>
          <w:spacing w:val="-5"/>
        </w:rPr>
        <w:t xml:space="preserve"> v roce 2023. Zřetelný dopad má zde již změna </w:t>
      </w:r>
      <w:r w:rsidRPr="009E7F3F">
        <w:rPr>
          <w:spacing w:val="-5"/>
        </w:rPr>
        <w:t>rozpočtového určení daní, jež od</w:t>
      </w:r>
      <w:r>
        <w:rPr>
          <w:spacing w:val="-4"/>
        </w:rPr>
        <w:t xml:space="preserve"> ledna 2025 zvyšuje podíl na výnosu některých váhově významných daní ve prospěch SR. </w:t>
      </w:r>
    </w:p>
    <w:p w14:paraId="181E4D16" w14:textId="2A09D259" w:rsidR="00603FF5" w:rsidRDefault="00343182" w:rsidP="0083516C">
      <w:pPr>
        <w:pStyle w:val="Normalodrka"/>
        <w:numPr>
          <w:ilvl w:val="0"/>
          <w:numId w:val="0"/>
        </w:numPr>
        <w:spacing w:after="0"/>
        <w:jc w:val="center"/>
      </w:pPr>
      <w:r w:rsidRPr="00343182">
        <w:rPr>
          <w:noProof/>
        </w:rPr>
        <w:lastRenderedPageBreak/>
        <w:drawing>
          <wp:inline distT="0" distB="0" distL="0" distR="0" wp14:anchorId="476B7639" wp14:editId="5B59A5C2">
            <wp:extent cx="5857875" cy="8867775"/>
            <wp:effectExtent l="0" t="0" r="952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8867775"/>
                    </a:xfrm>
                    <a:prstGeom prst="rect">
                      <a:avLst/>
                    </a:prstGeom>
                    <a:noFill/>
                    <a:ln>
                      <a:noFill/>
                    </a:ln>
                  </pic:spPr>
                </pic:pic>
              </a:graphicData>
            </a:graphic>
          </wp:inline>
        </w:drawing>
      </w:r>
    </w:p>
    <w:p w14:paraId="31CD0182" w14:textId="77777777" w:rsidR="003B7AFA" w:rsidRPr="009110F7" w:rsidRDefault="003B7AFA" w:rsidP="003B7AFA">
      <w:pPr>
        <w:pStyle w:val="Nadpis1"/>
      </w:pPr>
      <w:bookmarkStart w:id="12" w:name="_Toc200969289"/>
      <w:bookmarkStart w:id="13" w:name="_Toc169258116"/>
      <w:bookmarkStart w:id="14" w:name="_Toc153531176"/>
      <w:bookmarkStart w:id="15" w:name="_Toc176767107"/>
      <w:bookmarkStart w:id="16" w:name="_Toc161914427"/>
      <w:bookmarkEnd w:id="2"/>
      <w:bookmarkEnd w:id="3"/>
      <w:bookmarkEnd w:id="4"/>
      <w:bookmarkEnd w:id="5"/>
      <w:bookmarkEnd w:id="6"/>
      <w:bookmarkEnd w:id="7"/>
      <w:bookmarkEnd w:id="8"/>
      <w:bookmarkEnd w:id="9"/>
      <w:bookmarkEnd w:id="10"/>
      <w:r>
        <w:lastRenderedPageBreak/>
        <w:t>2. Souhrnná výkonnost</w:t>
      </w:r>
      <w:bookmarkEnd w:id="12"/>
    </w:p>
    <w:tbl>
      <w:tblPr>
        <w:tblW w:w="9639" w:type="dxa"/>
        <w:tblInd w:w="-20" w:type="dxa"/>
        <w:tblCellMar>
          <w:left w:w="0" w:type="dxa"/>
          <w:right w:w="0" w:type="dxa"/>
        </w:tblCellMar>
        <w:tblLook w:val="00A0" w:firstRow="1" w:lastRow="0" w:firstColumn="1" w:lastColumn="0" w:noHBand="0" w:noVBand="0"/>
      </w:tblPr>
      <w:tblGrid>
        <w:gridCol w:w="1806"/>
        <w:gridCol w:w="210"/>
        <w:gridCol w:w="7623"/>
      </w:tblGrid>
      <w:tr w:rsidR="003B7AFA" w:rsidRPr="009110F7" w14:paraId="110E2261" w14:textId="77777777" w:rsidTr="003B7AFA">
        <w:trPr>
          <w:trHeight w:val="145"/>
        </w:trPr>
        <w:tc>
          <w:tcPr>
            <w:tcW w:w="1806" w:type="dxa"/>
            <w:shd w:val="clear" w:color="auto" w:fill="auto"/>
            <w:tcMar>
              <w:left w:w="0" w:type="dxa"/>
            </w:tcMar>
          </w:tcPr>
          <w:p w14:paraId="20BFADCC" w14:textId="77777777" w:rsidR="003B7AFA" w:rsidRDefault="003B7AFA" w:rsidP="003B7AFA">
            <w:pPr>
              <w:pStyle w:val="Marginlie"/>
            </w:pPr>
            <w:r>
              <w:t>Růst HDP v Česku zrychlil.</w:t>
            </w:r>
          </w:p>
        </w:tc>
        <w:tc>
          <w:tcPr>
            <w:tcW w:w="210" w:type="dxa"/>
            <w:shd w:val="clear" w:color="auto" w:fill="auto"/>
            <w:tcMar>
              <w:left w:w="0" w:type="dxa"/>
            </w:tcMar>
          </w:tcPr>
          <w:p w14:paraId="747B2F37" w14:textId="77777777" w:rsidR="003B7AFA" w:rsidRDefault="003B7AFA" w:rsidP="003B7AFA">
            <w:pPr>
              <w:pStyle w:val="Textpoznpodarou"/>
              <w:jc w:val="both"/>
              <w:rPr>
                <w:spacing w:val="-4"/>
              </w:rPr>
            </w:pPr>
          </w:p>
        </w:tc>
        <w:tc>
          <w:tcPr>
            <w:tcW w:w="7623" w:type="dxa"/>
            <w:shd w:val="clear" w:color="auto" w:fill="auto"/>
            <w:tcMar>
              <w:left w:w="0" w:type="dxa"/>
            </w:tcMar>
          </w:tcPr>
          <w:p w14:paraId="34CF5574" w14:textId="77777777" w:rsidR="003B7AFA" w:rsidRPr="00014ED0" w:rsidRDefault="003B7AFA" w:rsidP="003B7AFA">
            <w:pPr>
              <w:rPr>
                <w:spacing w:val="-2"/>
              </w:rPr>
            </w:pPr>
            <w:r>
              <w:rPr>
                <w:spacing w:val="-2"/>
              </w:rPr>
              <w:t>Česká ekonomika v 1. čtvrtletí 2025 pokračovala v růstu. Hrubý domácí produkt</w:t>
            </w:r>
            <w:r w:rsidRPr="00014ED0">
              <w:rPr>
                <w:rStyle w:val="Znakapoznpodarou"/>
                <w:rFonts w:cs="Arial"/>
                <w:spacing w:val="-2"/>
              </w:rPr>
              <w:footnoteReference w:id="4"/>
            </w:r>
            <w:r>
              <w:rPr>
                <w:spacing w:val="-2"/>
              </w:rPr>
              <w:t xml:space="preserve"> (HDP) se mezičtvrtletně zvýšil o 0,8 % a přírůstek potřetí v řadě posílil. Příznivě k tomu přispěl zejména vývoj tvorby hrubého kapitálu. Došlo totiž k oživení investiční aktivity a pozitivně působila i změna zásob. K mezičtvrtletnímu růstu HDP přispěla také spotřeba domácností</w:t>
            </w:r>
            <w:r w:rsidRPr="00014ED0">
              <w:rPr>
                <w:rStyle w:val="Znakapoznpodarou"/>
                <w:spacing w:val="-2"/>
              </w:rPr>
              <w:footnoteReference w:id="5"/>
            </w:r>
            <w:r>
              <w:rPr>
                <w:spacing w:val="-2"/>
              </w:rPr>
              <w:t>. Naopak klesala spotřeba vládních institucí a nulový byl efekt bilance zahraničního obchodu. Díky pokračující solidní mezikvartální dynamice HDP posiloval také jeho meziroční růst. Přírůstek ve výši 2,2 % byl nejvyšší od 2. čtvrtletí 2022. K růstu HDP nejvíce přispívala domácí spotřeba a dále změna zásob. Naopak klesla investiční aktivita a negativně působila bilance zahraničního obchodu.</w:t>
            </w:r>
          </w:p>
        </w:tc>
      </w:tr>
      <w:tr w:rsidR="003B7AFA" w:rsidRPr="009110F7" w14:paraId="3C9F872F" w14:textId="77777777" w:rsidTr="003B7AFA">
        <w:trPr>
          <w:trHeight w:val="170"/>
        </w:trPr>
        <w:tc>
          <w:tcPr>
            <w:tcW w:w="1806" w:type="dxa"/>
            <w:vMerge w:val="restart"/>
            <w:shd w:val="clear" w:color="auto" w:fill="auto"/>
            <w:tcMar>
              <w:left w:w="0" w:type="dxa"/>
            </w:tcMar>
          </w:tcPr>
          <w:p w14:paraId="6649918B" w14:textId="77777777" w:rsidR="003B7AFA" w:rsidRDefault="003B7AFA" w:rsidP="003B7AFA">
            <w:pPr>
              <w:pStyle w:val="Marginlie"/>
            </w:pPr>
          </w:p>
        </w:tc>
        <w:tc>
          <w:tcPr>
            <w:tcW w:w="210" w:type="dxa"/>
            <w:vMerge w:val="restart"/>
            <w:shd w:val="clear" w:color="auto" w:fill="auto"/>
            <w:tcMar>
              <w:left w:w="0" w:type="dxa"/>
            </w:tcMar>
          </w:tcPr>
          <w:p w14:paraId="2F616514" w14:textId="77777777" w:rsidR="003B7AFA" w:rsidRDefault="003B7AFA" w:rsidP="003B7AFA">
            <w:pPr>
              <w:pStyle w:val="Textpoznpodarou"/>
              <w:jc w:val="both"/>
              <w:rPr>
                <w:spacing w:val="-4"/>
              </w:rPr>
            </w:pPr>
          </w:p>
        </w:tc>
        <w:tc>
          <w:tcPr>
            <w:tcW w:w="7623" w:type="dxa"/>
            <w:shd w:val="clear" w:color="auto" w:fill="auto"/>
            <w:tcMar>
              <w:left w:w="0" w:type="dxa"/>
            </w:tcMar>
          </w:tcPr>
          <w:p w14:paraId="466F731A" w14:textId="77777777" w:rsidR="003B7AFA" w:rsidRPr="00D721B4" w:rsidRDefault="003B7AFA" w:rsidP="003B7AFA">
            <w:pPr>
              <w:spacing w:after="0"/>
              <w:rPr>
                <w:b/>
                <w:szCs w:val="20"/>
              </w:rPr>
            </w:pPr>
            <w:r w:rsidRPr="00D721B4">
              <w:rPr>
                <w:rFonts w:cs="Arial"/>
                <w:b/>
                <w:bCs/>
                <w:color w:val="000000"/>
                <w:szCs w:val="20"/>
              </w:rPr>
              <w:t>Graf č. 1</w:t>
            </w:r>
            <w:r>
              <w:rPr>
                <w:rFonts w:cs="Arial"/>
                <w:b/>
                <w:bCs/>
                <w:color w:val="000000"/>
                <w:szCs w:val="20"/>
              </w:rPr>
              <w:t xml:space="preserve"> </w:t>
            </w:r>
            <w:r w:rsidRPr="00D721B4">
              <w:rPr>
                <w:rFonts w:cs="Arial"/>
                <w:b/>
                <w:szCs w:val="20"/>
                <w:lang w:eastAsia="en-US"/>
              </w:rPr>
              <w:t xml:space="preserve">HDP </w:t>
            </w:r>
            <w:r w:rsidRPr="00D721B4">
              <w:rPr>
                <w:rFonts w:cs="Arial"/>
                <w:bCs/>
                <w:szCs w:val="20"/>
                <w:lang w:eastAsia="en-US"/>
              </w:rPr>
              <w:t>(objemové indexy, očištěno o sezónní a kalendářní vlivy, v</w:t>
            </w:r>
            <w:r>
              <w:rPr>
                <w:rFonts w:cs="Arial"/>
                <w:bCs/>
                <w:szCs w:val="20"/>
                <w:lang w:eastAsia="en-US"/>
              </w:rPr>
              <w:t> %</w:t>
            </w:r>
            <w:r w:rsidRPr="00D721B4">
              <w:rPr>
                <w:rFonts w:cs="Arial"/>
                <w:bCs/>
                <w:szCs w:val="20"/>
                <w:lang w:eastAsia="en-US"/>
              </w:rPr>
              <w:t>)</w:t>
            </w:r>
          </w:p>
        </w:tc>
      </w:tr>
      <w:tr w:rsidR="003B7AFA" w:rsidRPr="009110F7" w14:paraId="62C267B9" w14:textId="77777777" w:rsidTr="004C5B81">
        <w:tblPrEx>
          <w:tblCellMar>
            <w:left w:w="70" w:type="dxa"/>
            <w:right w:w="70" w:type="dxa"/>
          </w:tblCellMar>
        </w:tblPrEx>
        <w:trPr>
          <w:trHeight w:val="170"/>
        </w:trPr>
        <w:tc>
          <w:tcPr>
            <w:tcW w:w="1806" w:type="dxa"/>
            <w:vMerge/>
          </w:tcPr>
          <w:p w14:paraId="4F11EEA4" w14:textId="77777777" w:rsidR="003B7AFA" w:rsidRPr="009110F7" w:rsidRDefault="003B7AFA" w:rsidP="003B7AFA">
            <w:pPr>
              <w:pStyle w:val="Marginlie"/>
            </w:pPr>
          </w:p>
        </w:tc>
        <w:tc>
          <w:tcPr>
            <w:tcW w:w="210" w:type="dxa"/>
            <w:vMerge/>
          </w:tcPr>
          <w:p w14:paraId="7DFCD7E0" w14:textId="77777777" w:rsidR="003B7AFA" w:rsidRPr="009110F7" w:rsidRDefault="003B7AFA" w:rsidP="003B7AFA">
            <w:pPr>
              <w:pStyle w:val="Textpoznpodarou"/>
              <w:jc w:val="both"/>
              <w:rPr>
                <w:spacing w:val="-4"/>
              </w:rPr>
            </w:pPr>
          </w:p>
        </w:tc>
        <w:tc>
          <w:tcPr>
            <w:tcW w:w="7623" w:type="dxa"/>
            <w:shd w:val="clear" w:color="auto" w:fill="auto"/>
          </w:tcPr>
          <w:p w14:paraId="67F2A575" w14:textId="5DF8C9B1" w:rsidR="003B7AFA" w:rsidRPr="009110F7" w:rsidRDefault="004C5B81" w:rsidP="003B7AFA">
            <w:pPr>
              <w:spacing w:after="0"/>
            </w:pPr>
            <w:r>
              <w:rPr>
                <w:noProof/>
              </w:rPr>
              <w:drawing>
                <wp:inline distT="0" distB="0" distL="0" distR="0" wp14:anchorId="2C5E7F97" wp14:editId="7882ED64">
                  <wp:extent cx="4737600" cy="3553200"/>
                  <wp:effectExtent l="0" t="0" r="6350" b="0"/>
                  <wp:docPr id="37" name="Graf 3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3B7AFA" w:rsidRPr="009110F7" w14:paraId="526795E8" w14:textId="77777777" w:rsidTr="003B7AFA">
        <w:trPr>
          <w:trHeight w:val="170"/>
        </w:trPr>
        <w:tc>
          <w:tcPr>
            <w:tcW w:w="1806" w:type="dxa"/>
            <w:vMerge/>
            <w:tcMar>
              <w:left w:w="0" w:type="dxa"/>
            </w:tcMar>
          </w:tcPr>
          <w:p w14:paraId="57120576" w14:textId="77777777" w:rsidR="003B7AFA" w:rsidRPr="009110F7" w:rsidRDefault="003B7AFA" w:rsidP="003B7AFA">
            <w:pPr>
              <w:pStyle w:val="Marginlie"/>
            </w:pPr>
          </w:p>
        </w:tc>
        <w:tc>
          <w:tcPr>
            <w:tcW w:w="210" w:type="dxa"/>
            <w:vMerge/>
            <w:tcMar>
              <w:left w:w="0" w:type="dxa"/>
            </w:tcMar>
          </w:tcPr>
          <w:p w14:paraId="6968773A" w14:textId="77777777" w:rsidR="003B7AFA" w:rsidRPr="009110F7" w:rsidRDefault="003B7AFA" w:rsidP="003B7AFA">
            <w:pPr>
              <w:pStyle w:val="Textpoznpodarou"/>
              <w:jc w:val="both"/>
              <w:rPr>
                <w:spacing w:val="-4"/>
              </w:rPr>
            </w:pPr>
          </w:p>
        </w:tc>
        <w:tc>
          <w:tcPr>
            <w:tcW w:w="7623" w:type="dxa"/>
            <w:shd w:val="clear" w:color="auto" w:fill="auto"/>
            <w:tcMar>
              <w:left w:w="0" w:type="dxa"/>
            </w:tcMar>
          </w:tcPr>
          <w:p w14:paraId="67B2D378" w14:textId="77777777" w:rsidR="003B7AFA" w:rsidRPr="009110F7" w:rsidRDefault="003B7AFA" w:rsidP="003B7AFA">
            <w:pPr>
              <w:spacing w:after="220"/>
              <w:rPr>
                <w:sz w:val="14"/>
                <w:szCs w:val="14"/>
              </w:rPr>
            </w:pPr>
            <w:r>
              <w:rPr>
                <w:sz w:val="14"/>
                <w:szCs w:val="14"/>
              </w:rPr>
              <w:t>Zdroj: ČSÚ, Eurostat</w:t>
            </w:r>
          </w:p>
        </w:tc>
      </w:tr>
      <w:tr w:rsidR="003B7AFA" w:rsidRPr="009110F7" w14:paraId="04E277A7" w14:textId="77777777" w:rsidTr="003B7AFA">
        <w:trPr>
          <w:trHeight w:val="145"/>
        </w:trPr>
        <w:tc>
          <w:tcPr>
            <w:tcW w:w="1806" w:type="dxa"/>
            <w:shd w:val="clear" w:color="auto" w:fill="auto"/>
            <w:tcMar>
              <w:left w:w="0" w:type="dxa"/>
            </w:tcMar>
          </w:tcPr>
          <w:p w14:paraId="6AEED406" w14:textId="765270DA" w:rsidR="003B7AFA" w:rsidRDefault="003B7AFA" w:rsidP="003B7AFA">
            <w:pPr>
              <w:pStyle w:val="Marginlie"/>
            </w:pPr>
            <w:r>
              <w:t xml:space="preserve">Německý </w:t>
            </w:r>
            <w:r w:rsidR="008304D1">
              <w:t xml:space="preserve">ekonomický </w:t>
            </w:r>
            <w:r>
              <w:t>pokles se zastavil.</w:t>
            </w:r>
          </w:p>
        </w:tc>
        <w:tc>
          <w:tcPr>
            <w:tcW w:w="210" w:type="dxa"/>
            <w:shd w:val="clear" w:color="auto" w:fill="auto"/>
            <w:tcMar>
              <w:left w:w="0" w:type="dxa"/>
            </w:tcMar>
          </w:tcPr>
          <w:p w14:paraId="6748D5D9" w14:textId="77777777" w:rsidR="003B7AFA" w:rsidRDefault="003B7AFA" w:rsidP="003B7AFA">
            <w:pPr>
              <w:pStyle w:val="Textpoznpodarou"/>
              <w:jc w:val="both"/>
              <w:rPr>
                <w:spacing w:val="-4"/>
              </w:rPr>
            </w:pPr>
          </w:p>
        </w:tc>
        <w:tc>
          <w:tcPr>
            <w:tcW w:w="7623" w:type="dxa"/>
            <w:shd w:val="clear" w:color="auto" w:fill="auto"/>
            <w:tcMar>
              <w:left w:w="0" w:type="dxa"/>
            </w:tcMar>
          </w:tcPr>
          <w:p w14:paraId="7040E6C8" w14:textId="3FC1AF94" w:rsidR="003B7AFA" w:rsidRDefault="003B7AFA" w:rsidP="008304D1">
            <w:r>
              <w:t xml:space="preserve">Mezičtvrtletní růst HDP v Evropské unii </w:t>
            </w:r>
            <w:r w:rsidR="008304D1">
              <w:t>zrychlil</w:t>
            </w:r>
            <w:r>
              <w:t xml:space="preserve"> a dosáhl v 1. čtvrtletí 0,</w:t>
            </w:r>
            <w:r w:rsidR="008304D1">
              <w:t>6</w:t>
            </w:r>
            <w:r>
              <w:t xml:space="preserve"> %. Nejsilněji se mezičtvrtletně zvyšoval HDP v Irsku (</w:t>
            </w:r>
            <w:r w:rsidR="008304D1">
              <w:t>9,7</w:t>
            </w:r>
            <w:r>
              <w:t xml:space="preserve"> %), na Maltě (2,1 %) a na Kypru (1,3 %). Česko podle dostupných údajů zaznamenalo čtvrtý nejvyšší mezičtvrtletní přírůstek HDP v EU. Pokles HDP byl zaznamenán v</w:t>
            </w:r>
            <w:r w:rsidR="008304D1">
              <w:t xml:space="preserve"> sedmi</w:t>
            </w:r>
            <w:r>
              <w:t xml:space="preserve"> zemích EU – </w:t>
            </w:r>
            <w:r w:rsidR="008304D1">
              <w:t xml:space="preserve">Lucembursku (-1,0 %), </w:t>
            </w:r>
            <w:r>
              <w:t xml:space="preserve">Slovinsku (−0,8 %), </w:t>
            </w:r>
            <w:r w:rsidR="008304D1">
              <w:t xml:space="preserve">Dánsku a </w:t>
            </w:r>
            <w:r>
              <w:t>Portugalsku (</w:t>
            </w:r>
            <w:r w:rsidR="008304D1">
              <w:t xml:space="preserve">shodně </w:t>
            </w:r>
            <w:r>
              <w:t>−0,5 %), Estonsku (−0,3 %) a</w:t>
            </w:r>
            <w:r w:rsidR="008304D1">
              <w:t> </w:t>
            </w:r>
            <w:r>
              <w:t xml:space="preserve">Maďarsku </w:t>
            </w:r>
            <w:r w:rsidR="008304D1">
              <w:t xml:space="preserve">a Švédsku </w:t>
            </w:r>
            <w:r>
              <w:t>(</w:t>
            </w:r>
            <w:r w:rsidR="008304D1">
              <w:t xml:space="preserve">shodně o </w:t>
            </w:r>
            <w:r>
              <w:t xml:space="preserve">−0,2 %). Solidně se HDP mezičtvrtletně zvýšil v Německu (0,4 %, nejvyšší přírůstek od 3. čtvrtletí 2022), které v posledních dvou letech zažívalo ekonomické zpomalení. Meziroční růst HDP v EU v 1. čtvrtletí </w:t>
            </w:r>
            <w:r w:rsidR="008304D1">
              <w:t xml:space="preserve">mírně zrychlil </w:t>
            </w:r>
            <w:r>
              <w:t>na 1,</w:t>
            </w:r>
            <w:r w:rsidR="008304D1">
              <w:t>6</w:t>
            </w:r>
            <w:r>
              <w:t xml:space="preserve"> %. Nejsilnější přírůstky vykázaly ekonomiky Irska (</w:t>
            </w:r>
            <w:r w:rsidR="008304D1">
              <w:t>21,1</w:t>
            </w:r>
            <w:r>
              <w:t xml:space="preserve"> %), Polska (3,7 %) a Dánska (3,6 %). V</w:t>
            </w:r>
            <w:r w:rsidR="008304D1">
              <w:t xml:space="preserve"> pěti</w:t>
            </w:r>
            <w:r>
              <w:t xml:space="preserve"> zemích HDP meziročně zaostával – ve Slovinsku (−0,8</w:t>
            </w:r>
            <w:r w:rsidR="008304D1">
              <w:t> </w:t>
            </w:r>
            <w:r>
              <w:t xml:space="preserve">%), </w:t>
            </w:r>
            <w:r w:rsidR="008304D1">
              <w:t xml:space="preserve">Lucembursku, </w:t>
            </w:r>
            <w:r>
              <w:t xml:space="preserve">Rakousku </w:t>
            </w:r>
            <w:r w:rsidR="008304D1">
              <w:t xml:space="preserve">a </w:t>
            </w:r>
            <w:r>
              <w:t>Maďarsku (</w:t>
            </w:r>
            <w:r w:rsidR="008304D1">
              <w:t xml:space="preserve">shodně o </w:t>
            </w:r>
            <w:r>
              <w:t>−0,4 %) a Lotyšsku (−0,3</w:t>
            </w:r>
            <w:r w:rsidR="008304D1">
              <w:t> </w:t>
            </w:r>
            <w:r>
              <w:t xml:space="preserve">%). Ekonomicky dominantní Německo po šesti </w:t>
            </w:r>
            <w:r w:rsidR="008304D1">
              <w:t xml:space="preserve">předchozích </w:t>
            </w:r>
            <w:r>
              <w:t xml:space="preserve">poklesech </w:t>
            </w:r>
            <w:r w:rsidR="008304D1">
              <w:t xml:space="preserve">v 1. čtvrtletí </w:t>
            </w:r>
            <w:r>
              <w:t>stagnovalo.</w:t>
            </w:r>
          </w:p>
        </w:tc>
      </w:tr>
      <w:tr w:rsidR="003B7AFA" w:rsidRPr="009110F7" w14:paraId="6981E424" w14:textId="77777777" w:rsidTr="003B7AFA">
        <w:trPr>
          <w:trHeight w:val="145"/>
        </w:trPr>
        <w:tc>
          <w:tcPr>
            <w:tcW w:w="1806" w:type="dxa"/>
            <w:shd w:val="clear" w:color="auto" w:fill="auto"/>
            <w:tcMar>
              <w:left w:w="0" w:type="dxa"/>
            </w:tcMar>
          </w:tcPr>
          <w:p w14:paraId="7F14F1D8" w14:textId="77777777" w:rsidR="003B7AFA" w:rsidRDefault="003B7AFA" w:rsidP="003B7AFA">
            <w:pPr>
              <w:pStyle w:val="Marginlie"/>
            </w:pPr>
            <w:r>
              <w:lastRenderedPageBreak/>
              <w:t>Mzdy a platy mezičtvrtletně rostly.</w:t>
            </w:r>
          </w:p>
        </w:tc>
        <w:tc>
          <w:tcPr>
            <w:tcW w:w="210" w:type="dxa"/>
            <w:shd w:val="clear" w:color="auto" w:fill="auto"/>
            <w:tcMar>
              <w:left w:w="0" w:type="dxa"/>
            </w:tcMar>
          </w:tcPr>
          <w:p w14:paraId="618EE3CD" w14:textId="77777777" w:rsidR="003B7AFA" w:rsidRDefault="003B7AFA" w:rsidP="003B7AFA">
            <w:pPr>
              <w:pStyle w:val="Textpoznpodarou"/>
              <w:jc w:val="both"/>
              <w:rPr>
                <w:spacing w:val="-4"/>
              </w:rPr>
            </w:pPr>
          </w:p>
        </w:tc>
        <w:tc>
          <w:tcPr>
            <w:tcW w:w="7623" w:type="dxa"/>
            <w:shd w:val="clear" w:color="auto" w:fill="auto"/>
            <w:tcMar>
              <w:left w:w="0" w:type="dxa"/>
            </w:tcMar>
          </w:tcPr>
          <w:p w14:paraId="41C624E3" w14:textId="77777777" w:rsidR="003B7AFA" w:rsidRPr="00014ED0" w:rsidRDefault="003B7AFA" w:rsidP="003B7AFA">
            <w:r>
              <w:t>Objem vyplacených mezd a platů se v 1. čtvrtletí 2025 mezičtvrtletně zvýšil o 2,0 % při navýšení zaměstnanosti</w:t>
            </w:r>
            <w:r w:rsidRPr="00014ED0">
              <w:rPr>
                <w:rStyle w:val="Znakapoznpodarou"/>
                <w:spacing w:val="-2"/>
              </w:rPr>
              <w:footnoteReference w:id="6"/>
            </w:r>
            <w:r>
              <w:t xml:space="preserve"> o 0,7 %. Reálně se mzdy a platy zvýšily o 0,9 %</w:t>
            </w:r>
            <w:r>
              <w:rPr>
                <w:rStyle w:val="Znakapoznpodarou"/>
                <w:spacing w:val="-2"/>
              </w:rPr>
              <w:footnoteReference w:id="7"/>
            </w:r>
            <w:r>
              <w:t>. Silné mezičtvrtletní navýšení objemu vyplacených mezd a platů byl zaznamenáno ve stavebnictví (5,9 % při růstu zaměstnanosti o 0,6 %) a v ostatních činnostech</w:t>
            </w:r>
            <w:r>
              <w:rPr>
                <w:rStyle w:val="Znakapoznpodarou"/>
                <w:spacing w:val="-2"/>
              </w:rPr>
              <w:footnoteReference w:id="8"/>
            </w:r>
            <w:r>
              <w:t xml:space="preserve"> (5,5 %, zaměstnanost −0,1 %). Mzdy a platy rostly nadprůměrně rovněž v dalších odvětvích služeb – v profesních, vědeckých, technických a administrativních činnostech (2,8 %, zaměstnanost 1,3 %), informačních a komunikačních činnostech (2,6 %, zaměstnanost o 5,6 %) a v uskupení obchod, doprava, ubytování a pohostinství (2,2 %, zaměstnanost 1,6 %). Mírněji se zvyšovaly vyplacené mzdy a platy v průmyslu (1,6 %, zaměstnanost −0,1 %), v</w:t>
            </w:r>
            <w:r w:rsidRPr="00A21E0B">
              <w:t>eřejn</w:t>
            </w:r>
            <w:r>
              <w:t>é</w:t>
            </w:r>
            <w:r w:rsidRPr="00A21E0B">
              <w:t xml:space="preserve"> správ</w:t>
            </w:r>
            <w:r>
              <w:t>ě</w:t>
            </w:r>
            <w:r w:rsidRPr="00A21E0B">
              <w:t xml:space="preserve"> a obran</w:t>
            </w:r>
            <w:r>
              <w:t>ě</w:t>
            </w:r>
            <w:r w:rsidRPr="00A21E0B">
              <w:t>, vzděl</w:t>
            </w:r>
            <w:r>
              <w:t>ávání, zdravotní a sociální péči (1,4 %, zaměstnanost −0,3 %) a peněžnictví a pojišťovnictví (0,9 %, zaměstnanost 0,2 %).</w:t>
            </w:r>
          </w:p>
        </w:tc>
      </w:tr>
      <w:tr w:rsidR="003B7AFA" w:rsidRPr="009110F7" w14:paraId="67E981A3" w14:textId="77777777" w:rsidTr="003B7AFA">
        <w:trPr>
          <w:trHeight w:val="145"/>
        </w:trPr>
        <w:tc>
          <w:tcPr>
            <w:tcW w:w="1806" w:type="dxa"/>
            <w:shd w:val="clear" w:color="auto" w:fill="auto"/>
            <w:tcMar>
              <w:left w:w="0" w:type="dxa"/>
            </w:tcMar>
          </w:tcPr>
          <w:p w14:paraId="371A2474" w14:textId="77777777" w:rsidR="003B7AFA" w:rsidRDefault="003B7AFA" w:rsidP="003B7AFA">
            <w:pPr>
              <w:pStyle w:val="Marginlie"/>
            </w:pPr>
            <w:r>
              <w:t>Dynamice mezd dominovaly služby, do popředí se dostalo také stavebnictví.</w:t>
            </w:r>
          </w:p>
        </w:tc>
        <w:tc>
          <w:tcPr>
            <w:tcW w:w="210" w:type="dxa"/>
            <w:shd w:val="clear" w:color="auto" w:fill="auto"/>
            <w:tcMar>
              <w:left w:w="0" w:type="dxa"/>
            </w:tcMar>
          </w:tcPr>
          <w:p w14:paraId="00F534C9" w14:textId="77777777" w:rsidR="003B7AFA" w:rsidRDefault="003B7AFA" w:rsidP="003B7AFA">
            <w:pPr>
              <w:pStyle w:val="Textpoznpodarou"/>
              <w:jc w:val="both"/>
              <w:rPr>
                <w:spacing w:val="-4"/>
              </w:rPr>
            </w:pPr>
          </w:p>
        </w:tc>
        <w:tc>
          <w:tcPr>
            <w:tcW w:w="7623" w:type="dxa"/>
            <w:shd w:val="clear" w:color="auto" w:fill="auto"/>
            <w:tcMar>
              <w:left w:w="0" w:type="dxa"/>
            </w:tcMar>
          </w:tcPr>
          <w:p w14:paraId="59F6B0CD" w14:textId="77777777" w:rsidR="003B7AFA" w:rsidRDefault="003B7AFA" w:rsidP="003B7AFA">
            <w:r>
              <w:t>Meziroční přírůstek mezd a platů v 1. čtvrtletí dosáhl 7,0 % při navýšení zaměstnanosti o 1,1 %. Reálný přírůstek zůstal stejný jako v předchozím kvartálu (4,1 %). Nejvyšší meziroční nárůst byl zaznamenán u činností v oblasti nemovitostí (22,4 %, zaměstnanost 4,7 %) a přes desetinu vzrostly mzdy a platy také u profesních, vědeckých, technických a administrativních činností (12,3 %, zaměstnanost 1,8 %) a ostatních činností (11,8 %, zaměstnanost 2,8 %). Ve službách se nadprůměrně zvýšily mzdy a platy ještě také v informačních a komunikačních činnostech (8,9 %, zaměstnanost 0,6 %) a v obchodě, dopravě, ubytování a pohostinství (7,2 %, zaměstnanost 0,9 %). Značně posílil meziroční růst mezd a platů ve stavebnictví (9,7 %, zaměstnanost se zvýšila o 2,4 %). Podprůměrnou dynamiku měly v 1. čtvrtletí mzdy a platy ve v</w:t>
            </w:r>
            <w:r w:rsidRPr="00A21E0B">
              <w:t>eřejn</w:t>
            </w:r>
            <w:r>
              <w:t>é</w:t>
            </w:r>
            <w:r w:rsidRPr="00A21E0B">
              <w:t xml:space="preserve"> správ</w:t>
            </w:r>
            <w:r>
              <w:t>ě</w:t>
            </w:r>
            <w:r w:rsidRPr="00A21E0B">
              <w:t xml:space="preserve"> a obran</w:t>
            </w:r>
            <w:r>
              <w:t>ě</w:t>
            </w:r>
            <w:r w:rsidRPr="00A21E0B">
              <w:t>, vzděl</w:t>
            </w:r>
            <w:r>
              <w:t xml:space="preserve">ávání, zdravotní a sociální péči (6,7 %, zaměstnanost 1,8 %), v peněžnictví a pojišťovnictví (6,3 %, zaměstnanost 0,8 %). Průmysl zaostával za zbytkem ekonomiky v dynamice mezd a platů – objem se meziročně zvýšil o 3,9 % při poklesu zaměstnanosti o 0,3 %. </w:t>
            </w:r>
          </w:p>
        </w:tc>
      </w:tr>
      <w:tr w:rsidR="003B7AFA" w:rsidRPr="009110F7" w14:paraId="185A3EB7" w14:textId="77777777" w:rsidTr="003B7AFA">
        <w:trPr>
          <w:trHeight w:val="145"/>
        </w:trPr>
        <w:tc>
          <w:tcPr>
            <w:tcW w:w="1806" w:type="dxa"/>
            <w:shd w:val="clear" w:color="auto" w:fill="auto"/>
            <w:tcMar>
              <w:left w:w="0" w:type="dxa"/>
            </w:tcMar>
          </w:tcPr>
          <w:p w14:paraId="041F355E" w14:textId="77777777" w:rsidR="003B7AFA" w:rsidRDefault="003B7AFA" w:rsidP="003B7AFA">
            <w:pPr>
              <w:pStyle w:val="Marginlie"/>
            </w:pPr>
            <w:r>
              <w:t>Růst spotřeby domácností se zmírnil.</w:t>
            </w:r>
          </w:p>
        </w:tc>
        <w:tc>
          <w:tcPr>
            <w:tcW w:w="210" w:type="dxa"/>
            <w:shd w:val="clear" w:color="auto" w:fill="auto"/>
            <w:tcMar>
              <w:left w:w="0" w:type="dxa"/>
            </w:tcMar>
          </w:tcPr>
          <w:p w14:paraId="3C4F00E2" w14:textId="77777777" w:rsidR="003B7AFA" w:rsidRDefault="003B7AFA" w:rsidP="003B7AFA">
            <w:pPr>
              <w:pStyle w:val="Textpoznpodarou"/>
              <w:jc w:val="both"/>
              <w:rPr>
                <w:spacing w:val="-4"/>
              </w:rPr>
            </w:pPr>
          </w:p>
        </w:tc>
        <w:tc>
          <w:tcPr>
            <w:tcW w:w="7623" w:type="dxa"/>
            <w:shd w:val="clear" w:color="auto" w:fill="auto"/>
            <w:tcMar>
              <w:left w:w="0" w:type="dxa"/>
            </w:tcMar>
          </w:tcPr>
          <w:p w14:paraId="3DE1BE9C" w14:textId="77777777" w:rsidR="003B7AFA" w:rsidRPr="004B6F8C" w:rsidRDefault="003B7AFA" w:rsidP="003B7AFA">
            <w:pPr>
              <w:rPr>
                <w:spacing w:val="-2"/>
              </w:rPr>
            </w:pPr>
            <w:r>
              <w:rPr>
                <w:spacing w:val="-2"/>
              </w:rPr>
              <w:t>Vývoj domácí spotřeby se po pěti kvartálech mezičtvrtletního růstu zabrzdil. Celkově spotřeba v 1. čtvrtletí mezičtvrtletně klesla o 0,4 %. K tomu přispěly zejména výdaje vládních institucí (−1,5 %), zatímco u domácností spotřeba v zásadě stagnovala (0,1 %). Členění spotřeby podle trvanlivosti</w:t>
            </w:r>
            <w:r>
              <w:rPr>
                <w:rStyle w:val="Znakapoznpodarou"/>
              </w:rPr>
              <w:footnoteReference w:id="9"/>
            </w:r>
            <w:r>
              <w:rPr>
                <w:spacing w:val="-2"/>
              </w:rPr>
              <w:t xml:space="preserve"> v 1. čtvrtletí ukázalo po loňském oživení na výrazný mezičtvrtletní pokles výdajů na předměty střednědobé (−7,8 %) a dlouhodobé (−3,4 %) spotřeby. Nižší byla také spotřeba služeb (−0,3 %). Naopak krátkodobá spotřeba se zvýšila mezičtvrtletně o 2,1 %. Meziroční růst spotřeby v 1. čtvrtletí 2025 zpomalil na 2,3 %. Mírnější byl přírůstek u domácností (2,5 %) i vládních institucí (1,9 %). Meziročně vyšší byly výdaje domácností na služby (2,5 %) i předměty střednědobé (2,8 %) a krátkodobé (2,1 %) spotřeby. Na čtyři meziroční poklesy navázala dlouhodobá spotřeba stagnací v 1. čtvrtletí.</w:t>
            </w:r>
          </w:p>
        </w:tc>
      </w:tr>
      <w:tr w:rsidR="003B7AFA" w:rsidRPr="009110F7" w14:paraId="4CC37DCA" w14:textId="77777777" w:rsidTr="003B7AFA">
        <w:trPr>
          <w:trHeight w:val="145"/>
        </w:trPr>
        <w:tc>
          <w:tcPr>
            <w:tcW w:w="1806" w:type="dxa"/>
            <w:shd w:val="clear" w:color="auto" w:fill="auto"/>
            <w:tcMar>
              <w:left w:w="0" w:type="dxa"/>
            </w:tcMar>
          </w:tcPr>
          <w:p w14:paraId="5924B65D" w14:textId="77777777" w:rsidR="003B7AFA" w:rsidRDefault="003B7AFA" w:rsidP="003B7AFA">
            <w:pPr>
              <w:pStyle w:val="Marginlie"/>
            </w:pPr>
            <w:r>
              <w:t>Zásoby výrazně podpořily ekonomický růst.</w:t>
            </w:r>
          </w:p>
        </w:tc>
        <w:tc>
          <w:tcPr>
            <w:tcW w:w="210" w:type="dxa"/>
            <w:shd w:val="clear" w:color="auto" w:fill="auto"/>
            <w:tcMar>
              <w:left w:w="0" w:type="dxa"/>
            </w:tcMar>
          </w:tcPr>
          <w:p w14:paraId="7074FD5A" w14:textId="77777777" w:rsidR="003B7AFA" w:rsidRDefault="003B7AFA" w:rsidP="003B7AFA">
            <w:pPr>
              <w:pStyle w:val="Textpoznpodarou"/>
              <w:jc w:val="both"/>
              <w:rPr>
                <w:spacing w:val="-4"/>
              </w:rPr>
            </w:pPr>
          </w:p>
        </w:tc>
        <w:tc>
          <w:tcPr>
            <w:tcW w:w="7623" w:type="dxa"/>
            <w:shd w:val="clear" w:color="auto" w:fill="auto"/>
            <w:tcMar>
              <w:left w:w="0" w:type="dxa"/>
            </w:tcMar>
          </w:tcPr>
          <w:p w14:paraId="5328514B" w14:textId="77777777" w:rsidR="003B7AFA" w:rsidRDefault="003B7AFA" w:rsidP="003B7AFA">
            <w:pPr>
              <w:rPr>
                <w:spacing w:val="-2"/>
              </w:rPr>
            </w:pPr>
            <w:r>
              <w:t>Výdaje na tvorbu hrubého kapitálu v 1. čtvrtletí mezičtvrtletně vzrostly o 1,7 %. Na oživení se podílela tvorba hrubého fixního kapitálu (1,1 %) i vývoj tvorby zásob</w:t>
            </w:r>
            <w:r>
              <w:rPr>
                <w:rStyle w:val="Znakapoznpodarou"/>
              </w:rPr>
              <w:footnoteReference w:id="10"/>
            </w:r>
            <w:r>
              <w:t xml:space="preserve">. V předchozím roce a půl docházelo k postupnému rozpouštění dříve naakumulovaných zásob, ale celková nejistota ohledně dalšího směřování globálního obchodu může podniky vést k přípravám na případné komplikace v dodávkách. Mezičtvrtletní oživení investiční aktivity v 1. čtvrtletí podpořily výdaje v oblasti obydlí (1,6 %) i ostatních budov a staveb (5,9 %). Rostly také investice do ICT a ostatních strojů a zařízení (1,0 %). Naopak mezičtvrtletní propad byl zaznamenán u výdajů na dopravní prostředky a zařízení (−5,2 %) a produkty duševního vlastnictví (−1,5 %). Meziročně se výdaje na </w:t>
            </w:r>
            <w:r>
              <w:lastRenderedPageBreak/>
              <w:t xml:space="preserve">tvorbu hrubého kapitálu zvýšily o 4,1 % a přírůstek tak posílil, a to zejména díky vývoji zásob. Samotná tvorba hrubého fixního kapitálu byla nižší o 0,6 %. Zaostávaly zejména investice do dopravních prostředků a zařízení (−6,2 %), strojů a zařízení (−1,4 %) a produktů duševního vlastnictví (−1,1 %). Komplikovaná zůstávala situace v oblasti investic do obydlí (−0,2 %), ale u ostatních budov a staveb byl zaznamenán meziroční nárůst výdajů o 2,9 %.     </w:t>
            </w:r>
          </w:p>
        </w:tc>
      </w:tr>
      <w:tr w:rsidR="003B7AFA" w:rsidRPr="009110F7" w14:paraId="67116AAA" w14:textId="77777777" w:rsidTr="003B7AFA">
        <w:trPr>
          <w:trHeight w:val="154"/>
        </w:trPr>
        <w:tc>
          <w:tcPr>
            <w:tcW w:w="1806" w:type="dxa"/>
            <w:vMerge w:val="restart"/>
            <w:shd w:val="clear" w:color="auto" w:fill="auto"/>
            <w:tcMar>
              <w:left w:w="0" w:type="dxa"/>
            </w:tcMar>
          </w:tcPr>
          <w:p w14:paraId="02BD9C88" w14:textId="77777777" w:rsidR="003B7AFA" w:rsidRDefault="003B7AFA" w:rsidP="003B7AFA">
            <w:pPr>
              <w:pStyle w:val="Marginlie"/>
            </w:pPr>
          </w:p>
        </w:tc>
        <w:tc>
          <w:tcPr>
            <w:tcW w:w="210" w:type="dxa"/>
            <w:vMerge w:val="restart"/>
            <w:shd w:val="clear" w:color="auto" w:fill="auto"/>
            <w:tcMar>
              <w:left w:w="0" w:type="dxa"/>
            </w:tcMar>
          </w:tcPr>
          <w:p w14:paraId="3F2AC155" w14:textId="77777777" w:rsidR="003B7AFA" w:rsidRDefault="003B7AFA" w:rsidP="003B7AFA">
            <w:pPr>
              <w:pStyle w:val="Textpoznpodarou"/>
              <w:jc w:val="both"/>
              <w:rPr>
                <w:spacing w:val="-4"/>
              </w:rPr>
            </w:pPr>
          </w:p>
        </w:tc>
        <w:tc>
          <w:tcPr>
            <w:tcW w:w="7623" w:type="dxa"/>
            <w:shd w:val="clear" w:color="auto" w:fill="auto"/>
            <w:tcMar>
              <w:left w:w="0" w:type="dxa"/>
            </w:tcMar>
          </w:tcPr>
          <w:p w14:paraId="6647AEFF" w14:textId="77777777" w:rsidR="003B7AFA" w:rsidRDefault="003B7AFA" w:rsidP="003B7AFA">
            <w:pPr>
              <w:spacing w:after="0"/>
            </w:pPr>
            <w:r w:rsidRPr="00D721B4">
              <w:rPr>
                <w:b/>
                <w:szCs w:val="20"/>
              </w:rPr>
              <w:t>Graf č. 2</w:t>
            </w:r>
            <w:r>
              <w:rPr>
                <w:b/>
                <w:szCs w:val="20"/>
              </w:rPr>
              <w:t xml:space="preserve"> </w:t>
            </w:r>
            <w:r w:rsidRPr="00D721B4">
              <w:rPr>
                <w:rFonts w:cs="Arial"/>
                <w:b/>
                <w:szCs w:val="20"/>
                <w:lang w:eastAsia="en-US"/>
              </w:rPr>
              <w:t xml:space="preserve">Příspěvky výdajových složek k reálné změně HDP* </w:t>
            </w:r>
            <w:r w:rsidRPr="00D721B4">
              <w:rPr>
                <w:rFonts w:cs="Arial"/>
                <w:bCs/>
                <w:szCs w:val="20"/>
                <w:lang w:eastAsia="en-US"/>
              </w:rPr>
              <w:t>(objemové indexy, meziroční růst, příspěvky v p. b., HDP v</w:t>
            </w:r>
            <w:r>
              <w:rPr>
                <w:rFonts w:cs="Arial"/>
                <w:bCs/>
                <w:szCs w:val="20"/>
                <w:lang w:eastAsia="en-US"/>
              </w:rPr>
              <w:t> %</w:t>
            </w:r>
            <w:r w:rsidRPr="00D721B4">
              <w:rPr>
                <w:rFonts w:cs="Arial"/>
                <w:bCs/>
                <w:szCs w:val="20"/>
                <w:lang w:eastAsia="en-US"/>
              </w:rPr>
              <w:t>)</w:t>
            </w:r>
          </w:p>
        </w:tc>
      </w:tr>
      <w:tr w:rsidR="003B7AFA" w:rsidRPr="009110F7" w14:paraId="36804586" w14:textId="77777777" w:rsidTr="003B7AFA">
        <w:tblPrEx>
          <w:tblCellMar>
            <w:left w:w="70" w:type="dxa"/>
            <w:right w:w="70" w:type="dxa"/>
          </w:tblCellMar>
        </w:tblPrEx>
        <w:trPr>
          <w:trHeight w:val="154"/>
        </w:trPr>
        <w:tc>
          <w:tcPr>
            <w:tcW w:w="1806" w:type="dxa"/>
            <w:vMerge/>
          </w:tcPr>
          <w:p w14:paraId="2235E988" w14:textId="77777777" w:rsidR="003B7AFA" w:rsidRDefault="003B7AFA" w:rsidP="003B7AFA">
            <w:pPr>
              <w:pStyle w:val="Marginlie"/>
            </w:pPr>
          </w:p>
        </w:tc>
        <w:tc>
          <w:tcPr>
            <w:tcW w:w="210" w:type="dxa"/>
            <w:vMerge/>
          </w:tcPr>
          <w:p w14:paraId="094CBDDB" w14:textId="77777777" w:rsidR="003B7AFA" w:rsidRDefault="003B7AFA" w:rsidP="003B7AFA">
            <w:pPr>
              <w:pStyle w:val="Textpoznpodarou"/>
              <w:jc w:val="both"/>
              <w:rPr>
                <w:spacing w:val="-4"/>
              </w:rPr>
            </w:pPr>
          </w:p>
        </w:tc>
        <w:tc>
          <w:tcPr>
            <w:tcW w:w="7623" w:type="dxa"/>
            <w:shd w:val="clear" w:color="auto" w:fill="auto"/>
          </w:tcPr>
          <w:p w14:paraId="601C3DEB" w14:textId="77777777" w:rsidR="003B7AFA" w:rsidRDefault="003B7AFA" w:rsidP="003B7AFA">
            <w:pPr>
              <w:spacing w:after="0"/>
            </w:pPr>
            <w:r>
              <w:rPr>
                <w:noProof/>
              </w:rPr>
              <w:drawing>
                <wp:inline distT="0" distB="0" distL="0" distR="0" wp14:anchorId="274D6460" wp14:editId="5F107DE8">
                  <wp:extent cx="4737600" cy="3553200"/>
                  <wp:effectExtent l="0" t="0" r="6350" b="0"/>
                  <wp:docPr id="19" name="Graf 1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B7AFA" w:rsidRPr="009110F7" w14:paraId="77D6F7DE" w14:textId="77777777" w:rsidTr="003B7AFA">
        <w:trPr>
          <w:trHeight w:val="154"/>
        </w:trPr>
        <w:tc>
          <w:tcPr>
            <w:tcW w:w="1806" w:type="dxa"/>
            <w:vMerge/>
            <w:tcMar>
              <w:left w:w="0" w:type="dxa"/>
            </w:tcMar>
          </w:tcPr>
          <w:p w14:paraId="71F807C2" w14:textId="77777777" w:rsidR="003B7AFA" w:rsidRDefault="003B7AFA" w:rsidP="003B7AFA">
            <w:pPr>
              <w:pStyle w:val="Marginlie"/>
            </w:pPr>
          </w:p>
        </w:tc>
        <w:tc>
          <w:tcPr>
            <w:tcW w:w="210" w:type="dxa"/>
            <w:vMerge/>
            <w:tcMar>
              <w:left w:w="0" w:type="dxa"/>
            </w:tcMar>
          </w:tcPr>
          <w:p w14:paraId="534E94C3" w14:textId="77777777" w:rsidR="003B7AFA" w:rsidRDefault="003B7AFA" w:rsidP="003B7AFA">
            <w:pPr>
              <w:pStyle w:val="Textpoznpodarou"/>
              <w:jc w:val="both"/>
              <w:rPr>
                <w:spacing w:val="-4"/>
              </w:rPr>
            </w:pPr>
          </w:p>
        </w:tc>
        <w:tc>
          <w:tcPr>
            <w:tcW w:w="7623" w:type="dxa"/>
            <w:shd w:val="clear" w:color="auto" w:fill="auto"/>
            <w:tcMar>
              <w:left w:w="0" w:type="dxa"/>
            </w:tcMar>
          </w:tcPr>
          <w:p w14:paraId="08ADDD47" w14:textId="77777777" w:rsidR="003B7AFA" w:rsidRDefault="003B7AFA" w:rsidP="003B7AFA">
            <w:pPr>
              <w:spacing w:after="0"/>
              <w:rPr>
                <w:sz w:val="14"/>
                <w:szCs w:val="14"/>
              </w:rPr>
            </w:pPr>
            <w:r>
              <w:rPr>
                <w:sz w:val="14"/>
                <w:szCs w:val="14"/>
              </w:rPr>
              <w:t>Zdroj: ČSÚ</w:t>
            </w:r>
          </w:p>
          <w:p w14:paraId="110E9781" w14:textId="77777777" w:rsidR="003B7AFA" w:rsidRDefault="003B7AFA" w:rsidP="003B7AFA">
            <w:r>
              <w:rPr>
                <w:sz w:val="14"/>
                <w:szCs w:val="14"/>
              </w:rPr>
              <w:t>* po vyloučení dovozu pro konečné užití</w:t>
            </w:r>
          </w:p>
        </w:tc>
      </w:tr>
      <w:tr w:rsidR="003B7AFA" w:rsidRPr="009110F7" w14:paraId="42C26CFB" w14:textId="77777777" w:rsidTr="003B7AFA">
        <w:trPr>
          <w:trHeight w:val="145"/>
        </w:trPr>
        <w:tc>
          <w:tcPr>
            <w:tcW w:w="1806" w:type="dxa"/>
            <w:shd w:val="clear" w:color="auto" w:fill="auto"/>
            <w:tcMar>
              <w:left w:w="0" w:type="dxa"/>
            </w:tcMar>
          </w:tcPr>
          <w:p w14:paraId="0CEFEED8" w14:textId="77777777" w:rsidR="003B7AFA" w:rsidRDefault="003B7AFA" w:rsidP="003B7AFA">
            <w:pPr>
              <w:pStyle w:val="Marginlie"/>
            </w:pPr>
            <w:r>
              <w:t>Bilance zahraničního obchodu dosáhla rekordně vysokého přebytku.</w:t>
            </w:r>
          </w:p>
        </w:tc>
        <w:tc>
          <w:tcPr>
            <w:tcW w:w="210" w:type="dxa"/>
            <w:shd w:val="clear" w:color="auto" w:fill="auto"/>
            <w:tcMar>
              <w:left w:w="0" w:type="dxa"/>
            </w:tcMar>
          </w:tcPr>
          <w:p w14:paraId="6BAA9D39" w14:textId="77777777" w:rsidR="003B7AFA" w:rsidRDefault="003B7AFA" w:rsidP="003B7AFA">
            <w:pPr>
              <w:pStyle w:val="Textpoznpodarou"/>
              <w:jc w:val="both"/>
              <w:rPr>
                <w:spacing w:val="-4"/>
              </w:rPr>
            </w:pPr>
          </w:p>
        </w:tc>
        <w:tc>
          <w:tcPr>
            <w:tcW w:w="7623" w:type="dxa"/>
            <w:shd w:val="clear" w:color="auto" w:fill="auto"/>
            <w:tcMar>
              <w:left w:w="0" w:type="dxa"/>
            </w:tcMar>
          </w:tcPr>
          <w:p w14:paraId="0B5E7BDC" w14:textId="77777777" w:rsidR="003B7AFA" w:rsidRDefault="003B7AFA" w:rsidP="003B7AFA">
            <w:r>
              <w:t>Na mírný útlum z konce loňského roku navázal zahraniční obchod se zbožím a službami novým reálným oživením, především v oblasti obchodu se zbožím. Vývoz</w:t>
            </w:r>
            <w:r w:rsidRPr="009110F7">
              <w:rPr>
                <w:rStyle w:val="Znakapoznpodarou"/>
              </w:rPr>
              <w:footnoteReference w:id="11"/>
            </w:r>
            <w:r>
              <w:t xml:space="preserve"> se celkově mezičtvrtletně zvýšil o 2,8 %: rostl jak export zboží (3,1 %), tak i služeb (1,0 %). Dovoz se zvýšil o 2,1 %, především pod vlivem importu zboží (2,8 %). Solidní byla v 1. čtvrtletí také meziroční dynamika exportu (3,6 %) – stejnou měrou se zvýšil vývoz zboží i služeb. Dovoz meziročně vzrostl o 4,6 %. Bilance zahraničního obchodu se zbožím a službami v 1. čtvrtletí dosáhla přebytku 140,8 mld. korun, což byl rekord pro toto období roku. Vysokou úroveň si ale přebytky zahraničního obchodu drží od konce roku 2023, takže se přebytek v 1. kvartálu meziročně zvýšil jen o 3,3 mld. korun, a to výhradně díky růstu kladného salda obchodu se zbožím (+3,4 mld.).  </w:t>
            </w:r>
          </w:p>
        </w:tc>
      </w:tr>
      <w:tr w:rsidR="003B7AFA" w:rsidRPr="009110F7" w14:paraId="4EEFC97C" w14:textId="77777777" w:rsidTr="003B7AFA">
        <w:trPr>
          <w:trHeight w:val="145"/>
        </w:trPr>
        <w:tc>
          <w:tcPr>
            <w:tcW w:w="1806" w:type="dxa"/>
            <w:shd w:val="clear" w:color="auto" w:fill="auto"/>
            <w:tcMar>
              <w:left w:w="0" w:type="dxa"/>
            </w:tcMar>
          </w:tcPr>
          <w:p w14:paraId="37DBACA8" w14:textId="77777777" w:rsidR="003B7AFA" w:rsidRDefault="003B7AFA" w:rsidP="003B7AFA">
            <w:pPr>
              <w:pStyle w:val="Marginlie"/>
            </w:pPr>
            <w:r>
              <w:t>Dařilo se službám.</w:t>
            </w:r>
          </w:p>
        </w:tc>
        <w:tc>
          <w:tcPr>
            <w:tcW w:w="210" w:type="dxa"/>
            <w:shd w:val="clear" w:color="auto" w:fill="auto"/>
            <w:tcMar>
              <w:left w:w="0" w:type="dxa"/>
            </w:tcMar>
          </w:tcPr>
          <w:p w14:paraId="017B69D9" w14:textId="77777777" w:rsidR="003B7AFA" w:rsidRDefault="003B7AFA" w:rsidP="003B7AFA">
            <w:pPr>
              <w:pStyle w:val="Textpoznpodarou"/>
              <w:jc w:val="both"/>
              <w:rPr>
                <w:spacing w:val="-4"/>
              </w:rPr>
            </w:pPr>
          </w:p>
        </w:tc>
        <w:tc>
          <w:tcPr>
            <w:tcW w:w="7623" w:type="dxa"/>
            <w:shd w:val="clear" w:color="auto" w:fill="auto"/>
            <w:tcMar>
              <w:left w:w="0" w:type="dxa"/>
            </w:tcMar>
          </w:tcPr>
          <w:p w14:paraId="769861E0" w14:textId="77777777" w:rsidR="003B7AFA" w:rsidRDefault="003B7AFA" w:rsidP="003B7AFA">
            <w:r>
              <w:t>Hrubá přidaná hodnota (HPH) se v 1. čtvrtletí mezičtvrtletně zvýšila o 1,3 %. K růstu celkově silně přispěly služby, zejména peněžnictví a pojišťovnictví (mezičtvrtletní růst HPH o 5,9 %), ostatní činnosti (5,1 %) a informační a komunikační činnosti (2,0 %). Mezičtvrtletně rostly také profesní, vědecké, technické a administrativní činnosti (1,5 %) a v</w:t>
            </w:r>
            <w:r w:rsidRPr="007C34D4">
              <w:t>eřejná správa a obrana, vzdělávání, zdravotní a sociální péče</w:t>
            </w:r>
            <w:r>
              <w:t xml:space="preserve"> (1,2 %). Dařilo se stavebnictví (3,4 %) a vyšší byla i HPH v průmyslu jako celku (1,6 %), ačkoli samotný zpracovatelský průmysl v 1. čtvrtletí zaznamenal pokles HPH o 0,7 %. V rámci služeb </w:t>
            </w:r>
            <w:r>
              <w:lastRenderedPageBreak/>
              <w:t>mezičtvrtletně klesala HPH jen v uskupení obchod, doprava, ubytování a pohostinství (−0,6 %).</w:t>
            </w:r>
          </w:p>
        </w:tc>
      </w:tr>
      <w:tr w:rsidR="003B7AFA" w:rsidRPr="009110F7" w14:paraId="4734DBDD" w14:textId="77777777" w:rsidTr="003B7AFA">
        <w:trPr>
          <w:trHeight w:val="170"/>
        </w:trPr>
        <w:tc>
          <w:tcPr>
            <w:tcW w:w="1806" w:type="dxa"/>
            <w:vMerge w:val="restart"/>
            <w:shd w:val="clear" w:color="auto" w:fill="auto"/>
            <w:tcMar>
              <w:left w:w="0" w:type="dxa"/>
            </w:tcMar>
          </w:tcPr>
          <w:p w14:paraId="601169D8" w14:textId="77777777" w:rsidR="003B7AFA" w:rsidRDefault="003B7AFA" w:rsidP="003B7AFA">
            <w:pPr>
              <w:pStyle w:val="Marginlie"/>
            </w:pPr>
          </w:p>
        </w:tc>
        <w:tc>
          <w:tcPr>
            <w:tcW w:w="210" w:type="dxa"/>
            <w:vMerge w:val="restart"/>
            <w:shd w:val="clear" w:color="auto" w:fill="auto"/>
            <w:tcMar>
              <w:left w:w="0" w:type="dxa"/>
            </w:tcMar>
          </w:tcPr>
          <w:p w14:paraId="17166E78" w14:textId="77777777" w:rsidR="003B7AFA" w:rsidRDefault="003B7AFA" w:rsidP="003B7AFA">
            <w:pPr>
              <w:pStyle w:val="Textpoznpodarou"/>
              <w:jc w:val="both"/>
              <w:rPr>
                <w:spacing w:val="-4"/>
              </w:rPr>
            </w:pPr>
          </w:p>
        </w:tc>
        <w:tc>
          <w:tcPr>
            <w:tcW w:w="7623" w:type="dxa"/>
            <w:shd w:val="clear" w:color="auto" w:fill="auto"/>
            <w:tcMar>
              <w:left w:w="0" w:type="dxa"/>
            </w:tcMar>
          </w:tcPr>
          <w:p w14:paraId="5298B3C1" w14:textId="77777777" w:rsidR="003B7AFA" w:rsidRDefault="003B7AFA" w:rsidP="003B7AFA">
            <w:pPr>
              <w:spacing w:after="0"/>
            </w:pPr>
            <w:r w:rsidRPr="00D721B4">
              <w:rPr>
                <w:b/>
                <w:szCs w:val="20"/>
              </w:rPr>
              <w:t>Graf č. 3</w:t>
            </w:r>
            <w:r>
              <w:rPr>
                <w:b/>
                <w:szCs w:val="20"/>
              </w:rPr>
              <w:t xml:space="preserve"> </w:t>
            </w:r>
            <w:r w:rsidRPr="00D721B4">
              <w:rPr>
                <w:rFonts w:cs="Arial"/>
                <w:b/>
                <w:szCs w:val="20"/>
                <w:lang w:eastAsia="en-US"/>
              </w:rPr>
              <w:t xml:space="preserve">Příspěvky odvětví k reálné změně HPH </w:t>
            </w:r>
            <w:r w:rsidRPr="00D721B4">
              <w:rPr>
                <w:rFonts w:cs="Arial"/>
                <w:bCs/>
                <w:szCs w:val="20"/>
                <w:lang w:eastAsia="en-US"/>
              </w:rPr>
              <w:t>(objemové indexy, meziroční příspěvky v p. b., HPH v</w:t>
            </w:r>
            <w:r>
              <w:rPr>
                <w:rFonts w:cs="Arial"/>
                <w:bCs/>
                <w:szCs w:val="20"/>
                <w:lang w:eastAsia="en-US"/>
              </w:rPr>
              <w:t> %</w:t>
            </w:r>
            <w:r w:rsidRPr="00D721B4">
              <w:rPr>
                <w:rFonts w:cs="Arial"/>
                <w:bCs/>
                <w:szCs w:val="20"/>
                <w:lang w:eastAsia="en-US"/>
              </w:rPr>
              <w:t>)</w:t>
            </w:r>
          </w:p>
        </w:tc>
      </w:tr>
      <w:tr w:rsidR="003B7AFA" w:rsidRPr="009110F7" w14:paraId="206D3855" w14:textId="77777777" w:rsidTr="003B7AFA">
        <w:tblPrEx>
          <w:tblCellMar>
            <w:left w:w="70" w:type="dxa"/>
            <w:right w:w="70" w:type="dxa"/>
          </w:tblCellMar>
        </w:tblPrEx>
        <w:trPr>
          <w:trHeight w:val="170"/>
        </w:trPr>
        <w:tc>
          <w:tcPr>
            <w:tcW w:w="1806" w:type="dxa"/>
            <w:vMerge/>
          </w:tcPr>
          <w:p w14:paraId="51E38493" w14:textId="77777777" w:rsidR="003B7AFA" w:rsidRDefault="003B7AFA" w:rsidP="003B7AFA">
            <w:pPr>
              <w:pStyle w:val="Marginlie"/>
            </w:pPr>
          </w:p>
        </w:tc>
        <w:tc>
          <w:tcPr>
            <w:tcW w:w="210" w:type="dxa"/>
            <w:vMerge/>
          </w:tcPr>
          <w:p w14:paraId="2061ECB2" w14:textId="77777777" w:rsidR="003B7AFA" w:rsidRDefault="003B7AFA" w:rsidP="003B7AFA">
            <w:pPr>
              <w:pStyle w:val="Textpoznpodarou"/>
              <w:jc w:val="both"/>
              <w:rPr>
                <w:spacing w:val="-4"/>
              </w:rPr>
            </w:pPr>
          </w:p>
        </w:tc>
        <w:tc>
          <w:tcPr>
            <w:tcW w:w="7623" w:type="dxa"/>
            <w:shd w:val="clear" w:color="auto" w:fill="auto"/>
          </w:tcPr>
          <w:p w14:paraId="67C234B7" w14:textId="77777777" w:rsidR="003B7AFA" w:rsidRDefault="003B7AFA" w:rsidP="003B7AFA">
            <w:pPr>
              <w:spacing w:after="0"/>
            </w:pPr>
            <w:r>
              <w:rPr>
                <w:noProof/>
              </w:rPr>
              <w:drawing>
                <wp:inline distT="0" distB="0" distL="0" distR="0" wp14:anchorId="16BB0E9E" wp14:editId="212C7501">
                  <wp:extent cx="4737600" cy="3486525"/>
                  <wp:effectExtent l="0" t="0" r="6350" b="0"/>
                  <wp:docPr id="20" name="Graf 2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3B7AFA" w:rsidRPr="009110F7" w14:paraId="00382BA6" w14:textId="77777777" w:rsidTr="003B7AFA">
        <w:trPr>
          <w:trHeight w:val="170"/>
        </w:trPr>
        <w:tc>
          <w:tcPr>
            <w:tcW w:w="1806" w:type="dxa"/>
            <w:vMerge/>
            <w:tcMar>
              <w:left w:w="0" w:type="dxa"/>
            </w:tcMar>
          </w:tcPr>
          <w:p w14:paraId="1916E548" w14:textId="77777777" w:rsidR="003B7AFA" w:rsidRDefault="003B7AFA" w:rsidP="003B7AFA">
            <w:pPr>
              <w:pStyle w:val="Marginlie"/>
            </w:pPr>
          </w:p>
        </w:tc>
        <w:tc>
          <w:tcPr>
            <w:tcW w:w="210" w:type="dxa"/>
            <w:vMerge/>
            <w:tcMar>
              <w:left w:w="0" w:type="dxa"/>
            </w:tcMar>
          </w:tcPr>
          <w:p w14:paraId="1E66AAD0" w14:textId="77777777" w:rsidR="003B7AFA" w:rsidRDefault="003B7AFA" w:rsidP="003B7AFA">
            <w:pPr>
              <w:pStyle w:val="Textpoznpodarou"/>
              <w:jc w:val="both"/>
              <w:rPr>
                <w:spacing w:val="-4"/>
              </w:rPr>
            </w:pPr>
          </w:p>
        </w:tc>
        <w:tc>
          <w:tcPr>
            <w:tcW w:w="7623" w:type="dxa"/>
            <w:shd w:val="clear" w:color="auto" w:fill="auto"/>
            <w:tcMar>
              <w:left w:w="0" w:type="dxa"/>
            </w:tcMar>
          </w:tcPr>
          <w:p w14:paraId="63B3B51E" w14:textId="77777777" w:rsidR="003B7AFA" w:rsidRDefault="003B7AFA" w:rsidP="003B7AFA">
            <w:r w:rsidRPr="00A85DE1">
              <w:rPr>
                <w:sz w:val="14"/>
                <w:szCs w:val="14"/>
              </w:rPr>
              <w:t>Zdroj: ČSÚ</w:t>
            </w:r>
          </w:p>
        </w:tc>
      </w:tr>
      <w:tr w:rsidR="003B7AFA" w:rsidRPr="009110F7" w14:paraId="60ECCB6A" w14:textId="77777777" w:rsidTr="003B7AFA">
        <w:trPr>
          <w:trHeight w:val="145"/>
        </w:trPr>
        <w:tc>
          <w:tcPr>
            <w:tcW w:w="1806" w:type="dxa"/>
            <w:shd w:val="clear" w:color="auto" w:fill="auto"/>
            <w:tcMar>
              <w:left w:w="0" w:type="dxa"/>
            </w:tcMar>
          </w:tcPr>
          <w:p w14:paraId="05EF3A6D" w14:textId="77777777" w:rsidR="003B7AFA" w:rsidRDefault="003B7AFA" w:rsidP="003B7AFA">
            <w:pPr>
              <w:pStyle w:val="Marginlie"/>
            </w:pPr>
            <w:r>
              <w:t>Stavebnictví zažívá po dlouhé době oživení.</w:t>
            </w:r>
          </w:p>
        </w:tc>
        <w:tc>
          <w:tcPr>
            <w:tcW w:w="210" w:type="dxa"/>
            <w:shd w:val="clear" w:color="auto" w:fill="auto"/>
            <w:tcMar>
              <w:left w:w="0" w:type="dxa"/>
            </w:tcMar>
          </w:tcPr>
          <w:p w14:paraId="45A12723" w14:textId="77777777" w:rsidR="003B7AFA" w:rsidRDefault="003B7AFA" w:rsidP="003B7AFA">
            <w:pPr>
              <w:pStyle w:val="Textpoznpodarou"/>
              <w:jc w:val="both"/>
              <w:rPr>
                <w:spacing w:val="-4"/>
              </w:rPr>
            </w:pPr>
          </w:p>
        </w:tc>
        <w:tc>
          <w:tcPr>
            <w:tcW w:w="7623" w:type="dxa"/>
            <w:shd w:val="clear" w:color="auto" w:fill="auto"/>
            <w:tcMar>
              <w:left w:w="0" w:type="dxa"/>
            </w:tcMar>
          </w:tcPr>
          <w:p w14:paraId="52675320" w14:textId="77777777" w:rsidR="003B7AFA" w:rsidRDefault="003B7AFA" w:rsidP="003B7AFA">
            <w:r>
              <w:t>Meziroční růst HPH v 1. čtvrtletí 2025 posílil na 2,5 %. K meziročnímu navýšení HPH rovněž dominantně přispívala odvětví služeb, nejsilněji váhově významné uskupení obchod, doprava, ubytování a pohostinství (růst HPH o 2,8 %). Nejvíce se zvýšila HPH v peněžnictví a pojišťovnictví (8,4 %), ostatních činnostech (7,2 %) a v informačních a komunikačních činnostech (4,0 %) a meziroční přírůstek zaznamenaly i profesní, vědecké, technické a administrativní činnosti (2,8 %), činnosti v oblasti nemovitostí (2,2 %) a veřejná správa a obrana, vzdělávání, zdravotní a sociální péče (1,6 %). Posílil meziroční přírůstek HPH ve stavebnictví (3,8 %) a odvětví tak vzrostlo počtvrté v řadě.</w:t>
            </w:r>
            <w:r>
              <w:rPr>
                <w:rStyle w:val="Znakapoznpodarou"/>
              </w:rPr>
              <w:footnoteReference w:id="12"/>
            </w:r>
            <w:r>
              <w:t xml:space="preserve"> Jen mírný byl meziroční přírůstek HPH v průmyslu (1,4 %). Z toho zpracovatelský průmysl vzrostl o 1,0 %.</w:t>
            </w:r>
          </w:p>
        </w:tc>
      </w:tr>
    </w:tbl>
    <w:p w14:paraId="774484B6" w14:textId="77777777" w:rsidR="003B7AFA" w:rsidRDefault="003B7AFA" w:rsidP="003B7AFA"/>
    <w:p w14:paraId="1AA426D7" w14:textId="77777777" w:rsidR="003B7AFA" w:rsidRDefault="003B7AFA" w:rsidP="003B7AFA">
      <w:pPr>
        <w:spacing w:after="0" w:line="240" w:lineRule="auto"/>
        <w:jc w:val="left"/>
        <w:rPr>
          <w:rFonts w:eastAsia="MS Gothic"/>
          <w:b/>
          <w:bCs/>
          <w:color w:val="86BF5E"/>
          <w:sz w:val="32"/>
          <w:szCs w:val="32"/>
          <w:highlight w:val="yellow"/>
        </w:rPr>
      </w:pPr>
    </w:p>
    <w:p w14:paraId="7EBE0CB3" w14:textId="77777777" w:rsidR="002A1407" w:rsidRDefault="002A1407">
      <w:pPr>
        <w:spacing w:after="0" w:line="240" w:lineRule="auto"/>
        <w:jc w:val="left"/>
        <w:rPr>
          <w:rFonts w:eastAsia="MS Gothic"/>
          <w:b/>
          <w:bCs/>
          <w:color w:val="86BF5E"/>
          <w:sz w:val="32"/>
          <w:szCs w:val="32"/>
          <w:highlight w:val="yellow"/>
        </w:rPr>
      </w:pPr>
      <w:r>
        <w:rPr>
          <w:szCs w:val="32"/>
          <w:highlight w:val="yellow"/>
        </w:rPr>
        <w:br w:type="page"/>
      </w:r>
    </w:p>
    <w:p w14:paraId="3F4E096E" w14:textId="77777777" w:rsidR="000C004E" w:rsidRDefault="000C004E" w:rsidP="000C004E">
      <w:pPr>
        <w:pStyle w:val="Nadpis1"/>
      </w:pPr>
      <w:bookmarkStart w:id="17" w:name="_Toc200969290"/>
      <w:bookmarkStart w:id="18" w:name="_Toc176767109"/>
      <w:bookmarkEnd w:id="13"/>
      <w:bookmarkEnd w:id="14"/>
      <w:bookmarkEnd w:id="15"/>
      <w:bookmarkEnd w:id="11"/>
      <w:bookmarkEnd w:id="16"/>
      <w:r>
        <w:lastRenderedPageBreak/>
        <w:t>3. Výkonnost odvětví</w:t>
      </w:r>
      <w:bookmarkEnd w:id="17"/>
    </w:p>
    <w:tbl>
      <w:tblPr>
        <w:tblW w:w="9646" w:type="dxa"/>
        <w:tblInd w:w="-20" w:type="dxa"/>
        <w:tblCellMar>
          <w:left w:w="0" w:type="dxa"/>
          <w:right w:w="0" w:type="dxa"/>
        </w:tblCellMar>
        <w:tblLook w:val="00A0" w:firstRow="1" w:lastRow="0" w:firstColumn="1" w:lastColumn="0" w:noHBand="0" w:noVBand="0"/>
      </w:tblPr>
      <w:tblGrid>
        <w:gridCol w:w="1733"/>
        <w:gridCol w:w="192"/>
        <w:gridCol w:w="7721"/>
      </w:tblGrid>
      <w:tr w:rsidR="000C004E" w14:paraId="02B75550" w14:textId="77777777" w:rsidTr="000C004E">
        <w:trPr>
          <w:trHeight w:val="145"/>
        </w:trPr>
        <w:tc>
          <w:tcPr>
            <w:tcW w:w="1814" w:type="dxa"/>
            <w:hideMark/>
          </w:tcPr>
          <w:p w14:paraId="2FCC8D64" w14:textId="77777777" w:rsidR="000C004E" w:rsidRDefault="000C004E">
            <w:pPr>
              <w:pStyle w:val="Marginlie"/>
              <w:rPr>
                <w:lang w:eastAsia="en-US"/>
              </w:rPr>
            </w:pPr>
            <w:r>
              <w:rPr>
                <w:lang w:eastAsia="en-US"/>
              </w:rPr>
              <w:t>Mezikvartální růst celkové hrubé přidané hodnoty na počátku roku zrychlil, a to hlavně díky energetice a většině odvětví služeb.</w:t>
            </w:r>
          </w:p>
        </w:tc>
        <w:tc>
          <w:tcPr>
            <w:tcW w:w="201" w:type="dxa"/>
          </w:tcPr>
          <w:p w14:paraId="5558F34B" w14:textId="77777777" w:rsidR="000C004E" w:rsidRDefault="000C004E">
            <w:pPr>
              <w:pStyle w:val="Textpoznpodarou"/>
              <w:jc w:val="both"/>
              <w:rPr>
                <w:spacing w:val="-4"/>
                <w:lang w:eastAsia="en-US"/>
              </w:rPr>
            </w:pPr>
          </w:p>
        </w:tc>
        <w:tc>
          <w:tcPr>
            <w:tcW w:w="7722" w:type="dxa"/>
            <w:hideMark/>
          </w:tcPr>
          <w:p w14:paraId="507A6667" w14:textId="77777777" w:rsidR="000C004E" w:rsidRDefault="000C004E">
            <w:pPr>
              <w:rPr>
                <w:spacing w:val="-2"/>
                <w:lang w:eastAsia="en-US"/>
              </w:rPr>
            </w:pPr>
            <w:r>
              <w:rPr>
                <w:spacing w:val="-2"/>
                <w:lang w:eastAsia="en-US"/>
              </w:rPr>
              <w:t>Počátek letošního roku se nesl ve znamení dalšího pokračování zotavování tuzemského hospodářství. Výkon všech odvětví ekonomiky, zachycený prostřednictvím hrubé přidané hodnoty (HPH)</w:t>
            </w:r>
            <w:r>
              <w:rPr>
                <w:rStyle w:val="Znakapoznpodarou"/>
                <w:color w:val="0D0D0D" w:themeColor="text1" w:themeTint="F2"/>
                <w:spacing w:val="-5"/>
                <w:lang w:eastAsia="en-US"/>
              </w:rPr>
              <w:footnoteReference w:id="13"/>
            </w:r>
            <w:r>
              <w:rPr>
                <w:spacing w:val="-2"/>
                <w:lang w:eastAsia="en-US"/>
              </w:rPr>
              <w:t xml:space="preserve">, se po slabším závěru loňského roku letos mezikvartálně zvýšil o 1,3 %, tedy nejvíce za poslední tři a půl roku. Na tomto oživení se podílela většina odvětví služeb a významně také energetika, v níž se projevila vyšší tuzemská poptávka vlivem relativně chladnějšího počasí i ústupů některých koncových odběratelů od dalších úsporných opatření ve spotřebě. Naproti tomu ve dvou nejvýznamnějších odvětvových </w:t>
            </w:r>
            <w:r>
              <w:rPr>
                <w:spacing w:val="-2"/>
                <w:lang w:eastAsia="en-US"/>
              </w:rPr>
              <w:br/>
              <w:t>uskupeních</w:t>
            </w:r>
            <w:r>
              <w:rPr>
                <w:rStyle w:val="Znakapoznpodarou"/>
                <w:spacing w:val="-2"/>
                <w:lang w:eastAsia="en-US"/>
              </w:rPr>
              <w:footnoteReference w:id="14"/>
            </w:r>
            <w:r>
              <w:rPr>
                <w:spacing w:val="-2"/>
                <w:lang w:eastAsia="en-US"/>
              </w:rPr>
              <w:t xml:space="preserve"> – </w:t>
            </w:r>
            <w:r>
              <w:rPr>
                <w:spacing w:val="-5"/>
                <w:lang w:eastAsia="en-US"/>
              </w:rPr>
              <w:t>obchodu, dopravě, ubytování a pohostinství a též ve zpracovatelském průmyslu mezičtvrtletní</w:t>
            </w:r>
            <w:r>
              <w:rPr>
                <w:spacing w:val="-2"/>
                <w:lang w:eastAsia="en-US"/>
              </w:rPr>
              <w:t xml:space="preserve"> růst HPH nepokračoval. </w:t>
            </w:r>
            <w:r>
              <w:rPr>
                <w:color w:val="0D0D0D" w:themeColor="text1" w:themeTint="F2"/>
                <w:spacing w:val="-2"/>
                <w:lang w:eastAsia="en-US"/>
              </w:rPr>
              <w:t>Celkový</w:t>
            </w:r>
            <w:r>
              <w:rPr>
                <w:color w:val="0D0D0D" w:themeColor="text1" w:themeTint="F2"/>
                <w:lang w:eastAsia="en-US"/>
              </w:rPr>
              <w:t xml:space="preserve"> výkon odvětví v ekonomice se tak letos nacházel o 3 % nad vrcholem z období poslední konjunktury (4. čtvrtletí 2019), takřka výhradně ovšem zásluhou služeb (zejména ICT a finančnictví)</w:t>
            </w:r>
            <w:r>
              <w:rPr>
                <w:rStyle w:val="Znakapoznpodarou"/>
                <w:color w:val="0D0D0D" w:themeColor="text1" w:themeTint="F2"/>
                <w:lang w:eastAsia="en-US"/>
              </w:rPr>
              <w:footnoteReference w:id="15"/>
            </w:r>
            <w:r>
              <w:rPr>
                <w:color w:val="0D0D0D" w:themeColor="text1" w:themeTint="F2"/>
                <w:lang w:eastAsia="en-US"/>
              </w:rPr>
              <w:t>.</w:t>
            </w:r>
          </w:p>
        </w:tc>
      </w:tr>
      <w:tr w:rsidR="000C004E" w14:paraId="2C7AB249" w14:textId="77777777" w:rsidTr="000C004E">
        <w:trPr>
          <w:trHeight w:val="145"/>
        </w:trPr>
        <w:tc>
          <w:tcPr>
            <w:tcW w:w="1814" w:type="dxa"/>
            <w:hideMark/>
          </w:tcPr>
          <w:p w14:paraId="4E509403" w14:textId="77777777" w:rsidR="000C004E" w:rsidRDefault="000C004E">
            <w:pPr>
              <w:pStyle w:val="Marginlie"/>
              <w:rPr>
                <w:lang w:eastAsia="en-US"/>
              </w:rPr>
            </w:pPr>
            <w:r>
              <w:rPr>
                <w:lang w:eastAsia="en-US"/>
              </w:rPr>
              <w:t>I meziroční růst HPH byl podpořen hlavně službami. Pozitivní vliv měla ovšem všechna hlavní odvětví ekonomiky. K oživení došlo ve stavebnictví.</w:t>
            </w:r>
          </w:p>
        </w:tc>
        <w:tc>
          <w:tcPr>
            <w:tcW w:w="201" w:type="dxa"/>
          </w:tcPr>
          <w:p w14:paraId="044B088B" w14:textId="77777777" w:rsidR="000C004E" w:rsidRDefault="000C004E">
            <w:pPr>
              <w:pStyle w:val="Textpoznpodarou"/>
              <w:jc w:val="both"/>
              <w:rPr>
                <w:spacing w:val="-4"/>
                <w:lang w:eastAsia="en-US"/>
              </w:rPr>
            </w:pPr>
          </w:p>
        </w:tc>
        <w:tc>
          <w:tcPr>
            <w:tcW w:w="7722" w:type="dxa"/>
            <w:hideMark/>
          </w:tcPr>
          <w:p w14:paraId="4D93719F" w14:textId="77777777" w:rsidR="000C004E" w:rsidRDefault="000C004E">
            <w:pPr>
              <w:rPr>
                <w:spacing w:val="-1"/>
                <w:lang w:eastAsia="en-US"/>
              </w:rPr>
            </w:pPr>
            <w:r>
              <w:rPr>
                <w:spacing w:val="-2"/>
                <w:lang w:eastAsia="en-US"/>
              </w:rPr>
              <w:t>Meziroční růst HPH v ekonomice přetrvával již od poloviny loňského roku a v 1. čtvrtletí 2025 akceleroval na 2,5 %. Přestože stejně jako loni rostl relativně nejvíce výkon ve finančnictví, k celkovému růstu na nabídkové straně ekonomiky přispěly nejvíce obchod spolu s odvětvími navázanými na cestovní ruch. Poprvé od poloviny roku 2015 podpořila růst ekonomiky všechna z jedenácti jejich hlavních odvětví. Klíčovou roli měl sektor služeb, kde se HPH zvýšila o rovná 3 % a růst celé ekonomiky podpořila 1,9  p. b. Řádově méně přispěly zpracovatelský průmysl, ostatní průmyslová odvětví a také stavebnictví (ve všech případech shodně +0,2 p. b.). Ve stavebnictví, kde k náznaku pozitivního obratu došlo již během loňského roku, se HPH v 1. čtvrtletí zvýšila o 3,4 %, což znamenalo nejvyšší meziroční posílení od konce roku 2014. Slabší růst výkonu zaznamenal primární sektor ekonomiky.</w:t>
            </w:r>
            <w:r>
              <w:rPr>
                <w:lang w:eastAsia="en-US"/>
              </w:rPr>
              <w:t xml:space="preserve"> V lesnictví pokračoval po ústupu kůrovcové kalamity návrat ke standardnímu </w:t>
            </w:r>
            <w:r>
              <w:rPr>
                <w:spacing w:val="-2"/>
                <w:lang w:eastAsia="en-US"/>
              </w:rPr>
              <w:t>režimu hospodaření, jež se vyznačuje stabilnějším vývojem těžby dřeva. V rostlinné výrobě</w:t>
            </w:r>
            <w:r>
              <w:rPr>
                <w:lang w:eastAsia="en-US"/>
              </w:rPr>
              <w:t xml:space="preserve"> dozníval vliv slabší loňské sklizně základních obilovin i řepky. V živočišné výrobě </w:t>
            </w:r>
            <w:r>
              <w:rPr>
                <w:rStyle w:val="normaltextrun"/>
                <w:rFonts w:eastAsia="MS Gothic" w:cs="Arial"/>
                <w:szCs w:val="20"/>
                <w:lang w:eastAsia="en-US"/>
              </w:rPr>
              <w:t>i přes pokračující citelné cenové pohyby hlavních komodit (z</w:t>
            </w:r>
            <w:r>
              <w:rPr>
                <w:rStyle w:val="normaltextrun"/>
                <w:rFonts w:eastAsia="MS Gothic" w:cs="Arial"/>
                <w:lang w:eastAsia="en-US"/>
              </w:rPr>
              <w:t>ejména hovězího a vepřového masa) i</w:t>
            </w:r>
            <w:r>
              <w:rPr>
                <w:lang w:eastAsia="en-US"/>
              </w:rPr>
              <w:t> </w:t>
            </w:r>
            <w:r>
              <w:rPr>
                <w:rStyle w:val="normaltextrun"/>
                <w:rFonts w:eastAsia="MS Gothic" w:cs="Arial"/>
                <w:szCs w:val="20"/>
                <w:lang w:eastAsia="en-US"/>
              </w:rPr>
              <w:t>rostoucí hygienická rizika zůstala situace tuzemských producentů stabilizovaná</w:t>
            </w:r>
            <w:r>
              <w:rPr>
                <w:rStyle w:val="Znakapoznpodarou"/>
                <w:rFonts w:eastAsia="MS Gothic"/>
                <w:szCs w:val="20"/>
                <w:lang w:eastAsia="en-US"/>
              </w:rPr>
              <w:footnoteReference w:id="16"/>
            </w:r>
            <w:r>
              <w:rPr>
                <w:rStyle w:val="normaltextrun"/>
                <w:rFonts w:eastAsia="MS Gothic" w:cs="Arial"/>
                <w:szCs w:val="20"/>
                <w:lang w:eastAsia="en-US"/>
              </w:rPr>
              <w:t>.</w:t>
            </w:r>
          </w:p>
        </w:tc>
      </w:tr>
      <w:tr w:rsidR="000C004E" w14:paraId="12E59EBF" w14:textId="77777777" w:rsidTr="000C004E">
        <w:trPr>
          <w:trHeight w:val="145"/>
        </w:trPr>
        <w:tc>
          <w:tcPr>
            <w:tcW w:w="1814" w:type="dxa"/>
          </w:tcPr>
          <w:p w14:paraId="7A1665F8"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Průmysl na počátku roku mírně ožil, zejména díky energetice a strojírenství. Nadále však čelil obtížím spojeným se slabou poptávkou a rostoucím rizikem vnějších šoků.</w:t>
            </w:r>
          </w:p>
          <w:p w14:paraId="4852D7ED" w14:textId="77777777" w:rsidR="000C004E" w:rsidRDefault="000C004E">
            <w:pPr>
              <w:pStyle w:val="Marginlie"/>
              <w:spacing w:after="240"/>
              <w:rPr>
                <w:color w:val="0D0D0D" w:themeColor="text1" w:themeTint="F2"/>
                <w:spacing w:val="-4"/>
                <w:lang w:eastAsia="en-US"/>
              </w:rPr>
            </w:pPr>
          </w:p>
        </w:tc>
        <w:tc>
          <w:tcPr>
            <w:tcW w:w="201" w:type="dxa"/>
          </w:tcPr>
          <w:p w14:paraId="2D326A41" w14:textId="77777777" w:rsidR="000C004E" w:rsidRDefault="000C004E">
            <w:pPr>
              <w:pStyle w:val="Textpoznpodarou"/>
              <w:spacing w:after="240"/>
              <w:jc w:val="both"/>
              <w:rPr>
                <w:spacing w:val="-4"/>
                <w:lang w:eastAsia="en-US"/>
              </w:rPr>
            </w:pPr>
          </w:p>
        </w:tc>
        <w:tc>
          <w:tcPr>
            <w:tcW w:w="7722" w:type="dxa"/>
            <w:hideMark/>
          </w:tcPr>
          <w:p w14:paraId="0222FA36" w14:textId="77777777" w:rsidR="000C004E" w:rsidRDefault="000C004E">
            <w:pPr>
              <w:spacing w:after="200"/>
              <w:rPr>
                <w:color w:val="0D0D0D" w:themeColor="text1" w:themeTint="F2"/>
                <w:spacing w:val="-5"/>
                <w:lang w:eastAsia="en-US"/>
              </w:rPr>
            </w:pPr>
            <w:r>
              <w:rPr>
                <w:color w:val="0D0D0D" w:themeColor="text1" w:themeTint="F2"/>
                <w:spacing w:val="-5"/>
                <w:lang w:eastAsia="en-US"/>
              </w:rPr>
              <w:t xml:space="preserve">Tuzemský průmysl, jenž byl v předchozích dvou letech zasažen mírnou recesí, se i na počátku letošního roku nacházel v obtížné situaci. Hospodářský růst české ekonomiky i jejich klíčových obchodních partnerů zůstával slabý a byl navíc doprovázený vzrůstajícími nejistotami a riziky plynoucí ze zhoršené geopolitické situace i možné eskalace obchodních válek. Tyto faktory se v tuzemské ekonomice potkávaly se stále oslabenou investiční aktivitou umocněnou přetrvávajícími ztíženými možnostmi úvěrového financování. Na druhou stranu v oblasti nákladových tlaků došlo k dílčí úlevě vlivem stabilizace i následného poklesu cen </w:t>
            </w:r>
            <w:r>
              <w:rPr>
                <w:color w:val="0D0D0D" w:themeColor="text1" w:themeTint="F2"/>
                <w:spacing w:val="-5"/>
                <w:lang w:eastAsia="en-US"/>
              </w:rPr>
              <w:lastRenderedPageBreak/>
              <w:t>některých druhů energií (vč. světových cen ropy). Průmyslová produkce</w:t>
            </w:r>
            <w:r>
              <w:rPr>
                <w:rStyle w:val="Znakapoznpodarou"/>
                <w:color w:val="0D0D0D" w:themeColor="text1" w:themeTint="F2"/>
                <w:spacing w:val="-5"/>
                <w:lang w:eastAsia="en-US"/>
              </w:rPr>
              <w:footnoteReference w:id="17"/>
            </w:r>
            <w:r>
              <w:rPr>
                <w:color w:val="0D0D0D" w:themeColor="text1" w:themeTint="F2"/>
                <w:spacing w:val="-5"/>
                <w:lang w:eastAsia="en-US"/>
              </w:rPr>
              <w:t xml:space="preserve"> v Česku se na počátku letošního roku mezikvartálně zvýšila o 1,5 % a zaznamenala tak nejvýraznější oživení od konce roku 2023. Přispěla k tomu zejména energetika, strojírenství a některé významnější obory zaměřené na výrobu meziproduktů (elektrotechnika, hutnictví a slévárenství, výroba stavebních materiálů). Proti oživení průmyslu naopak působila hlavně výroba dopravních prostředků. Růstový impuls aktuálně nepřinesl např. ani chemický průmysl, v němž za nižší produkcí stálo i postupné snižování výrobních kapacit. Celková průmyslová produkce tak letos v 1. čtvrtletí za svým vrcholem z období předpandemické konjunktury (2. čtvrtletí 2019) mírně zaostala (o</w:t>
            </w:r>
            <w:r>
              <w:rPr>
                <w:spacing w:val="-5"/>
                <w:lang w:eastAsia="en-US"/>
              </w:rPr>
              <w:t> </w:t>
            </w:r>
            <w:r>
              <w:rPr>
                <w:color w:val="0D0D0D" w:themeColor="text1" w:themeTint="F2"/>
                <w:spacing w:val="-5"/>
                <w:lang w:eastAsia="en-US"/>
              </w:rPr>
              <w:t>1,4 %)</w:t>
            </w:r>
            <w:r>
              <w:rPr>
                <w:rStyle w:val="Znakapoznpodarou"/>
                <w:color w:val="0D0D0D" w:themeColor="text1" w:themeTint="F2"/>
                <w:spacing w:val="-5"/>
                <w:lang w:eastAsia="en-US"/>
              </w:rPr>
              <w:footnoteReference w:id="18"/>
            </w:r>
            <w:r>
              <w:rPr>
                <w:color w:val="0D0D0D" w:themeColor="text1" w:themeTint="F2"/>
                <w:spacing w:val="-5"/>
                <w:lang w:eastAsia="en-US"/>
              </w:rPr>
              <w:t>.</w:t>
            </w:r>
          </w:p>
        </w:tc>
      </w:tr>
      <w:tr w:rsidR="000C004E" w14:paraId="2F41B5D8" w14:textId="77777777" w:rsidTr="000C004E">
        <w:trPr>
          <w:trHeight w:val="145"/>
        </w:trPr>
        <w:tc>
          <w:tcPr>
            <w:tcW w:w="1814" w:type="dxa"/>
            <w:hideMark/>
          </w:tcPr>
          <w:p w14:paraId="0E07B08D"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K velmi mírnému meziročnímu růstu průmyslové produkce zásadně přispěla energetika těžící z rostoucí domácí i zahraniční poptávky.</w:t>
            </w:r>
          </w:p>
        </w:tc>
        <w:tc>
          <w:tcPr>
            <w:tcW w:w="201" w:type="dxa"/>
          </w:tcPr>
          <w:p w14:paraId="580CCD50" w14:textId="77777777" w:rsidR="000C004E" w:rsidRDefault="000C004E">
            <w:pPr>
              <w:pStyle w:val="Textpoznpodarou"/>
              <w:spacing w:after="240"/>
              <w:jc w:val="both"/>
              <w:rPr>
                <w:spacing w:val="-4"/>
                <w:lang w:eastAsia="en-US"/>
              </w:rPr>
            </w:pPr>
          </w:p>
        </w:tc>
        <w:tc>
          <w:tcPr>
            <w:tcW w:w="7722" w:type="dxa"/>
            <w:hideMark/>
          </w:tcPr>
          <w:p w14:paraId="7E2D69D3" w14:textId="77777777" w:rsidR="000C004E" w:rsidRDefault="000C004E">
            <w:pPr>
              <w:spacing w:after="200"/>
              <w:rPr>
                <w:color w:val="0D0D0D" w:themeColor="text1" w:themeTint="F2"/>
                <w:spacing w:val="-5"/>
                <w:lang w:eastAsia="en-US"/>
              </w:rPr>
            </w:pPr>
            <w:r>
              <w:rPr>
                <w:color w:val="0D0D0D" w:themeColor="text1" w:themeTint="F2"/>
                <w:spacing w:val="-5"/>
                <w:lang w:eastAsia="en-US"/>
              </w:rPr>
              <w:t>V 1. čtvrtletí 2025 se průmyslová produkce meziročně velmi mírně zvýšila (+0,7 %). O kladný výsledek průmyslu se zásadně zasloužila energetika, jejíž výkon vzrostl o 10,4 % (nejvíce od počátku roku 2003) a k růstu celého průmyslu přispěl 1,0 p. b. Rostla výroba i spotřeba elektřiny</w:t>
            </w:r>
            <w:r>
              <w:rPr>
                <w:rStyle w:val="Znakapoznpodarou"/>
                <w:color w:val="0D0D0D" w:themeColor="text1" w:themeTint="F2"/>
                <w:spacing w:val="-5"/>
                <w:lang w:eastAsia="en-US"/>
              </w:rPr>
              <w:footnoteReference w:id="19"/>
            </w:r>
            <w:r>
              <w:rPr>
                <w:color w:val="0D0D0D" w:themeColor="text1" w:themeTint="F2"/>
                <w:spacing w:val="-5"/>
                <w:lang w:eastAsia="en-US"/>
              </w:rPr>
              <w:t>, plynu</w:t>
            </w:r>
            <w:r>
              <w:rPr>
                <w:rStyle w:val="Znakapoznpodarou"/>
                <w:color w:val="0D0D0D" w:themeColor="text1" w:themeTint="F2"/>
                <w:spacing w:val="-5"/>
                <w:lang w:eastAsia="en-US"/>
              </w:rPr>
              <w:footnoteReference w:id="20"/>
            </w:r>
            <w:r>
              <w:rPr>
                <w:color w:val="0D0D0D" w:themeColor="text1" w:themeTint="F2"/>
                <w:spacing w:val="-5"/>
                <w:lang w:eastAsia="en-US"/>
              </w:rPr>
              <w:t xml:space="preserve"> i tepla. To souvisí zejména s tím, že počátek letošního roku nebyl teplotně natolik nadprůměrný jako ten loňský. Vliv ale mělo i to, že efekt nedávných úsporných opatření v domácnostech i firmách se již patrně vyčerpává. Motivace k úsporám patrně klesá i vlivem stabilizace a následného zlevňování cen energií, jež bylo znatelnější hlavně u zemního plynu. Do vyšší spotřeby se promítá i loňské obnovení růstu reálných příjmů domácností, jakož i mírné oživení celkového výkonu ekonomiky doprovázené stabilizací poptávky v některých energeticky náročných průmyslových oborech. </w:t>
            </w:r>
          </w:p>
        </w:tc>
      </w:tr>
      <w:tr w:rsidR="000C004E" w14:paraId="10C12973" w14:textId="77777777" w:rsidTr="000C004E">
        <w:trPr>
          <w:trHeight w:val="145"/>
        </w:trPr>
        <w:tc>
          <w:tcPr>
            <w:tcW w:w="1814" w:type="dxa"/>
          </w:tcPr>
          <w:p w14:paraId="06E9F26B" w14:textId="77777777" w:rsidR="000C004E" w:rsidRDefault="000C004E">
            <w:pPr>
              <w:pStyle w:val="Marginlie"/>
              <w:rPr>
                <w:color w:val="0D0D0D" w:themeColor="text1" w:themeTint="F2"/>
                <w:spacing w:val="-4"/>
                <w:lang w:eastAsia="en-US"/>
              </w:rPr>
            </w:pPr>
            <w:r>
              <w:rPr>
                <w:color w:val="0D0D0D" w:themeColor="text1" w:themeTint="F2"/>
                <w:spacing w:val="-4"/>
                <w:lang w:eastAsia="en-US"/>
              </w:rPr>
              <w:t>Domácí poptávka podpořila oživení výkonu strojírenství. Kovodělný průmysl dále těžil z rychle rostoucí poptávky v segmentu zbrojní výroby.</w:t>
            </w:r>
          </w:p>
          <w:p w14:paraId="5805A945" w14:textId="77777777" w:rsidR="000C004E" w:rsidRDefault="000C004E">
            <w:pPr>
              <w:pStyle w:val="Marginlie"/>
              <w:rPr>
                <w:color w:val="0D0D0D" w:themeColor="text1" w:themeTint="F2"/>
                <w:spacing w:val="-4"/>
                <w:lang w:eastAsia="en-US"/>
              </w:rPr>
            </w:pPr>
          </w:p>
          <w:p w14:paraId="6C3B90F5" w14:textId="77777777" w:rsidR="000C004E" w:rsidRDefault="000C004E">
            <w:pPr>
              <w:pStyle w:val="Marginlie"/>
              <w:rPr>
                <w:color w:val="0D0D0D" w:themeColor="text1" w:themeTint="F2"/>
                <w:spacing w:val="-4"/>
                <w:lang w:eastAsia="en-US"/>
              </w:rPr>
            </w:pPr>
          </w:p>
          <w:p w14:paraId="4434FF7D" w14:textId="77777777" w:rsidR="000C004E" w:rsidRDefault="000C004E">
            <w:pPr>
              <w:pStyle w:val="Marginlie"/>
              <w:rPr>
                <w:color w:val="0D0D0D" w:themeColor="text1" w:themeTint="F2"/>
                <w:spacing w:val="-4"/>
                <w:lang w:eastAsia="en-US"/>
              </w:rPr>
            </w:pPr>
          </w:p>
          <w:p w14:paraId="403A3B3F" w14:textId="77777777" w:rsidR="000C004E" w:rsidRDefault="000C004E">
            <w:pPr>
              <w:pStyle w:val="Marginlie"/>
              <w:rPr>
                <w:color w:val="0D0D0D" w:themeColor="text1" w:themeTint="F2"/>
                <w:spacing w:val="-4"/>
                <w:lang w:eastAsia="en-US"/>
              </w:rPr>
            </w:pPr>
          </w:p>
          <w:p w14:paraId="14FFBBC0" w14:textId="77777777" w:rsidR="000C004E" w:rsidRDefault="000C004E">
            <w:pPr>
              <w:pStyle w:val="Marginlie"/>
              <w:rPr>
                <w:color w:val="0D0D0D" w:themeColor="text1" w:themeTint="F2"/>
                <w:spacing w:val="-4"/>
                <w:lang w:eastAsia="en-US"/>
              </w:rPr>
            </w:pPr>
          </w:p>
          <w:p w14:paraId="31D282C0" w14:textId="77777777" w:rsidR="000C004E" w:rsidRDefault="000C004E">
            <w:pPr>
              <w:pStyle w:val="Marginlie"/>
              <w:rPr>
                <w:color w:val="0D0D0D" w:themeColor="text1" w:themeTint="F2"/>
                <w:spacing w:val="-4"/>
                <w:lang w:eastAsia="en-US"/>
              </w:rPr>
            </w:pPr>
          </w:p>
          <w:p w14:paraId="73EEDCF5" w14:textId="77777777" w:rsidR="000C004E" w:rsidRDefault="000C004E">
            <w:pPr>
              <w:pStyle w:val="Marginlie"/>
              <w:rPr>
                <w:color w:val="0D0D0D" w:themeColor="text1" w:themeTint="F2"/>
                <w:spacing w:val="-4"/>
                <w:lang w:eastAsia="en-US"/>
              </w:rPr>
            </w:pPr>
          </w:p>
          <w:p w14:paraId="2D9FA1B6" w14:textId="77777777" w:rsidR="000C004E" w:rsidRDefault="000C004E">
            <w:pPr>
              <w:pStyle w:val="Marginlie"/>
              <w:rPr>
                <w:color w:val="0D0D0D" w:themeColor="text1" w:themeTint="F2"/>
                <w:spacing w:val="-4"/>
                <w:lang w:eastAsia="en-US"/>
              </w:rPr>
            </w:pPr>
          </w:p>
          <w:p w14:paraId="600B7C96" w14:textId="77777777" w:rsidR="000C004E" w:rsidRDefault="000C004E">
            <w:pPr>
              <w:pStyle w:val="Marginlie"/>
              <w:rPr>
                <w:color w:val="0D0D0D" w:themeColor="text1" w:themeTint="F2"/>
                <w:spacing w:val="-4"/>
                <w:lang w:eastAsia="en-US"/>
              </w:rPr>
            </w:pPr>
          </w:p>
          <w:p w14:paraId="33B76C8C" w14:textId="77777777" w:rsidR="000C004E" w:rsidRDefault="000C004E">
            <w:pPr>
              <w:pStyle w:val="Marginlie"/>
              <w:rPr>
                <w:color w:val="0D0D0D" w:themeColor="text1" w:themeTint="F2"/>
                <w:spacing w:val="-4"/>
                <w:lang w:eastAsia="en-US"/>
              </w:rPr>
            </w:pPr>
          </w:p>
          <w:p w14:paraId="1ECBF979"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Růst kupní síly domácností se odrážel v pokračujícím rozvoji potravinářství.</w:t>
            </w:r>
          </w:p>
        </w:tc>
        <w:tc>
          <w:tcPr>
            <w:tcW w:w="201" w:type="dxa"/>
          </w:tcPr>
          <w:p w14:paraId="122E5CCB" w14:textId="77777777" w:rsidR="000C004E" w:rsidRDefault="000C004E">
            <w:pPr>
              <w:pStyle w:val="Textpoznpodarou"/>
              <w:spacing w:after="240"/>
              <w:jc w:val="both"/>
              <w:rPr>
                <w:spacing w:val="-4"/>
                <w:lang w:eastAsia="en-US"/>
              </w:rPr>
            </w:pPr>
          </w:p>
        </w:tc>
        <w:tc>
          <w:tcPr>
            <w:tcW w:w="7722" w:type="dxa"/>
            <w:hideMark/>
          </w:tcPr>
          <w:p w14:paraId="17AA9650" w14:textId="77777777" w:rsidR="000C004E" w:rsidRDefault="000C004E">
            <w:pPr>
              <w:spacing w:after="0"/>
              <w:rPr>
                <w:color w:val="0D0D0D" w:themeColor="text1" w:themeTint="F2"/>
                <w:spacing w:val="-5"/>
                <w:lang w:eastAsia="en-US"/>
              </w:rPr>
            </w:pPr>
            <w:r>
              <w:rPr>
                <w:color w:val="0D0D0D" w:themeColor="text1" w:themeTint="F2"/>
                <w:spacing w:val="-5"/>
                <w:lang w:eastAsia="en-US"/>
              </w:rPr>
              <w:t xml:space="preserve">Průmyslu letos pomohlo i zlepšení situace ve váhově významném diverzifikovaném oboru strojírenství, v němž se produkce meziročně zvýšila poprvé po bezmála dvou letech (+1,0 %). Pomohlo k tomu zejména oživení domácí poptávky, jež byla po celý loňský rok utlumena. K oživení došlo i v souvisejícím oboru opravy a instalace strojů a zařízení, kde i díky </w:t>
            </w:r>
            <w:r>
              <w:rPr>
                <w:color w:val="0D0D0D" w:themeColor="text1" w:themeTint="F2"/>
                <w:spacing w:val="-2"/>
                <w:lang w:eastAsia="en-US"/>
              </w:rPr>
              <w:t>zakázkám v oblasti energetiky letos produkce posílila o 6,7 % (nejvíce ze všech</w:t>
            </w:r>
            <w:r>
              <w:rPr>
                <w:color w:val="0D0D0D" w:themeColor="text1" w:themeTint="F2"/>
                <w:spacing w:val="-5"/>
                <w:lang w:eastAsia="en-US"/>
              </w:rPr>
              <w:t xml:space="preserve"> zpracovatelských oborů). Oba výše uvedené obory tak souhrnně přispěly k růstu celého průmyslu 0,3 p. b. Z dalších investičně zaměřených oborů působily pozitivně již jen kovodělný průmysl, jenž vykazuje mírný růst produkce od poloviny loňského roku. V 1. čtvrtletí 2025 zde vlivem sílící zahraniční poptávky výkon vzrostl o 0,8 %. Významný růstový impuls zde již několik čtvrtletí představuje „renesance“ zbrojního průmyslu. Mezi obory zaměřené na meziprodukty se letos dařilo hlavně výrobě ostatních nekovových minerálních výrobků (+3,1 %), což souviselo s posílenou domácí poptávkou ze strany rozvíjejícího se stavebnictví. Dařilo se i dlouhodobě se rozvíjejícímu papírenskému průmyslu. K jeho růstu letos, na rozdíl od loňského roku, přispívala spíše oživená tuzemská poptávka.</w:t>
            </w:r>
          </w:p>
          <w:p w14:paraId="0655483E" w14:textId="77777777" w:rsidR="000C004E" w:rsidRDefault="000C004E">
            <w:pPr>
              <w:spacing w:after="200"/>
              <w:rPr>
                <w:color w:val="0D0D0D" w:themeColor="text1" w:themeTint="F2"/>
                <w:spacing w:val="-5"/>
                <w:lang w:eastAsia="en-US"/>
              </w:rPr>
            </w:pPr>
            <w:r>
              <w:rPr>
                <w:color w:val="0D0D0D" w:themeColor="text1" w:themeTint="F2"/>
                <w:spacing w:val="-5"/>
                <w:lang w:eastAsia="en-US"/>
              </w:rPr>
              <w:lastRenderedPageBreak/>
              <w:t>Z oborů vyrábějících spotřební zboží se dařilo potravinářství, jež profitovalo z rostoucí kupní síly tuzemských domácností. Nicméně tempo růstu produkce v tomto oboru ve srovnání s loňským rokem zvolnilo (na 2,8 %). Obdobné platí i pro ostatní zpracovatelský průmysl, zahrnující mj. i výrobu sportovních potřeb, her a hraček. Hlavně díky posilující zahraniční poptávce se zvýšila produkce v nábytkářském průmyslu o 5,4 %.</w:t>
            </w:r>
          </w:p>
        </w:tc>
      </w:tr>
      <w:tr w:rsidR="000C004E" w14:paraId="2869C81E" w14:textId="77777777" w:rsidTr="000C004E">
        <w:trPr>
          <w:trHeight w:val="145"/>
        </w:trPr>
        <w:tc>
          <w:tcPr>
            <w:tcW w:w="1814" w:type="dxa"/>
          </w:tcPr>
          <w:p w14:paraId="5D5FD9B9" w14:textId="77777777" w:rsidR="000C004E" w:rsidRDefault="000C004E">
            <w:pPr>
              <w:pStyle w:val="Marginlie"/>
              <w:rPr>
                <w:color w:val="0D0D0D" w:themeColor="text1" w:themeTint="F2"/>
                <w:spacing w:val="-4"/>
                <w:lang w:eastAsia="en-US"/>
              </w:rPr>
            </w:pPr>
            <w:r>
              <w:rPr>
                <w:color w:val="0D0D0D" w:themeColor="text1" w:themeTint="F2"/>
                <w:spacing w:val="-4"/>
                <w:lang w:eastAsia="en-US"/>
              </w:rPr>
              <w:lastRenderedPageBreak/>
              <w:t>Pokles produkce automobilového průmyslu pokračoval. Stála za tím slabší poptávka v klíčových evropských exportních trzích.</w:t>
            </w:r>
          </w:p>
          <w:p w14:paraId="413069D8" w14:textId="77777777" w:rsidR="000C004E" w:rsidRDefault="000C004E">
            <w:pPr>
              <w:pStyle w:val="Marginlie"/>
              <w:rPr>
                <w:color w:val="0D0D0D" w:themeColor="text1" w:themeTint="F2"/>
                <w:spacing w:val="-4"/>
                <w:lang w:eastAsia="en-US"/>
              </w:rPr>
            </w:pPr>
          </w:p>
          <w:p w14:paraId="795962ED" w14:textId="77777777" w:rsidR="000C004E" w:rsidRDefault="000C004E">
            <w:pPr>
              <w:pStyle w:val="Marginlie"/>
              <w:rPr>
                <w:color w:val="0D0D0D" w:themeColor="text1" w:themeTint="F2"/>
                <w:spacing w:val="-4"/>
                <w:lang w:eastAsia="en-US"/>
              </w:rPr>
            </w:pPr>
          </w:p>
          <w:p w14:paraId="753507AB" w14:textId="77777777" w:rsidR="000C004E" w:rsidRDefault="000C004E">
            <w:pPr>
              <w:pStyle w:val="Marginlie"/>
              <w:rPr>
                <w:color w:val="0D0D0D" w:themeColor="text1" w:themeTint="F2"/>
                <w:spacing w:val="-4"/>
                <w:lang w:eastAsia="en-US"/>
              </w:rPr>
            </w:pPr>
          </w:p>
          <w:p w14:paraId="0E7428C7" w14:textId="77777777" w:rsidR="000C004E" w:rsidRDefault="000C004E">
            <w:pPr>
              <w:pStyle w:val="Marginlie"/>
              <w:rPr>
                <w:color w:val="0D0D0D" w:themeColor="text1" w:themeTint="F2"/>
                <w:spacing w:val="-4"/>
                <w:lang w:eastAsia="en-US"/>
              </w:rPr>
            </w:pPr>
          </w:p>
          <w:p w14:paraId="194D254D"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 xml:space="preserve">Pokles výkonu byl patrný i ve výrobě ostatních dopravních prostředků či </w:t>
            </w:r>
            <w:r>
              <w:rPr>
                <w:color w:val="0D0D0D" w:themeColor="text1" w:themeTint="F2"/>
                <w:spacing w:val="-6"/>
                <w:lang w:eastAsia="en-US"/>
              </w:rPr>
              <w:t>v elektronickém průmyslu.</w:t>
            </w:r>
            <w:r>
              <w:rPr>
                <w:color w:val="0D0D0D" w:themeColor="text1" w:themeTint="F2"/>
                <w:spacing w:val="-4"/>
                <w:lang w:eastAsia="en-US"/>
              </w:rPr>
              <w:t xml:space="preserve"> </w:t>
            </w:r>
          </w:p>
        </w:tc>
        <w:tc>
          <w:tcPr>
            <w:tcW w:w="201" w:type="dxa"/>
          </w:tcPr>
          <w:p w14:paraId="3F9CA7A1" w14:textId="77777777" w:rsidR="000C004E" w:rsidRDefault="000C004E">
            <w:pPr>
              <w:pStyle w:val="Textpoznpodarou"/>
              <w:spacing w:after="240"/>
              <w:jc w:val="both"/>
              <w:rPr>
                <w:spacing w:val="-4"/>
                <w:lang w:eastAsia="en-US"/>
              </w:rPr>
            </w:pPr>
          </w:p>
        </w:tc>
        <w:tc>
          <w:tcPr>
            <w:tcW w:w="7722" w:type="dxa"/>
            <w:hideMark/>
          </w:tcPr>
          <w:p w14:paraId="77D7AF37" w14:textId="77777777" w:rsidR="000C004E" w:rsidRDefault="000C004E">
            <w:pPr>
              <w:spacing w:after="200"/>
              <w:rPr>
                <w:color w:val="0D0D0D" w:themeColor="text1" w:themeTint="F2"/>
                <w:spacing w:val="-5"/>
                <w:lang w:eastAsia="en-US"/>
              </w:rPr>
            </w:pPr>
            <w:r>
              <w:rPr>
                <w:color w:val="0D0D0D" w:themeColor="text1" w:themeTint="F2"/>
                <w:spacing w:val="-6"/>
                <w:lang w:eastAsia="en-US"/>
              </w:rPr>
              <w:t>Růst průmyslu v 1. čtvrtletí nejvíce tlumila výroba dopravních prostředků (příspěvek −0,6 p. b.).</w:t>
            </w:r>
            <w:r>
              <w:rPr>
                <w:color w:val="0D0D0D" w:themeColor="text1" w:themeTint="F2"/>
                <w:spacing w:val="-5"/>
                <w:lang w:eastAsia="en-US"/>
              </w:rPr>
              <w:t xml:space="preserve"> Z toho v samotném automobilovém průmyslu se produkce snížila o rovná 2 % (podobně jako za celý loňský rok). Odráží se zde hlavně slábnoucí zahraniční poptávka. Zatímco loňská mírná recese tohoto oboru souvisela se zhoršenou situací přímých tuzemských subdodavatelů autodílů (v rámci odvětví automobilového průmyslu), letos se na ní podíleli i samotní finální výrobci vozidel</w:t>
            </w:r>
            <w:r>
              <w:rPr>
                <w:rStyle w:val="Znakapoznpodarou"/>
                <w:color w:val="0D0D0D" w:themeColor="text1" w:themeTint="F2"/>
                <w:spacing w:val="-5"/>
                <w:lang w:eastAsia="en-US"/>
              </w:rPr>
              <w:footnoteReference w:id="21"/>
            </w:r>
            <w:r>
              <w:rPr>
                <w:color w:val="0D0D0D" w:themeColor="text1" w:themeTint="F2"/>
                <w:spacing w:val="-5"/>
                <w:lang w:eastAsia="en-US"/>
              </w:rPr>
              <w:t xml:space="preserve">. Ve výrobě ostatních (především kolejových) dopravních prostředků se letos produkce propadla o více než desetinu. Produkce v tomto relativně malém oboru má však tradičně volatilní charakter a projevuje se zde dopad nepravidelné fakturace větších zakázek. V návazných subdodavatelských oborech automobilového průmyslu – v gumárenství a plastikářství a také ve výrobě elektrických zařízení – výkon letos (stejně jako po většinu loňského roku) fakticky stagnoval. V investičně zaměřeném oboru výroby počítačů, elektronických a optických přístrojů, vyznačujícím se vysokou dovozní náročností a současně i výrazně proexportním zaměřením, se po příznivém vývoji v předchozích letech letos produkce snížila o 2,1 %. Efekt slábnoucí zahraniční poptávky v tomto oboru zastínil prorůstový vliv domácí poptávky související s pokračujícím rozvojem fotovoltaiky.  </w:t>
            </w:r>
          </w:p>
        </w:tc>
      </w:tr>
      <w:tr w:rsidR="000C004E" w14:paraId="3BDA9391" w14:textId="77777777" w:rsidTr="000C004E">
        <w:trPr>
          <w:trHeight w:val="145"/>
        </w:trPr>
        <w:tc>
          <w:tcPr>
            <w:tcW w:w="1814" w:type="dxa"/>
          </w:tcPr>
          <w:p w14:paraId="7D2EF98A" w14:textId="77777777" w:rsidR="000C004E" w:rsidRDefault="000C004E">
            <w:pPr>
              <w:pStyle w:val="Marginlie"/>
              <w:spacing w:after="240"/>
              <w:rPr>
                <w:color w:val="0D0D0D" w:themeColor="text1" w:themeTint="F2"/>
                <w:spacing w:val="-4"/>
                <w:lang w:eastAsia="en-US"/>
              </w:rPr>
            </w:pPr>
          </w:p>
        </w:tc>
        <w:tc>
          <w:tcPr>
            <w:tcW w:w="201" w:type="dxa"/>
          </w:tcPr>
          <w:p w14:paraId="0E2830C0" w14:textId="77777777" w:rsidR="000C004E" w:rsidRDefault="000C004E">
            <w:pPr>
              <w:pStyle w:val="Textpoznpodarou"/>
              <w:spacing w:after="240"/>
              <w:jc w:val="both"/>
              <w:rPr>
                <w:spacing w:val="-4"/>
                <w:lang w:eastAsia="en-US"/>
              </w:rPr>
            </w:pPr>
          </w:p>
        </w:tc>
        <w:tc>
          <w:tcPr>
            <w:tcW w:w="7722" w:type="dxa"/>
            <w:hideMark/>
          </w:tcPr>
          <w:p w14:paraId="36E2F4EA" w14:textId="77777777" w:rsidR="000C004E" w:rsidRDefault="000C004E">
            <w:pPr>
              <w:spacing w:after="40"/>
              <w:rPr>
                <w:color w:val="0D0D0D" w:themeColor="text1" w:themeTint="F2"/>
                <w:spacing w:val="-5"/>
                <w:lang w:eastAsia="en-US"/>
              </w:rPr>
            </w:pPr>
            <w:r>
              <w:rPr>
                <w:b/>
                <w:color w:val="0D0D0D" w:themeColor="text1" w:themeTint="F2"/>
                <w:spacing w:val="-5"/>
                <w:lang w:eastAsia="en-US"/>
              </w:rPr>
              <w:t>Graf č. 4 Příspěvky dílčích odvětví k meziroční změně průmyslové produkce v ČR</w:t>
            </w:r>
            <w:r>
              <w:rPr>
                <w:color w:val="0D0D0D" w:themeColor="text1" w:themeTint="F2"/>
                <w:spacing w:val="-5"/>
                <w:lang w:eastAsia="en-US"/>
              </w:rPr>
              <w:t xml:space="preserve"> (očištěno o kalendářní vlivy, reálně, v p. b.) </w:t>
            </w:r>
            <w:r>
              <w:rPr>
                <w:b/>
                <w:color w:val="0D0D0D" w:themeColor="text1" w:themeTint="F2"/>
                <w:spacing w:val="-5"/>
                <w:lang w:eastAsia="en-US"/>
              </w:rPr>
              <w:t>a produkce v celém průmyslu v ČR, Německu a EU27</w:t>
            </w:r>
            <w:r>
              <w:rPr>
                <w:i/>
                <w:color w:val="0D0D0D" w:themeColor="text1" w:themeTint="F2"/>
                <w:spacing w:val="-5"/>
                <w:lang w:eastAsia="en-US"/>
              </w:rPr>
              <w:t xml:space="preserve"> </w:t>
            </w:r>
            <w:r>
              <w:rPr>
                <w:color w:val="0D0D0D" w:themeColor="text1" w:themeTint="F2"/>
                <w:spacing w:val="-5"/>
                <w:lang w:eastAsia="en-US"/>
              </w:rPr>
              <w:t>(sezónně očištěno, úroveň roku 2021=100, pravá osa)</w:t>
            </w:r>
          </w:p>
        </w:tc>
      </w:tr>
      <w:tr w:rsidR="000C004E" w14:paraId="2E713D1B" w14:textId="77777777" w:rsidTr="000C004E">
        <w:trPr>
          <w:trHeight w:val="145"/>
        </w:trPr>
        <w:tc>
          <w:tcPr>
            <w:tcW w:w="1814" w:type="dxa"/>
            <w:tcMar>
              <w:top w:w="0" w:type="dxa"/>
              <w:left w:w="70" w:type="dxa"/>
              <w:bottom w:w="0" w:type="dxa"/>
              <w:right w:w="70" w:type="dxa"/>
            </w:tcMar>
          </w:tcPr>
          <w:p w14:paraId="4B5C045B" w14:textId="77777777" w:rsidR="000C004E" w:rsidRDefault="000C004E">
            <w:pPr>
              <w:pStyle w:val="Marginlie"/>
              <w:spacing w:after="240"/>
              <w:rPr>
                <w:color w:val="0D0D0D" w:themeColor="text1" w:themeTint="F2"/>
                <w:spacing w:val="-4"/>
                <w:lang w:eastAsia="en-US"/>
              </w:rPr>
            </w:pPr>
          </w:p>
        </w:tc>
        <w:tc>
          <w:tcPr>
            <w:tcW w:w="201" w:type="dxa"/>
            <w:tcMar>
              <w:top w:w="0" w:type="dxa"/>
              <w:left w:w="70" w:type="dxa"/>
              <w:bottom w:w="0" w:type="dxa"/>
              <w:right w:w="70" w:type="dxa"/>
            </w:tcMar>
          </w:tcPr>
          <w:p w14:paraId="241FF95E" w14:textId="77777777" w:rsidR="000C004E" w:rsidRDefault="000C004E">
            <w:pPr>
              <w:pStyle w:val="Textpoznpodarou"/>
              <w:spacing w:after="240"/>
              <w:jc w:val="both"/>
              <w:rPr>
                <w:spacing w:val="-4"/>
                <w:lang w:eastAsia="en-US"/>
              </w:rPr>
            </w:pPr>
          </w:p>
        </w:tc>
        <w:tc>
          <w:tcPr>
            <w:tcW w:w="7722" w:type="dxa"/>
            <w:tcMar>
              <w:top w:w="0" w:type="dxa"/>
              <w:left w:w="70" w:type="dxa"/>
              <w:bottom w:w="0" w:type="dxa"/>
              <w:right w:w="70" w:type="dxa"/>
            </w:tcMar>
            <w:hideMark/>
          </w:tcPr>
          <w:p w14:paraId="79AE4A9C" w14:textId="0D390D76" w:rsidR="000C004E" w:rsidRDefault="000C004E">
            <w:pPr>
              <w:spacing w:before="40" w:after="40"/>
              <w:rPr>
                <w:color w:val="0D0D0D" w:themeColor="text1" w:themeTint="F2"/>
                <w:spacing w:val="-5"/>
                <w:lang w:eastAsia="en-US"/>
              </w:rPr>
            </w:pPr>
            <w:r>
              <w:rPr>
                <w:noProof/>
              </w:rPr>
              <w:drawing>
                <wp:inline distT="0" distB="0" distL="0" distR="0" wp14:anchorId="53F74FFB" wp14:editId="0FAA2423">
                  <wp:extent cx="4781550" cy="3752850"/>
                  <wp:effectExtent l="0" t="0" r="0" b="0"/>
                  <wp:docPr id="36" name="Graf 36">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0C004E" w14:paraId="2412ED53" w14:textId="77777777" w:rsidTr="000C004E">
        <w:trPr>
          <w:trHeight w:val="145"/>
        </w:trPr>
        <w:tc>
          <w:tcPr>
            <w:tcW w:w="1814" w:type="dxa"/>
          </w:tcPr>
          <w:p w14:paraId="49420728" w14:textId="77777777" w:rsidR="000C004E" w:rsidRDefault="000C004E">
            <w:pPr>
              <w:pStyle w:val="Marginlie"/>
              <w:spacing w:after="240"/>
              <w:rPr>
                <w:color w:val="0D0D0D" w:themeColor="text1" w:themeTint="F2"/>
                <w:spacing w:val="-4"/>
                <w:lang w:eastAsia="en-US"/>
              </w:rPr>
            </w:pPr>
          </w:p>
        </w:tc>
        <w:tc>
          <w:tcPr>
            <w:tcW w:w="201" w:type="dxa"/>
          </w:tcPr>
          <w:p w14:paraId="051954EA" w14:textId="77777777" w:rsidR="000C004E" w:rsidRDefault="000C004E">
            <w:pPr>
              <w:pStyle w:val="Textpoznpodarou"/>
              <w:spacing w:after="240"/>
              <w:jc w:val="both"/>
              <w:rPr>
                <w:spacing w:val="-4"/>
                <w:lang w:eastAsia="en-US"/>
              </w:rPr>
            </w:pPr>
          </w:p>
        </w:tc>
        <w:tc>
          <w:tcPr>
            <w:tcW w:w="7722" w:type="dxa"/>
            <w:hideMark/>
          </w:tcPr>
          <w:p w14:paraId="37DB3E25" w14:textId="77777777" w:rsidR="000C004E" w:rsidRDefault="000C004E">
            <w:pPr>
              <w:spacing w:after="0"/>
              <w:rPr>
                <w:color w:val="0D0D0D" w:themeColor="text1" w:themeTint="F2"/>
                <w:spacing w:val="-5"/>
                <w:sz w:val="14"/>
                <w:szCs w:val="14"/>
                <w:lang w:eastAsia="en-US"/>
              </w:rPr>
            </w:pPr>
            <w:r>
              <w:rPr>
                <w:color w:val="0D0D0D" w:themeColor="text1" w:themeTint="F2"/>
                <w:spacing w:val="-5"/>
                <w:sz w:val="14"/>
                <w:szCs w:val="14"/>
                <w:lang w:eastAsia="en-US"/>
              </w:rPr>
              <w:t>*</w:t>
            </w:r>
            <w:r>
              <w:rPr>
                <w:color w:val="0D0D0D" w:themeColor="text1" w:themeTint="F2"/>
                <w:sz w:val="14"/>
                <w:szCs w:val="14"/>
                <w:lang w:eastAsia="en-US"/>
              </w:rPr>
              <w:t>Příspěvek zbývajícího zpracovatelského průmyslu zahrnuje i vliv celkové metodické diskrepance pramenící ze změny vah.</w:t>
            </w:r>
          </w:p>
          <w:p w14:paraId="70EBE090" w14:textId="77777777" w:rsidR="000C004E" w:rsidRDefault="000C004E">
            <w:pPr>
              <w:spacing w:after="0"/>
              <w:jc w:val="right"/>
              <w:rPr>
                <w:color w:val="0D0D0D" w:themeColor="text1" w:themeTint="F2"/>
                <w:spacing w:val="-5"/>
                <w:lang w:eastAsia="en-US"/>
              </w:rPr>
            </w:pPr>
            <w:r>
              <w:rPr>
                <w:color w:val="0D0D0D" w:themeColor="text1" w:themeTint="F2"/>
                <w:spacing w:val="-5"/>
                <w:sz w:val="14"/>
                <w:szCs w:val="14"/>
                <w:lang w:eastAsia="en-US"/>
              </w:rPr>
              <w:t>Zdroj: ČSÚ, Eurostat</w:t>
            </w:r>
          </w:p>
        </w:tc>
      </w:tr>
      <w:tr w:rsidR="000C004E" w14:paraId="6DAA973D" w14:textId="77777777" w:rsidTr="000C004E">
        <w:trPr>
          <w:trHeight w:val="145"/>
        </w:trPr>
        <w:tc>
          <w:tcPr>
            <w:tcW w:w="1814" w:type="dxa"/>
            <w:hideMark/>
          </w:tcPr>
          <w:p w14:paraId="05274A1E"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Řada významných energeticky náročných oborů byla stále v útlumu.</w:t>
            </w:r>
          </w:p>
        </w:tc>
        <w:tc>
          <w:tcPr>
            <w:tcW w:w="201" w:type="dxa"/>
          </w:tcPr>
          <w:p w14:paraId="4F5326E1" w14:textId="77777777" w:rsidR="000C004E" w:rsidRDefault="000C004E">
            <w:pPr>
              <w:pStyle w:val="Textpoznpodarou"/>
              <w:spacing w:after="240"/>
              <w:jc w:val="both"/>
              <w:rPr>
                <w:spacing w:val="-4"/>
                <w:lang w:eastAsia="en-US"/>
              </w:rPr>
            </w:pPr>
          </w:p>
        </w:tc>
        <w:tc>
          <w:tcPr>
            <w:tcW w:w="7722" w:type="dxa"/>
            <w:hideMark/>
          </w:tcPr>
          <w:p w14:paraId="4407789A" w14:textId="77777777" w:rsidR="000C004E" w:rsidRDefault="000C004E">
            <w:pPr>
              <w:spacing w:after="200"/>
              <w:rPr>
                <w:color w:val="0D0D0D" w:themeColor="text1" w:themeTint="F2"/>
                <w:spacing w:val="-5"/>
                <w:lang w:eastAsia="en-US"/>
              </w:rPr>
            </w:pPr>
            <w:r>
              <w:rPr>
                <w:color w:val="0D0D0D" w:themeColor="text1" w:themeTint="F2"/>
                <w:spacing w:val="-5"/>
                <w:lang w:eastAsia="en-US"/>
              </w:rPr>
              <w:t>Některé významné energeticky náročnější obory zaměřené na výrobu meziproduktů byly stále v útlumu. V hutnictví a slévárenství se letos sice meziroční pokles produkce téměř zastavil, recese zde však přetrvává již tři a půl roku</w:t>
            </w:r>
            <w:r>
              <w:rPr>
                <w:rStyle w:val="Znakapoznpodarou"/>
                <w:color w:val="0D0D0D" w:themeColor="text1" w:themeTint="F2"/>
                <w:spacing w:val="-5"/>
                <w:lang w:eastAsia="en-US"/>
              </w:rPr>
              <w:footnoteReference w:id="22"/>
            </w:r>
            <w:r>
              <w:rPr>
                <w:color w:val="0D0D0D" w:themeColor="text1" w:themeTint="F2"/>
                <w:spacing w:val="-5"/>
                <w:lang w:eastAsia="en-US"/>
              </w:rPr>
              <w:t xml:space="preserve">. Celý obor stále čelil odbytovým problémům v tuzemsku i zahraničí a ani předstihové ukazatele (nové zakázky, saldo důvěry podnikatelů) zde v nejbližší době nenaznačovaly pozitivní obrat. V chemickém průmyslu se po dočasné stabilizaci v loňském roce letos výkon opět snížil (−2,5 %), což souviselo se slabší zahraniční poptávkou. Po propadu v letech 2023 i 2024 se produkce v těžbě a dobývání na počátku letošního roku zmírnila (na −2,3 %), avšak dlouhodobý útlum těžby uhlí se nadále promítá ve svižném úbytku pracovních míst. Navíc i přes oživení stavebnictví letos zatím klesá produkce v segmentu těžby stavebních materiálů (−7 %). </w:t>
            </w:r>
          </w:p>
        </w:tc>
      </w:tr>
      <w:tr w:rsidR="000C004E" w14:paraId="30A9D5D0" w14:textId="77777777" w:rsidTr="000C004E">
        <w:trPr>
          <w:trHeight w:val="145"/>
        </w:trPr>
        <w:tc>
          <w:tcPr>
            <w:tcW w:w="1814" w:type="dxa"/>
            <w:hideMark/>
          </w:tcPr>
          <w:p w14:paraId="4479038F" w14:textId="77777777" w:rsidR="000C004E" w:rsidRDefault="000C004E">
            <w:pPr>
              <w:pStyle w:val="Marginlie"/>
              <w:spacing w:after="240"/>
              <w:rPr>
                <w:color w:val="0D0D0D" w:themeColor="text1" w:themeTint="F2"/>
                <w:spacing w:val="-4"/>
                <w:lang w:eastAsia="en-US"/>
              </w:rPr>
            </w:pPr>
            <w:r>
              <w:rPr>
                <w:color w:val="0D0D0D" w:themeColor="text1" w:themeTint="F2"/>
                <w:spacing w:val="-5"/>
                <w:lang w:eastAsia="en-US"/>
              </w:rPr>
              <w:t>Většina menších oborů zaměřených na produkty krátkodobé spotřeby v loňském růstu nepokračovala. Největší útlum postihl kožedělný a obuvnický průmysl.</w:t>
            </w:r>
          </w:p>
        </w:tc>
        <w:tc>
          <w:tcPr>
            <w:tcW w:w="201" w:type="dxa"/>
          </w:tcPr>
          <w:p w14:paraId="718A5D49" w14:textId="77777777" w:rsidR="000C004E" w:rsidRDefault="000C004E">
            <w:pPr>
              <w:pStyle w:val="Textpoznpodarou"/>
              <w:spacing w:after="240"/>
              <w:jc w:val="both"/>
              <w:rPr>
                <w:spacing w:val="-4"/>
                <w:lang w:eastAsia="en-US"/>
              </w:rPr>
            </w:pPr>
          </w:p>
        </w:tc>
        <w:tc>
          <w:tcPr>
            <w:tcW w:w="7722" w:type="dxa"/>
            <w:hideMark/>
          </w:tcPr>
          <w:p w14:paraId="6429BFA4" w14:textId="77777777" w:rsidR="000C004E" w:rsidRDefault="000C004E">
            <w:pPr>
              <w:spacing w:after="200"/>
              <w:rPr>
                <w:color w:val="0D0D0D" w:themeColor="text1" w:themeTint="F2"/>
                <w:spacing w:val="-5"/>
                <w:lang w:eastAsia="en-US"/>
              </w:rPr>
            </w:pPr>
            <w:r>
              <w:rPr>
                <w:color w:val="0D0D0D" w:themeColor="text1" w:themeTint="F2"/>
                <w:spacing w:val="-5"/>
                <w:lang w:eastAsia="en-US"/>
              </w:rPr>
              <w:t>Většina menších oborů zaměřených na produkty krátkodobé spotřeby v loňském růstu letos zatím nepokračovala. Ve výrobě nápojů produkce klesla meziročně o 2,1 %, neboť se ji nepodařilo plně navázat na velmi dobré exportní výsledky z počátku roku 2024. Podobný jev nastal i v oděvnictví, letošní útlum produkce zde však byl citelnější (−7,9 %). Vyšší propad pak vlivem slabší zahraniční poptávky letos postihl malý obor kožedělného a obuvnického průmyslu (−17,6 %, nejhorší výsledek ze všech průmyslových oborů), který se přitom v posledních čtyřech letech slibně rozvíjel. V textilním průmyslu se letos výkon snížil o 3,8 %, firmy se zde však potýkaly se slabší domácí i zahraniční poptávkou již v předchozích dvou letech. Naopak za spíše dočasný výkyv lze považovat aktuální pokles výkonu farmaceutického průmyslu (− 3,2 %)</w:t>
            </w:r>
            <w:r>
              <w:rPr>
                <w:rStyle w:val="Znakapoznpodarou"/>
                <w:color w:val="0D0D0D" w:themeColor="text1" w:themeTint="F2"/>
                <w:spacing w:val="-5"/>
                <w:lang w:eastAsia="en-US"/>
              </w:rPr>
              <w:footnoteReference w:id="23"/>
            </w:r>
            <w:r>
              <w:rPr>
                <w:color w:val="0D0D0D" w:themeColor="text1" w:themeTint="F2"/>
                <w:spacing w:val="-5"/>
                <w:lang w:eastAsia="en-US"/>
              </w:rPr>
              <w:t xml:space="preserve">. Nynější výpadek klíčové poptávky ze zahraniční zde nevykompenzoval ani svižný růst odbytu na tuzemském trhu. </w:t>
            </w:r>
          </w:p>
        </w:tc>
      </w:tr>
      <w:tr w:rsidR="000C004E" w14:paraId="55F1F57E" w14:textId="77777777" w:rsidTr="000C004E">
        <w:trPr>
          <w:trHeight w:val="145"/>
        </w:trPr>
        <w:tc>
          <w:tcPr>
            <w:tcW w:w="1814" w:type="dxa"/>
            <w:hideMark/>
          </w:tcPr>
          <w:p w14:paraId="7E7C613A"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Hodnota nových tuzemských i zahraničních zakázek na počátku roku mírně klesla, především vlivem automobilového průmyslu.</w:t>
            </w:r>
          </w:p>
        </w:tc>
        <w:tc>
          <w:tcPr>
            <w:tcW w:w="201" w:type="dxa"/>
          </w:tcPr>
          <w:p w14:paraId="04AAF804" w14:textId="77777777" w:rsidR="000C004E" w:rsidRDefault="000C004E">
            <w:pPr>
              <w:pStyle w:val="Textpoznpodarou"/>
              <w:spacing w:after="240"/>
              <w:jc w:val="both"/>
              <w:rPr>
                <w:spacing w:val="-4"/>
                <w:lang w:eastAsia="en-US"/>
              </w:rPr>
            </w:pPr>
          </w:p>
        </w:tc>
        <w:tc>
          <w:tcPr>
            <w:tcW w:w="7722" w:type="dxa"/>
            <w:hideMark/>
          </w:tcPr>
          <w:p w14:paraId="2DF9745E" w14:textId="77777777" w:rsidR="000C004E" w:rsidRDefault="000C004E">
            <w:pPr>
              <w:spacing w:after="200"/>
              <w:rPr>
                <w:color w:val="0D0D0D" w:themeColor="text1" w:themeTint="F2"/>
                <w:spacing w:val="-5"/>
                <w:lang w:eastAsia="en-US"/>
              </w:rPr>
            </w:pPr>
            <w:r>
              <w:rPr>
                <w:color w:val="0D0D0D" w:themeColor="text1" w:themeTint="F2"/>
                <w:spacing w:val="-5"/>
                <w:lang w:eastAsia="en-US"/>
              </w:rPr>
              <w:t>Růst nominální hodnoty nových průmyslových zakázek</w:t>
            </w:r>
            <w:r>
              <w:rPr>
                <w:rStyle w:val="Znakapoznpodarou"/>
                <w:color w:val="0D0D0D" w:themeColor="text1" w:themeTint="F2"/>
                <w:spacing w:val="-5"/>
                <w:szCs w:val="20"/>
                <w:lang w:eastAsia="en-US"/>
              </w:rPr>
              <w:footnoteReference w:id="24"/>
            </w:r>
            <w:r>
              <w:rPr>
                <w:color w:val="0D0D0D" w:themeColor="text1" w:themeTint="F2"/>
                <w:spacing w:val="-5"/>
                <w:lang w:eastAsia="en-US"/>
              </w:rPr>
              <w:t xml:space="preserve"> již během loňského roku zvolňoval a v 1. čtvrtletí 2025 se zastavil (−0,5 %). K nepatrnému poklesu aktuálně došlo u očekávané poptávky z tuzemska i zahraničí (ani mezikvartální tempa z přelomu roku 2024 a 2025 přitom nenaznačují blízký pozitivní obrat). Nejvýraznější růst zakázek aktuálně signalizovalo strojírenství (+9,2 %), a to díky oživení domácí i zahraniční poptávky. Z dalších významných odvětví byl ovšem růst poptávky patrný již jen v kovodělném průmyslu (+4,0 %). Slibné vyhlídky nadále vykazoval menší obor výroby ostatních dopravních prostředků. Ty se opíraly o silnou domácí poptávku spojenou s rozvojem dopravní infrastruktury i modernizací armády. Zakázky z tuzemska svižně rostly i ve výrobě počítačů, elektronických a optických přístrojů. V elektrotechnickém či farmaceutickém průmyslu očekávaná celková poptávka spíše stagnovala. Ve výrobě motorových vozidel hodnota zakázek druhé čtvrtletí v řadě meziročně klesala (aktuálně již o 4,7 %). Mírné snížení očekávané poptávky hlásí i chemický průmysl, podobně jsou na tom i některé menší obory (textilní, oděvní a papírenský průmysl).</w:t>
            </w:r>
          </w:p>
        </w:tc>
      </w:tr>
      <w:tr w:rsidR="000C004E" w14:paraId="2D947950" w14:textId="77777777" w:rsidTr="000C004E">
        <w:trPr>
          <w:trHeight w:val="145"/>
        </w:trPr>
        <w:tc>
          <w:tcPr>
            <w:tcW w:w="1814" w:type="dxa"/>
          </w:tcPr>
          <w:p w14:paraId="3E63B738" w14:textId="77777777" w:rsidR="000C004E" w:rsidRDefault="000C004E">
            <w:pPr>
              <w:pStyle w:val="Marginlie"/>
              <w:rPr>
                <w:color w:val="0D0D0D" w:themeColor="text1" w:themeTint="F2"/>
                <w:spacing w:val="-4"/>
                <w:lang w:eastAsia="en-US"/>
              </w:rPr>
            </w:pPr>
            <w:r>
              <w:rPr>
                <w:color w:val="0D0D0D" w:themeColor="text1" w:themeTint="F2"/>
                <w:spacing w:val="-4"/>
                <w:lang w:eastAsia="en-US"/>
              </w:rPr>
              <w:t xml:space="preserve">Důvěra v průmyslu se letos mírně zvyšovala, přesto setrvávala v mírně negativním pásmu. Očekávání výroby se lehce zlepšila. </w:t>
            </w:r>
          </w:p>
          <w:p w14:paraId="1278AE06" w14:textId="77777777" w:rsidR="000C004E" w:rsidRDefault="000C004E">
            <w:pPr>
              <w:pStyle w:val="Marginlie"/>
              <w:rPr>
                <w:color w:val="0D0D0D" w:themeColor="text1" w:themeTint="F2"/>
                <w:spacing w:val="-4"/>
                <w:lang w:eastAsia="en-US"/>
              </w:rPr>
            </w:pPr>
          </w:p>
          <w:p w14:paraId="3AB8C504" w14:textId="77777777" w:rsidR="000C004E" w:rsidRDefault="000C004E">
            <w:pPr>
              <w:pStyle w:val="Marginlie"/>
              <w:rPr>
                <w:color w:val="0D0D0D" w:themeColor="text1" w:themeTint="F2"/>
                <w:spacing w:val="-4"/>
                <w:lang w:eastAsia="en-US"/>
              </w:rPr>
            </w:pPr>
          </w:p>
          <w:p w14:paraId="5D6B0411" w14:textId="77777777" w:rsidR="000C004E" w:rsidRDefault="000C004E">
            <w:pPr>
              <w:pStyle w:val="Marginlie"/>
              <w:rPr>
                <w:color w:val="0D0D0D" w:themeColor="text1" w:themeTint="F2"/>
                <w:spacing w:val="-4"/>
                <w:lang w:eastAsia="en-US"/>
              </w:rPr>
            </w:pPr>
          </w:p>
          <w:p w14:paraId="6D87E34E" w14:textId="77777777" w:rsidR="000C004E" w:rsidRDefault="000C004E">
            <w:pPr>
              <w:pStyle w:val="Marginlie"/>
              <w:rPr>
                <w:color w:val="0D0D0D" w:themeColor="text1" w:themeTint="F2"/>
                <w:spacing w:val="-4"/>
                <w:lang w:eastAsia="en-US"/>
              </w:rPr>
            </w:pPr>
          </w:p>
          <w:p w14:paraId="11280D17" w14:textId="77777777" w:rsidR="000C004E" w:rsidRDefault="000C004E">
            <w:pPr>
              <w:pStyle w:val="Marginlie"/>
              <w:rPr>
                <w:color w:val="0D0D0D" w:themeColor="text1" w:themeTint="F2"/>
                <w:spacing w:val="-4"/>
                <w:lang w:eastAsia="en-US"/>
              </w:rPr>
            </w:pPr>
          </w:p>
          <w:p w14:paraId="488AF89B" w14:textId="77777777" w:rsidR="000C004E" w:rsidRDefault="000C004E">
            <w:pPr>
              <w:pStyle w:val="Marginlie"/>
              <w:rPr>
                <w:color w:val="0D0D0D" w:themeColor="text1" w:themeTint="F2"/>
                <w:spacing w:val="-4"/>
                <w:lang w:eastAsia="en-US"/>
              </w:rPr>
            </w:pPr>
            <w:r>
              <w:rPr>
                <w:color w:val="0D0D0D" w:themeColor="text1" w:themeTint="F2"/>
                <w:spacing w:val="-4"/>
                <w:lang w:eastAsia="en-US"/>
              </w:rPr>
              <w:t xml:space="preserve">Kolem 50 % firem trápila nedostatečná poptávka. </w:t>
            </w:r>
            <w:r>
              <w:rPr>
                <w:color w:val="0D0D0D" w:themeColor="text1" w:themeTint="F2"/>
                <w:spacing w:val="-4"/>
                <w:lang w:eastAsia="en-US"/>
              </w:rPr>
              <w:lastRenderedPageBreak/>
              <w:t>Aktuální i očekávaný vývoj zaměstnanosti zůstává nepříznivý.</w:t>
            </w:r>
          </w:p>
          <w:p w14:paraId="16703691" w14:textId="77777777" w:rsidR="000C004E" w:rsidRDefault="000C004E">
            <w:pPr>
              <w:pStyle w:val="Marginlie"/>
              <w:rPr>
                <w:color w:val="0D0D0D" w:themeColor="text1" w:themeTint="F2"/>
                <w:spacing w:val="-4"/>
                <w:lang w:eastAsia="en-US"/>
              </w:rPr>
            </w:pPr>
          </w:p>
          <w:p w14:paraId="69EA0D7F" w14:textId="77777777" w:rsidR="000C004E" w:rsidRDefault="000C004E">
            <w:pPr>
              <w:pStyle w:val="Marginlie"/>
              <w:rPr>
                <w:color w:val="0D0D0D" w:themeColor="text1" w:themeTint="F2"/>
                <w:spacing w:val="-4"/>
                <w:lang w:eastAsia="en-US"/>
              </w:rPr>
            </w:pPr>
          </w:p>
          <w:p w14:paraId="5314C383" w14:textId="77777777" w:rsidR="000C004E" w:rsidRDefault="000C004E">
            <w:pPr>
              <w:pStyle w:val="Marginlie"/>
              <w:rPr>
                <w:color w:val="0D0D0D" w:themeColor="text1" w:themeTint="F2"/>
                <w:spacing w:val="-4"/>
                <w:lang w:eastAsia="en-US"/>
              </w:rPr>
            </w:pPr>
          </w:p>
          <w:p w14:paraId="5E9D5486" w14:textId="77777777" w:rsidR="000C004E" w:rsidRDefault="000C004E">
            <w:pPr>
              <w:pStyle w:val="Marginlie"/>
              <w:rPr>
                <w:color w:val="0D0D0D" w:themeColor="text1" w:themeTint="F2"/>
                <w:spacing w:val="-4"/>
                <w:lang w:eastAsia="en-US"/>
              </w:rPr>
            </w:pPr>
          </w:p>
          <w:p w14:paraId="54C09403" w14:textId="77777777" w:rsidR="000C004E" w:rsidRDefault="000C004E">
            <w:pPr>
              <w:pStyle w:val="Marginlie"/>
              <w:rPr>
                <w:color w:val="0D0D0D" w:themeColor="text1" w:themeTint="F2"/>
                <w:spacing w:val="-4"/>
                <w:lang w:eastAsia="en-US"/>
              </w:rPr>
            </w:pPr>
          </w:p>
          <w:p w14:paraId="7AFB102D" w14:textId="77777777" w:rsidR="000C004E" w:rsidRDefault="000C004E">
            <w:pPr>
              <w:pStyle w:val="Marginlie"/>
              <w:rPr>
                <w:color w:val="0D0D0D" w:themeColor="text1" w:themeTint="F2"/>
                <w:spacing w:val="-4"/>
                <w:lang w:eastAsia="en-US"/>
              </w:rPr>
            </w:pPr>
            <w:r>
              <w:rPr>
                <w:color w:val="0D0D0D" w:themeColor="text1" w:themeTint="F2"/>
                <w:spacing w:val="-4"/>
                <w:lang w:eastAsia="en-US"/>
              </w:rPr>
              <w:t>Využití výrobních kapacit v průmyslu se mírně zvyšovalo, přesto stále zaostávalo za úrovní z konce minulé dekády.</w:t>
            </w:r>
          </w:p>
          <w:p w14:paraId="0CA88D6E" w14:textId="77777777" w:rsidR="000C004E" w:rsidRDefault="000C004E">
            <w:pPr>
              <w:pStyle w:val="Marginlie"/>
              <w:spacing w:after="240"/>
              <w:rPr>
                <w:color w:val="0D0D0D" w:themeColor="text1" w:themeTint="F2"/>
                <w:spacing w:val="-4"/>
                <w:lang w:eastAsia="en-US"/>
              </w:rPr>
            </w:pPr>
          </w:p>
        </w:tc>
        <w:tc>
          <w:tcPr>
            <w:tcW w:w="201" w:type="dxa"/>
          </w:tcPr>
          <w:p w14:paraId="39466AD6" w14:textId="77777777" w:rsidR="000C004E" w:rsidRDefault="000C004E">
            <w:pPr>
              <w:pStyle w:val="Textpoznpodarou"/>
              <w:spacing w:after="240"/>
              <w:jc w:val="both"/>
              <w:rPr>
                <w:spacing w:val="-4"/>
                <w:lang w:eastAsia="en-US"/>
              </w:rPr>
            </w:pPr>
          </w:p>
        </w:tc>
        <w:tc>
          <w:tcPr>
            <w:tcW w:w="7722" w:type="dxa"/>
            <w:hideMark/>
          </w:tcPr>
          <w:p w14:paraId="5D7D5E38" w14:textId="77777777" w:rsidR="000C004E" w:rsidRDefault="000C004E">
            <w:pPr>
              <w:spacing w:after="200"/>
              <w:rPr>
                <w:color w:val="0D0D0D" w:themeColor="text1" w:themeTint="F2"/>
                <w:spacing w:val="-5"/>
                <w:lang w:eastAsia="en-US"/>
              </w:rPr>
            </w:pPr>
            <w:r>
              <w:rPr>
                <w:color w:val="0D0D0D" w:themeColor="text1" w:themeTint="F2"/>
                <w:spacing w:val="-5"/>
                <w:lang w:eastAsia="en-US"/>
              </w:rPr>
              <w:t xml:space="preserve">Důvěra podnikatelů v průmyslu se po krátkodobém zhoršení na konci loňského roku letos zatím mírně zvyšovala, přesto však setrvávala v lehce negativním pásmu (v květnu činilo saldo −5,3 p .b.). Za aktuálním zlepšením </w:t>
            </w:r>
            <w:r>
              <w:rPr>
                <w:rFonts w:cs="Arial"/>
                <w:szCs w:val="20"/>
                <w:lang w:eastAsia="en-US"/>
              </w:rPr>
              <w:t>stál menší pesimismus firem ohledně současné celkové (i zahraniční) poptávky – její hodnocení bylo nejlepší od léta 2023. Současně přibylo firem očekávajících v tříměsíčním výhledu růst výroby</w:t>
            </w:r>
            <w:r>
              <w:rPr>
                <w:rStyle w:val="Znakapoznpodarou"/>
                <w:color w:val="0D0D0D" w:themeColor="text1" w:themeTint="F2"/>
                <w:spacing w:val="-5"/>
                <w:lang w:eastAsia="en-US"/>
              </w:rPr>
              <w:footnoteReference w:id="25"/>
            </w:r>
            <w:r>
              <w:rPr>
                <w:rFonts w:cs="Arial"/>
                <w:szCs w:val="20"/>
                <w:lang w:eastAsia="en-US"/>
              </w:rPr>
              <w:t xml:space="preserve"> (tento ukazatel je však v poslední době více volatilní, což dokládá zvýšenou obecnou nejistotu firem). Opatrný optimismus ale stále převládá – v půlročním horizontu předpokládá zlepšení své ekonomické situace 14 % firem, zhoršení 5 % (v meziměsíčním i meziročním pohledu jde o nepatrné zlepšení). Šestina firem vnímá současnou poptávku jako nedostatečnou a za růstovou bariéru ji považuje stále polovina podniků.</w:t>
            </w:r>
            <w:r>
              <w:rPr>
                <w:color w:val="0D0D0D" w:themeColor="text1" w:themeTint="F2"/>
                <w:spacing w:val="-5"/>
                <w:lang w:eastAsia="en-US"/>
              </w:rPr>
              <w:t xml:space="preserve"> Naproti tomu nedostatek pracovníků limitoval jen desetinu firem</w:t>
            </w:r>
            <w:r>
              <w:rPr>
                <w:rStyle w:val="Znakapoznpodarou"/>
                <w:color w:val="0D0D0D" w:themeColor="text1" w:themeTint="F2"/>
                <w:spacing w:val="-5"/>
                <w:lang w:eastAsia="en-US"/>
              </w:rPr>
              <w:footnoteReference w:id="26"/>
            </w:r>
            <w:r>
              <w:rPr>
                <w:color w:val="0D0D0D" w:themeColor="text1" w:themeTint="F2"/>
                <w:spacing w:val="-5"/>
                <w:lang w:eastAsia="en-US"/>
              </w:rPr>
              <w:t xml:space="preserve">, nejméně od konce roku 2015. Část podniků se </w:t>
            </w:r>
            <w:r>
              <w:rPr>
                <w:color w:val="0D0D0D" w:themeColor="text1" w:themeTint="F2"/>
                <w:spacing w:val="-5"/>
                <w:lang w:eastAsia="en-US"/>
              </w:rPr>
              <w:lastRenderedPageBreak/>
              <w:t>dosud potýká s periodickými výkyvy v dostupnosti materiálu a zařízení</w:t>
            </w:r>
            <w:r>
              <w:rPr>
                <w:rStyle w:val="Znakapoznpodarou"/>
                <w:color w:val="0D0D0D" w:themeColor="text1" w:themeTint="F2"/>
                <w:spacing w:val="-5"/>
                <w:lang w:eastAsia="en-US"/>
              </w:rPr>
              <w:footnoteReference w:id="27"/>
            </w:r>
            <w:r>
              <w:rPr>
                <w:color w:val="0D0D0D" w:themeColor="text1" w:themeTint="F2"/>
                <w:spacing w:val="-5"/>
                <w:lang w:eastAsia="en-US"/>
              </w:rPr>
              <w:t>, avšak jejich podíl nevybočuje z dlouhodobého průměru. Očekávání výrobců ohledně růstu cen vlastní</w:t>
            </w:r>
            <w:r>
              <w:rPr>
                <w:rFonts w:cs="Arial"/>
                <w:szCs w:val="20"/>
                <w:lang w:eastAsia="en-US"/>
              </w:rPr>
              <w:t xml:space="preserve"> produkce se v průmyslu potřetí v řadě meziměsíčně zvýšila a letos v květnu se pohybovala lehce nad dlouhodobým průměrem</w:t>
            </w:r>
            <w:r>
              <w:rPr>
                <w:rStyle w:val="Znakapoznpodarou"/>
                <w:color w:val="0D0D0D" w:themeColor="text1" w:themeTint="F2"/>
                <w:spacing w:val="-5"/>
                <w:lang w:eastAsia="en-US"/>
              </w:rPr>
              <w:footnoteReference w:id="28"/>
            </w:r>
            <w:r>
              <w:rPr>
                <w:rFonts w:cs="Arial"/>
                <w:szCs w:val="20"/>
                <w:lang w:eastAsia="en-US"/>
              </w:rPr>
              <w:t xml:space="preserve">. Očekávání firem v oblasti zaměstnanosti </w:t>
            </w:r>
            <w:r>
              <w:rPr>
                <w:color w:val="0D0D0D" w:themeColor="text1" w:themeTint="F2"/>
                <w:spacing w:val="-5"/>
                <w:lang w:eastAsia="en-US"/>
              </w:rPr>
              <w:t>zůstávala negativní, od počátku roku ani v meziročním srovnání se takřka nezměnila</w:t>
            </w:r>
            <w:r>
              <w:rPr>
                <w:rStyle w:val="Znakapoznpodarou"/>
                <w:color w:val="0D0D0D" w:themeColor="text1" w:themeTint="F2"/>
                <w:spacing w:val="-5"/>
                <w:lang w:eastAsia="en-US"/>
              </w:rPr>
              <w:footnoteReference w:id="29"/>
            </w:r>
            <w:r>
              <w:rPr>
                <w:color w:val="0D0D0D" w:themeColor="text1" w:themeTint="F2"/>
                <w:spacing w:val="-5"/>
                <w:lang w:eastAsia="en-US"/>
              </w:rPr>
              <w:t>. To souzní i s reálným vývojem v posledních měsících, neboť evidenční počet zaměstnanců v průmyslu se v 1. čtvrtletí 2025 meziročně snížil o 1,7 % (z významnějších oborů rostla zaměstnanost jen v potravinářství a energetice).</w:t>
            </w:r>
            <w:r>
              <w:rPr>
                <w:rStyle w:val="normaltextrun"/>
                <w:rFonts w:eastAsia="MS Gothic" w:cs="Arial"/>
                <w:szCs w:val="20"/>
                <w:lang w:eastAsia="en-US"/>
              </w:rPr>
              <w:t xml:space="preserve"> Využití výrobních kapacit podniků dosáhlo na počátku 2. čtvrtletí 2025 úrovně 83,2 % a potřetí v řadě se mezikvartálně mírně zvýšilo (přesto zůstává mírně pod úrovní z konjunktury l</w:t>
            </w:r>
            <w:r>
              <w:rPr>
                <w:rStyle w:val="normaltextrun"/>
                <w:rFonts w:eastAsia="MS Gothic" w:cs="Arial"/>
                <w:lang w:eastAsia="en-US"/>
              </w:rPr>
              <w:t xml:space="preserve">et </w:t>
            </w:r>
            <w:r>
              <w:rPr>
                <w:rStyle w:val="normaltextrun"/>
                <w:rFonts w:eastAsia="MS Gothic" w:cs="Arial"/>
                <w:lang w:eastAsia="en-US"/>
              </w:rPr>
              <w:br/>
            </w:r>
            <w:r>
              <w:rPr>
                <w:rStyle w:val="normaltextrun"/>
                <w:rFonts w:eastAsia="MS Gothic" w:cs="Arial"/>
                <w:szCs w:val="20"/>
                <w:lang w:eastAsia="en-US"/>
              </w:rPr>
              <w:t>2015–</w:t>
            </w:r>
            <w:r>
              <w:rPr>
                <w:rStyle w:val="normaltextrun"/>
                <w:rFonts w:eastAsia="MS Gothic" w:cs="Arial"/>
                <w:lang w:eastAsia="en-US"/>
              </w:rPr>
              <w:t>20</w:t>
            </w:r>
            <w:r>
              <w:rPr>
                <w:rStyle w:val="normaltextrun"/>
                <w:rFonts w:eastAsia="MS Gothic" w:cs="Arial"/>
                <w:szCs w:val="20"/>
                <w:lang w:eastAsia="en-US"/>
              </w:rPr>
              <w:t xml:space="preserve">19). Naopak v samotném automobilovém průmyslu se letos situace mírně zhoršila, i tak zde patřilo využití mezi průmyslovými obory k nejvyšším (91,5 %). </w:t>
            </w:r>
          </w:p>
        </w:tc>
      </w:tr>
      <w:tr w:rsidR="000C004E" w14:paraId="5D564020" w14:textId="77777777" w:rsidTr="000C004E">
        <w:trPr>
          <w:trHeight w:val="145"/>
        </w:trPr>
        <w:tc>
          <w:tcPr>
            <w:tcW w:w="1814" w:type="dxa"/>
          </w:tcPr>
          <w:p w14:paraId="33FECC47" w14:textId="77777777" w:rsidR="000C004E" w:rsidRDefault="000C004E">
            <w:pPr>
              <w:pStyle w:val="Marginlie"/>
              <w:spacing w:after="240"/>
              <w:rPr>
                <w:color w:val="0D0D0D" w:themeColor="text1" w:themeTint="F2"/>
                <w:spacing w:val="-4"/>
                <w:lang w:eastAsia="en-US"/>
              </w:rPr>
            </w:pPr>
          </w:p>
        </w:tc>
        <w:tc>
          <w:tcPr>
            <w:tcW w:w="201" w:type="dxa"/>
          </w:tcPr>
          <w:p w14:paraId="50EF8DF1" w14:textId="77777777" w:rsidR="000C004E" w:rsidRDefault="000C004E">
            <w:pPr>
              <w:pStyle w:val="Textpoznpodarou"/>
              <w:spacing w:after="240"/>
              <w:jc w:val="both"/>
              <w:rPr>
                <w:spacing w:val="-4"/>
                <w:lang w:eastAsia="en-US"/>
              </w:rPr>
            </w:pPr>
          </w:p>
        </w:tc>
        <w:tc>
          <w:tcPr>
            <w:tcW w:w="7722" w:type="dxa"/>
            <w:hideMark/>
          </w:tcPr>
          <w:p w14:paraId="112541B4" w14:textId="77777777" w:rsidR="000C004E" w:rsidRDefault="000C004E">
            <w:pPr>
              <w:spacing w:after="40"/>
              <w:rPr>
                <w:color w:val="0D0D0D" w:themeColor="text1" w:themeTint="F2"/>
                <w:spacing w:val="-5"/>
                <w:lang w:eastAsia="en-US"/>
              </w:rPr>
            </w:pPr>
            <w:r>
              <w:rPr>
                <w:b/>
                <w:color w:val="0D0D0D" w:themeColor="text1" w:themeTint="F2"/>
                <w:spacing w:val="-5"/>
                <w:lang w:eastAsia="en-US"/>
              </w:rPr>
              <w:t>Graf č. 5 Nové zakázky v průmyslu</w:t>
            </w:r>
            <w:r>
              <w:rPr>
                <w:color w:val="0D0D0D" w:themeColor="text1" w:themeTint="F2"/>
                <w:spacing w:val="-5"/>
                <w:lang w:eastAsia="en-US"/>
              </w:rPr>
              <w:t xml:space="preserve"> (nominálně, meziročně, v %)</w:t>
            </w:r>
            <w:r>
              <w:rPr>
                <w:b/>
                <w:color w:val="0D0D0D" w:themeColor="text1" w:themeTint="F2"/>
                <w:spacing w:val="-5"/>
                <w:lang w:eastAsia="en-US"/>
              </w:rPr>
              <w:t>, využití výrobních kapacit v průmyslu, vybrané bariéry růstu*</w:t>
            </w:r>
            <w:r>
              <w:rPr>
                <w:color w:val="0D0D0D" w:themeColor="text1" w:themeTint="F2"/>
                <w:spacing w:val="-5"/>
                <w:lang w:eastAsia="en-US"/>
              </w:rPr>
              <w:t xml:space="preserve"> (v %, pravá osa) </w:t>
            </w:r>
            <w:r>
              <w:rPr>
                <w:b/>
                <w:color w:val="0D0D0D" w:themeColor="text1" w:themeTint="F2"/>
                <w:spacing w:val="-5"/>
                <w:lang w:eastAsia="en-US"/>
              </w:rPr>
              <w:t>a saldo důvěry podnikatelů v průmyslu*</w:t>
            </w:r>
            <w:r>
              <w:rPr>
                <w:color w:val="0D0D0D" w:themeColor="text1" w:themeTint="F2"/>
                <w:spacing w:val="-5"/>
                <w:lang w:eastAsia="en-US"/>
              </w:rPr>
              <w:t xml:space="preserve"> (v p. b., pravá osa)</w:t>
            </w:r>
          </w:p>
        </w:tc>
      </w:tr>
      <w:tr w:rsidR="000C004E" w14:paraId="289190F9" w14:textId="77777777" w:rsidTr="000C004E">
        <w:trPr>
          <w:trHeight w:val="145"/>
        </w:trPr>
        <w:tc>
          <w:tcPr>
            <w:tcW w:w="1814" w:type="dxa"/>
            <w:tcMar>
              <w:top w:w="0" w:type="dxa"/>
              <w:left w:w="70" w:type="dxa"/>
              <w:bottom w:w="0" w:type="dxa"/>
              <w:right w:w="70" w:type="dxa"/>
            </w:tcMar>
          </w:tcPr>
          <w:p w14:paraId="50E6EC22" w14:textId="77777777" w:rsidR="000C004E" w:rsidRDefault="000C004E">
            <w:pPr>
              <w:pStyle w:val="Marginlie"/>
              <w:spacing w:after="240"/>
              <w:rPr>
                <w:color w:val="0D0D0D" w:themeColor="text1" w:themeTint="F2"/>
                <w:spacing w:val="-4"/>
                <w:lang w:eastAsia="en-US"/>
              </w:rPr>
            </w:pPr>
          </w:p>
        </w:tc>
        <w:tc>
          <w:tcPr>
            <w:tcW w:w="201" w:type="dxa"/>
            <w:tcMar>
              <w:top w:w="0" w:type="dxa"/>
              <w:left w:w="70" w:type="dxa"/>
              <w:bottom w:w="0" w:type="dxa"/>
              <w:right w:w="70" w:type="dxa"/>
            </w:tcMar>
          </w:tcPr>
          <w:p w14:paraId="45FDAC64" w14:textId="77777777" w:rsidR="000C004E" w:rsidRDefault="000C004E">
            <w:pPr>
              <w:pStyle w:val="Textpoznpodarou"/>
              <w:spacing w:after="240"/>
              <w:jc w:val="both"/>
              <w:rPr>
                <w:spacing w:val="-4"/>
                <w:lang w:eastAsia="en-US"/>
              </w:rPr>
            </w:pPr>
          </w:p>
        </w:tc>
        <w:tc>
          <w:tcPr>
            <w:tcW w:w="7722" w:type="dxa"/>
            <w:tcMar>
              <w:top w:w="0" w:type="dxa"/>
              <w:left w:w="70" w:type="dxa"/>
              <w:bottom w:w="0" w:type="dxa"/>
              <w:right w:w="70" w:type="dxa"/>
            </w:tcMar>
            <w:hideMark/>
          </w:tcPr>
          <w:p w14:paraId="2FCB6294" w14:textId="6CD1CCF6" w:rsidR="000C004E" w:rsidRDefault="000C004E">
            <w:pPr>
              <w:spacing w:before="40" w:after="40"/>
              <w:rPr>
                <w:color w:val="0D0D0D" w:themeColor="text1" w:themeTint="F2"/>
                <w:spacing w:val="-5"/>
                <w:lang w:eastAsia="en-US"/>
              </w:rPr>
            </w:pPr>
            <w:r>
              <w:rPr>
                <w:noProof/>
              </w:rPr>
              <w:drawing>
                <wp:inline distT="0" distB="0" distL="0" distR="0" wp14:anchorId="51C44466" wp14:editId="0383A807">
                  <wp:extent cx="4781550" cy="3495675"/>
                  <wp:effectExtent l="0" t="0" r="0" b="0"/>
                  <wp:docPr id="35" name="Graf 35">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0C004E" w14:paraId="20A6B732" w14:textId="77777777" w:rsidTr="000C004E">
        <w:trPr>
          <w:trHeight w:val="145"/>
        </w:trPr>
        <w:tc>
          <w:tcPr>
            <w:tcW w:w="1814" w:type="dxa"/>
          </w:tcPr>
          <w:p w14:paraId="737365B0" w14:textId="77777777" w:rsidR="000C004E" w:rsidRDefault="000C004E">
            <w:pPr>
              <w:pStyle w:val="Marginlie"/>
              <w:spacing w:after="240"/>
              <w:rPr>
                <w:color w:val="0D0D0D" w:themeColor="text1" w:themeTint="F2"/>
                <w:spacing w:val="-4"/>
                <w:lang w:eastAsia="en-US"/>
              </w:rPr>
            </w:pPr>
          </w:p>
        </w:tc>
        <w:tc>
          <w:tcPr>
            <w:tcW w:w="201" w:type="dxa"/>
          </w:tcPr>
          <w:p w14:paraId="2D110AD9" w14:textId="77777777" w:rsidR="000C004E" w:rsidRDefault="000C004E">
            <w:pPr>
              <w:pStyle w:val="Textpoznpodarou"/>
              <w:spacing w:after="240"/>
              <w:jc w:val="both"/>
              <w:rPr>
                <w:spacing w:val="-4"/>
                <w:lang w:eastAsia="en-US"/>
              </w:rPr>
            </w:pPr>
          </w:p>
        </w:tc>
        <w:tc>
          <w:tcPr>
            <w:tcW w:w="7722" w:type="dxa"/>
            <w:hideMark/>
          </w:tcPr>
          <w:p w14:paraId="01D9EEB1" w14:textId="77777777" w:rsidR="000C004E" w:rsidRDefault="000C004E">
            <w:pPr>
              <w:spacing w:after="200"/>
              <w:rPr>
                <w:color w:val="0D0D0D" w:themeColor="text1" w:themeTint="F2"/>
                <w:spacing w:val="-5"/>
                <w:sz w:val="14"/>
                <w:szCs w:val="14"/>
                <w:lang w:eastAsia="en-US"/>
              </w:rPr>
            </w:pPr>
            <w:r>
              <w:rPr>
                <w:color w:val="0D0D0D" w:themeColor="text1" w:themeTint="F2"/>
                <w:spacing w:val="-5"/>
                <w:sz w:val="14"/>
                <w:szCs w:val="14"/>
                <w:lang w:eastAsia="en-US"/>
              </w:rPr>
              <w:t>*Využití průmyslových kapacit i bariéry růstu vyjadřují stav v prvním měsíci daného čtvrtletí, saldo důvěry podnikatelů je vztaženo ke druhému měsíci čtvrtletí. Zakázky jsou očištěny o kalendářní vlivy, ostatní ukazatele jsou sezónně očištěny. Podniky mohly uvést více hlavních růstových bariér současně.                                                                                                                                Zdroj: ČSÚ, Eurostat</w:t>
            </w:r>
          </w:p>
        </w:tc>
      </w:tr>
      <w:tr w:rsidR="000C004E" w14:paraId="2C272721" w14:textId="77777777" w:rsidTr="000C004E">
        <w:trPr>
          <w:trHeight w:val="145"/>
        </w:trPr>
        <w:tc>
          <w:tcPr>
            <w:tcW w:w="1814" w:type="dxa"/>
            <w:hideMark/>
          </w:tcPr>
          <w:p w14:paraId="36CECA2A"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Mezikvartální růst stavební produkce pokračoval na počátku roku potřetí v řadě.</w:t>
            </w:r>
          </w:p>
        </w:tc>
        <w:tc>
          <w:tcPr>
            <w:tcW w:w="201" w:type="dxa"/>
          </w:tcPr>
          <w:p w14:paraId="362E854D" w14:textId="77777777" w:rsidR="000C004E" w:rsidRDefault="000C004E">
            <w:pPr>
              <w:pStyle w:val="Textpoznpodarou"/>
              <w:spacing w:after="240"/>
              <w:jc w:val="both"/>
              <w:rPr>
                <w:spacing w:val="-4"/>
                <w:lang w:eastAsia="en-US"/>
              </w:rPr>
            </w:pPr>
          </w:p>
        </w:tc>
        <w:tc>
          <w:tcPr>
            <w:tcW w:w="7722" w:type="dxa"/>
            <w:hideMark/>
          </w:tcPr>
          <w:p w14:paraId="31BC9EDC" w14:textId="77777777" w:rsidR="000C004E" w:rsidRDefault="000C004E">
            <w:pPr>
              <w:spacing w:after="200"/>
              <w:rPr>
                <w:color w:val="0D0D0D" w:themeColor="text1" w:themeTint="F2"/>
                <w:spacing w:val="-5"/>
                <w:lang w:eastAsia="en-US"/>
              </w:rPr>
            </w:pPr>
            <w:r>
              <w:rPr>
                <w:color w:val="0D0D0D" w:themeColor="text1" w:themeTint="F2"/>
                <w:spacing w:val="-5"/>
                <w:lang w:eastAsia="en-US"/>
              </w:rPr>
              <w:t>Situace ve stavebnictví se postupně zlepšovala, náznaky pozitivního obratu byly patrné již ve druhé polovině loňského roku. Stavební produkce</w:t>
            </w:r>
            <w:r>
              <w:rPr>
                <w:rStyle w:val="Znakapoznpodarou"/>
                <w:color w:val="0D0D0D" w:themeColor="text1" w:themeTint="F2"/>
                <w:spacing w:val="-5"/>
                <w:lang w:eastAsia="en-US"/>
              </w:rPr>
              <w:footnoteReference w:id="30"/>
            </w:r>
            <w:r>
              <w:rPr>
                <w:color w:val="0D0D0D" w:themeColor="text1" w:themeTint="F2"/>
                <w:spacing w:val="-5"/>
                <w:lang w:eastAsia="en-US"/>
              </w:rPr>
              <w:t xml:space="preserve"> se mezikvartálně zvýšila již potřetí za sebou a na počátku letošního roku tento růst zrychlil (na 3,1 %). Za celé 1. čtvrtletí 2025 produkce meziročně vzrostla o 7,2 %, a to především díky pozemnímu stavitelství (příspěvek k růstu +5,2 p. b.), které bylo taženo zejména vyššími výkony ve výstavbě budov, ale v menší míře i v oblasti specializovaných stavebních činností, které jsou doménou spíše menších firem. K růstu stavebnictví přispívalo i inženýrské stavitelství, které profitovalo z podpory na rozvoj dopravní infrastruktury z národních zdrojů i z rozpočtu EU. I přes celkový příznivý vývoj </w:t>
            </w:r>
            <w:r>
              <w:rPr>
                <w:color w:val="0D0D0D" w:themeColor="text1" w:themeTint="F2"/>
                <w:spacing w:val="-5"/>
                <w:lang w:eastAsia="en-US"/>
              </w:rPr>
              <w:lastRenderedPageBreak/>
              <w:t xml:space="preserve">se celé stavebnictví stále vypořádává se zvýšenými nákladovými tlaky a rozvoj v segmentu rezidenční výstavby je limitován přetrvávajícími zvýšenými sazbami hypotečních úvěrů. </w:t>
            </w:r>
          </w:p>
        </w:tc>
      </w:tr>
      <w:tr w:rsidR="000C004E" w14:paraId="563065DA" w14:textId="77777777" w:rsidTr="000C004E">
        <w:trPr>
          <w:trHeight w:val="145"/>
        </w:trPr>
        <w:tc>
          <w:tcPr>
            <w:tcW w:w="1814" w:type="dxa"/>
            <w:hideMark/>
          </w:tcPr>
          <w:p w14:paraId="7514E238"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 xml:space="preserve">Zahajovaná bytová výstavba mírně ožívala. Počet dokončených bytů byl však nízký.  </w:t>
            </w:r>
          </w:p>
        </w:tc>
        <w:tc>
          <w:tcPr>
            <w:tcW w:w="201" w:type="dxa"/>
          </w:tcPr>
          <w:p w14:paraId="3D377841" w14:textId="77777777" w:rsidR="000C004E" w:rsidRDefault="000C004E">
            <w:pPr>
              <w:pStyle w:val="Textpoznpodarou"/>
              <w:spacing w:after="240"/>
              <w:jc w:val="both"/>
              <w:rPr>
                <w:spacing w:val="-4"/>
                <w:lang w:eastAsia="en-US"/>
              </w:rPr>
            </w:pPr>
          </w:p>
        </w:tc>
        <w:tc>
          <w:tcPr>
            <w:tcW w:w="7722" w:type="dxa"/>
            <w:hideMark/>
          </w:tcPr>
          <w:p w14:paraId="140D1D79" w14:textId="77777777" w:rsidR="000C004E" w:rsidRDefault="000C004E">
            <w:pPr>
              <w:spacing w:after="200"/>
              <w:rPr>
                <w:rFonts w:eastAsia="MS Gothic" w:cs="Arial"/>
                <w:szCs w:val="20"/>
                <w:lang w:eastAsia="en-US"/>
              </w:rPr>
            </w:pPr>
            <w:r>
              <w:rPr>
                <w:rStyle w:val="normaltextrun"/>
                <w:rFonts w:eastAsia="MS Gothic" w:cs="Arial"/>
                <w:szCs w:val="20"/>
                <w:lang w:eastAsia="en-US"/>
              </w:rPr>
              <w:t xml:space="preserve">V 1. čtvrtletí 2025 se objem zahajované výstavby meziročně zvýšil o 2,9 % (mírný růst pokračoval čtvrtý kvartál v řadě), avšak jen díky bytům v bytových budovách (vč. jejich </w:t>
            </w:r>
            <w:r>
              <w:rPr>
                <w:rStyle w:val="normaltextrun"/>
                <w:rFonts w:eastAsia="MS Gothic" w:cs="Arial"/>
                <w:spacing w:val="-2"/>
                <w:szCs w:val="20"/>
                <w:lang w:eastAsia="en-US"/>
              </w:rPr>
              <w:t>konverzí). Na Prahu a Středočeský kraj připadalo již 49 % všech zahájených bytů. Naopak</w:t>
            </w:r>
            <w:r>
              <w:rPr>
                <w:rStyle w:val="normaltextrun"/>
                <w:rFonts w:eastAsia="MS Gothic" w:cs="Arial"/>
                <w:szCs w:val="20"/>
                <w:lang w:eastAsia="en-US"/>
              </w:rPr>
              <w:t xml:space="preserve"> dokončených bytů v Česku meziročně ubylo (o 22,4 %) a tento pokles trvá již skoro dva roky. Letošní počet těchto bytů (6,2 tis.) byl v rámci 1. čtvrtletí nejnižší za posledních osm let. Aktuální pokles měl plošný charakter (z pohledu formy i regionu výstavby).</w:t>
            </w:r>
            <w:r>
              <w:rPr>
                <w:rStyle w:val="eop"/>
                <w:rFonts w:cs="Arial"/>
                <w:szCs w:val="20"/>
                <w:lang w:eastAsia="en-US"/>
              </w:rPr>
              <w:t xml:space="preserve"> </w:t>
            </w:r>
          </w:p>
        </w:tc>
      </w:tr>
      <w:tr w:rsidR="000C004E" w14:paraId="41D80EFF" w14:textId="77777777" w:rsidTr="000C004E">
        <w:trPr>
          <w:trHeight w:val="145"/>
        </w:trPr>
        <w:tc>
          <w:tcPr>
            <w:tcW w:w="1814" w:type="dxa"/>
          </w:tcPr>
          <w:p w14:paraId="19C02D32" w14:textId="77777777" w:rsidR="000C004E" w:rsidRDefault="000C004E">
            <w:pPr>
              <w:pStyle w:val="Marginlie"/>
              <w:rPr>
                <w:color w:val="0D0D0D" w:themeColor="text1" w:themeTint="F2"/>
                <w:spacing w:val="-4"/>
                <w:lang w:eastAsia="en-US"/>
              </w:rPr>
            </w:pPr>
            <w:r>
              <w:rPr>
                <w:color w:val="0D0D0D" w:themeColor="text1" w:themeTint="F2"/>
                <w:spacing w:val="-4"/>
                <w:lang w:eastAsia="en-US"/>
              </w:rPr>
              <w:t>K růstu hodnoty nových tuzemských zakázek přispívalo inženýrské stavitelství. Vlivem vyšší rozestavěnosti se udržovala i vysoká celková zásoba práce od soukromých i veřejných zadavatelů.</w:t>
            </w:r>
          </w:p>
          <w:p w14:paraId="7C929833" w14:textId="77777777" w:rsidR="000C004E" w:rsidRDefault="000C004E">
            <w:pPr>
              <w:pStyle w:val="Marginlie"/>
              <w:rPr>
                <w:color w:val="0D0D0D" w:themeColor="text1" w:themeTint="F2"/>
                <w:spacing w:val="-4"/>
                <w:lang w:eastAsia="en-US"/>
              </w:rPr>
            </w:pPr>
          </w:p>
          <w:p w14:paraId="1EE5CFD8" w14:textId="77777777" w:rsidR="000C004E" w:rsidRDefault="000C004E">
            <w:pPr>
              <w:pStyle w:val="Marginlie"/>
              <w:rPr>
                <w:color w:val="0D0D0D" w:themeColor="text1" w:themeTint="F2"/>
                <w:spacing w:val="-4"/>
                <w:lang w:eastAsia="en-US"/>
              </w:rPr>
            </w:pPr>
          </w:p>
          <w:p w14:paraId="716359EC" w14:textId="77777777" w:rsidR="000C004E" w:rsidRDefault="000C004E">
            <w:pPr>
              <w:pStyle w:val="Marginlie"/>
              <w:rPr>
                <w:color w:val="0D0D0D" w:themeColor="text1" w:themeTint="F2"/>
                <w:spacing w:val="-4"/>
                <w:lang w:eastAsia="en-US"/>
              </w:rPr>
            </w:pPr>
          </w:p>
          <w:p w14:paraId="0B7DA561" w14:textId="77777777" w:rsidR="000C004E" w:rsidRDefault="000C004E">
            <w:pPr>
              <w:pStyle w:val="Marginlie"/>
              <w:rPr>
                <w:color w:val="0D0D0D" w:themeColor="text1" w:themeTint="F2"/>
                <w:spacing w:val="-4"/>
                <w:lang w:eastAsia="en-US"/>
              </w:rPr>
            </w:pPr>
          </w:p>
          <w:p w14:paraId="6E3E2A6A"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Hodnota povolených staveb se čtvrtý kvartál v řadě meziročně snižovala.</w:t>
            </w:r>
          </w:p>
        </w:tc>
        <w:tc>
          <w:tcPr>
            <w:tcW w:w="201" w:type="dxa"/>
          </w:tcPr>
          <w:p w14:paraId="61EE1CD7" w14:textId="77777777" w:rsidR="000C004E" w:rsidRDefault="000C004E">
            <w:pPr>
              <w:pStyle w:val="Textpoznpodarou"/>
              <w:spacing w:after="240"/>
              <w:jc w:val="both"/>
              <w:rPr>
                <w:spacing w:val="-4"/>
                <w:lang w:eastAsia="en-US"/>
              </w:rPr>
            </w:pPr>
          </w:p>
        </w:tc>
        <w:tc>
          <w:tcPr>
            <w:tcW w:w="7722" w:type="dxa"/>
            <w:hideMark/>
          </w:tcPr>
          <w:p w14:paraId="06D55986" w14:textId="77777777" w:rsidR="000C004E" w:rsidRDefault="000C004E">
            <w:pPr>
              <w:spacing w:after="200"/>
              <w:rPr>
                <w:rStyle w:val="normaltextrun"/>
                <w:color w:val="0D0D0D" w:themeColor="text1" w:themeTint="F2"/>
                <w:spacing w:val="-5"/>
              </w:rPr>
            </w:pPr>
            <w:r>
              <w:rPr>
                <w:rStyle w:val="normaltextrun"/>
                <w:color w:val="0D0D0D" w:themeColor="text1" w:themeTint="F2"/>
                <w:spacing w:val="-5"/>
                <w:lang w:eastAsia="en-US"/>
              </w:rPr>
              <w:t xml:space="preserve">Z různých předstihových ukazatelů vychází pro stavebnictví aktuálně nejlépe nové tuzemské zakázky (uzavřené </w:t>
            </w:r>
            <w:r>
              <w:rPr>
                <w:rStyle w:val="normaltextrun"/>
                <w:lang w:eastAsia="en-US"/>
              </w:rPr>
              <w:t>podniky nad 50 zaměstnanců)</w:t>
            </w:r>
            <w:r>
              <w:rPr>
                <w:rStyle w:val="normaltextrun"/>
                <w:color w:val="0D0D0D" w:themeColor="text1" w:themeTint="F2"/>
                <w:spacing w:val="-5"/>
                <w:lang w:eastAsia="en-US"/>
              </w:rPr>
              <w:t xml:space="preserve">. Jejich nominální hodnota byla </w:t>
            </w:r>
            <w:r>
              <w:rPr>
                <w:rStyle w:val="normaltextrun"/>
                <w:color w:val="0D0D0D" w:themeColor="text1" w:themeTint="F2"/>
                <w:spacing w:val="-5"/>
                <w:lang w:eastAsia="en-US"/>
              </w:rPr>
              <w:br/>
              <w:t xml:space="preserve">v 1. čtvrtletí 2025 meziročně vyšší o 14,3 % (podobně rostla i na sklonku loňského roku). Nadále se dařilo inženýrským stavbám, kde poptávka rostla skoro o třetinu, naopak </w:t>
            </w:r>
            <w:r>
              <w:rPr>
                <w:rStyle w:val="normaltextrun"/>
                <w:color w:val="0D0D0D" w:themeColor="text1" w:themeTint="F2"/>
                <w:spacing w:val="-5"/>
                <w:lang w:eastAsia="en-US"/>
              </w:rPr>
              <w:br/>
              <w:t xml:space="preserve">u pozemních staveb se hodnota zakázek podruhé v řadě mírně snížila (aktuálně o necelá </w:t>
            </w:r>
            <w:r>
              <w:rPr>
                <w:rStyle w:val="normaltextrun"/>
                <w:color w:val="0D0D0D" w:themeColor="text1" w:themeTint="F2"/>
                <w:spacing w:val="-5"/>
                <w:lang w:eastAsia="en-US"/>
              </w:rPr>
              <w:br/>
              <w:t xml:space="preserve">2 %). Celková zásoba práce, zachycená stavem veškerých dosud nerealizovaných zakázek, nadále svižně rostla. Letos na konci března převýšila loňskou zásobu skoro o čtvrtinu, především zásluhou veřejných tuzemských zakázek (ty dlouhodobě tvoří rozhodující část celkové poptávky, aktuálně více než dvě třetiny). Zvyšovala se však i zásoba domácích soukromých zakázek (+17,4 %) a po více než třech letech narostla i poptávka ze zahraničí. Méně příznivé vyhlídky pro tuzemské stavebnictví naznačuje orientační hodnota povolených staveb. Ta se za první čtyři letošní měsíce snížila meziročně o 16 % </w:t>
            </w:r>
            <w:r>
              <w:rPr>
                <w:lang w:eastAsia="en-US"/>
              </w:rPr>
              <w:t xml:space="preserve">(úbytek byl již patrný </w:t>
            </w:r>
            <w:r>
              <w:rPr>
                <w:lang w:eastAsia="en-US"/>
              </w:rPr>
              <w:br/>
              <w:t>i po většinu loňského roku). Nastal plošný pokles u všech kategorií nové výstavby (celkem o 29 %), hlavně inženýrských „nedopravních“ staveb, naopak posilovaly rekonstrukce a modernizace (+27 %), hlavně u dopravní infrastruktury a nebytových budov.</w:t>
            </w:r>
          </w:p>
        </w:tc>
      </w:tr>
      <w:tr w:rsidR="000C004E" w14:paraId="69C0339D" w14:textId="77777777" w:rsidTr="000C004E">
        <w:trPr>
          <w:trHeight w:val="145"/>
        </w:trPr>
        <w:tc>
          <w:tcPr>
            <w:tcW w:w="1814" w:type="dxa"/>
          </w:tcPr>
          <w:p w14:paraId="18C411A6" w14:textId="77777777" w:rsidR="000C004E" w:rsidRDefault="000C004E">
            <w:pPr>
              <w:pStyle w:val="Marginlie"/>
              <w:spacing w:after="240"/>
              <w:rPr>
                <w:spacing w:val="-4"/>
              </w:rPr>
            </w:pPr>
          </w:p>
        </w:tc>
        <w:tc>
          <w:tcPr>
            <w:tcW w:w="201" w:type="dxa"/>
          </w:tcPr>
          <w:p w14:paraId="34E5CBF2" w14:textId="77777777" w:rsidR="000C004E" w:rsidRDefault="000C004E">
            <w:pPr>
              <w:pStyle w:val="Textpoznpodarou"/>
              <w:spacing w:after="240"/>
              <w:jc w:val="both"/>
              <w:rPr>
                <w:spacing w:val="-4"/>
                <w:lang w:eastAsia="en-US"/>
              </w:rPr>
            </w:pPr>
          </w:p>
        </w:tc>
        <w:tc>
          <w:tcPr>
            <w:tcW w:w="7722" w:type="dxa"/>
            <w:hideMark/>
          </w:tcPr>
          <w:p w14:paraId="6ECDD70E" w14:textId="77777777" w:rsidR="000C004E" w:rsidRDefault="000C004E">
            <w:pPr>
              <w:spacing w:after="40"/>
              <w:rPr>
                <w:color w:val="0D0D0D" w:themeColor="text1" w:themeTint="F2"/>
                <w:spacing w:val="-5"/>
                <w:lang w:eastAsia="en-US"/>
              </w:rPr>
            </w:pPr>
            <w:r>
              <w:rPr>
                <w:b/>
                <w:color w:val="0D0D0D" w:themeColor="text1" w:themeTint="F2"/>
                <w:spacing w:val="-5"/>
                <w:lang w:eastAsia="en-US"/>
              </w:rPr>
              <w:t>Graf č. 6 Příspěvky odvětví k meziroční změně stavební produkce (reálně, v p. b.),</w:t>
            </w:r>
            <w:r>
              <w:rPr>
                <w:b/>
                <w:color w:val="0D0D0D" w:themeColor="text1" w:themeTint="F2"/>
                <w:spacing w:val="-5"/>
                <w:lang w:eastAsia="en-US"/>
              </w:rPr>
              <w:br/>
              <w:t>nové stavební zakázky</w:t>
            </w:r>
            <w:r>
              <w:rPr>
                <w:color w:val="0D0D0D" w:themeColor="text1" w:themeTint="F2"/>
                <w:spacing w:val="-5"/>
                <w:lang w:eastAsia="en-US"/>
              </w:rPr>
              <w:t xml:space="preserve"> (nominálně, meziročně, v %), </w:t>
            </w:r>
            <w:r>
              <w:rPr>
                <w:b/>
                <w:color w:val="0D0D0D" w:themeColor="text1" w:themeTint="F2"/>
                <w:spacing w:val="-5"/>
                <w:lang w:eastAsia="en-US"/>
              </w:rPr>
              <w:t>saldo důvěry podnikatelů ve stavebnictví*</w:t>
            </w:r>
            <w:r>
              <w:rPr>
                <w:color w:val="0D0D0D" w:themeColor="text1" w:themeTint="F2"/>
                <w:spacing w:val="-5"/>
                <w:lang w:eastAsia="en-US"/>
              </w:rPr>
              <w:t xml:space="preserve"> (v p. b., pravá osa) </w:t>
            </w:r>
            <w:r>
              <w:rPr>
                <w:b/>
                <w:color w:val="0D0D0D" w:themeColor="text1" w:themeTint="F2"/>
                <w:spacing w:val="-5"/>
                <w:lang w:eastAsia="en-US"/>
              </w:rPr>
              <w:t>a vybrané bariéry růstu*</w:t>
            </w:r>
            <w:r>
              <w:rPr>
                <w:color w:val="0D0D0D" w:themeColor="text1" w:themeTint="F2"/>
                <w:spacing w:val="-5"/>
                <w:lang w:eastAsia="en-US"/>
              </w:rPr>
              <w:t xml:space="preserve"> (v %, pravá osa)</w:t>
            </w:r>
          </w:p>
        </w:tc>
      </w:tr>
      <w:tr w:rsidR="000C004E" w14:paraId="3479D333" w14:textId="77777777" w:rsidTr="000C004E">
        <w:trPr>
          <w:trHeight w:val="145"/>
        </w:trPr>
        <w:tc>
          <w:tcPr>
            <w:tcW w:w="1814" w:type="dxa"/>
            <w:tcMar>
              <w:top w:w="0" w:type="dxa"/>
              <w:left w:w="70" w:type="dxa"/>
              <w:bottom w:w="0" w:type="dxa"/>
              <w:right w:w="70" w:type="dxa"/>
            </w:tcMar>
          </w:tcPr>
          <w:p w14:paraId="0D88EDDF" w14:textId="77777777" w:rsidR="000C004E" w:rsidRDefault="000C004E">
            <w:pPr>
              <w:pStyle w:val="Marginlie"/>
              <w:spacing w:after="240"/>
              <w:rPr>
                <w:color w:val="0D0D0D" w:themeColor="text1" w:themeTint="F2"/>
                <w:spacing w:val="-4"/>
                <w:lang w:eastAsia="en-US"/>
              </w:rPr>
            </w:pPr>
          </w:p>
        </w:tc>
        <w:tc>
          <w:tcPr>
            <w:tcW w:w="201" w:type="dxa"/>
            <w:tcMar>
              <w:top w:w="0" w:type="dxa"/>
              <w:left w:w="70" w:type="dxa"/>
              <w:bottom w:w="0" w:type="dxa"/>
              <w:right w:w="70" w:type="dxa"/>
            </w:tcMar>
          </w:tcPr>
          <w:p w14:paraId="591A43B3" w14:textId="77777777" w:rsidR="000C004E" w:rsidRDefault="000C004E">
            <w:pPr>
              <w:pStyle w:val="Textpoznpodarou"/>
              <w:spacing w:after="240"/>
              <w:jc w:val="both"/>
              <w:rPr>
                <w:spacing w:val="-4"/>
                <w:lang w:eastAsia="en-US"/>
              </w:rPr>
            </w:pPr>
          </w:p>
        </w:tc>
        <w:tc>
          <w:tcPr>
            <w:tcW w:w="7722" w:type="dxa"/>
            <w:tcMar>
              <w:top w:w="0" w:type="dxa"/>
              <w:left w:w="70" w:type="dxa"/>
              <w:bottom w:w="0" w:type="dxa"/>
              <w:right w:w="70" w:type="dxa"/>
            </w:tcMar>
            <w:hideMark/>
          </w:tcPr>
          <w:p w14:paraId="5FA41300" w14:textId="07846145" w:rsidR="000C004E" w:rsidRDefault="000C004E">
            <w:pPr>
              <w:spacing w:before="40" w:after="40"/>
              <w:rPr>
                <w:color w:val="0D0D0D" w:themeColor="text1" w:themeTint="F2"/>
                <w:spacing w:val="-5"/>
                <w:lang w:eastAsia="en-US"/>
              </w:rPr>
            </w:pPr>
            <w:r>
              <w:rPr>
                <w:noProof/>
              </w:rPr>
              <w:drawing>
                <wp:inline distT="0" distB="0" distL="0" distR="0" wp14:anchorId="7180CC53" wp14:editId="4B333BA7">
                  <wp:extent cx="4810125" cy="3381375"/>
                  <wp:effectExtent l="0" t="0" r="0" b="0"/>
                  <wp:docPr id="34" name="Graf 34">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0C004E" w14:paraId="4EB16820" w14:textId="77777777" w:rsidTr="000C004E">
        <w:trPr>
          <w:trHeight w:val="145"/>
        </w:trPr>
        <w:tc>
          <w:tcPr>
            <w:tcW w:w="1814" w:type="dxa"/>
          </w:tcPr>
          <w:p w14:paraId="40A80A18" w14:textId="77777777" w:rsidR="000C004E" w:rsidRDefault="000C004E">
            <w:pPr>
              <w:pStyle w:val="Marginlie"/>
              <w:spacing w:after="240"/>
              <w:rPr>
                <w:color w:val="0D0D0D" w:themeColor="text1" w:themeTint="F2"/>
                <w:spacing w:val="-4"/>
                <w:lang w:eastAsia="en-US"/>
              </w:rPr>
            </w:pPr>
          </w:p>
        </w:tc>
        <w:tc>
          <w:tcPr>
            <w:tcW w:w="201" w:type="dxa"/>
          </w:tcPr>
          <w:p w14:paraId="099807E6" w14:textId="77777777" w:rsidR="000C004E" w:rsidRDefault="000C004E">
            <w:pPr>
              <w:pStyle w:val="Textpoznpodarou"/>
              <w:spacing w:after="240"/>
              <w:jc w:val="both"/>
              <w:rPr>
                <w:spacing w:val="-4"/>
                <w:lang w:eastAsia="en-US"/>
              </w:rPr>
            </w:pPr>
          </w:p>
        </w:tc>
        <w:tc>
          <w:tcPr>
            <w:tcW w:w="7722" w:type="dxa"/>
            <w:hideMark/>
          </w:tcPr>
          <w:p w14:paraId="2873B97B" w14:textId="77777777" w:rsidR="000C004E" w:rsidRDefault="000C004E">
            <w:pPr>
              <w:spacing w:after="0"/>
              <w:rPr>
                <w:color w:val="0D0D0D" w:themeColor="text1" w:themeTint="F2"/>
                <w:spacing w:val="-5"/>
                <w:sz w:val="14"/>
                <w:szCs w:val="14"/>
                <w:lang w:eastAsia="en-US"/>
              </w:rPr>
            </w:pPr>
            <w:r>
              <w:rPr>
                <w:color w:val="0D0D0D" w:themeColor="text1" w:themeTint="F2"/>
                <w:spacing w:val="-5"/>
                <w:sz w:val="14"/>
                <w:szCs w:val="14"/>
                <w:lang w:eastAsia="en-US"/>
              </w:rPr>
              <w:t>Poznámka: Údaje o stavební produkci jsou očištěny o kalendářní vlivy.</w:t>
            </w:r>
          </w:p>
          <w:p w14:paraId="7A9F5CA0" w14:textId="77777777" w:rsidR="000C004E" w:rsidRDefault="000C004E">
            <w:pPr>
              <w:rPr>
                <w:color w:val="0D0D0D" w:themeColor="text1" w:themeTint="F2"/>
                <w:spacing w:val="-5"/>
                <w:sz w:val="16"/>
                <w:szCs w:val="16"/>
                <w:lang w:eastAsia="en-US"/>
              </w:rPr>
            </w:pPr>
            <w:r>
              <w:rPr>
                <w:color w:val="0D0D0D" w:themeColor="text1" w:themeTint="F2"/>
                <w:spacing w:val="-5"/>
                <w:sz w:val="14"/>
                <w:szCs w:val="14"/>
                <w:lang w:eastAsia="en-US"/>
              </w:rPr>
              <w:t>*Saldo důvěry podnikatelů i bariéry růstu jsou sezónně očištěny a vyjadřují stav ve druhém měsíci daného čtvrtletí. Podniky mohly uvést více hlavních bariér současně.                                                                                                                                Zdroj: ČSÚ, Eurostat</w:t>
            </w:r>
          </w:p>
        </w:tc>
      </w:tr>
      <w:tr w:rsidR="000C004E" w14:paraId="0C1A572E" w14:textId="77777777" w:rsidTr="000C004E">
        <w:trPr>
          <w:trHeight w:val="145"/>
        </w:trPr>
        <w:tc>
          <w:tcPr>
            <w:tcW w:w="1814" w:type="dxa"/>
          </w:tcPr>
          <w:p w14:paraId="06F4732A" w14:textId="77777777" w:rsidR="000C004E" w:rsidRDefault="000C004E">
            <w:pPr>
              <w:pStyle w:val="Marginlie"/>
              <w:rPr>
                <w:color w:val="0D0D0D" w:themeColor="text1" w:themeTint="F2"/>
                <w:spacing w:val="-4"/>
                <w:lang w:eastAsia="en-US"/>
              </w:rPr>
            </w:pPr>
            <w:r>
              <w:rPr>
                <w:color w:val="0D0D0D" w:themeColor="text1" w:themeTint="F2"/>
                <w:spacing w:val="-4"/>
                <w:lang w:eastAsia="en-US"/>
              </w:rPr>
              <w:lastRenderedPageBreak/>
              <w:t>Důvěra podnikatelů ve stavebnictví dosáhla letos na jaře bezmála tříletého maxima.</w:t>
            </w:r>
          </w:p>
          <w:p w14:paraId="6AF2B612" w14:textId="77777777" w:rsidR="000C004E" w:rsidRDefault="000C004E">
            <w:pPr>
              <w:pStyle w:val="Marginlie"/>
              <w:rPr>
                <w:color w:val="0D0D0D" w:themeColor="text1" w:themeTint="F2"/>
                <w:spacing w:val="-4"/>
                <w:lang w:eastAsia="en-US"/>
              </w:rPr>
            </w:pPr>
          </w:p>
          <w:p w14:paraId="7C3FC9FF" w14:textId="77777777" w:rsidR="000C004E" w:rsidRDefault="000C004E">
            <w:pPr>
              <w:pStyle w:val="Marginlie"/>
              <w:rPr>
                <w:color w:val="0D0D0D" w:themeColor="text1" w:themeTint="F2"/>
                <w:spacing w:val="-4"/>
                <w:lang w:eastAsia="en-US"/>
              </w:rPr>
            </w:pPr>
          </w:p>
          <w:p w14:paraId="36352669" w14:textId="77777777" w:rsidR="000C004E" w:rsidRDefault="000C004E">
            <w:pPr>
              <w:pStyle w:val="Marginlie"/>
              <w:rPr>
                <w:color w:val="0D0D0D" w:themeColor="text1" w:themeTint="F2"/>
                <w:spacing w:val="-4"/>
                <w:lang w:eastAsia="en-US"/>
              </w:rPr>
            </w:pPr>
          </w:p>
          <w:p w14:paraId="300F5DD7" w14:textId="77777777" w:rsidR="000C004E" w:rsidRDefault="000C004E">
            <w:pPr>
              <w:pStyle w:val="Marginlie"/>
              <w:rPr>
                <w:color w:val="0D0D0D" w:themeColor="text1" w:themeTint="F2"/>
                <w:spacing w:val="-4"/>
                <w:lang w:eastAsia="en-US"/>
              </w:rPr>
            </w:pPr>
            <w:r>
              <w:rPr>
                <w:color w:val="0D0D0D" w:themeColor="text1" w:themeTint="F2"/>
                <w:spacing w:val="-4"/>
                <w:lang w:eastAsia="en-US"/>
              </w:rPr>
              <w:t>Růstovými bariérami nejvíce trpí podniky v oblasti výstavba budov.</w:t>
            </w:r>
          </w:p>
          <w:p w14:paraId="588FD6D2" w14:textId="77777777" w:rsidR="000C004E" w:rsidRDefault="000C004E">
            <w:pPr>
              <w:pStyle w:val="Marginlie"/>
              <w:spacing w:after="240"/>
              <w:rPr>
                <w:color w:val="0D0D0D" w:themeColor="text1" w:themeTint="F2"/>
                <w:spacing w:val="-4"/>
                <w:lang w:eastAsia="en-US"/>
              </w:rPr>
            </w:pPr>
          </w:p>
        </w:tc>
        <w:tc>
          <w:tcPr>
            <w:tcW w:w="201" w:type="dxa"/>
          </w:tcPr>
          <w:p w14:paraId="21312EB3" w14:textId="77777777" w:rsidR="000C004E" w:rsidRDefault="000C004E">
            <w:pPr>
              <w:pStyle w:val="Textpoznpodarou"/>
              <w:spacing w:after="240"/>
              <w:jc w:val="both"/>
              <w:rPr>
                <w:spacing w:val="-4"/>
                <w:lang w:eastAsia="en-US"/>
              </w:rPr>
            </w:pPr>
          </w:p>
        </w:tc>
        <w:tc>
          <w:tcPr>
            <w:tcW w:w="7722" w:type="dxa"/>
            <w:hideMark/>
          </w:tcPr>
          <w:p w14:paraId="76D95EE4" w14:textId="77777777" w:rsidR="000C004E" w:rsidRDefault="000C004E">
            <w:pPr>
              <w:spacing w:after="200"/>
              <w:rPr>
                <w:color w:val="0D0D0D" w:themeColor="text1" w:themeTint="F2"/>
                <w:spacing w:val="-5"/>
                <w:sz w:val="14"/>
                <w:szCs w:val="14"/>
                <w:lang w:eastAsia="en-US"/>
              </w:rPr>
            </w:pPr>
            <w:r>
              <w:rPr>
                <w:color w:val="0D0D0D" w:themeColor="text1" w:themeTint="F2"/>
                <w:spacing w:val="-4"/>
                <w:lang w:eastAsia="en-US"/>
              </w:rPr>
              <w:t>P</w:t>
            </w:r>
            <w:r>
              <w:rPr>
                <w:rStyle w:val="normaltextrun"/>
                <w:rFonts w:eastAsiaTheme="majorEastAsia" w:cs="Arial"/>
                <w:spacing w:val="-4"/>
                <w:szCs w:val="20"/>
                <w:lang w:eastAsia="en-US"/>
              </w:rPr>
              <w:t xml:space="preserve">esimismus podnikatelů ve stavebnictví se od konce loňského léta zmírňoval. V dubnu </w:t>
            </w:r>
            <w:r>
              <w:rPr>
                <w:rStyle w:val="normaltextrun"/>
                <w:rFonts w:eastAsiaTheme="majorEastAsia" w:cs="Arial"/>
                <w:spacing w:val="-5"/>
                <w:szCs w:val="20"/>
                <w:lang w:eastAsia="en-US"/>
              </w:rPr>
              <w:t xml:space="preserve">2025 vystoupala jejich důvěra na bezmála tříleté maximum (saldo </w:t>
            </w:r>
            <w:r>
              <w:rPr>
                <w:color w:val="0D0D0D" w:themeColor="text1" w:themeTint="F2"/>
                <w:spacing w:val="-5"/>
                <w:lang w:eastAsia="en-US"/>
              </w:rPr>
              <w:t>−</w:t>
            </w:r>
            <w:r>
              <w:rPr>
                <w:rStyle w:val="normaltextrun"/>
                <w:rFonts w:eastAsiaTheme="majorEastAsia" w:cs="Arial"/>
                <w:spacing w:val="-5"/>
                <w:szCs w:val="20"/>
                <w:lang w:eastAsia="en-US"/>
              </w:rPr>
              <w:t>2,5 body) a z tohoto vývoje následně významně nevybočil ani květen. Firmy sice hodnotí aktuální poptávku stále nepříznivě (čtvrtina z nich ji považuje za nedostatečnou), avšak v očekáváních na nejbližší měsíce převládá mírný optimismus ohledně růstu stavební činnosti, zaměstnanosti</w:t>
            </w:r>
            <w:r>
              <w:rPr>
                <w:rStyle w:val="Znakapoznpodarou"/>
                <w:rFonts w:eastAsiaTheme="majorEastAsia"/>
                <w:spacing w:val="-5"/>
                <w:szCs w:val="20"/>
                <w:lang w:eastAsia="en-US"/>
              </w:rPr>
              <w:footnoteReference w:id="31"/>
            </w:r>
            <w:r>
              <w:rPr>
                <w:rStyle w:val="normaltextrun"/>
                <w:rFonts w:eastAsiaTheme="majorEastAsia" w:cs="Arial"/>
                <w:spacing w:val="-5"/>
                <w:szCs w:val="20"/>
                <w:lang w:eastAsia="en-US"/>
              </w:rPr>
              <w:t xml:space="preserve"> i vlastní ekonomické situace podniku. </w:t>
            </w:r>
            <w:r>
              <w:rPr>
                <w:rStyle w:val="normaltextrun"/>
                <w:rFonts w:eastAsiaTheme="majorEastAsia" w:cs="Arial"/>
                <w:szCs w:val="20"/>
                <w:lang w:eastAsia="en-US"/>
              </w:rPr>
              <w:t>Klíčovou bariérou růstu odvětví s výrazným předstihem zůstává nedostatek (zejména kvalifikovaných) pracovníků (jako jednu z bariér ji uvedla polovina firem, podobně jako loni v</w:t>
            </w:r>
            <w:r>
              <w:rPr>
                <w:rStyle w:val="normaltextrun"/>
                <w:rFonts w:eastAsiaTheme="majorEastAsia" w:cs="Arial"/>
                <w:lang w:eastAsia="en-US"/>
              </w:rPr>
              <w:t xml:space="preserve"> </w:t>
            </w:r>
            <w:r>
              <w:rPr>
                <w:rStyle w:val="normaltextrun"/>
                <w:rFonts w:eastAsiaTheme="majorEastAsia" w:cs="Arial"/>
                <w:szCs w:val="20"/>
                <w:lang w:eastAsia="en-US"/>
              </w:rPr>
              <w:t>květnu). Nedostatečná poptávka pak limitovala třetinu podniků (stejně jako u nedostatku pracovníků trápila nejvíce podniky v segmentu výstavby budov).</w:t>
            </w:r>
          </w:p>
        </w:tc>
      </w:tr>
      <w:tr w:rsidR="000C004E" w14:paraId="380D1F1C" w14:textId="77777777" w:rsidTr="000C004E">
        <w:trPr>
          <w:trHeight w:val="145"/>
        </w:trPr>
        <w:tc>
          <w:tcPr>
            <w:tcW w:w="1814" w:type="dxa"/>
          </w:tcPr>
          <w:p w14:paraId="698F270C" w14:textId="77777777" w:rsidR="000C004E" w:rsidRDefault="000C004E">
            <w:pPr>
              <w:pStyle w:val="Marginlie"/>
              <w:rPr>
                <w:color w:val="0D0D0D" w:themeColor="text1" w:themeTint="F2"/>
                <w:spacing w:val="-4"/>
                <w:lang w:eastAsia="en-US"/>
              </w:rPr>
            </w:pPr>
            <w:r>
              <w:rPr>
                <w:color w:val="0D0D0D" w:themeColor="text1" w:themeTint="F2"/>
                <w:spacing w:val="-4"/>
                <w:lang w:eastAsia="en-US"/>
              </w:rPr>
              <w:t>Mezikvartální růst tržeb ve službách na počátku letošního roku zrychlil.</w:t>
            </w:r>
          </w:p>
          <w:p w14:paraId="33D9DF10" w14:textId="77777777" w:rsidR="000C004E" w:rsidRDefault="000C004E">
            <w:pPr>
              <w:pStyle w:val="Marginlie"/>
              <w:spacing w:after="240"/>
              <w:rPr>
                <w:color w:val="0D0D0D" w:themeColor="text1" w:themeTint="F2"/>
                <w:spacing w:val="-4"/>
                <w:lang w:eastAsia="en-US"/>
              </w:rPr>
            </w:pPr>
          </w:p>
        </w:tc>
        <w:tc>
          <w:tcPr>
            <w:tcW w:w="201" w:type="dxa"/>
          </w:tcPr>
          <w:p w14:paraId="484F2B46" w14:textId="77777777" w:rsidR="000C004E" w:rsidRDefault="000C004E">
            <w:pPr>
              <w:pStyle w:val="Textpoznpodarou"/>
              <w:spacing w:after="240"/>
              <w:jc w:val="both"/>
              <w:rPr>
                <w:spacing w:val="-4"/>
                <w:lang w:eastAsia="en-US"/>
              </w:rPr>
            </w:pPr>
          </w:p>
        </w:tc>
        <w:tc>
          <w:tcPr>
            <w:tcW w:w="7722" w:type="dxa"/>
            <w:hideMark/>
          </w:tcPr>
          <w:p w14:paraId="203BFAB1" w14:textId="77777777" w:rsidR="000C004E" w:rsidRDefault="000C004E">
            <w:pPr>
              <w:spacing w:after="220"/>
              <w:rPr>
                <w:color w:val="0D0D0D" w:themeColor="text1" w:themeTint="F2"/>
                <w:spacing w:val="-5"/>
                <w:sz w:val="14"/>
                <w:szCs w:val="14"/>
                <w:lang w:eastAsia="en-US"/>
              </w:rPr>
            </w:pPr>
            <w:r>
              <w:rPr>
                <w:color w:val="0D0D0D" w:themeColor="text1" w:themeTint="F2"/>
                <w:spacing w:val="-6"/>
                <w:lang w:eastAsia="en-US"/>
              </w:rPr>
              <w:t xml:space="preserve">Na přelomu let 2023 a 2024 nastal pozitivní obrat poptávky po službách a tento příznivý vývoj pokračoval i na počátku letošního roku. </w:t>
            </w:r>
            <w:r>
              <w:rPr>
                <w:color w:val="0D0D0D" w:themeColor="text1" w:themeTint="F2"/>
                <w:spacing w:val="-4"/>
                <w:lang w:eastAsia="en-US"/>
              </w:rPr>
              <w:t xml:space="preserve">Stabilizace hladiny spotřebitelských cen pomohla opět nastartovat růst reálných mezd zaměstnanců, což se odrazilo v příznivější finanční situaci domácností a následně stimulovalo jejich spotřebu. Na služby působila pozitivně i mírně rostoucí podniková poptávka. Mezikvartální růst </w:t>
            </w:r>
            <w:r>
              <w:rPr>
                <w:rFonts w:cs="Arial"/>
                <w:color w:val="0D0D0D" w:themeColor="text1" w:themeTint="F2"/>
                <w:spacing w:val="-6"/>
                <w:lang w:eastAsia="en-US"/>
              </w:rPr>
              <w:t>tržeb ve službách</w:t>
            </w:r>
            <w:r>
              <w:rPr>
                <w:color w:val="0D0D0D" w:themeColor="text1" w:themeTint="F2"/>
                <w:spacing w:val="-6"/>
                <w:vertAlign w:val="superscript"/>
                <w:lang w:eastAsia="en-US"/>
              </w:rPr>
              <w:footnoteReference w:id="32"/>
            </w:r>
            <w:r>
              <w:rPr>
                <w:rFonts w:cs="Arial"/>
                <w:color w:val="0D0D0D" w:themeColor="text1" w:themeTint="F2"/>
                <w:spacing w:val="-6"/>
                <w:lang w:eastAsia="en-US"/>
              </w:rPr>
              <w:t xml:space="preserve"> na počátku letošního roku zrychlil (na 1,8 %, nejvíce od poloviny roku 2022), především zásluhou dopravy a skladování a také informačních a komunikačních činností a také některé ze sofistikovanějších podnikových služeb. Celkové tržby ve službách se tak aktuálně nacházely mírně nad úrovní z vrcholu předpandemické konjuktury</w:t>
            </w:r>
            <w:r>
              <w:rPr>
                <w:rStyle w:val="Znakapoznpodarou"/>
                <w:color w:val="0D0D0D" w:themeColor="text1" w:themeTint="F2"/>
                <w:spacing w:val="-6"/>
                <w:lang w:eastAsia="en-US"/>
              </w:rPr>
              <w:footnoteReference w:id="33"/>
            </w:r>
            <w:r>
              <w:rPr>
                <w:rFonts w:cs="Arial"/>
                <w:color w:val="0D0D0D" w:themeColor="text1" w:themeTint="F2"/>
                <w:spacing w:val="-6"/>
                <w:lang w:eastAsia="en-US"/>
              </w:rPr>
              <w:t>.</w:t>
            </w:r>
          </w:p>
        </w:tc>
      </w:tr>
      <w:tr w:rsidR="000C004E" w14:paraId="55310A5D" w14:textId="77777777" w:rsidTr="000C004E">
        <w:trPr>
          <w:trHeight w:val="170"/>
        </w:trPr>
        <w:tc>
          <w:tcPr>
            <w:tcW w:w="1814" w:type="dxa"/>
          </w:tcPr>
          <w:p w14:paraId="6A6F4199" w14:textId="77777777" w:rsidR="000C004E" w:rsidRDefault="000C004E">
            <w:pPr>
              <w:pStyle w:val="Marginlie"/>
              <w:rPr>
                <w:lang w:eastAsia="en-US"/>
              </w:rPr>
            </w:pPr>
          </w:p>
        </w:tc>
        <w:tc>
          <w:tcPr>
            <w:tcW w:w="201" w:type="dxa"/>
          </w:tcPr>
          <w:p w14:paraId="49346EE9" w14:textId="77777777" w:rsidR="000C004E" w:rsidRDefault="000C004E">
            <w:pPr>
              <w:pStyle w:val="Textpoznpodarou"/>
              <w:jc w:val="both"/>
              <w:rPr>
                <w:spacing w:val="-4"/>
                <w:lang w:eastAsia="en-US"/>
              </w:rPr>
            </w:pPr>
          </w:p>
        </w:tc>
        <w:tc>
          <w:tcPr>
            <w:tcW w:w="7722" w:type="dxa"/>
            <w:hideMark/>
          </w:tcPr>
          <w:p w14:paraId="7B8FC2CC" w14:textId="77777777" w:rsidR="000C004E" w:rsidRDefault="000C004E">
            <w:pPr>
              <w:spacing w:after="40"/>
              <w:rPr>
                <w:b/>
                <w:spacing w:val="-4"/>
                <w:lang w:eastAsia="en-US"/>
              </w:rPr>
            </w:pPr>
            <w:r>
              <w:rPr>
                <w:b/>
                <w:spacing w:val="-4"/>
                <w:lang w:eastAsia="en-US"/>
              </w:rPr>
              <w:t xml:space="preserve">Graf č. 7 </w:t>
            </w:r>
            <w:r>
              <w:rPr>
                <w:b/>
                <w:bCs/>
                <w:spacing w:val="-4"/>
                <w:lang w:eastAsia="en-US"/>
              </w:rPr>
              <w:t>Příspěvky dílčích odvětví k meziroční změně tržeb ve službách*</w:t>
            </w:r>
            <w:r>
              <w:rPr>
                <w:b/>
                <w:spacing w:val="-4"/>
                <w:lang w:eastAsia="en-US"/>
              </w:rPr>
              <w:br/>
            </w:r>
            <w:r>
              <w:rPr>
                <w:spacing w:val="-4"/>
                <w:lang w:eastAsia="en-US"/>
              </w:rPr>
              <w:t>(reálně, v p. b),</w:t>
            </w:r>
            <w:r>
              <w:rPr>
                <w:b/>
                <w:spacing w:val="-4"/>
                <w:lang w:eastAsia="en-US"/>
              </w:rPr>
              <w:t xml:space="preserve"> </w:t>
            </w:r>
            <w:r>
              <w:rPr>
                <w:b/>
                <w:bCs/>
                <w:spacing w:val="-4"/>
                <w:lang w:eastAsia="en-US"/>
              </w:rPr>
              <w:t xml:space="preserve">celkové tržby ve službách* </w:t>
            </w:r>
            <w:r>
              <w:rPr>
                <w:spacing w:val="-4"/>
                <w:lang w:eastAsia="en-US"/>
              </w:rPr>
              <w:t>(báze 2021=100, pravá osa),</w:t>
            </w:r>
            <w:r>
              <w:rPr>
                <w:b/>
                <w:spacing w:val="-4"/>
                <w:lang w:eastAsia="en-US"/>
              </w:rPr>
              <w:t xml:space="preserve"> </w:t>
            </w:r>
            <w:r>
              <w:rPr>
                <w:b/>
                <w:bCs/>
                <w:spacing w:val="-4"/>
                <w:lang w:eastAsia="en-US"/>
              </w:rPr>
              <w:t>saldo důvěry podnikatelů ve službách**</w:t>
            </w:r>
            <w:r>
              <w:rPr>
                <w:b/>
                <w:spacing w:val="-4"/>
                <w:lang w:eastAsia="en-US"/>
              </w:rPr>
              <w:t xml:space="preserve"> </w:t>
            </w:r>
            <w:r>
              <w:rPr>
                <w:spacing w:val="-4"/>
                <w:lang w:eastAsia="en-US"/>
              </w:rPr>
              <w:t>(v p. b., pravá osa)</w:t>
            </w:r>
            <w:r>
              <w:rPr>
                <w:b/>
                <w:bCs/>
                <w:spacing w:val="-4"/>
                <w:lang w:eastAsia="en-US"/>
              </w:rPr>
              <w:t xml:space="preserve"> a bariéry růstu**</w:t>
            </w:r>
            <w:r>
              <w:rPr>
                <w:b/>
                <w:spacing w:val="-4"/>
                <w:lang w:eastAsia="en-US"/>
              </w:rPr>
              <w:t xml:space="preserve"> </w:t>
            </w:r>
            <w:r>
              <w:rPr>
                <w:spacing w:val="-4"/>
                <w:lang w:eastAsia="en-US"/>
              </w:rPr>
              <w:t xml:space="preserve">(v %, pravá osa) </w:t>
            </w:r>
          </w:p>
        </w:tc>
      </w:tr>
      <w:tr w:rsidR="000C004E" w14:paraId="7249FCB1" w14:textId="77777777" w:rsidTr="000C004E">
        <w:trPr>
          <w:trHeight w:val="170"/>
        </w:trPr>
        <w:tc>
          <w:tcPr>
            <w:tcW w:w="1814" w:type="dxa"/>
            <w:tcMar>
              <w:top w:w="0" w:type="dxa"/>
              <w:left w:w="70" w:type="dxa"/>
              <w:bottom w:w="0" w:type="dxa"/>
              <w:right w:w="70" w:type="dxa"/>
            </w:tcMar>
          </w:tcPr>
          <w:p w14:paraId="55676E2C" w14:textId="77777777" w:rsidR="000C004E" w:rsidRDefault="000C004E">
            <w:pPr>
              <w:pStyle w:val="Marginlie"/>
              <w:rPr>
                <w:lang w:eastAsia="en-US"/>
              </w:rPr>
            </w:pPr>
          </w:p>
        </w:tc>
        <w:tc>
          <w:tcPr>
            <w:tcW w:w="201" w:type="dxa"/>
            <w:tcMar>
              <w:top w:w="0" w:type="dxa"/>
              <w:left w:w="70" w:type="dxa"/>
              <w:bottom w:w="0" w:type="dxa"/>
              <w:right w:w="70" w:type="dxa"/>
            </w:tcMar>
          </w:tcPr>
          <w:p w14:paraId="7BFA6665" w14:textId="77777777" w:rsidR="000C004E" w:rsidRDefault="000C004E">
            <w:pPr>
              <w:pStyle w:val="Textpoznpodarou"/>
              <w:jc w:val="both"/>
              <w:rPr>
                <w:spacing w:val="-4"/>
                <w:lang w:eastAsia="en-US"/>
              </w:rPr>
            </w:pPr>
          </w:p>
        </w:tc>
        <w:tc>
          <w:tcPr>
            <w:tcW w:w="7722" w:type="dxa"/>
            <w:tcMar>
              <w:top w:w="0" w:type="dxa"/>
              <w:left w:w="70" w:type="dxa"/>
              <w:bottom w:w="0" w:type="dxa"/>
              <w:right w:w="70" w:type="dxa"/>
            </w:tcMar>
            <w:hideMark/>
          </w:tcPr>
          <w:p w14:paraId="50373DC8" w14:textId="54564A9F" w:rsidR="000C004E" w:rsidRDefault="000C004E">
            <w:pPr>
              <w:spacing w:before="40" w:after="40"/>
              <w:rPr>
                <w:rFonts w:cs="Arial"/>
                <w:sz w:val="14"/>
                <w:szCs w:val="14"/>
                <w:lang w:eastAsia="en-US"/>
              </w:rPr>
            </w:pPr>
            <w:r>
              <w:rPr>
                <w:noProof/>
              </w:rPr>
              <w:drawing>
                <wp:inline distT="0" distB="0" distL="0" distR="0" wp14:anchorId="752B9318" wp14:editId="63DDF03D">
                  <wp:extent cx="4781550" cy="3495675"/>
                  <wp:effectExtent l="0" t="0" r="0" b="0"/>
                  <wp:docPr id="32" name="Graf 32">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0C004E" w14:paraId="0CEC78DC" w14:textId="77777777" w:rsidTr="000C004E">
        <w:trPr>
          <w:trHeight w:val="170"/>
        </w:trPr>
        <w:tc>
          <w:tcPr>
            <w:tcW w:w="1814" w:type="dxa"/>
          </w:tcPr>
          <w:p w14:paraId="1B7006BE" w14:textId="77777777" w:rsidR="000C004E" w:rsidRDefault="000C004E">
            <w:pPr>
              <w:pStyle w:val="Marginlie"/>
              <w:rPr>
                <w:lang w:eastAsia="en-US"/>
              </w:rPr>
            </w:pPr>
          </w:p>
        </w:tc>
        <w:tc>
          <w:tcPr>
            <w:tcW w:w="201" w:type="dxa"/>
          </w:tcPr>
          <w:p w14:paraId="33BF64FD" w14:textId="77777777" w:rsidR="000C004E" w:rsidRDefault="000C004E">
            <w:pPr>
              <w:pStyle w:val="Textpoznpodarou"/>
              <w:jc w:val="both"/>
              <w:rPr>
                <w:spacing w:val="-4"/>
                <w:lang w:eastAsia="en-US"/>
              </w:rPr>
            </w:pPr>
          </w:p>
        </w:tc>
        <w:tc>
          <w:tcPr>
            <w:tcW w:w="7722" w:type="dxa"/>
            <w:hideMark/>
          </w:tcPr>
          <w:p w14:paraId="50922011" w14:textId="77777777" w:rsidR="000C004E" w:rsidRDefault="000C004E">
            <w:pPr>
              <w:spacing w:after="0" w:line="240" w:lineRule="auto"/>
              <w:rPr>
                <w:rFonts w:cs="Arial"/>
                <w:spacing w:val="-4"/>
                <w:sz w:val="14"/>
                <w:szCs w:val="14"/>
                <w:lang w:eastAsia="en-US"/>
              </w:rPr>
            </w:pPr>
            <w:r>
              <w:rPr>
                <w:rFonts w:cs="Arial"/>
                <w:spacing w:val="-4"/>
                <w:sz w:val="14"/>
                <w:szCs w:val="14"/>
                <w:lang w:eastAsia="en-US"/>
              </w:rPr>
              <w:t>Poznámka: všechny údaje jsou sezónně očištěny, pouze příspěvky dílčích odvětví k růstu tržeb jsou očištěny jen o kalendářní vlivy.</w:t>
            </w:r>
          </w:p>
          <w:p w14:paraId="10E50412" w14:textId="77777777" w:rsidR="000C004E" w:rsidRDefault="000C004E">
            <w:pPr>
              <w:spacing w:after="0" w:line="240" w:lineRule="auto"/>
              <w:rPr>
                <w:rFonts w:cs="Arial"/>
                <w:sz w:val="14"/>
                <w:szCs w:val="14"/>
                <w:lang w:eastAsia="en-US"/>
              </w:rPr>
            </w:pPr>
            <w:r>
              <w:rPr>
                <w:rFonts w:cs="Arial"/>
                <w:sz w:val="14"/>
                <w:szCs w:val="14"/>
                <w:lang w:eastAsia="en-US"/>
              </w:rPr>
              <w:t>*Bez odvětví obchodu, peněžnictví, pojišťovnictví, vědy, výzkumu a veřejných služeb.</w:t>
            </w:r>
          </w:p>
          <w:p w14:paraId="3CD9DC7D" w14:textId="77777777" w:rsidR="000C004E" w:rsidRDefault="000C004E">
            <w:pPr>
              <w:spacing w:after="0" w:line="240" w:lineRule="auto"/>
              <w:rPr>
                <w:rFonts w:cs="Arial"/>
                <w:sz w:val="14"/>
                <w:szCs w:val="14"/>
                <w:lang w:eastAsia="en-US"/>
              </w:rPr>
            </w:pPr>
            <w:r>
              <w:rPr>
                <w:rFonts w:cs="Arial"/>
                <w:sz w:val="14"/>
                <w:szCs w:val="14"/>
                <w:lang w:eastAsia="en-US"/>
              </w:rPr>
              <w:t>.**</w:t>
            </w:r>
            <w:r>
              <w:rPr>
                <w:rFonts w:cs="Arial"/>
                <w:spacing w:val="-2"/>
                <w:sz w:val="14"/>
                <w:szCs w:val="14"/>
                <w:lang w:eastAsia="en-US"/>
              </w:rPr>
              <w:t xml:space="preserve">Zahrnuje i finanční sektor. Saldo důvěry podnikatelů i bariéry růstu vyjadřují stav v prvním (bariéry růstu), resp. ve druhém měsíci daného čtvrtletí (saldo důvěry). </w:t>
            </w:r>
            <w:r>
              <w:rPr>
                <w:rFonts w:cs="Arial"/>
                <w:sz w:val="14"/>
                <w:szCs w:val="14"/>
                <w:lang w:eastAsia="en-US"/>
              </w:rPr>
              <w:t>Podniky mohly uvést více hlavních bariér současně.                        Zdroj: ČSÚ, Eurostat</w:t>
            </w:r>
          </w:p>
        </w:tc>
      </w:tr>
      <w:tr w:rsidR="000C004E" w14:paraId="370C5A9F" w14:textId="77777777" w:rsidTr="000C004E">
        <w:trPr>
          <w:trHeight w:val="155"/>
        </w:trPr>
        <w:tc>
          <w:tcPr>
            <w:tcW w:w="1814" w:type="dxa"/>
            <w:hideMark/>
          </w:tcPr>
          <w:p w14:paraId="66E55467" w14:textId="77777777" w:rsidR="000C004E" w:rsidRDefault="000C004E">
            <w:pPr>
              <w:pStyle w:val="Marginlie"/>
              <w:rPr>
                <w:lang w:eastAsia="en-US"/>
              </w:rPr>
            </w:pPr>
            <w:r>
              <w:rPr>
                <w:lang w:eastAsia="en-US"/>
              </w:rPr>
              <w:lastRenderedPageBreak/>
              <w:t>Meziroční růst tržeb odrážel zejména výraznější oživení poptávky v oblasti ICT.</w:t>
            </w:r>
          </w:p>
        </w:tc>
        <w:tc>
          <w:tcPr>
            <w:tcW w:w="201" w:type="dxa"/>
          </w:tcPr>
          <w:p w14:paraId="06E3F460" w14:textId="77777777" w:rsidR="000C004E" w:rsidRDefault="000C004E">
            <w:pPr>
              <w:pStyle w:val="Textpoznpodarou"/>
              <w:jc w:val="both"/>
              <w:rPr>
                <w:spacing w:val="-4"/>
                <w:lang w:eastAsia="en-US"/>
              </w:rPr>
            </w:pPr>
          </w:p>
        </w:tc>
        <w:tc>
          <w:tcPr>
            <w:tcW w:w="7722" w:type="dxa"/>
            <w:hideMark/>
          </w:tcPr>
          <w:p w14:paraId="7222AB23" w14:textId="77777777" w:rsidR="000C004E" w:rsidRDefault="000C004E">
            <w:pPr>
              <w:spacing w:after="200"/>
              <w:rPr>
                <w:b/>
                <w:lang w:eastAsia="en-US"/>
              </w:rPr>
            </w:pPr>
            <w:r>
              <w:rPr>
                <w:bCs/>
                <w:lang w:eastAsia="en-US"/>
              </w:rPr>
              <w:t xml:space="preserve">Celkové </w:t>
            </w:r>
            <w:r>
              <w:rPr>
                <w:bCs/>
                <w:color w:val="0D0D0D" w:themeColor="text1" w:themeTint="F2"/>
                <w:spacing w:val="-6"/>
                <w:lang w:eastAsia="en-US"/>
              </w:rPr>
              <w:t>tržby</w:t>
            </w:r>
            <w:r>
              <w:rPr>
                <w:color w:val="0D0D0D" w:themeColor="text1" w:themeTint="F2"/>
                <w:spacing w:val="-6"/>
                <w:lang w:eastAsia="en-US"/>
              </w:rPr>
              <w:t xml:space="preserve"> ve službách se letos v 1. čtvrtletí zvedly meziročně o 3,1 %, tedy nejvyšším tempem od konce roku 2022. Na tomto růstu se nejvíce podílely informační a komunikační činnosti (příspěvek +1,1 p. b., růst odvětví +4,5 %). Oblast ICT profitovala zejména z výrazného oživení výkonu telekomunikací (+10,9 %), svižně však rostly i tržby vydavatelským činnostem (zejména v oblasti SW) a také </w:t>
            </w:r>
            <w:r>
              <w:rPr>
                <w:rFonts w:cs="Arial"/>
                <w:color w:val="0D0D0D" w:themeColor="text1" w:themeTint="F2"/>
                <w:spacing w:val="-6"/>
                <w:lang w:eastAsia="en-US"/>
              </w:rPr>
              <w:t>informačním činnostem</w:t>
            </w:r>
            <w:r>
              <w:rPr>
                <w:rStyle w:val="Znakapoznpodarou"/>
                <w:color w:val="0D0D0D" w:themeColor="text1" w:themeTint="F2"/>
                <w:spacing w:val="-6"/>
                <w:lang w:eastAsia="en-US"/>
              </w:rPr>
              <w:footnoteReference w:id="34"/>
            </w:r>
            <w:r>
              <w:rPr>
                <w:rFonts w:cs="Arial"/>
                <w:color w:val="0D0D0D" w:themeColor="text1" w:themeTint="F2"/>
                <w:spacing w:val="-6"/>
                <w:lang w:eastAsia="en-US"/>
              </w:rPr>
              <w:t>. V dlouhodobě se rozvíjejících činnostech v oblasti IT</w:t>
            </w:r>
            <w:r>
              <w:rPr>
                <w:rStyle w:val="Znakapoznpodarou"/>
                <w:color w:val="0D0D0D" w:themeColor="text1" w:themeTint="F2"/>
                <w:spacing w:val="-6"/>
                <w:lang w:eastAsia="en-US"/>
              </w:rPr>
              <w:footnoteReference w:id="35"/>
            </w:r>
            <w:r>
              <w:rPr>
                <w:rFonts w:cs="Arial"/>
                <w:color w:val="0D0D0D" w:themeColor="text1" w:themeTint="F2"/>
                <w:spacing w:val="-6"/>
                <w:lang w:eastAsia="en-US"/>
              </w:rPr>
              <w:t xml:space="preserve"> rostly sice letos tržby skromněji (+2,2 %), ovšem oproti počátku roku 2019 byly vyšší o 30 %. Ve váhově okrajovém segmentu tzv. filmového a hudebního průmyslu po loňském propadu</w:t>
            </w:r>
            <w:r>
              <w:rPr>
                <w:rStyle w:val="Znakapoznpodarou"/>
                <w:color w:val="0D0D0D" w:themeColor="text1" w:themeTint="F2"/>
                <w:spacing w:val="-6"/>
                <w:lang w:eastAsia="en-US"/>
              </w:rPr>
              <w:footnoteReference w:id="36"/>
            </w:r>
            <w:r>
              <w:rPr>
                <w:rFonts w:cs="Arial"/>
                <w:color w:val="0D0D0D" w:themeColor="text1" w:themeTint="F2"/>
                <w:spacing w:val="-6"/>
                <w:lang w:eastAsia="en-US"/>
              </w:rPr>
              <w:t xml:space="preserve"> letos tržby stagnovaly. Pokles poptávky související s vlivem vyšší loňské základny postihl aktuálně pouze tvorbu rozhlasových a televizních programů a vysílání. V tomto malém segmentu ICT je tradičně vývoj tržeb více volatilní. </w:t>
            </w:r>
          </w:p>
        </w:tc>
      </w:tr>
      <w:tr w:rsidR="000C004E" w14:paraId="25C39443" w14:textId="77777777" w:rsidTr="000C004E">
        <w:trPr>
          <w:trHeight w:val="155"/>
        </w:trPr>
        <w:tc>
          <w:tcPr>
            <w:tcW w:w="1814" w:type="dxa"/>
            <w:hideMark/>
          </w:tcPr>
          <w:p w14:paraId="6FFD57CE"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Růst poptávky po sofistikovanějších službách pro podniky zrychlil zejména díky činnostem vedení podniků a poradenství v oblasti řízení. Naopak slabší poptávka přetrvávala u reklamy.</w:t>
            </w:r>
          </w:p>
        </w:tc>
        <w:tc>
          <w:tcPr>
            <w:tcW w:w="201" w:type="dxa"/>
          </w:tcPr>
          <w:p w14:paraId="651E7611" w14:textId="77777777" w:rsidR="000C004E" w:rsidRDefault="000C004E">
            <w:pPr>
              <w:pStyle w:val="Textpoznpodarou"/>
              <w:jc w:val="both"/>
              <w:rPr>
                <w:spacing w:val="-4"/>
                <w:lang w:eastAsia="en-US"/>
              </w:rPr>
            </w:pPr>
          </w:p>
        </w:tc>
        <w:tc>
          <w:tcPr>
            <w:tcW w:w="7722" w:type="dxa"/>
            <w:hideMark/>
          </w:tcPr>
          <w:p w14:paraId="5CA44A4F" w14:textId="77777777" w:rsidR="000C004E" w:rsidRDefault="000C004E">
            <w:pPr>
              <w:spacing w:after="200"/>
              <w:rPr>
                <w:color w:val="0D0D0D" w:themeColor="text1" w:themeTint="F2"/>
                <w:spacing w:val="-4"/>
                <w:lang w:eastAsia="en-US"/>
              </w:rPr>
            </w:pPr>
            <w:r>
              <w:rPr>
                <w:rFonts w:cs="Arial"/>
                <w:color w:val="0D0D0D" w:themeColor="text1" w:themeTint="F2"/>
                <w:spacing w:val="-4"/>
                <w:szCs w:val="20"/>
                <w:lang w:eastAsia="en-US"/>
              </w:rPr>
              <w:t>Růst poptávky po podnikových službách byl letos soustředěn primárně do odvětví profesních, vědeckých a technických činností, v němž v 1. čtvrtletí meziroční růst tržeb zrychlil na 4,8 % (k posílení celkových tržeb ve službách přispěl 1,0 p. b.). Projevil se zde výrazný růst výkonu činnosti vedení podniků a poradenství v oblasti řízení, kde tržby převýšily loňskou úroveň o šestinu. Dvouciferný růst poptávky zaznamenaly i právní činnosti. V</w:t>
            </w:r>
            <w:r>
              <w:rPr>
                <w:spacing w:val="-4"/>
                <w:lang w:eastAsia="en-US"/>
              </w:rPr>
              <w:t xml:space="preserve"> a</w:t>
            </w:r>
            <w:r>
              <w:rPr>
                <w:rFonts w:cs="Arial"/>
                <w:color w:val="0D0D0D" w:themeColor="text1" w:themeTint="F2"/>
                <w:spacing w:val="-4"/>
                <w:szCs w:val="20"/>
                <w:lang w:eastAsia="en-US"/>
              </w:rPr>
              <w:t xml:space="preserve">rchitektonických a inženýrských činnostech vzrostly tržby mírněji (+2,5 %), podobné tempo držely v předchozích dvou letech. Svižnější růst poptávky pokračoval druhým rokem v řadě v diverzifikovaném segmentu v </w:t>
            </w:r>
            <w:r>
              <w:rPr>
                <w:spacing w:val="-4"/>
                <w:lang w:eastAsia="en-US"/>
              </w:rPr>
              <w:t>ostatních profesních, vědeckých a technických činnostech</w:t>
            </w:r>
            <w:r>
              <w:rPr>
                <w:rStyle w:val="Znakapoznpodarou"/>
                <w:spacing w:val="-4"/>
                <w:lang w:eastAsia="en-US"/>
              </w:rPr>
              <w:footnoteReference w:id="37"/>
            </w:r>
            <w:r>
              <w:rPr>
                <w:spacing w:val="-4"/>
                <w:lang w:eastAsia="en-US"/>
              </w:rPr>
              <w:t xml:space="preserve">, nicméně ve srovnání s počátkem roku 2019 zde tržby stále zaostávaly (bezmála o pětinu). To platí i pro reklamu, kde tržby meziročně pouze stagnovaly a poptávka byla oslabená i po celý předchozí rok. </w:t>
            </w:r>
          </w:p>
        </w:tc>
      </w:tr>
      <w:tr w:rsidR="000C004E" w14:paraId="407B4BA8" w14:textId="77777777" w:rsidTr="000C004E">
        <w:trPr>
          <w:trHeight w:val="155"/>
        </w:trPr>
        <w:tc>
          <w:tcPr>
            <w:tcW w:w="1814" w:type="dxa"/>
          </w:tcPr>
          <w:p w14:paraId="5B1BA6D4"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 xml:space="preserve">Rozvoj </w:t>
            </w:r>
            <w:r>
              <w:rPr>
                <w:color w:val="0D0D0D" w:themeColor="text1" w:themeTint="F2"/>
                <w:spacing w:val="-6"/>
                <w:lang w:eastAsia="en-US"/>
              </w:rPr>
              <w:t>administrativních, kancelářských a dalších podpůrných činností pro podnikání</w:t>
            </w:r>
            <w:r>
              <w:rPr>
                <w:rFonts w:cs="Arial"/>
                <w:color w:val="0D0D0D" w:themeColor="text1" w:themeTint="F2"/>
                <w:spacing w:val="-4"/>
                <w:lang w:eastAsia="en-US"/>
              </w:rPr>
              <w:t xml:space="preserve"> pokračoval, dařilo se i cestovním agenturám. </w:t>
            </w:r>
          </w:p>
          <w:p w14:paraId="4EDC00B6" w14:textId="77777777" w:rsidR="000C004E" w:rsidRDefault="000C004E">
            <w:pPr>
              <w:pStyle w:val="Marginlie"/>
              <w:rPr>
                <w:rFonts w:cs="Arial"/>
                <w:color w:val="0D0D0D" w:themeColor="text1" w:themeTint="F2"/>
                <w:spacing w:val="-4"/>
                <w:lang w:eastAsia="en-US"/>
              </w:rPr>
            </w:pPr>
          </w:p>
          <w:p w14:paraId="69141CF5" w14:textId="77777777" w:rsidR="000C004E" w:rsidRDefault="000C004E">
            <w:pPr>
              <w:pStyle w:val="Marginlie"/>
              <w:rPr>
                <w:rFonts w:cs="Arial"/>
                <w:color w:val="0D0D0D" w:themeColor="text1" w:themeTint="F2"/>
                <w:spacing w:val="-4"/>
                <w:lang w:eastAsia="en-US"/>
              </w:rPr>
            </w:pPr>
          </w:p>
          <w:p w14:paraId="43A7D0D9" w14:textId="77777777" w:rsidR="000C004E" w:rsidRDefault="000C004E">
            <w:pPr>
              <w:pStyle w:val="Marginlie"/>
              <w:rPr>
                <w:rFonts w:cs="Arial"/>
                <w:color w:val="0D0D0D" w:themeColor="text1" w:themeTint="F2"/>
                <w:spacing w:val="-4"/>
                <w:lang w:eastAsia="en-US"/>
              </w:rPr>
            </w:pPr>
          </w:p>
          <w:p w14:paraId="1803F99D" w14:textId="77777777" w:rsidR="000C004E" w:rsidRDefault="000C004E">
            <w:pPr>
              <w:pStyle w:val="Marginlie"/>
              <w:rPr>
                <w:rFonts w:cs="Arial"/>
                <w:color w:val="0D0D0D" w:themeColor="text1" w:themeTint="F2"/>
                <w:spacing w:val="-4"/>
                <w:lang w:eastAsia="en-US"/>
              </w:rPr>
            </w:pPr>
          </w:p>
          <w:p w14:paraId="6B8BBB46" w14:textId="77777777" w:rsidR="000C004E" w:rsidRDefault="000C004E">
            <w:pPr>
              <w:pStyle w:val="Marginlie"/>
              <w:rPr>
                <w:rFonts w:cs="Arial"/>
                <w:color w:val="0D0D0D" w:themeColor="text1" w:themeTint="F2"/>
                <w:spacing w:val="-4"/>
                <w:lang w:eastAsia="en-US"/>
              </w:rPr>
            </w:pPr>
          </w:p>
          <w:p w14:paraId="6A9C51F5" w14:textId="77777777" w:rsidR="000C004E" w:rsidRDefault="000C004E">
            <w:pPr>
              <w:pStyle w:val="Marginlie"/>
              <w:rPr>
                <w:rFonts w:cs="Arial"/>
                <w:color w:val="0D0D0D" w:themeColor="text1" w:themeTint="F2"/>
                <w:spacing w:val="-4"/>
                <w:lang w:eastAsia="en-US"/>
              </w:rPr>
            </w:pPr>
          </w:p>
          <w:p w14:paraId="0A0102A4"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 xml:space="preserve">Tržby pracovních agentur i bezpečnostních </w:t>
            </w:r>
            <w:r>
              <w:rPr>
                <w:rFonts w:cs="Arial"/>
                <w:color w:val="0D0D0D" w:themeColor="text1" w:themeTint="F2"/>
                <w:spacing w:val="-4"/>
                <w:lang w:eastAsia="en-US"/>
              </w:rPr>
              <w:br/>
              <w:t xml:space="preserve">a pátracích činností se dále snižovaly. </w:t>
            </w:r>
          </w:p>
          <w:p w14:paraId="63CF10DD" w14:textId="77777777" w:rsidR="000C004E" w:rsidRDefault="000C004E">
            <w:pPr>
              <w:pStyle w:val="Marginlie"/>
              <w:rPr>
                <w:rFonts w:cs="Arial"/>
                <w:color w:val="0D0D0D" w:themeColor="text1" w:themeTint="F2"/>
                <w:spacing w:val="-4"/>
                <w:lang w:eastAsia="en-US"/>
              </w:rPr>
            </w:pPr>
          </w:p>
        </w:tc>
        <w:tc>
          <w:tcPr>
            <w:tcW w:w="201" w:type="dxa"/>
          </w:tcPr>
          <w:p w14:paraId="19C6CC79" w14:textId="77777777" w:rsidR="000C004E" w:rsidRDefault="000C004E">
            <w:pPr>
              <w:pStyle w:val="Textpoznpodarou"/>
              <w:jc w:val="both"/>
              <w:rPr>
                <w:spacing w:val="-4"/>
                <w:lang w:eastAsia="en-US"/>
              </w:rPr>
            </w:pPr>
          </w:p>
        </w:tc>
        <w:tc>
          <w:tcPr>
            <w:tcW w:w="7722" w:type="dxa"/>
            <w:hideMark/>
          </w:tcPr>
          <w:p w14:paraId="7A9EFDCB" w14:textId="77777777" w:rsidR="000C004E" w:rsidRDefault="000C004E">
            <w:pPr>
              <w:spacing w:after="200"/>
              <w:rPr>
                <w:color w:val="0D0D0D" w:themeColor="text1" w:themeTint="F2"/>
                <w:spacing w:val="-6"/>
                <w:lang w:eastAsia="en-US"/>
              </w:rPr>
            </w:pPr>
            <w:r>
              <w:rPr>
                <w:color w:val="0D0D0D" w:themeColor="text1" w:themeTint="F2"/>
                <w:spacing w:val="-6"/>
                <w:lang w:eastAsia="en-US"/>
              </w:rPr>
              <w:t>V odvětví administrativních a podpůrných činností, poskytujících zejména podnikům zpravidla služby s nižší přidanou hodnotou, se letos tržby zvýšily jen mírně (+1,4 %). K vyšší poptávce zde nejvíce přispěly administrativní, kancelářské a jiné podpůrné činnosti pro podnikání</w:t>
            </w:r>
            <w:r>
              <w:rPr>
                <w:rStyle w:val="Znakapoznpodarou"/>
                <w:color w:val="0D0D0D" w:themeColor="text1" w:themeTint="F2"/>
                <w:spacing w:val="-6"/>
                <w:lang w:eastAsia="en-US"/>
              </w:rPr>
              <w:footnoteReference w:id="38"/>
            </w:r>
            <w:r>
              <w:rPr>
                <w:color w:val="0D0D0D" w:themeColor="text1" w:themeTint="F2"/>
                <w:spacing w:val="-6"/>
                <w:lang w:eastAsia="en-US"/>
              </w:rPr>
              <w:t>. Pokračoval také dlouhodobější rozvoj cestovních agentur a kanceláří. Jejich tržby se letos meziročně zvyšovaly mírněji než v předchozích letech (+3,6 %), úroveň z roku 2019 již převýšily o celou třetinu. Zatímco v předchozích letech souvisel vyšší zájem domácností o organizované cestování s kompenzací omezení vzniklých v pandemickém období, v posledních čtvrtletích již pramení především z jejich zlepšené finanční situace i vyšší spotřebitelské důvěry. Dařilo se i pronájmu a operativnímu leasingu, který letos zaznamenal téměř 5% zvýšení tržeb a navázal tak na loňské oživení. K tomu přispěla vyšší poptávka domácností i podniků</w:t>
            </w:r>
            <w:r>
              <w:rPr>
                <w:rStyle w:val="Znakapoznpodarou"/>
                <w:color w:val="0D0D0D" w:themeColor="text1" w:themeTint="F2"/>
                <w:spacing w:val="-6"/>
                <w:lang w:eastAsia="en-US"/>
              </w:rPr>
              <w:footnoteReference w:id="39"/>
            </w:r>
            <w:r>
              <w:rPr>
                <w:color w:val="0D0D0D" w:themeColor="text1" w:themeTint="F2"/>
                <w:spacing w:val="-6"/>
                <w:lang w:eastAsia="en-US"/>
              </w:rPr>
              <w:t xml:space="preserve">. </w:t>
            </w:r>
            <w:r>
              <w:rPr>
                <w:color w:val="0D0D0D" w:themeColor="text1" w:themeTint="F2"/>
                <w:spacing w:val="-4"/>
                <w:lang w:eastAsia="en-US"/>
              </w:rPr>
              <w:t>Naopak u řady méně sofistikovaných podnikových služeb přetrvávala slabší poptávka. Citelný pokles pracovních agentur pokračoval, jejich tržby se snižovaly zhruba dvojciferným tempem již čtvrtým rokem v řadě</w:t>
            </w:r>
            <w:r>
              <w:rPr>
                <w:rStyle w:val="Znakapoznpodarou"/>
                <w:color w:val="0D0D0D" w:themeColor="text1" w:themeTint="F2"/>
                <w:spacing w:val="-2"/>
                <w:lang w:eastAsia="en-US"/>
              </w:rPr>
              <w:footnoteReference w:id="40"/>
            </w:r>
            <w:r>
              <w:rPr>
                <w:color w:val="0D0D0D" w:themeColor="text1" w:themeTint="F2"/>
                <w:spacing w:val="-4"/>
                <w:lang w:eastAsia="en-US"/>
              </w:rPr>
              <w:t>. Tlak na snižování nákladů spojený i s rozvojem digitalizace se odrazil v pokračujícím mírnějším poklesu tržeb bezpečnostních a pátracích činností (v 1. čtvrtletí o 5,7 %).</w:t>
            </w:r>
          </w:p>
        </w:tc>
      </w:tr>
      <w:tr w:rsidR="000C004E" w14:paraId="11766C89" w14:textId="77777777" w:rsidTr="000C004E">
        <w:trPr>
          <w:trHeight w:val="155"/>
        </w:trPr>
        <w:tc>
          <w:tcPr>
            <w:tcW w:w="1814" w:type="dxa"/>
            <w:hideMark/>
          </w:tcPr>
          <w:p w14:paraId="5512500F"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Růst tržeb v pozemní dopravě byl jen mírný. Svižněji naopak rostla poptávka ve skladování.</w:t>
            </w:r>
          </w:p>
        </w:tc>
        <w:tc>
          <w:tcPr>
            <w:tcW w:w="201" w:type="dxa"/>
          </w:tcPr>
          <w:p w14:paraId="3A963C19" w14:textId="77777777" w:rsidR="000C004E" w:rsidRDefault="000C004E">
            <w:pPr>
              <w:pStyle w:val="Textpoznpodarou"/>
              <w:jc w:val="both"/>
              <w:rPr>
                <w:spacing w:val="-4"/>
                <w:lang w:eastAsia="en-US"/>
              </w:rPr>
            </w:pPr>
          </w:p>
        </w:tc>
        <w:tc>
          <w:tcPr>
            <w:tcW w:w="7722" w:type="dxa"/>
            <w:hideMark/>
          </w:tcPr>
          <w:p w14:paraId="308C4D18" w14:textId="77777777" w:rsidR="000C004E" w:rsidRDefault="000C004E">
            <w:pPr>
              <w:spacing w:after="200"/>
              <w:rPr>
                <w:color w:val="0D0D0D" w:themeColor="text1" w:themeTint="F2"/>
                <w:spacing w:val="-6"/>
                <w:lang w:eastAsia="en-US"/>
              </w:rPr>
            </w:pPr>
            <w:r>
              <w:rPr>
                <w:color w:val="0D0D0D" w:themeColor="text1" w:themeTint="F2"/>
                <w:spacing w:val="-6"/>
                <w:lang w:eastAsia="en-US"/>
              </w:rPr>
              <w:t xml:space="preserve">Ve váhově dominantním odvětví služeb – dopravě a skladování – byl letos (stejně jako na počátku loňského roku) meziroční růst tržeb podprůměrný (+2,7 %). Ten byl tažen především skladováním a vedlejšími činnostmi v dopravě, kde se oživení poptávky odrazilo v téměř 5% růstu tržeb. V klíčovém segmentu pozemní a potrubní dopravy se tržby zvýšily pouze o 1,7 % </w:t>
            </w:r>
            <w:r>
              <w:rPr>
                <w:color w:val="0D0D0D" w:themeColor="text1" w:themeTint="F2"/>
                <w:spacing w:val="-6"/>
                <w:lang w:eastAsia="en-US"/>
              </w:rPr>
              <w:lastRenderedPageBreak/>
              <w:t xml:space="preserve">(a pohybovaly se na úrovni roku 2019). Zatímco v silniční osobní i nákladní dopravě poptávka meziročně mírně rostla, na železnici stagnovala. V </w:t>
            </w:r>
            <w:r>
              <w:rPr>
                <w:color w:val="0D0D0D" w:themeColor="text1" w:themeTint="F2"/>
                <w:spacing w:val="-4"/>
                <w:lang w:eastAsia="en-US"/>
              </w:rPr>
              <w:t xml:space="preserve">poštovních a kurýrních činnostech růst tržeb zvolnil (na +1,2 %), oproti roku 2019 však byla poptávka zejména vlivem dynamického rozvoje internetového obchodu o pětinu vyšší. Ta naopak stále mírně zaostávala v letecké dopravě, což podtrhl i fakt, že růst tržeb se letos, po výraznějším oživení v předchozích </w:t>
            </w:r>
            <w:r>
              <w:rPr>
                <w:color w:val="0D0D0D" w:themeColor="text1" w:themeTint="F2"/>
                <w:spacing w:val="-6"/>
                <w:lang w:eastAsia="en-US"/>
              </w:rPr>
              <w:t>letech, zastavil (−0,8 %). Přestože z hlavních segmentů dopravy se letos zvyšovala poptávka nejvíce ve vodní dopravě, tržby zde za předkrizovou úrovní stále o více než čtvrtinu zaostávaly.</w:t>
            </w:r>
            <w:r>
              <w:rPr>
                <w:color w:val="0D0D0D" w:themeColor="text1" w:themeTint="F2"/>
                <w:spacing w:val="-4"/>
                <w:lang w:eastAsia="en-US"/>
              </w:rPr>
              <w:t xml:space="preserve"> </w:t>
            </w:r>
          </w:p>
        </w:tc>
      </w:tr>
      <w:tr w:rsidR="000C004E" w14:paraId="7ED3973D" w14:textId="77777777" w:rsidTr="000C004E">
        <w:trPr>
          <w:trHeight w:val="155"/>
        </w:trPr>
        <w:tc>
          <w:tcPr>
            <w:tcW w:w="1814" w:type="dxa"/>
            <w:hideMark/>
          </w:tcPr>
          <w:p w14:paraId="072E7CF2" w14:textId="77777777" w:rsidR="000C004E" w:rsidRDefault="000C004E">
            <w:pPr>
              <w:pStyle w:val="Marginlie"/>
              <w:rPr>
                <w:lang w:eastAsia="en-US"/>
              </w:rPr>
            </w:pPr>
            <w:r>
              <w:rPr>
                <w:lang w:eastAsia="en-US"/>
              </w:rPr>
              <w:lastRenderedPageBreak/>
              <w:t xml:space="preserve">Tržby v </w:t>
            </w:r>
            <w:r>
              <w:rPr>
                <w:rFonts w:cs="Arial"/>
                <w:color w:val="0D0D0D" w:themeColor="text1" w:themeTint="F2"/>
                <w:spacing w:val="-4"/>
                <w:lang w:eastAsia="en-US"/>
              </w:rPr>
              <w:t xml:space="preserve">ubytování, stravování a pohostinství </w:t>
            </w:r>
            <w:r>
              <w:rPr>
                <w:color w:val="0D0D0D" w:themeColor="text1" w:themeTint="F2"/>
                <w:spacing w:val="-4"/>
                <w:lang w:eastAsia="en-US"/>
              </w:rPr>
              <w:t>se mírně snížily.</w:t>
            </w:r>
          </w:p>
        </w:tc>
        <w:tc>
          <w:tcPr>
            <w:tcW w:w="201" w:type="dxa"/>
          </w:tcPr>
          <w:p w14:paraId="1D7BF3BB" w14:textId="77777777" w:rsidR="000C004E" w:rsidRDefault="000C004E">
            <w:pPr>
              <w:pStyle w:val="Textpoznpodarou"/>
              <w:jc w:val="both"/>
              <w:rPr>
                <w:spacing w:val="-4"/>
                <w:lang w:eastAsia="en-US"/>
              </w:rPr>
            </w:pPr>
          </w:p>
        </w:tc>
        <w:tc>
          <w:tcPr>
            <w:tcW w:w="7722" w:type="dxa"/>
            <w:hideMark/>
          </w:tcPr>
          <w:p w14:paraId="37422008" w14:textId="77777777" w:rsidR="000C004E" w:rsidRDefault="000C004E">
            <w:pPr>
              <w:spacing w:after="200"/>
              <w:rPr>
                <w:rFonts w:cs="Arial"/>
                <w:color w:val="0D0D0D" w:themeColor="text1" w:themeTint="F2"/>
                <w:spacing w:val="-4"/>
                <w:lang w:eastAsia="en-US"/>
              </w:rPr>
            </w:pPr>
            <w:r>
              <w:rPr>
                <w:rFonts w:cs="Arial"/>
                <w:color w:val="0D0D0D" w:themeColor="text1" w:themeTint="F2"/>
                <w:spacing w:val="-4"/>
                <w:lang w:eastAsia="en-US"/>
              </w:rPr>
              <w:t>V ubytování, stravování a pohostinství se letos tržby meziročně mírně snížily (</w:t>
            </w:r>
            <w:r>
              <w:rPr>
                <w:color w:val="0D0D0D" w:themeColor="text1" w:themeTint="F2"/>
                <w:spacing w:val="-6"/>
                <w:lang w:eastAsia="en-US"/>
              </w:rPr>
              <w:t>−</w:t>
            </w:r>
            <w:r>
              <w:rPr>
                <w:rFonts w:cs="Arial"/>
                <w:color w:val="0D0D0D" w:themeColor="text1" w:themeTint="F2"/>
                <w:spacing w:val="-4"/>
                <w:lang w:eastAsia="en-US"/>
              </w:rPr>
              <w:t>1,3 %), k čemuž přispěly vcelku rovnoměrně oba segmenty tohoto odvětví. U subjektů, jejichž převažující ekonomická činnost spočívá v ubytování, klesly tržby o 3,2 %, nejvíce od vrcholu protipandemických restrikcí (na počátku roku 2021). Na poptávku patrně zčásti negativně působil efekt pokračujícího svižného růstu cen v této oblasti</w:t>
            </w:r>
            <w:r>
              <w:rPr>
                <w:rStyle w:val="Znakapoznpodarou"/>
                <w:color w:val="0D0D0D" w:themeColor="text1" w:themeTint="F2"/>
                <w:spacing w:val="-4"/>
                <w:lang w:eastAsia="en-US"/>
              </w:rPr>
              <w:footnoteReference w:id="41"/>
            </w:r>
            <w:r>
              <w:rPr>
                <w:rFonts w:cs="Arial"/>
                <w:color w:val="0D0D0D" w:themeColor="text1" w:themeTint="F2"/>
                <w:spacing w:val="-4"/>
                <w:lang w:eastAsia="en-US"/>
              </w:rPr>
              <w:t xml:space="preserve">. </w:t>
            </w:r>
            <w:r>
              <w:rPr>
                <w:rFonts w:cs="Arial"/>
                <w:color w:val="0D0D0D" w:themeColor="text1" w:themeTint="F2"/>
                <w:spacing w:val="-2"/>
                <w:lang w:eastAsia="en-US"/>
              </w:rPr>
              <w:t>Naturální ukazatele v oblasti příjezdového cestovního ruchu naznačují oproti reálným tržbám mírně lepší výsledky</w:t>
            </w:r>
            <w:r>
              <w:rPr>
                <w:rStyle w:val="Znakapoznpodarou"/>
                <w:color w:val="0D0D0D" w:themeColor="text1" w:themeTint="F2"/>
                <w:spacing w:val="-2"/>
                <w:lang w:eastAsia="en-US"/>
              </w:rPr>
              <w:footnoteReference w:id="42"/>
            </w:r>
            <w:r>
              <w:rPr>
                <w:rFonts w:cs="Arial"/>
                <w:color w:val="0D0D0D" w:themeColor="text1" w:themeTint="F2"/>
                <w:spacing w:val="-2"/>
                <w:lang w:eastAsia="en-US"/>
              </w:rPr>
              <w:t>.</w:t>
            </w:r>
          </w:p>
        </w:tc>
      </w:tr>
      <w:tr w:rsidR="000C004E" w14:paraId="08FE86DE" w14:textId="77777777" w:rsidTr="000C004E">
        <w:trPr>
          <w:trHeight w:val="155"/>
        </w:trPr>
        <w:tc>
          <w:tcPr>
            <w:tcW w:w="1814" w:type="dxa"/>
          </w:tcPr>
          <w:p w14:paraId="165DF22E" w14:textId="77777777" w:rsidR="000C004E" w:rsidRDefault="000C004E">
            <w:pPr>
              <w:pStyle w:val="Marginlie"/>
              <w:rPr>
                <w:color w:val="0D0D0D" w:themeColor="text1" w:themeTint="F2"/>
                <w:spacing w:val="0"/>
                <w:lang w:eastAsia="en-US"/>
              </w:rPr>
            </w:pPr>
            <w:r>
              <w:rPr>
                <w:color w:val="0D0D0D" w:themeColor="text1" w:themeTint="F2"/>
                <w:spacing w:val="0"/>
                <w:lang w:eastAsia="en-US"/>
              </w:rPr>
              <w:t>Spotřebitelská důvěra v posledních měsících mírně kolísá na úrovni dlouhodobého průměru. Ochota lidí k vyšším nákupům má ale stále své limity.</w:t>
            </w:r>
          </w:p>
          <w:p w14:paraId="2D207B4B" w14:textId="77777777" w:rsidR="000C004E" w:rsidRDefault="000C004E">
            <w:pPr>
              <w:pStyle w:val="Marginlie"/>
              <w:rPr>
                <w:lang w:eastAsia="en-US"/>
              </w:rPr>
            </w:pPr>
          </w:p>
          <w:p w14:paraId="5226C902" w14:textId="77777777" w:rsidR="000C004E" w:rsidRDefault="000C004E">
            <w:pPr>
              <w:pStyle w:val="Marginlie"/>
              <w:rPr>
                <w:lang w:eastAsia="en-US"/>
              </w:rPr>
            </w:pPr>
          </w:p>
          <w:p w14:paraId="34FA269F" w14:textId="77777777" w:rsidR="000C004E" w:rsidRDefault="000C004E">
            <w:pPr>
              <w:pStyle w:val="Marginlie"/>
              <w:rPr>
                <w:lang w:eastAsia="en-US"/>
              </w:rPr>
            </w:pPr>
          </w:p>
          <w:p w14:paraId="7BA873E1" w14:textId="77777777" w:rsidR="000C004E" w:rsidRDefault="000C004E">
            <w:pPr>
              <w:pStyle w:val="Marginlie"/>
              <w:rPr>
                <w:lang w:eastAsia="en-US"/>
              </w:rPr>
            </w:pPr>
          </w:p>
          <w:p w14:paraId="087281F1" w14:textId="77777777" w:rsidR="000C004E" w:rsidRDefault="000C004E">
            <w:pPr>
              <w:pStyle w:val="Marginlie"/>
              <w:rPr>
                <w:lang w:eastAsia="en-US"/>
              </w:rPr>
            </w:pPr>
          </w:p>
          <w:p w14:paraId="2BEFB020" w14:textId="77777777" w:rsidR="000C004E" w:rsidRDefault="000C004E">
            <w:pPr>
              <w:pStyle w:val="Marginlie"/>
              <w:rPr>
                <w:lang w:eastAsia="en-US"/>
              </w:rPr>
            </w:pPr>
          </w:p>
          <w:p w14:paraId="25449098" w14:textId="77777777" w:rsidR="000C004E" w:rsidRDefault="000C004E">
            <w:pPr>
              <w:pStyle w:val="Marginlie"/>
              <w:rPr>
                <w:lang w:eastAsia="en-US"/>
              </w:rPr>
            </w:pPr>
            <w:r>
              <w:rPr>
                <w:lang w:eastAsia="en-US"/>
              </w:rPr>
              <w:t>Důvěra obchodníků v ekonomiku vystoupala letos na jaře na téměř tříleté maximum.</w:t>
            </w:r>
          </w:p>
          <w:p w14:paraId="526BF04F" w14:textId="77777777" w:rsidR="000C004E" w:rsidRDefault="000C004E">
            <w:pPr>
              <w:pStyle w:val="Marginlie"/>
              <w:rPr>
                <w:lang w:eastAsia="en-US"/>
              </w:rPr>
            </w:pPr>
          </w:p>
        </w:tc>
        <w:tc>
          <w:tcPr>
            <w:tcW w:w="201" w:type="dxa"/>
          </w:tcPr>
          <w:p w14:paraId="11EEDF6B" w14:textId="77777777" w:rsidR="000C004E" w:rsidRDefault="000C004E">
            <w:pPr>
              <w:pStyle w:val="Textpoznpodarou"/>
              <w:jc w:val="both"/>
              <w:rPr>
                <w:spacing w:val="-4"/>
                <w:lang w:eastAsia="en-US"/>
              </w:rPr>
            </w:pPr>
          </w:p>
        </w:tc>
        <w:tc>
          <w:tcPr>
            <w:tcW w:w="7722" w:type="dxa"/>
            <w:hideMark/>
          </w:tcPr>
          <w:p w14:paraId="13FDC1BF" w14:textId="77777777" w:rsidR="000C004E" w:rsidRDefault="000C004E">
            <w:pPr>
              <w:spacing w:after="0"/>
              <w:rPr>
                <w:rFonts w:cs="Arial"/>
                <w:szCs w:val="20"/>
                <w:lang w:eastAsia="en-US"/>
              </w:rPr>
            </w:pPr>
            <w:r>
              <w:rPr>
                <w:bCs/>
                <w:lang w:eastAsia="en-US"/>
              </w:rPr>
              <w:t xml:space="preserve">Maloobchod na počátku letošního roku plně navázal na loňské zotavení. </w:t>
            </w:r>
            <w:r>
              <w:rPr>
                <w:rFonts w:cs="Arial"/>
                <w:color w:val="0D0D0D" w:themeColor="text1" w:themeTint="F2"/>
                <w:spacing w:val="-4"/>
                <w:lang w:eastAsia="en-US"/>
              </w:rPr>
              <w:t>Jeho předpokladem byl návrat spotřebitelských cen do běžných růstových pásem. To spolu se solidní kondicí trhu práce rychle nastartovalo růst kupní síly domácností a zlepšilo jejich celkovou důvěru v ekonomiku, která proto vystoupala loni v dubnu nejvýše za poslední dva a půl roku. Během léta sice došlo k mírnému zhoršení, ale následně se důvěra stabilizovala a letos v květnu se pohybovala na úrovni dlouhodobého normálu</w:t>
            </w:r>
            <w:r>
              <w:rPr>
                <w:rStyle w:val="Znakapoznpodarou"/>
                <w:color w:val="0D0D0D" w:themeColor="text1" w:themeTint="F2"/>
                <w:spacing w:val="-4"/>
                <w:lang w:eastAsia="en-US"/>
              </w:rPr>
              <w:footnoteReference w:id="43"/>
            </w:r>
            <w:r>
              <w:rPr>
                <w:rFonts w:cs="Arial"/>
                <w:color w:val="0D0D0D" w:themeColor="text1" w:themeTint="F2"/>
                <w:spacing w:val="-4"/>
                <w:lang w:eastAsia="en-US"/>
              </w:rPr>
              <w:t xml:space="preserve">. Pesimismus domácností ohledně </w:t>
            </w:r>
            <w:r>
              <w:rPr>
                <w:rFonts w:cs="Arial"/>
                <w:szCs w:val="20"/>
                <w:lang w:eastAsia="en-US"/>
              </w:rPr>
              <w:t xml:space="preserve">jejich aktuální i očekávané finanční situace se v meziročním pohledu snížil. Přestože i úmysl domácností spořit klesl (byl nejnižší od léta 2023), jejich ochota k větším nákupům (předmětů dlouhodobé spotřeby a investic) zůstává relativně nízká (současnost považuje za vhodnou dobu k těmto nákupům jen desetina domácností, za nevhodnou více než čtvrtina). Aktuální obavy lidí z růstu cen odpovídaly dlouhodobému průměru a byly i podobné jako na počátku roku 2025, meziročně však posílily. </w:t>
            </w:r>
            <w:r>
              <w:rPr>
                <w:rFonts w:cs="Arial"/>
                <w:color w:val="0D0D0D" w:themeColor="text1" w:themeTint="F2"/>
                <w:spacing w:val="-4"/>
                <w:lang w:eastAsia="en-US"/>
              </w:rPr>
              <w:t>Souběžně narostl optimismus obchodníků. Úroveň jejich důvěry v ekonomiku vystoupala letos v březnu nejvýše za poslední bezmála tři roky a současně byla srovnatelná s konjunkturním rokem 2019. Důvěra vyvěrala především k příznivého hodnocení současné ekonomické situace obchodních firem. K oživení maloobchodu přispíval i rozvoj příjezdového cestovního ruchu.</w:t>
            </w:r>
          </w:p>
        </w:tc>
      </w:tr>
      <w:tr w:rsidR="000C004E" w14:paraId="6C11D367" w14:textId="77777777" w:rsidTr="000C004E">
        <w:trPr>
          <w:trHeight w:val="155"/>
        </w:trPr>
        <w:tc>
          <w:tcPr>
            <w:tcW w:w="1814" w:type="dxa"/>
            <w:vMerge w:val="restart"/>
          </w:tcPr>
          <w:p w14:paraId="2788BB41" w14:textId="77777777" w:rsidR="000C004E" w:rsidRDefault="000C004E">
            <w:pPr>
              <w:pStyle w:val="Marginlie"/>
              <w:rPr>
                <w:lang w:eastAsia="en-US"/>
              </w:rPr>
            </w:pPr>
          </w:p>
        </w:tc>
        <w:tc>
          <w:tcPr>
            <w:tcW w:w="201" w:type="dxa"/>
            <w:vMerge w:val="restart"/>
          </w:tcPr>
          <w:p w14:paraId="438486D4" w14:textId="77777777" w:rsidR="000C004E" w:rsidRDefault="000C004E">
            <w:pPr>
              <w:pStyle w:val="Textpoznpodarou"/>
              <w:jc w:val="both"/>
              <w:rPr>
                <w:spacing w:val="-4"/>
                <w:lang w:eastAsia="en-US"/>
              </w:rPr>
            </w:pPr>
          </w:p>
        </w:tc>
        <w:tc>
          <w:tcPr>
            <w:tcW w:w="7722" w:type="dxa"/>
            <w:hideMark/>
          </w:tcPr>
          <w:p w14:paraId="4E35412A" w14:textId="77777777" w:rsidR="000C004E" w:rsidRDefault="000C004E">
            <w:pPr>
              <w:spacing w:after="0"/>
              <w:rPr>
                <w:rFonts w:cs="Arial"/>
                <w:color w:val="0D0D0D" w:themeColor="text1" w:themeTint="F2"/>
                <w:spacing w:val="-4"/>
                <w:szCs w:val="20"/>
                <w:lang w:eastAsia="en-US"/>
              </w:rPr>
            </w:pPr>
            <w:r>
              <w:rPr>
                <w:b/>
                <w:lang w:eastAsia="en-US"/>
              </w:rPr>
              <w:t xml:space="preserve">Graf č. 8 </w:t>
            </w:r>
            <w:r>
              <w:rPr>
                <w:rFonts w:cs="Arial"/>
                <w:b/>
                <w:bCs/>
                <w:color w:val="0D0D0D" w:themeColor="text1" w:themeTint="F2"/>
                <w:spacing w:val="-6"/>
                <w:lang w:eastAsia="en-US"/>
              </w:rPr>
              <w:t xml:space="preserve">Příspěvky dílčích odvětví k meziroční změně tržeb v maloobchodu* </w:t>
            </w:r>
            <w:r>
              <w:rPr>
                <w:rFonts w:cs="Arial"/>
                <w:color w:val="0D0D0D" w:themeColor="text1" w:themeTint="F2"/>
                <w:spacing w:val="-6"/>
                <w:lang w:eastAsia="en-US"/>
              </w:rPr>
              <w:t xml:space="preserve">(reálně, v p. b.), </w:t>
            </w:r>
            <w:r>
              <w:rPr>
                <w:rFonts w:cs="Arial"/>
                <w:b/>
                <w:bCs/>
                <w:color w:val="0D0D0D" w:themeColor="text1" w:themeTint="F2"/>
                <w:spacing w:val="-6"/>
                <w:lang w:eastAsia="en-US"/>
              </w:rPr>
              <w:t xml:space="preserve">tržby v maloobchodu a v motoristickém segmentu obchodu** </w:t>
            </w:r>
            <w:r>
              <w:rPr>
                <w:rFonts w:cs="Arial"/>
                <w:color w:val="0D0D0D" w:themeColor="text1" w:themeTint="F2"/>
                <w:spacing w:val="-6"/>
                <w:lang w:eastAsia="en-US"/>
              </w:rPr>
              <w:t xml:space="preserve">(reálně, úroveň roku 2021=100, pravá osa), </w:t>
            </w:r>
            <w:r>
              <w:rPr>
                <w:rFonts w:cs="Arial"/>
                <w:b/>
                <w:bCs/>
                <w:color w:val="0D0D0D" w:themeColor="text1" w:themeTint="F2"/>
                <w:spacing w:val="-6"/>
                <w:lang w:eastAsia="en-US"/>
              </w:rPr>
              <w:t xml:space="preserve">saldo důvěry spotřebitelů i obchodníků*** </w:t>
            </w:r>
            <w:r>
              <w:rPr>
                <w:rFonts w:cs="Arial"/>
                <w:color w:val="0D0D0D" w:themeColor="text1" w:themeTint="F2"/>
                <w:spacing w:val="-6"/>
                <w:lang w:eastAsia="en-US"/>
              </w:rPr>
              <w:t>(v p. b., pravá osa)</w:t>
            </w:r>
          </w:p>
        </w:tc>
      </w:tr>
      <w:tr w:rsidR="000C004E" w14:paraId="10F4AB3E" w14:textId="77777777" w:rsidTr="000C004E">
        <w:trPr>
          <w:trHeight w:val="155"/>
        </w:trPr>
        <w:tc>
          <w:tcPr>
            <w:tcW w:w="0" w:type="auto"/>
            <w:vMerge/>
            <w:vAlign w:val="center"/>
            <w:hideMark/>
          </w:tcPr>
          <w:p w14:paraId="02E80CE2" w14:textId="77777777" w:rsidR="000C004E" w:rsidRDefault="000C004E">
            <w:pPr>
              <w:spacing w:after="0" w:line="240" w:lineRule="auto"/>
              <w:jc w:val="left"/>
              <w:rPr>
                <w:spacing w:val="-2"/>
                <w:sz w:val="16"/>
                <w:szCs w:val="16"/>
                <w:lang w:eastAsia="en-US"/>
              </w:rPr>
            </w:pPr>
          </w:p>
        </w:tc>
        <w:tc>
          <w:tcPr>
            <w:tcW w:w="0" w:type="auto"/>
            <w:vMerge/>
            <w:vAlign w:val="center"/>
            <w:hideMark/>
          </w:tcPr>
          <w:p w14:paraId="1B42F453" w14:textId="77777777" w:rsidR="000C004E" w:rsidRDefault="000C004E">
            <w:pPr>
              <w:spacing w:after="0" w:line="240" w:lineRule="auto"/>
              <w:jc w:val="left"/>
              <w:rPr>
                <w:rFonts w:eastAsia="Calibri"/>
                <w:spacing w:val="-4"/>
                <w:szCs w:val="20"/>
                <w:lang w:eastAsia="en-US"/>
              </w:rPr>
            </w:pPr>
          </w:p>
        </w:tc>
        <w:tc>
          <w:tcPr>
            <w:tcW w:w="7722" w:type="dxa"/>
            <w:tcMar>
              <w:top w:w="0" w:type="dxa"/>
              <w:left w:w="70" w:type="dxa"/>
              <w:bottom w:w="0" w:type="dxa"/>
              <w:right w:w="70" w:type="dxa"/>
            </w:tcMar>
            <w:hideMark/>
          </w:tcPr>
          <w:p w14:paraId="72A3CCCC" w14:textId="204E345E" w:rsidR="000C004E" w:rsidRDefault="000C004E">
            <w:pPr>
              <w:spacing w:before="40" w:after="40"/>
              <w:rPr>
                <w:rFonts w:cs="Arial"/>
                <w:color w:val="0D0D0D" w:themeColor="text1" w:themeTint="F2"/>
                <w:spacing w:val="-4"/>
                <w:szCs w:val="20"/>
                <w:lang w:eastAsia="en-US"/>
              </w:rPr>
            </w:pPr>
            <w:r>
              <w:rPr>
                <w:noProof/>
              </w:rPr>
              <w:drawing>
                <wp:inline distT="0" distB="0" distL="0" distR="0" wp14:anchorId="23B7052B" wp14:editId="0AB36C4B">
                  <wp:extent cx="4752975" cy="3495675"/>
                  <wp:effectExtent l="0" t="0" r="0" b="0"/>
                  <wp:docPr id="28" name="Graf 28">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004E" w14:paraId="7F250CA3" w14:textId="77777777" w:rsidTr="000C004E">
        <w:trPr>
          <w:trHeight w:val="155"/>
        </w:trPr>
        <w:tc>
          <w:tcPr>
            <w:tcW w:w="0" w:type="auto"/>
            <w:vMerge/>
            <w:vAlign w:val="center"/>
            <w:hideMark/>
          </w:tcPr>
          <w:p w14:paraId="155A2A31" w14:textId="77777777" w:rsidR="000C004E" w:rsidRDefault="000C004E">
            <w:pPr>
              <w:spacing w:after="0" w:line="240" w:lineRule="auto"/>
              <w:jc w:val="left"/>
              <w:rPr>
                <w:spacing w:val="-2"/>
                <w:sz w:val="16"/>
                <w:szCs w:val="16"/>
                <w:lang w:eastAsia="en-US"/>
              </w:rPr>
            </w:pPr>
          </w:p>
        </w:tc>
        <w:tc>
          <w:tcPr>
            <w:tcW w:w="0" w:type="auto"/>
            <w:vMerge/>
            <w:vAlign w:val="center"/>
            <w:hideMark/>
          </w:tcPr>
          <w:p w14:paraId="3F1143E9" w14:textId="77777777" w:rsidR="000C004E" w:rsidRDefault="000C004E">
            <w:pPr>
              <w:spacing w:after="0" w:line="240" w:lineRule="auto"/>
              <w:jc w:val="left"/>
              <w:rPr>
                <w:rFonts w:eastAsia="Calibri"/>
                <w:spacing w:val="-4"/>
                <w:szCs w:val="20"/>
                <w:lang w:eastAsia="en-US"/>
              </w:rPr>
            </w:pPr>
          </w:p>
        </w:tc>
        <w:tc>
          <w:tcPr>
            <w:tcW w:w="7722" w:type="dxa"/>
            <w:hideMark/>
          </w:tcPr>
          <w:p w14:paraId="14671EA2" w14:textId="77777777" w:rsidR="000C004E" w:rsidRDefault="000C004E">
            <w:pPr>
              <w:spacing w:after="0" w:line="240" w:lineRule="auto"/>
              <w:rPr>
                <w:rFonts w:cs="Arial"/>
                <w:sz w:val="14"/>
                <w:szCs w:val="14"/>
                <w:lang w:eastAsia="en-US"/>
              </w:rPr>
            </w:pPr>
            <w:r>
              <w:rPr>
                <w:rFonts w:cs="Arial"/>
                <w:color w:val="0D0D0D" w:themeColor="text1" w:themeTint="F2"/>
                <w:spacing w:val="-6"/>
                <w:lang w:eastAsia="en-US"/>
              </w:rPr>
              <w:t>*</w:t>
            </w:r>
            <w:r>
              <w:rPr>
                <w:rFonts w:cs="Arial"/>
                <w:sz w:val="14"/>
                <w:szCs w:val="14"/>
                <w:lang w:eastAsia="en-US"/>
              </w:rPr>
              <w:t xml:space="preserve"> Tržby jsou očištěny o kalendářní vlivy.       ** Tržby jsou sezónně i kalendářně očištěny.</w:t>
            </w:r>
          </w:p>
          <w:p w14:paraId="530EF049" w14:textId="77777777" w:rsidR="000C004E" w:rsidRDefault="000C004E">
            <w:pPr>
              <w:spacing w:after="200"/>
              <w:rPr>
                <w:rFonts w:cs="Arial"/>
                <w:color w:val="0D0D0D" w:themeColor="text1" w:themeTint="F2"/>
                <w:spacing w:val="-4"/>
                <w:szCs w:val="20"/>
                <w:lang w:eastAsia="en-US"/>
              </w:rPr>
            </w:pPr>
            <w:r>
              <w:rPr>
                <w:rFonts w:cs="Arial"/>
                <w:color w:val="0D0D0D" w:themeColor="text1" w:themeTint="F2"/>
                <w:spacing w:val="-4"/>
                <w:sz w:val="14"/>
                <w:szCs w:val="14"/>
                <w:lang w:eastAsia="en-US"/>
              </w:rPr>
              <w:t>*** Salda důvěry jsou sezónně očištěna a vyjadřují stav ve druhém měsíci daného čtvrtletí.</w:t>
            </w:r>
            <w:r>
              <w:rPr>
                <w:rFonts w:cs="Arial"/>
                <w:color w:val="0D0D0D" w:themeColor="text1" w:themeTint="F2"/>
                <w:spacing w:val="-4"/>
                <w:sz w:val="14"/>
                <w:szCs w:val="14"/>
                <w:lang w:eastAsia="en-US"/>
              </w:rPr>
              <w:tab/>
              <w:t xml:space="preserve">                                    Zdroj: ČSÚ</w:t>
            </w:r>
          </w:p>
        </w:tc>
      </w:tr>
      <w:tr w:rsidR="000C004E" w14:paraId="5A290D71" w14:textId="77777777" w:rsidTr="000C004E">
        <w:trPr>
          <w:trHeight w:val="170"/>
        </w:trPr>
        <w:tc>
          <w:tcPr>
            <w:tcW w:w="1814" w:type="dxa"/>
          </w:tcPr>
          <w:p w14:paraId="4B62CD8A" w14:textId="77777777" w:rsidR="000C004E" w:rsidRDefault="000C004E">
            <w:pPr>
              <w:pStyle w:val="Marginlie"/>
              <w:rPr>
                <w:color w:val="0D0D0D" w:themeColor="text1" w:themeTint="F2"/>
                <w:spacing w:val="0"/>
                <w:lang w:eastAsia="en-US"/>
              </w:rPr>
            </w:pPr>
            <w:r>
              <w:rPr>
                <w:color w:val="0D0D0D" w:themeColor="text1" w:themeTint="F2"/>
                <w:spacing w:val="0"/>
                <w:lang w:eastAsia="en-US"/>
              </w:rPr>
              <w:t>Meziroční růst maloobchodních tržeb byl nadále tažen zejména podejem nepotravinářského zboží, jemuž dominoval dynamicky se rozvíjející internetový prodej.</w:t>
            </w:r>
          </w:p>
          <w:p w14:paraId="2873F895" w14:textId="77777777" w:rsidR="000C004E" w:rsidRDefault="000C004E">
            <w:pPr>
              <w:pStyle w:val="Marginlie"/>
              <w:rPr>
                <w:color w:val="0D0D0D" w:themeColor="text1" w:themeTint="F2"/>
                <w:spacing w:val="0"/>
                <w:lang w:eastAsia="en-US"/>
              </w:rPr>
            </w:pPr>
          </w:p>
          <w:p w14:paraId="0414309E" w14:textId="77777777" w:rsidR="000C004E" w:rsidRDefault="000C004E">
            <w:pPr>
              <w:pStyle w:val="Marginlie"/>
              <w:rPr>
                <w:color w:val="0D0D0D" w:themeColor="text1" w:themeTint="F2"/>
                <w:spacing w:val="0"/>
                <w:lang w:eastAsia="en-US"/>
              </w:rPr>
            </w:pPr>
          </w:p>
          <w:p w14:paraId="1599D1A0" w14:textId="77777777" w:rsidR="000C004E" w:rsidRDefault="000C004E">
            <w:pPr>
              <w:pStyle w:val="Marginlie"/>
              <w:rPr>
                <w:color w:val="0D0D0D" w:themeColor="text1" w:themeTint="F2"/>
                <w:spacing w:val="0"/>
                <w:lang w:eastAsia="en-US"/>
              </w:rPr>
            </w:pPr>
          </w:p>
          <w:p w14:paraId="490BB1C1" w14:textId="77777777" w:rsidR="000C004E" w:rsidRDefault="000C004E">
            <w:pPr>
              <w:pStyle w:val="Marginlie"/>
              <w:rPr>
                <w:color w:val="0D0D0D" w:themeColor="text1" w:themeTint="F2"/>
                <w:spacing w:val="0"/>
                <w:lang w:eastAsia="en-US"/>
              </w:rPr>
            </w:pPr>
          </w:p>
          <w:p w14:paraId="60AF0FA7" w14:textId="77777777" w:rsidR="000C004E" w:rsidRDefault="000C004E">
            <w:pPr>
              <w:pStyle w:val="Marginlie"/>
              <w:rPr>
                <w:color w:val="0D0D0D" w:themeColor="text1" w:themeTint="F2"/>
                <w:spacing w:val="0"/>
                <w:lang w:eastAsia="en-US"/>
              </w:rPr>
            </w:pPr>
          </w:p>
          <w:p w14:paraId="36F87201" w14:textId="77777777" w:rsidR="000C004E" w:rsidRDefault="000C004E">
            <w:pPr>
              <w:pStyle w:val="Marginlie"/>
              <w:rPr>
                <w:color w:val="0D0D0D" w:themeColor="text1" w:themeTint="F2"/>
                <w:spacing w:val="0"/>
                <w:lang w:eastAsia="en-US"/>
              </w:rPr>
            </w:pPr>
          </w:p>
          <w:p w14:paraId="743A5F43" w14:textId="77777777" w:rsidR="000C004E" w:rsidRDefault="000C004E">
            <w:pPr>
              <w:pStyle w:val="Marginlie"/>
              <w:rPr>
                <w:color w:val="0D0D0D" w:themeColor="text1" w:themeTint="F2"/>
                <w:spacing w:val="0"/>
                <w:lang w:eastAsia="en-US"/>
              </w:rPr>
            </w:pPr>
          </w:p>
          <w:p w14:paraId="7E657171" w14:textId="77777777" w:rsidR="000C004E" w:rsidRDefault="000C004E">
            <w:pPr>
              <w:pStyle w:val="Marginlie"/>
              <w:rPr>
                <w:color w:val="0D0D0D" w:themeColor="text1" w:themeTint="F2"/>
                <w:spacing w:val="0"/>
                <w:lang w:eastAsia="en-US"/>
              </w:rPr>
            </w:pPr>
            <w:r>
              <w:rPr>
                <w:color w:val="0D0D0D" w:themeColor="text1" w:themeTint="F2"/>
                <w:spacing w:val="0"/>
                <w:lang w:eastAsia="en-US"/>
              </w:rPr>
              <w:t xml:space="preserve">V menší části specializovaných prodejen ovšem tržby meziročně klesaly. </w:t>
            </w:r>
          </w:p>
          <w:p w14:paraId="14BDEFAB" w14:textId="77777777" w:rsidR="000C004E" w:rsidRDefault="000C004E">
            <w:pPr>
              <w:pStyle w:val="Marginlie"/>
              <w:rPr>
                <w:color w:val="0D0D0D" w:themeColor="text1" w:themeTint="F2"/>
                <w:spacing w:val="0"/>
                <w:lang w:eastAsia="en-US"/>
              </w:rPr>
            </w:pPr>
          </w:p>
          <w:p w14:paraId="55A03116" w14:textId="77777777" w:rsidR="000C004E" w:rsidRDefault="000C004E">
            <w:pPr>
              <w:pStyle w:val="Marginlie"/>
              <w:rPr>
                <w:color w:val="0D0D0D" w:themeColor="text1" w:themeTint="F2"/>
                <w:spacing w:val="0"/>
                <w:lang w:eastAsia="en-US"/>
              </w:rPr>
            </w:pPr>
            <w:r>
              <w:rPr>
                <w:color w:val="0D0D0D" w:themeColor="text1" w:themeTint="F2"/>
                <w:spacing w:val="0"/>
                <w:lang w:eastAsia="en-US"/>
              </w:rPr>
              <w:lastRenderedPageBreak/>
              <w:t>Poptávka po PHM nadále svižně rostla, a to i díky příznivému vývoji jejich spotřebitelských cen.</w:t>
            </w:r>
          </w:p>
          <w:p w14:paraId="7D87FB25" w14:textId="77777777" w:rsidR="000C004E" w:rsidRDefault="000C004E">
            <w:pPr>
              <w:pStyle w:val="Marginlie"/>
              <w:rPr>
                <w:spacing w:val="-4"/>
                <w:lang w:eastAsia="en-US"/>
              </w:rPr>
            </w:pPr>
          </w:p>
        </w:tc>
        <w:tc>
          <w:tcPr>
            <w:tcW w:w="201" w:type="dxa"/>
          </w:tcPr>
          <w:p w14:paraId="64BAB8B2" w14:textId="77777777" w:rsidR="000C004E" w:rsidRDefault="000C004E">
            <w:pPr>
              <w:pStyle w:val="Textpoznpodarou"/>
              <w:jc w:val="both"/>
              <w:rPr>
                <w:color w:val="0D0D0D" w:themeColor="text1" w:themeTint="F2"/>
                <w:spacing w:val="-4"/>
                <w:lang w:eastAsia="en-US"/>
              </w:rPr>
            </w:pPr>
          </w:p>
        </w:tc>
        <w:tc>
          <w:tcPr>
            <w:tcW w:w="7722" w:type="dxa"/>
          </w:tcPr>
          <w:p w14:paraId="6A4C610C" w14:textId="77777777" w:rsidR="000C004E" w:rsidRDefault="000C004E">
            <w:pPr>
              <w:spacing w:after="0"/>
              <w:rPr>
                <w:rFonts w:cs="Arial"/>
                <w:color w:val="0D0D0D" w:themeColor="text1" w:themeTint="F2"/>
                <w:spacing w:val="-4"/>
                <w:szCs w:val="20"/>
                <w:lang w:eastAsia="en-US"/>
              </w:rPr>
            </w:pPr>
            <w:r>
              <w:rPr>
                <w:rFonts w:cs="Arial"/>
                <w:color w:val="0D0D0D" w:themeColor="text1" w:themeTint="F2"/>
                <w:spacing w:val="-4"/>
                <w:szCs w:val="20"/>
                <w:lang w:eastAsia="en-US"/>
              </w:rPr>
              <w:t>Tržby v maloobchodu</w:t>
            </w:r>
            <w:r>
              <w:rPr>
                <w:rStyle w:val="Znakapoznpodarou"/>
                <w:color w:val="0D0D0D" w:themeColor="text1" w:themeTint="F2"/>
                <w:spacing w:val="-4"/>
                <w:lang w:eastAsia="en-US"/>
              </w:rPr>
              <w:footnoteReference w:id="44"/>
            </w:r>
            <w:r>
              <w:rPr>
                <w:rFonts w:cs="Arial"/>
                <w:color w:val="0D0D0D" w:themeColor="text1" w:themeTint="F2"/>
                <w:spacing w:val="-4"/>
                <w:szCs w:val="20"/>
                <w:lang w:eastAsia="en-US"/>
              </w:rPr>
              <w:t xml:space="preserve"> se v 1. čtvrtletí 2025 mezikvartálně zvýšily o 1,0 % (podobně posílily i ve druhé polovině loňského roku) a rostly posedmé v řadě. Aktuální růst nastal prakticky napříč všemi segmenty maloobchodu</w:t>
            </w:r>
            <w:r>
              <w:rPr>
                <w:rStyle w:val="Znakapoznpodarou"/>
                <w:color w:val="0D0D0D" w:themeColor="text1" w:themeTint="F2"/>
                <w:spacing w:val="-4"/>
                <w:szCs w:val="20"/>
                <w:lang w:eastAsia="en-US"/>
              </w:rPr>
              <w:footnoteReference w:id="45"/>
            </w:r>
            <w:r>
              <w:rPr>
                <w:rFonts w:cs="Arial"/>
                <w:color w:val="0D0D0D" w:themeColor="text1" w:themeTint="F2"/>
                <w:spacing w:val="-4"/>
                <w:szCs w:val="20"/>
                <w:lang w:eastAsia="en-US"/>
              </w:rPr>
              <w:t>. Současná úroveň tržeb i tak za předkrizovým maximem (ze 4. čtvrtletí 2019) nepatrně zaostávala (o 0,4 %)</w:t>
            </w:r>
            <w:r>
              <w:rPr>
                <w:rStyle w:val="Znakapoznpodarou"/>
                <w:color w:val="0D0D0D" w:themeColor="text1" w:themeTint="F2"/>
                <w:spacing w:val="-4"/>
                <w:szCs w:val="20"/>
                <w:lang w:eastAsia="en-US"/>
              </w:rPr>
              <w:footnoteReference w:id="46"/>
            </w:r>
            <w:r>
              <w:rPr>
                <w:rFonts w:cs="Arial"/>
                <w:color w:val="0D0D0D" w:themeColor="text1" w:themeTint="F2"/>
                <w:spacing w:val="-4"/>
                <w:szCs w:val="20"/>
                <w:lang w:eastAsia="en-US"/>
              </w:rPr>
              <w:t>. Meziročně se tržby zvýšily o 3,4 % a byly stejně jako po celý loňský rok i letos taženy hlavně vyšší poptávkou po nepotravinářském zboží (příspěvek k růstu +2,1 p. b.), do níž zásadně promlouvaly dynamicky rostoucí tržby v oblasti prodeje prostřednictvím internetu nebo zásilkové služby. Ty se zvýšily o 12,2 % a dvojciferným tempem rostly pátý kvartál v řadě. K rozvoji tohoto prodeje přispívá postupující digitalizace, modernizace v oblasti logistiky, ale také stále sofistikovanější marketing. V rámci specializovaných obchodů</w:t>
            </w:r>
            <w:r>
              <w:rPr>
                <w:rStyle w:val="Znakapoznpodarou"/>
                <w:color w:val="0D0D0D" w:themeColor="text1" w:themeTint="F2"/>
                <w:spacing w:val="-4"/>
                <w:szCs w:val="20"/>
                <w:lang w:eastAsia="en-US"/>
              </w:rPr>
              <w:footnoteReference w:id="47"/>
            </w:r>
            <w:r>
              <w:rPr>
                <w:rFonts w:cs="Arial"/>
                <w:color w:val="0D0D0D" w:themeColor="text1" w:themeTint="F2"/>
                <w:spacing w:val="-4"/>
                <w:szCs w:val="20"/>
                <w:lang w:eastAsia="en-US"/>
              </w:rPr>
              <w:t xml:space="preserve"> se opět zvýšila nejvíce poptávka po kosmetických a toaletních výrobcích (+8,2 %)</w:t>
            </w:r>
            <w:r>
              <w:rPr>
                <w:rStyle w:val="Znakapoznpodarou"/>
                <w:color w:val="0D0D0D" w:themeColor="text1" w:themeTint="F2"/>
                <w:spacing w:val="-4"/>
                <w:szCs w:val="20"/>
                <w:lang w:eastAsia="en-US"/>
              </w:rPr>
              <w:footnoteReference w:id="48"/>
            </w:r>
            <w:r>
              <w:rPr>
                <w:rFonts w:cs="Arial"/>
                <w:color w:val="0D0D0D" w:themeColor="text1" w:themeTint="F2"/>
                <w:spacing w:val="-4"/>
                <w:szCs w:val="20"/>
                <w:lang w:eastAsia="en-US"/>
              </w:rPr>
              <w:t>, svižně dále rostly i tržby za farmaceutické a zdravotnické zboží (+6,2 %) a k oživení došlo u výrobků pro kulturu a rekreaci (+5,5 %) a po delší době rovněž u potravin (+2,2 %)</w:t>
            </w:r>
            <w:r>
              <w:rPr>
                <w:rStyle w:val="Znakapoznpodarou"/>
                <w:color w:val="0D0D0D" w:themeColor="text1" w:themeTint="F2"/>
                <w:spacing w:val="-4"/>
                <w:szCs w:val="20"/>
                <w:lang w:eastAsia="en-US"/>
              </w:rPr>
              <w:footnoteReference w:id="49"/>
            </w:r>
            <w:r>
              <w:rPr>
                <w:rFonts w:cs="Arial"/>
                <w:color w:val="0D0D0D" w:themeColor="text1" w:themeTint="F2"/>
                <w:spacing w:val="-4"/>
                <w:szCs w:val="20"/>
                <w:lang w:eastAsia="en-US"/>
              </w:rPr>
              <w:t xml:space="preserve">. V kontrastu s tím pokračoval trend dlouhodobějšího poklesu poptávky po výrobcích převážně pro domácnost a na loňské mírné zotavení nenavázaly specializované prodejny s oděvy, obuví a koženým zbožím. Tržby v nespecializovaných prodejnách s převahou potravin, které typicky zahrnují </w:t>
            </w:r>
            <w:r>
              <w:rPr>
                <w:rFonts w:cs="Arial"/>
                <w:color w:val="0D0D0D" w:themeColor="text1" w:themeTint="F2"/>
                <w:spacing w:val="-4"/>
                <w:szCs w:val="20"/>
                <w:lang w:eastAsia="en-US"/>
              </w:rPr>
              <w:lastRenderedPageBreak/>
              <w:t>velké obchodní řetězce, se letos v 1. čtvrtletí meziročně zvýšily jen o 0,8 % a jejich tempo současně oslabilo potřetí v řadě. Naopak velmi dynamicky se zvyšovala poptávka po pohonných hmotách, jež pramenila hlavně z jejich příznivého cenového vývoje</w:t>
            </w:r>
            <w:r>
              <w:rPr>
                <w:rStyle w:val="Znakapoznpodarou"/>
                <w:color w:val="0D0D0D" w:themeColor="text1" w:themeTint="F2"/>
                <w:spacing w:val="-4"/>
                <w:szCs w:val="20"/>
                <w:lang w:eastAsia="en-US"/>
              </w:rPr>
              <w:footnoteReference w:id="50"/>
            </w:r>
            <w:r>
              <w:rPr>
                <w:rFonts w:cs="Arial"/>
                <w:color w:val="0D0D0D" w:themeColor="text1" w:themeTint="F2"/>
                <w:spacing w:val="-4"/>
                <w:szCs w:val="20"/>
                <w:lang w:eastAsia="en-US"/>
              </w:rPr>
              <w:t>. Meziroční růst za jejich prodej dosáhl 7,5 %</w:t>
            </w:r>
            <w:r>
              <w:rPr>
                <w:rStyle w:val="Znakapoznpodarou"/>
                <w:color w:val="0D0D0D" w:themeColor="text1" w:themeTint="F2"/>
                <w:spacing w:val="-4"/>
                <w:szCs w:val="20"/>
                <w:lang w:eastAsia="en-US"/>
              </w:rPr>
              <w:footnoteReference w:id="51"/>
            </w:r>
            <w:r>
              <w:rPr>
                <w:rFonts w:cs="Arial"/>
                <w:color w:val="0D0D0D" w:themeColor="text1" w:themeTint="F2"/>
                <w:spacing w:val="-4"/>
                <w:szCs w:val="20"/>
                <w:lang w:eastAsia="en-US"/>
              </w:rPr>
              <w:t xml:space="preserve"> (o polovinu více než v průměru za celý loňský rok) </w:t>
            </w:r>
            <w:r>
              <w:rPr>
                <w:rFonts w:cs="Arial"/>
                <w:color w:val="0D0D0D" w:themeColor="text1" w:themeTint="F2"/>
                <w:spacing w:val="-4"/>
                <w:szCs w:val="20"/>
                <w:lang w:eastAsia="en-US"/>
              </w:rPr>
              <w:br/>
              <w:t xml:space="preserve">a k růstu celého maloobchodu přispěl 0,9 p. b. (tedy více než dvojnásobně oproti např. celkovému prodeji potravin). </w:t>
            </w:r>
          </w:p>
          <w:p w14:paraId="0F340824" w14:textId="77777777" w:rsidR="000C004E" w:rsidRDefault="000C004E">
            <w:pPr>
              <w:spacing w:after="0"/>
              <w:rPr>
                <w:rFonts w:cs="Arial"/>
                <w:color w:val="0D0D0D" w:themeColor="text1" w:themeTint="F2"/>
                <w:szCs w:val="20"/>
                <w:lang w:eastAsia="en-US"/>
              </w:rPr>
            </w:pPr>
          </w:p>
        </w:tc>
      </w:tr>
      <w:tr w:rsidR="000C004E" w14:paraId="57DA77F7" w14:textId="77777777" w:rsidTr="000C004E">
        <w:trPr>
          <w:trHeight w:val="170"/>
        </w:trPr>
        <w:tc>
          <w:tcPr>
            <w:tcW w:w="1814" w:type="dxa"/>
            <w:hideMark/>
          </w:tcPr>
          <w:p w14:paraId="73F58303" w14:textId="77777777" w:rsidR="000C004E" w:rsidRDefault="000C004E">
            <w:pPr>
              <w:pStyle w:val="Marginlie"/>
              <w:rPr>
                <w:spacing w:val="-4"/>
                <w:lang w:eastAsia="en-US"/>
              </w:rPr>
            </w:pPr>
            <w:r>
              <w:rPr>
                <w:spacing w:val="-4"/>
                <w:lang w:eastAsia="en-US"/>
              </w:rPr>
              <w:lastRenderedPageBreak/>
              <w:t>Poptávka v</w:t>
            </w:r>
            <w:r>
              <w:rPr>
                <w:rFonts w:cs="Arial"/>
                <w:color w:val="0D0D0D" w:themeColor="text1" w:themeTint="F2"/>
                <w:szCs w:val="20"/>
                <w:lang w:eastAsia="en-US"/>
              </w:rPr>
              <w:t> </w:t>
            </w:r>
            <w:r>
              <w:rPr>
                <w:spacing w:val="-4"/>
                <w:lang w:eastAsia="en-US"/>
              </w:rPr>
              <w:t xml:space="preserve">motoristickém segmentu obchodu se druhý rok v řadě zvyšovala jen velmi mírně. </w:t>
            </w:r>
          </w:p>
        </w:tc>
        <w:tc>
          <w:tcPr>
            <w:tcW w:w="201" w:type="dxa"/>
          </w:tcPr>
          <w:p w14:paraId="2CAFF790" w14:textId="77777777" w:rsidR="000C004E" w:rsidRDefault="000C004E">
            <w:pPr>
              <w:pStyle w:val="Textpoznpodarou"/>
              <w:jc w:val="both"/>
              <w:rPr>
                <w:color w:val="0D0D0D" w:themeColor="text1" w:themeTint="F2"/>
                <w:spacing w:val="-4"/>
                <w:lang w:eastAsia="en-US"/>
              </w:rPr>
            </w:pPr>
          </w:p>
        </w:tc>
        <w:tc>
          <w:tcPr>
            <w:tcW w:w="7722" w:type="dxa"/>
            <w:hideMark/>
          </w:tcPr>
          <w:p w14:paraId="75B91152" w14:textId="77777777" w:rsidR="000C004E" w:rsidRDefault="000C004E">
            <w:pPr>
              <w:spacing w:after="0"/>
              <w:rPr>
                <w:rFonts w:cs="Arial"/>
                <w:color w:val="0D0D0D" w:themeColor="text1" w:themeTint="F2"/>
                <w:szCs w:val="20"/>
                <w:lang w:eastAsia="en-US"/>
              </w:rPr>
            </w:pPr>
            <w:r>
              <w:rPr>
                <w:rFonts w:cs="Arial"/>
                <w:color w:val="0D0D0D" w:themeColor="text1" w:themeTint="F2"/>
                <w:szCs w:val="20"/>
                <w:lang w:eastAsia="en-US"/>
              </w:rPr>
              <w:t xml:space="preserve">Tržby v motoristickém segmentu obchodu se letos v 1. čtvrtletí meziročně zvýšily o rovné 1 % (jen mírný růst poptávky byl přitom patrný i po většinu loňského roku). V klíčovém segmentu prodeje motorových vozidel, jehož výsledek závisí hlavně na firemní poptávce, se tržby zvýšily o 1,7 % (ve srovnání s předkrizovým vrcholem z 2. čtvrtletí </w:t>
            </w:r>
            <w:r>
              <w:rPr>
                <w:rFonts w:cs="Arial"/>
                <w:color w:val="0D0D0D" w:themeColor="text1" w:themeTint="F2"/>
                <w:spacing w:val="-6"/>
                <w:szCs w:val="20"/>
                <w:lang w:eastAsia="en-US"/>
              </w:rPr>
              <w:t xml:space="preserve">roku 2017 ovšem zaostaly o 7,4 %). V obchodu s </w:t>
            </w:r>
            <w:r>
              <w:rPr>
                <w:rFonts w:cs="Arial"/>
                <w:color w:val="0D0D0D" w:themeColor="text1" w:themeTint="F2"/>
                <w:szCs w:val="20"/>
                <w:lang w:eastAsia="en-US"/>
              </w:rPr>
              <w:t>díly i příslušenstvím tržby klesly o 1,2 % a snížily se počtvrté v řadě.</w:t>
            </w:r>
            <w:r>
              <w:rPr>
                <w:lang w:eastAsia="en-US"/>
              </w:rPr>
              <w:t xml:space="preserve"> Meziročně se omezila i poptávka v malém segmentu </w:t>
            </w:r>
            <w:r>
              <w:rPr>
                <w:rFonts w:cs="Arial"/>
                <w:color w:val="0D0D0D" w:themeColor="text1" w:themeTint="F2"/>
                <w:szCs w:val="20"/>
                <w:lang w:eastAsia="en-US"/>
              </w:rPr>
              <w:t xml:space="preserve">obchodu, oprav a údržby motocyklů, jejich dílů a příslušenství a současně se nacházela na úrovni počátku roku 2019 (ve všech ostatních motoristických segmentech v tomto srovnání naopak zaostávala). </w:t>
            </w:r>
          </w:p>
        </w:tc>
      </w:tr>
    </w:tbl>
    <w:p w14:paraId="1E361454" w14:textId="77777777" w:rsidR="000C004E" w:rsidRDefault="000C004E" w:rsidP="000C004E">
      <w:pPr>
        <w:pStyle w:val="Nadpis1"/>
        <w:rPr>
          <w:color w:val="71818C"/>
          <w:sz w:val="2"/>
          <w:szCs w:val="2"/>
        </w:rPr>
      </w:pPr>
    </w:p>
    <w:p w14:paraId="487FF7C5" w14:textId="77777777" w:rsidR="000C004E" w:rsidRDefault="000C004E">
      <w:pPr>
        <w:spacing w:after="0" w:line="240" w:lineRule="auto"/>
        <w:jc w:val="left"/>
        <w:rPr>
          <w:rFonts w:eastAsia="MS Gothic"/>
          <w:b/>
          <w:bCs/>
          <w:color w:val="71818C"/>
          <w:sz w:val="2"/>
          <w:szCs w:val="2"/>
        </w:rPr>
      </w:pPr>
      <w:r>
        <w:rPr>
          <w:color w:val="71818C"/>
          <w:sz w:val="2"/>
          <w:szCs w:val="2"/>
        </w:rPr>
        <w:br w:type="page"/>
      </w:r>
    </w:p>
    <w:p w14:paraId="7541F6D3" w14:textId="1BB6A260" w:rsidR="003B7AFA" w:rsidRPr="00F204DA" w:rsidRDefault="003B7AFA" w:rsidP="000C004E">
      <w:pPr>
        <w:pStyle w:val="Nadpis1"/>
      </w:pPr>
      <w:bookmarkStart w:id="19" w:name="_Toc200969291"/>
      <w:r>
        <w:lastRenderedPageBreak/>
        <w:t>4</w:t>
      </w:r>
      <w:bookmarkStart w:id="20" w:name="_Toc19090679"/>
      <w:bookmarkStart w:id="21" w:name="_Toc74643856"/>
      <w:bookmarkStart w:id="22" w:name="_Toc42852411"/>
      <w:bookmarkStart w:id="23" w:name="_Toc74643857"/>
      <w:bookmarkEnd w:id="20"/>
      <w:r>
        <w:t>. Vnější vztahy</w:t>
      </w:r>
      <w:bookmarkEnd w:id="19"/>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3B7AFA" w14:paraId="3B091C2A" w14:textId="77777777" w:rsidTr="003B7AFA">
        <w:trPr>
          <w:trHeight w:val="145"/>
        </w:trPr>
        <w:tc>
          <w:tcPr>
            <w:tcW w:w="1748" w:type="dxa"/>
            <w:hideMark/>
          </w:tcPr>
          <w:p w14:paraId="7EA6EA92" w14:textId="77777777" w:rsidR="003B7AFA" w:rsidRDefault="003B7AFA" w:rsidP="003B7AFA">
            <w:pPr>
              <w:pStyle w:val="Marginlie"/>
              <w:rPr>
                <w:lang w:eastAsia="en-US"/>
              </w:rPr>
            </w:pPr>
            <w:r>
              <w:rPr>
                <w:lang w:eastAsia="en-US"/>
              </w:rPr>
              <w:t xml:space="preserve">Vývoz zboží v 1. čtvrtletí meziročně </w:t>
            </w:r>
            <w:r>
              <w:rPr>
                <w:lang w:eastAsia="en-US"/>
              </w:rPr>
              <w:br/>
              <w:t xml:space="preserve">i mezičtvrtletně rostl. </w:t>
            </w:r>
          </w:p>
        </w:tc>
        <w:tc>
          <w:tcPr>
            <w:tcW w:w="252" w:type="dxa"/>
          </w:tcPr>
          <w:p w14:paraId="6481CEDC" w14:textId="77777777" w:rsidR="003B7AFA" w:rsidRDefault="003B7AFA" w:rsidP="003B7AFA">
            <w:pPr>
              <w:pStyle w:val="Textpoznpodarou"/>
              <w:jc w:val="both"/>
              <w:rPr>
                <w:spacing w:val="-4"/>
                <w:lang w:eastAsia="en-US"/>
              </w:rPr>
            </w:pPr>
          </w:p>
        </w:tc>
        <w:tc>
          <w:tcPr>
            <w:tcW w:w="7677" w:type="dxa"/>
            <w:gridSpan w:val="3"/>
            <w:hideMark/>
          </w:tcPr>
          <w:p w14:paraId="62E9B672" w14:textId="77777777" w:rsidR="003B7AFA" w:rsidRDefault="003B7AFA" w:rsidP="003B7AFA">
            <w:pPr>
              <w:spacing w:after="180"/>
              <w:rPr>
                <w:spacing w:val="-4"/>
                <w:lang w:eastAsia="en-US"/>
              </w:rPr>
            </w:pPr>
            <w:r>
              <w:rPr>
                <w:spacing w:val="-4"/>
                <w:lang w:eastAsia="en-US"/>
              </w:rPr>
              <w:t>Hodnota vývozu zboží</w:t>
            </w:r>
            <w:r>
              <w:rPr>
                <w:rStyle w:val="Znakapoznpodarou"/>
                <w:spacing w:val="-4"/>
                <w:lang w:eastAsia="en-US"/>
              </w:rPr>
              <w:footnoteReference w:id="52"/>
            </w:r>
            <w:r>
              <w:rPr>
                <w:spacing w:val="-4"/>
                <w:lang w:eastAsia="en-US"/>
              </w:rPr>
              <w:t xml:space="preserve"> v 1. čtvrtletí 2025 dosáhla celkově 1 225,0 mld. korun a meziročně se zvýšila o 71,9 mld. korun (6,2 %). Meziroční přírůstek exportu v 1. čtvrtletí posílil oproti předchozímu kvartálu. Cenové posuny</w:t>
            </w:r>
            <w:r>
              <w:rPr>
                <w:rStyle w:val="Znakapoznpodarou"/>
                <w:spacing w:val="-4"/>
                <w:lang w:eastAsia="en-US"/>
              </w:rPr>
              <w:footnoteReference w:id="53"/>
            </w:r>
            <w:r>
              <w:rPr>
                <w:spacing w:val="-4"/>
                <w:lang w:eastAsia="en-US"/>
              </w:rPr>
              <w:t xml:space="preserve"> mírně posilovaly meziroční růst, ale neměly vliv na mezičtvrtletní dynamiku exportu. Podle sezónně očištěných údajů vývoz mezičtvrtletně vzrostl o 2,8 %. </w:t>
            </w:r>
          </w:p>
        </w:tc>
      </w:tr>
      <w:tr w:rsidR="003B7AFA" w14:paraId="7EB4B231" w14:textId="77777777" w:rsidTr="003B7AFA">
        <w:trPr>
          <w:trHeight w:val="145"/>
        </w:trPr>
        <w:tc>
          <w:tcPr>
            <w:tcW w:w="1748" w:type="dxa"/>
          </w:tcPr>
          <w:p w14:paraId="678A4E8C" w14:textId="77777777" w:rsidR="003B7AFA" w:rsidRDefault="003B7AFA" w:rsidP="003B7AFA">
            <w:pPr>
              <w:pStyle w:val="Marginlie"/>
              <w:rPr>
                <w:lang w:eastAsia="en-US"/>
              </w:rPr>
            </w:pPr>
            <w:r>
              <w:rPr>
                <w:lang w:eastAsia="en-US"/>
              </w:rPr>
              <w:t>Stále více rostl export mimo EU.</w:t>
            </w:r>
          </w:p>
        </w:tc>
        <w:tc>
          <w:tcPr>
            <w:tcW w:w="252" w:type="dxa"/>
          </w:tcPr>
          <w:p w14:paraId="3FF44227" w14:textId="77777777" w:rsidR="003B7AFA" w:rsidRDefault="003B7AFA" w:rsidP="003B7AFA">
            <w:pPr>
              <w:pStyle w:val="Textpoznpodarou"/>
              <w:jc w:val="both"/>
              <w:rPr>
                <w:spacing w:val="-4"/>
                <w:lang w:eastAsia="en-US"/>
              </w:rPr>
            </w:pPr>
          </w:p>
        </w:tc>
        <w:tc>
          <w:tcPr>
            <w:tcW w:w="7677" w:type="dxa"/>
            <w:gridSpan w:val="3"/>
          </w:tcPr>
          <w:p w14:paraId="189A9E39" w14:textId="77777777" w:rsidR="003B7AFA" w:rsidRDefault="003B7AFA" w:rsidP="003B7AFA">
            <w:pPr>
              <w:spacing w:after="220"/>
              <w:rPr>
                <w:spacing w:val="-4"/>
                <w:lang w:eastAsia="en-US"/>
              </w:rPr>
            </w:pPr>
            <w:r>
              <w:rPr>
                <w:spacing w:val="-4"/>
                <w:lang w:eastAsia="en-US"/>
              </w:rPr>
              <w:t>Podobně jako po většinu loňského roku také v 1. čtvrtletí 2025 rostl meziročně výrazněji vývoz do zemí mimo EU (+36,8 mld. korun, 15,7 %) než do Evropské unie (+35,2 mld., 3,8 %). Vývoz do většiny zemí rostl, ale zatímco u mimounijních obchodních partnerů pokračoval trend silných přírůstků, export do řady zemí EU rostl mírně nebo stagnoval. Nejvíce se zvýšila hodnota vývozu do Německa (viz Tabulka č. 2), u kterého byly v posledních dvou letech přírůstky značně kolísavé a spíše mírnější. Výrazně v 1. čtvrtletí rostla (zejména z pohledu procentního navýšení) hodnota exportu do Velké Británie, Spojených států amerických</w:t>
            </w:r>
            <w:r>
              <w:rPr>
                <w:rStyle w:val="Znakapoznpodarou"/>
                <w:spacing w:val="-4"/>
                <w:lang w:eastAsia="en-US"/>
              </w:rPr>
              <w:footnoteReference w:id="54"/>
            </w:r>
            <w:r>
              <w:rPr>
                <w:spacing w:val="-4"/>
                <w:lang w:eastAsia="en-US"/>
              </w:rPr>
              <w:t xml:space="preserve"> a na Ukrajinu. Ve skupině mimounijních zemí, kam export </w:t>
            </w:r>
            <w:r>
              <w:rPr>
                <w:spacing w:val="-4"/>
                <w:lang w:eastAsia="en-US"/>
              </w:rPr>
              <w:br/>
              <w:t xml:space="preserve">v 1. čtvrtletí významně rostl, byly také Turecko či Izrael. Co se týká vývozu do EU, významný přírůstek byl zaznamenán také u Slovenska, Francie, Dánska a Švédska. Nejvíce klesl export do Španělska, Maďarska a Itálie. </w:t>
            </w:r>
          </w:p>
        </w:tc>
      </w:tr>
      <w:tr w:rsidR="003B7AFA" w14:paraId="0B03DDD6" w14:textId="77777777" w:rsidTr="003B7AFA">
        <w:trPr>
          <w:trHeight w:val="145"/>
        </w:trPr>
        <w:tc>
          <w:tcPr>
            <w:tcW w:w="1748" w:type="dxa"/>
          </w:tcPr>
          <w:p w14:paraId="7524F88F" w14:textId="77777777" w:rsidR="003B7AFA" w:rsidRDefault="003B7AFA" w:rsidP="003B7AFA">
            <w:pPr>
              <w:pStyle w:val="Marginlie"/>
              <w:rPr>
                <w:lang w:eastAsia="en-US"/>
              </w:rPr>
            </w:pPr>
            <w:r>
              <w:rPr>
                <w:lang w:eastAsia="en-US"/>
              </w:rPr>
              <w:t>Vývoz rostl u většiny komodit.</w:t>
            </w:r>
          </w:p>
        </w:tc>
        <w:tc>
          <w:tcPr>
            <w:tcW w:w="252" w:type="dxa"/>
          </w:tcPr>
          <w:p w14:paraId="26608268" w14:textId="77777777" w:rsidR="003B7AFA" w:rsidRDefault="003B7AFA" w:rsidP="003B7AFA">
            <w:pPr>
              <w:pStyle w:val="Textpoznpodarou"/>
              <w:jc w:val="both"/>
              <w:rPr>
                <w:spacing w:val="-4"/>
                <w:lang w:eastAsia="en-US"/>
              </w:rPr>
            </w:pPr>
          </w:p>
        </w:tc>
        <w:tc>
          <w:tcPr>
            <w:tcW w:w="7677" w:type="dxa"/>
            <w:gridSpan w:val="3"/>
          </w:tcPr>
          <w:p w14:paraId="5F779E61" w14:textId="77777777" w:rsidR="003B7AFA" w:rsidRDefault="003B7AFA" w:rsidP="003B7AFA">
            <w:pPr>
              <w:spacing w:after="180"/>
              <w:rPr>
                <w:spacing w:val="-4"/>
                <w:lang w:eastAsia="en-US"/>
              </w:rPr>
            </w:pPr>
            <w:r>
              <w:rPr>
                <w:spacing w:val="-4"/>
                <w:lang w:eastAsia="en-US"/>
              </w:rPr>
              <w:t>K celkovému meziročnímu přírůstku vývozu v 1. čtvrtletí významně přispělo jen několik ze všech sledovaných komodit, export ale rostl u většiny z nich. Oproti konci roku 2024 výrazně posílil růst exportu motorových vozidel (viz Tabulka č. 1) a blízko pod úrovní 10 mld. byly přírůstky exportu elektřiny, plynu, páry a klimatizovaného vzduchu, elektrických zařízení a počítačů, elektronických a optických přístrojů a zařízení. Rostl i vývoz potravinářských výrobků, ostatních dopravních prostředků a zařízení, strojů a zařízení nebo pryžových a plastových výrobků. U výrobků, u kterých vývoz meziročně klesl a kterých ale byla menšina, se propady nedostaly přes 0,5 mld. korun.</w:t>
            </w:r>
          </w:p>
        </w:tc>
      </w:tr>
      <w:tr w:rsidR="003B7AFA" w14:paraId="6DC6319A" w14:textId="77777777" w:rsidTr="003B7AFA">
        <w:trPr>
          <w:trHeight w:val="170"/>
        </w:trPr>
        <w:tc>
          <w:tcPr>
            <w:tcW w:w="4811" w:type="dxa"/>
            <w:gridSpan w:val="3"/>
            <w:hideMark/>
          </w:tcPr>
          <w:p w14:paraId="2E62121E" w14:textId="77777777" w:rsidR="003B7AFA" w:rsidRDefault="003B7AFA" w:rsidP="003B7AFA">
            <w:pPr>
              <w:spacing w:after="0"/>
              <w:rPr>
                <w:rFonts w:cs="Arial"/>
                <w:b/>
                <w:bCs/>
                <w:color w:val="000000"/>
                <w:sz w:val="18"/>
                <w:szCs w:val="18"/>
                <w:lang w:eastAsia="en-US"/>
              </w:rPr>
            </w:pPr>
            <w:r>
              <w:rPr>
                <w:rFonts w:cs="Arial"/>
                <w:b/>
                <w:bCs/>
                <w:color w:val="000000"/>
                <w:sz w:val="18"/>
                <w:szCs w:val="18"/>
                <w:lang w:eastAsia="en-US"/>
              </w:rPr>
              <w:t xml:space="preserve">Tabulka č. 1 Oddíly klasifikace CPA s největším </w:t>
            </w:r>
          </w:p>
          <w:p w14:paraId="035DC54B" w14:textId="77777777" w:rsidR="003B7AFA" w:rsidRDefault="003B7AFA" w:rsidP="003B7AFA">
            <w:pPr>
              <w:spacing w:after="0"/>
              <w:jc w:val="left"/>
              <w:rPr>
                <w:spacing w:val="-4"/>
                <w:lang w:eastAsia="en-US"/>
              </w:rPr>
            </w:pPr>
            <w:r>
              <w:rPr>
                <w:rFonts w:cs="Arial"/>
                <w:b/>
                <w:bCs/>
                <w:color w:val="000000"/>
                <w:sz w:val="18"/>
                <w:szCs w:val="18"/>
                <w:lang w:eastAsia="en-US"/>
              </w:rPr>
              <w:t xml:space="preserve">vlivem na vývoj vývozu zboží v 1. čtvrtletí 2025 </w:t>
            </w:r>
            <w:r>
              <w:rPr>
                <w:rFonts w:cs="Arial"/>
                <w:bCs/>
                <w:color w:val="000000"/>
                <w:sz w:val="18"/>
                <w:szCs w:val="18"/>
                <w:lang w:eastAsia="en-US"/>
              </w:rPr>
              <w:t>(meziročně)</w:t>
            </w:r>
          </w:p>
        </w:tc>
        <w:tc>
          <w:tcPr>
            <w:tcW w:w="57" w:type="dxa"/>
          </w:tcPr>
          <w:p w14:paraId="3F669128" w14:textId="77777777" w:rsidR="003B7AFA" w:rsidRDefault="003B7AFA" w:rsidP="003B7AFA">
            <w:pPr>
              <w:spacing w:after="0"/>
              <w:rPr>
                <w:spacing w:val="-4"/>
                <w:lang w:eastAsia="en-US"/>
              </w:rPr>
            </w:pPr>
          </w:p>
        </w:tc>
        <w:tc>
          <w:tcPr>
            <w:tcW w:w="4809" w:type="dxa"/>
            <w:hideMark/>
          </w:tcPr>
          <w:p w14:paraId="5CDB8D3C" w14:textId="77777777" w:rsidR="003B7AFA" w:rsidRDefault="003B7AFA" w:rsidP="003B7AFA">
            <w:pPr>
              <w:spacing w:after="0"/>
              <w:jc w:val="left"/>
              <w:rPr>
                <w:spacing w:val="-4"/>
                <w:sz w:val="18"/>
                <w:szCs w:val="18"/>
                <w:lang w:eastAsia="en-US"/>
              </w:rPr>
            </w:pPr>
            <w:r>
              <w:rPr>
                <w:rFonts w:cs="Arial"/>
                <w:b/>
                <w:bCs/>
                <w:color w:val="000000"/>
                <w:sz w:val="18"/>
                <w:szCs w:val="18"/>
                <w:lang w:eastAsia="en-US"/>
              </w:rPr>
              <w:t xml:space="preserve">Tabulka č. 2 Země s největším vlivem na vývoj vývozu zboží v 1. čtvrtletí 2025 </w:t>
            </w:r>
            <w:r>
              <w:rPr>
                <w:rFonts w:cs="Arial"/>
                <w:bCs/>
                <w:color w:val="000000"/>
                <w:sz w:val="18"/>
                <w:szCs w:val="18"/>
                <w:lang w:eastAsia="en-US"/>
              </w:rPr>
              <w:t>(meziročně)</w:t>
            </w:r>
          </w:p>
        </w:tc>
      </w:tr>
      <w:tr w:rsidR="003B7AFA" w14:paraId="4B11EF3A" w14:textId="77777777" w:rsidTr="003B7AFA">
        <w:trPr>
          <w:trHeight w:val="170"/>
        </w:trPr>
        <w:tc>
          <w:tcPr>
            <w:tcW w:w="4811" w:type="dxa"/>
            <w:gridSpan w:val="3"/>
            <w:hideMark/>
          </w:tcPr>
          <w:tbl>
            <w:tblPr>
              <w:tblW w:w="4797" w:type="dxa"/>
              <w:tblLayout w:type="fixed"/>
              <w:tblCellMar>
                <w:left w:w="70" w:type="dxa"/>
                <w:right w:w="70" w:type="dxa"/>
              </w:tblCellMar>
              <w:tblLook w:val="04A0" w:firstRow="1" w:lastRow="0" w:firstColumn="1" w:lastColumn="0" w:noHBand="0" w:noVBand="1"/>
            </w:tblPr>
            <w:tblGrid>
              <w:gridCol w:w="3417"/>
              <w:gridCol w:w="700"/>
              <w:gridCol w:w="680"/>
            </w:tblGrid>
            <w:tr w:rsidR="003B7AFA" w:rsidRPr="001F4BF2" w14:paraId="5E9876E9" w14:textId="77777777" w:rsidTr="003B7AFA">
              <w:trPr>
                <w:trHeight w:val="255"/>
              </w:trPr>
              <w:tc>
                <w:tcPr>
                  <w:tcW w:w="3417" w:type="dxa"/>
                  <w:tcBorders>
                    <w:top w:val="nil"/>
                    <w:left w:val="nil"/>
                    <w:bottom w:val="nil"/>
                    <w:right w:val="nil"/>
                  </w:tcBorders>
                  <w:shd w:val="clear" w:color="auto" w:fill="auto"/>
                  <w:noWrap/>
                  <w:vAlign w:val="bottom"/>
                  <w:hideMark/>
                </w:tcPr>
                <w:p w14:paraId="6769D5FB" w14:textId="77777777" w:rsidR="003B7AFA" w:rsidRPr="001F4BF2" w:rsidRDefault="003B7AFA" w:rsidP="003B7AFA">
                  <w:pPr>
                    <w:spacing w:after="0" w:line="240" w:lineRule="auto"/>
                    <w:jc w:val="left"/>
                    <w:rPr>
                      <w:rFonts w:ascii="Times New Roman" w:hAnsi="Times New Roman"/>
                      <w:sz w:val="24"/>
                      <w:szCs w:val="20"/>
                    </w:rPr>
                  </w:pPr>
                </w:p>
              </w:tc>
              <w:tc>
                <w:tcPr>
                  <w:tcW w:w="700" w:type="dxa"/>
                  <w:tcBorders>
                    <w:top w:val="nil"/>
                    <w:left w:val="nil"/>
                    <w:bottom w:val="nil"/>
                    <w:right w:val="nil"/>
                  </w:tcBorders>
                  <w:shd w:val="clear" w:color="auto" w:fill="auto"/>
                  <w:noWrap/>
                  <w:vAlign w:val="bottom"/>
                  <w:hideMark/>
                </w:tcPr>
                <w:p w14:paraId="6242F3E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mld. Kč</w:t>
                  </w:r>
                </w:p>
              </w:tc>
              <w:tc>
                <w:tcPr>
                  <w:tcW w:w="680" w:type="dxa"/>
                  <w:tcBorders>
                    <w:top w:val="nil"/>
                    <w:left w:val="nil"/>
                    <w:bottom w:val="nil"/>
                    <w:right w:val="nil"/>
                  </w:tcBorders>
                  <w:shd w:val="clear" w:color="auto" w:fill="auto"/>
                  <w:noWrap/>
                  <w:vAlign w:val="bottom"/>
                  <w:hideMark/>
                </w:tcPr>
                <w:p w14:paraId="3D937FB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w:t>
                  </w:r>
                </w:p>
              </w:tc>
            </w:tr>
            <w:tr w:rsidR="003B7AFA" w:rsidRPr="001F4BF2" w14:paraId="71243A70" w14:textId="77777777" w:rsidTr="003B7AFA">
              <w:trPr>
                <w:trHeight w:val="255"/>
              </w:trPr>
              <w:tc>
                <w:tcPr>
                  <w:tcW w:w="3417" w:type="dxa"/>
                  <w:tcBorders>
                    <w:top w:val="single" w:sz="4" w:space="0" w:color="auto"/>
                    <w:left w:val="nil"/>
                    <w:bottom w:val="nil"/>
                    <w:right w:val="nil"/>
                  </w:tcBorders>
                  <w:shd w:val="clear" w:color="auto" w:fill="auto"/>
                  <w:vAlign w:val="bottom"/>
                  <w:hideMark/>
                </w:tcPr>
                <w:p w14:paraId="1A16AF26"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Motorová vozidla (kromě motocyklů) a díly</w:t>
                  </w:r>
                </w:p>
              </w:tc>
              <w:tc>
                <w:tcPr>
                  <w:tcW w:w="700" w:type="dxa"/>
                  <w:tcBorders>
                    <w:top w:val="single" w:sz="4" w:space="0" w:color="auto"/>
                    <w:left w:val="nil"/>
                    <w:bottom w:val="nil"/>
                    <w:right w:val="nil"/>
                  </w:tcBorders>
                  <w:shd w:val="clear" w:color="auto" w:fill="auto"/>
                  <w:noWrap/>
                  <w:vAlign w:val="bottom"/>
                  <w:hideMark/>
                </w:tcPr>
                <w:p w14:paraId="734A0AD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+24,5</w:t>
                  </w:r>
                </w:p>
              </w:tc>
              <w:tc>
                <w:tcPr>
                  <w:tcW w:w="680" w:type="dxa"/>
                  <w:tcBorders>
                    <w:top w:val="single" w:sz="4" w:space="0" w:color="auto"/>
                    <w:left w:val="nil"/>
                    <w:bottom w:val="nil"/>
                    <w:right w:val="nil"/>
                  </w:tcBorders>
                  <w:shd w:val="clear" w:color="auto" w:fill="auto"/>
                  <w:noWrap/>
                  <w:vAlign w:val="bottom"/>
                  <w:hideMark/>
                </w:tcPr>
                <w:p w14:paraId="7A8F93C1"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+7,4</w:t>
                  </w:r>
                </w:p>
              </w:tc>
            </w:tr>
            <w:tr w:rsidR="003B7AFA" w:rsidRPr="001F4BF2" w14:paraId="201D566A" w14:textId="77777777" w:rsidTr="003B7AFA">
              <w:trPr>
                <w:trHeight w:val="255"/>
              </w:trPr>
              <w:tc>
                <w:tcPr>
                  <w:tcW w:w="3417" w:type="dxa"/>
                  <w:tcBorders>
                    <w:top w:val="nil"/>
                    <w:left w:val="nil"/>
                    <w:bottom w:val="nil"/>
                    <w:right w:val="nil"/>
                  </w:tcBorders>
                  <w:shd w:val="clear" w:color="auto" w:fill="auto"/>
                  <w:vAlign w:val="bottom"/>
                  <w:hideMark/>
                </w:tcPr>
                <w:p w14:paraId="15E2C71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Elektřina, plyn, pára a klimatizovaný vzduch</w:t>
                  </w:r>
                </w:p>
              </w:tc>
              <w:tc>
                <w:tcPr>
                  <w:tcW w:w="700" w:type="dxa"/>
                  <w:tcBorders>
                    <w:top w:val="nil"/>
                    <w:left w:val="nil"/>
                    <w:bottom w:val="nil"/>
                    <w:right w:val="nil"/>
                  </w:tcBorders>
                  <w:shd w:val="clear" w:color="auto" w:fill="auto"/>
                  <w:noWrap/>
                  <w:vAlign w:val="bottom"/>
                  <w:hideMark/>
                </w:tcPr>
                <w:p w14:paraId="37FD50B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+9,9</w:t>
                  </w:r>
                </w:p>
              </w:tc>
              <w:tc>
                <w:tcPr>
                  <w:tcW w:w="680" w:type="dxa"/>
                  <w:tcBorders>
                    <w:top w:val="nil"/>
                    <w:left w:val="nil"/>
                    <w:bottom w:val="nil"/>
                    <w:right w:val="nil"/>
                  </w:tcBorders>
                  <w:shd w:val="clear" w:color="auto" w:fill="auto"/>
                  <w:noWrap/>
                  <w:vAlign w:val="bottom"/>
                  <w:hideMark/>
                </w:tcPr>
                <w:p w14:paraId="0C0E6AA1"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+101,6</w:t>
                  </w:r>
                </w:p>
              </w:tc>
            </w:tr>
            <w:tr w:rsidR="003B7AFA" w:rsidRPr="001F4BF2" w14:paraId="3002EA91" w14:textId="77777777" w:rsidTr="003B7AFA">
              <w:trPr>
                <w:trHeight w:val="255"/>
              </w:trPr>
              <w:tc>
                <w:tcPr>
                  <w:tcW w:w="3417" w:type="dxa"/>
                  <w:tcBorders>
                    <w:top w:val="nil"/>
                    <w:left w:val="nil"/>
                    <w:bottom w:val="nil"/>
                    <w:right w:val="nil"/>
                  </w:tcBorders>
                  <w:shd w:val="clear" w:color="auto" w:fill="auto"/>
                  <w:vAlign w:val="bottom"/>
                  <w:hideMark/>
                </w:tcPr>
                <w:p w14:paraId="2088F5A1"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Elektrická zařízení</w:t>
                  </w:r>
                </w:p>
              </w:tc>
              <w:tc>
                <w:tcPr>
                  <w:tcW w:w="700" w:type="dxa"/>
                  <w:tcBorders>
                    <w:top w:val="nil"/>
                    <w:left w:val="nil"/>
                    <w:bottom w:val="nil"/>
                    <w:right w:val="nil"/>
                  </w:tcBorders>
                  <w:shd w:val="clear" w:color="auto" w:fill="auto"/>
                  <w:noWrap/>
                  <w:vAlign w:val="bottom"/>
                  <w:hideMark/>
                </w:tcPr>
                <w:p w14:paraId="4143E22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+8,5</w:t>
                  </w:r>
                </w:p>
              </w:tc>
              <w:tc>
                <w:tcPr>
                  <w:tcW w:w="680" w:type="dxa"/>
                  <w:tcBorders>
                    <w:top w:val="nil"/>
                    <w:left w:val="nil"/>
                    <w:bottom w:val="nil"/>
                    <w:right w:val="nil"/>
                  </w:tcBorders>
                  <w:shd w:val="clear" w:color="auto" w:fill="auto"/>
                  <w:noWrap/>
                  <w:vAlign w:val="bottom"/>
                  <w:hideMark/>
                </w:tcPr>
                <w:p w14:paraId="6447C2A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+7,5</w:t>
                  </w:r>
                </w:p>
              </w:tc>
            </w:tr>
            <w:tr w:rsidR="003B7AFA" w:rsidRPr="001F4BF2" w14:paraId="3F157F6C" w14:textId="77777777" w:rsidTr="003B7AFA">
              <w:trPr>
                <w:trHeight w:val="255"/>
              </w:trPr>
              <w:tc>
                <w:tcPr>
                  <w:tcW w:w="3417" w:type="dxa"/>
                  <w:tcBorders>
                    <w:top w:val="nil"/>
                    <w:left w:val="nil"/>
                    <w:bottom w:val="nil"/>
                    <w:right w:val="nil"/>
                  </w:tcBorders>
                  <w:shd w:val="clear" w:color="auto" w:fill="auto"/>
                  <w:vAlign w:val="bottom"/>
                  <w:hideMark/>
                </w:tcPr>
                <w:p w14:paraId="7AED801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Počítače, elektron. a opt. přístroje a zařízení</w:t>
                  </w:r>
                </w:p>
              </w:tc>
              <w:tc>
                <w:tcPr>
                  <w:tcW w:w="700" w:type="dxa"/>
                  <w:tcBorders>
                    <w:top w:val="nil"/>
                    <w:left w:val="nil"/>
                    <w:bottom w:val="nil"/>
                    <w:right w:val="nil"/>
                  </w:tcBorders>
                  <w:shd w:val="clear" w:color="auto" w:fill="auto"/>
                  <w:noWrap/>
                  <w:vAlign w:val="bottom"/>
                  <w:hideMark/>
                </w:tcPr>
                <w:p w14:paraId="04589E4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+7,1</w:t>
                  </w:r>
                </w:p>
              </w:tc>
              <w:tc>
                <w:tcPr>
                  <w:tcW w:w="680" w:type="dxa"/>
                  <w:tcBorders>
                    <w:top w:val="nil"/>
                    <w:left w:val="nil"/>
                    <w:bottom w:val="nil"/>
                    <w:right w:val="nil"/>
                  </w:tcBorders>
                  <w:shd w:val="clear" w:color="auto" w:fill="auto"/>
                  <w:noWrap/>
                  <w:vAlign w:val="bottom"/>
                  <w:hideMark/>
                </w:tcPr>
                <w:p w14:paraId="56BD814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+7,2</w:t>
                  </w:r>
                </w:p>
              </w:tc>
            </w:tr>
            <w:tr w:rsidR="003B7AFA" w:rsidRPr="001F4BF2" w14:paraId="43F78D35" w14:textId="77777777" w:rsidTr="003B7AFA">
              <w:trPr>
                <w:trHeight w:val="255"/>
              </w:trPr>
              <w:tc>
                <w:tcPr>
                  <w:tcW w:w="3417" w:type="dxa"/>
                  <w:tcBorders>
                    <w:top w:val="nil"/>
                    <w:left w:val="nil"/>
                    <w:bottom w:val="nil"/>
                    <w:right w:val="nil"/>
                  </w:tcBorders>
                  <w:shd w:val="clear" w:color="auto" w:fill="auto"/>
                  <w:vAlign w:val="bottom"/>
                  <w:hideMark/>
                </w:tcPr>
                <w:p w14:paraId="36C62B06"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Potravinářské výrobky</w:t>
                  </w:r>
                </w:p>
              </w:tc>
              <w:tc>
                <w:tcPr>
                  <w:tcW w:w="700" w:type="dxa"/>
                  <w:tcBorders>
                    <w:top w:val="nil"/>
                    <w:left w:val="nil"/>
                    <w:bottom w:val="nil"/>
                    <w:right w:val="nil"/>
                  </w:tcBorders>
                  <w:shd w:val="clear" w:color="auto" w:fill="auto"/>
                  <w:noWrap/>
                  <w:vAlign w:val="bottom"/>
                  <w:hideMark/>
                </w:tcPr>
                <w:p w14:paraId="6B6D6862"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+3,9</w:t>
                  </w:r>
                </w:p>
              </w:tc>
              <w:tc>
                <w:tcPr>
                  <w:tcW w:w="680" w:type="dxa"/>
                  <w:tcBorders>
                    <w:top w:val="nil"/>
                    <w:left w:val="nil"/>
                    <w:bottom w:val="nil"/>
                    <w:right w:val="nil"/>
                  </w:tcBorders>
                  <w:shd w:val="clear" w:color="auto" w:fill="auto"/>
                  <w:noWrap/>
                  <w:vAlign w:val="bottom"/>
                  <w:hideMark/>
                </w:tcPr>
                <w:p w14:paraId="5F4A6452"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+8,6</w:t>
                  </w:r>
                </w:p>
              </w:tc>
            </w:tr>
            <w:tr w:rsidR="003B7AFA" w:rsidRPr="001F4BF2" w14:paraId="00110A6A" w14:textId="77777777" w:rsidTr="003B7AFA">
              <w:trPr>
                <w:trHeight w:val="255"/>
              </w:trPr>
              <w:tc>
                <w:tcPr>
                  <w:tcW w:w="3417" w:type="dxa"/>
                  <w:tcBorders>
                    <w:top w:val="nil"/>
                    <w:left w:val="nil"/>
                    <w:bottom w:val="nil"/>
                    <w:right w:val="nil"/>
                  </w:tcBorders>
                  <w:shd w:val="clear" w:color="auto" w:fill="auto"/>
                  <w:vAlign w:val="bottom"/>
                  <w:hideMark/>
                </w:tcPr>
                <w:p w14:paraId="0AF107EB"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Ostatní dopravní prostředky a zařízení</w:t>
                  </w:r>
                </w:p>
              </w:tc>
              <w:tc>
                <w:tcPr>
                  <w:tcW w:w="700" w:type="dxa"/>
                  <w:tcBorders>
                    <w:top w:val="nil"/>
                    <w:left w:val="nil"/>
                    <w:bottom w:val="nil"/>
                    <w:right w:val="nil"/>
                  </w:tcBorders>
                  <w:shd w:val="clear" w:color="auto" w:fill="auto"/>
                  <w:noWrap/>
                  <w:vAlign w:val="bottom"/>
                  <w:hideMark/>
                </w:tcPr>
                <w:p w14:paraId="5BC977C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+3,7</w:t>
                  </w:r>
                </w:p>
              </w:tc>
              <w:tc>
                <w:tcPr>
                  <w:tcW w:w="680" w:type="dxa"/>
                  <w:tcBorders>
                    <w:top w:val="nil"/>
                    <w:left w:val="nil"/>
                    <w:bottom w:val="nil"/>
                    <w:right w:val="nil"/>
                  </w:tcBorders>
                  <w:shd w:val="clear" w:color="auto" w:fill="auto"/>
                  <w:noWrap/>
                  <w:vAlign w:val="bottom"/>
                  <w:hideMark/>
                </w:tcPr>
                <w:p w14:paraId="5B05942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+18,9</w:t>
                  </w:r>
                </w:p>
              </w:tc>
            </w:tr>
            <w:tr w:rsidR="003B7AFA" w:rsidRPr="001F4BF2" w14:paraId="7A2386EA" w14:textId="77777777" w:rsidTr="003B7AFA">
              <w:trPr>
                <w:trHeight w:val="255"/>
              </w:trPr>
              <w:tc>
                <w:tcPr>
                  <w:tcW w:w="3417" w:type="dxa"/>
                  <w:tcBorders>
                    <w:top w:val="nil"/>
                    <w:left w:val="nil"/>
                    <w:bottom w:val="nil"/>
                    <w:right w:val="nil"/>
                  </w:tcBorders>
                  <w:shd w:val="clear" w:color="auto" w:fill="auto"/>
                  <w:vAlign w:val="bottom"/>
                  <w:hideMark/>
                </w:tcPr>
                <w:p w14:paraId="28C9361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Stroje a zařízení</w:t>
                  </w:r>
                </w:p>
              </w:tc>
              <w:tc>
                <w:tcPr>
                  <w:tcW w:w="700" w:type="dxa"/>
                  <w:tcBorders>
                    <w:top w:val="nil"/>
                    <w:left w:val="nil"/>
                    <w:bottom w:val="nil"/>
                    <w:right w:val="nil"/>
                  </w:tcBorders>
                  <w:shd w:val="clear" w:color="auto" w:fill="auto"/>
                  <w:noWrap/>
                  <w:vAlign w:val="bottom"/>
                  <w:hideMark/>
                </w:tcPr>
                <w:p w14:paraId="4A2DB37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+2,9</w:t>
                  </w:r>
                </w:p>
              </w:tc>
              <w:tc>
                <w:tcPr>
                  <w:tcW w:w="680" w:type="dxa"/>
                  <w:tcBorders>
                    <w:top w:val="nil"/>
                    <w:left w:val="nil"/>
                    <w:bottom w:val="nil"/>
                    <w:right w:val="nil"/>
                  </w:tcBorders>
                  <w:shd w:val="clear" w:color="auto" w:fill="auto"/>
                  <w:noWrap/>
                  <w:vAlign w:val="bottom"/>
                  <w:hideMark/>
                </w:tcPr>
                <w:p w14:paraId="564A441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+2,2</w:t>
                  </w:r>
                </w:p>
              </w:tc>
            </w:tr>
            <w:tr w:rsidR="003B7AFA" w:rsidRPr="001F4BF2" w14:paraId="48E436F9" w14:textId="77777777" w:rsidTr="003B7AFA">
              <w:trPr>
                <w:trHeight w:val="255"/>
              </w:trPr>
              <w:tc>
                <w:tcPr>
                  <w:tcW w:w="3417" w:type="dxa"/>
                  <w:tcBorders>
                    <w:top w:val="nil"/>
                    <w:left w:val="nil"/>
                    <w:bottom w:val="nil"/>
                    <w:right w:val="nil"/>
                  </w:tcBorders>
                  <w:shd w:val="clear" w:color="auto" w:fill="auto"/>
                  <w:vAlign w:val="bottom"/>
                  <w:hideMark/>
                </w:tcPr>
                <w:p w14:paraId="3FFBA74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Pryžové a plastové výrobky</w:t>
                  </w:r>
                </w:p>
              </w:tc>
              <w:tc>
                <w:tcPr>
                  <w:tcW w:w="700" w:type="dxa"/>
                  <w:tcBorders>
                    <w:top w:val="nil"/>
                    <w:left w:val="nil"/>
                    <w:bottom w:val="nil"/>
                    <w:right w:val="nil"/>
                  </w:tcBorders>
                  <w:shd w:val="clear" w:color="auto" w:fill="auto"/>
                  <w:noWrap/>
                  <w:vAlign w:val="bottom"/>
                  <w:hideMark/>
                </w:tcPr>
                <w:p w14:paraId="344E558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+2,9</w:t>
                  </w:r>
                </w:p>
              </w:tc>
              <w:tc>
                <w:tcPr>
                  <w:tcW w:w="680" w:type="dxa"/>
                  <w:tcBorders>
                    <w:top w:val="nil"/>
                    <w:left w:val="nil"/>
                    <w:bottom w:val="nil"/>
                    <w:right w:val="nil"/>
                  </w:tcBorders>
                  <w:shd w:val="clear" w:color="auto" w:fill="auto"/>
                  <w:noWrap/>
                  <w:vAlign w:val="bottom"/>
                  <w:hideMark/>
                </w:tcPr>
                <w:p w14:paraId="3C34992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+5,1</w:t>
                  </w:r>
                </w:p>
              </w:tc>
            </w:tr>
            <w:tr w:rsidR="003B7AFA" w:rsidRPr="001F4BF2" w14:paraId="0212EC51" w14:textId="77777777" w:rsidTr="003B7AFA">
              <w:trPr>
                <w:trHeight w:val="255"/>
              </w:trPr>
              <w:tc>
                <w:tcPr>
                  <w:tcW w:w="3417" w:type="dxa"/>
                  <w:tcBorders>
                    <w:top w:val="nil"/>
                    <w:left w:val="nil"/>
                    <w:bottom w:val="nil"/>
                    <w:right w:val="nil"/>
                  </w:tcBorders>
                  <w:shd w:val="clear" w:color="auto" w:fill="auto"/>
                  <w:vAlign w:val="bottom"/>
                  <w:hideMark/>
                </w:tcPr>
                <w:p w14:paraId="761DC512"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Základní farmaceutické výrobky a přípravky</w:t>
                  </w:r>
                </w:p>
              </w:tc>
              <w:tc>
                <w:tcPr>
                  <w:tcW w:w="700" w:type="dxa"/>
                  <w:tcBorders>
                    <w:top w:val="nil"/>
                    <w:left w:val="nil"/>
                    <w:bottom w:val="nil"/>
                    <w:right w:val="nil"/>
                  </w:tcBorders>
                  <w:shd w:val="clear" w:color="auto" w:fill="auto"/>
                  <w:noWrap/>
                  <w:vAlign w:val="bottom"/>
                  <w:hideMark/>
                </w:tcPr>
                <w:p w14:paraId="6F1E42D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+1,7</w:t>
                  </w:r>
                </w:p>
              </w:tc>
              <w:tc>
                <w:tcPr>
                  <w:tcW w:w="680" w:type="dxa"/>
                  <w:tcBorders>
                    <w:top w:val="nil"/>
                    <w:left w:val="nil"/>
                    <w:bottom w:val="nil"/>
                    <w:right w:val="nil"/>
                  </w:tcBorders>
                  <w:shd w:val="clear" w:color="auto" w:fill="auto"/>
                  <w:noWrap/>
                  <w:vAlign w:val="bottom"/>
                  <w:hideMark/>
                </w:tcPr>
                <w:p w14:paraId="76F72352"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+10,2</w:t>
                  </w:r>
                </w:p>
              </w:tc>
            </w:tr>
            <w:tr w:rsidR="003B7AFA" w:rsidRPr="001F4BF2" w14:paraId="4754E6B9" w14:textId="77777777" w:rsidTr="003B7AFA">
              <w:trPr>
                <w:trHeight w:val="255"/>
              </w:trPr>
              <w:tc>
                <w:tcPr>
                  <w:tcW w:w="3417" w:type="dxa"/>
                  <w:tcBorders>
                    <w:top w:val="nil"/>
                    <w:left w:val="nil"/>
                    <w:bottom w:val="nil"/>
                    <w:right w:val="nil"/>
                  </w:tcBorders>
                  <w:shd w:val="clear" w:color="auto" w:fill="auto"/>
                  <w:vAlign w:val="bottom"/>
                  <w:hideMark/>
                </w:tcPr>
                <w:p w14:paraId="2B0085B7"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Chemické látky a chemické přípravky</w:t>
                  </w:r>
                </w:p>
              </w:tc>
              <w:tc>
                <w:tcPr>
                  <w:tcW w:w="700" w:type="dxa"/>
                  <w:tcBorders>
                    <w:top w:val="nil"/>
                    <w:left w:val="nil"/>
                    <w:bottom w:val="nil"/>
                    <w:right w:val="nil"/>
                  </w:tcBorders>
                  <w:shd w:val="clear" w:color="auto" w:fill="auto"/>
                  <w:noWrap/>
                  <w:vAlign w:val="bottom"/>
                  <w:hideMark/>
                </w:tcPr>
                <w:p w14:paraId="4E16905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+1,3</w:t>
                  </w:r>
                </w:p>
              </w:tc>
              <w:tc>
                <w:tcPr>
                  <w:tcW w:w="680" w:type="dxa"/>
                  <w:tcBorders>
                    <w:top w:val="nil"/>
                    <w:left w:val="nil"/>
                    <w:bottom w:val="nil"/>
                    <w:right w:val="nil"/>
                  </w:tcBorders>
                  <w:shd w:val="clear" w:color="auto" w:fill="auto"/>
                  <w:noWrap/>
                  <w:vAlign w:val="bottom"/>
                  <w:hideMark/>
                </w:tcPr>
                <w:p w14:paraId="52ACB97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+2,3</w:t>
                  </w:r>
                </w:p>
              </w:tc>
            </w:tr>
            <w:tr w:rsidR="003B7AFA" w:rsidRPr="001F4BF2" w14:paraId="38ACDD2B" w14:textId="77777777" w:rsidTr="003B7AFA">
              <w:trPr>
                <w:trHeight w:val="255"/>
              </w:trPr>
              <w:tc>
                <w:tcPr>
                  <w:tcW w:w="3417" w:type="dxa"/>
                  <w:tcBorders>
                    <w:top w:val="nil"/>
                    <w:left w:val="nil"/>
                    <w:bottom w:val="nil"/>
                    <w:right w:val="nil"/>
                  </w:tcBorders>
                  <w:shd w:val="clear" w:color="auto" w:fill="auto"/>
                  <w:vAlign w:val="bottom"/>
                  <w:hideMark/>
                </w:tcPr>
                <w:p w14:paraId="1F2419C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Ostatní výrobky zpracovatelského průmyslu</w:t>
                  </w:r>
                </w:p>
              </w:tc>
              <w:tc>
                <w:tcPr>
                  <w:tcW w:w="700" w:type="dxa"/>
                  <w:tcBorders>
                    <w:top w:val="nil"/>
                    <w:left w:val="nil"/>
                    <w:bottom w:val="nil"/>
                    <w:right w:val="nil"/>
                  </w:tcBorders>
                  <w:shd w:val="clear" w:color="auto" w:fill="auto"/>
                  <w:noWrap/>
                  <w:vAlign w:val="bottom"/>
                  <w:hideMark/>
                </w:tcPr>
                <w:p w14:paraId="46FDC79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+1,3</w:t>
                  </w:r>
                </w:p>
              </w:tc>
              <w:tc>
                <w:tcPr>
                  <w:tcW w:w="680" w:type="dxa"/>
                  <w:tcBorders>
                    <w:top w:val="nil"/>
                    <w:left w:val="nil"/>
                    <w:bottom w:val="nil"/>
                    <w:right w:val="nil"/>
                  </w:tcBorders>
                  <w:shd w:val="clear" w:color="auto" w:fill="auto"/>
                  <w:noWrap/>
                  <w:vAlign w:val="bottom"/>
                  <w:hideMark/>
                </w:tcPr>
                <w:p w14:paraId="10DE3BE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+4,9</w:t>
                  </w:r>
                </w:p>
              </w:tc>
            </w:tr>
            <w:tr w:rsidR="003B7AFA" w:rsidRPr="001F4BF2" w14:paraId="0F2911DA" w14:textId="77777777" w:rsidTr="003B7AFA">
              <w:trPr>
                <w:trHeight w:val="255"/>
              </w:trPr>
              <w:tc>
                <w:tcPr>
                  <w:tcW w:w="3417" w:type="dxa"/>
                  <w:tcBorders>
                    <w:top w:val="nil"/>
                    <w:left w:val="nil"/>
                    <w:bottom w:val="nil"/>
                    <w:right w:val="nil"/>
                  </w:tcBorders>
                  <w:shd w:val="clear" w:color="auto" w:fill="auto"/>
                  <w:vAlign w:val="bottom"/>
                  <w:hideMark/>
                </w:tcPr>
                <w:p w14:paraId="5AAD82B3"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Dřevo a dřevěné a korkové výrobky</w:t>
                  </w:r>
                </w:p>
              </w:tc>
              <w:tc>
                <w:tcPr>
                  <w:tcW w:w="700" w:type="dxa"/>
                  <w:tcBorders>
                    <w:top w:val="nil"/>
                    <w:left w:val="nil"/>
                    <w:bottom w:val="nil"/>
                    <w:right w:val="nil"/>
                  </w:tcBorders>
                  <w:shd w:val="clear" w:color="auto" w:fill="auto"/>
                  <w:noWrap/>
                  <w:vAlign w:val="bottom"/>
                  <w:hideMark/>
                </w:tcPr>
                <w:p w14:paraId="4D7C033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+1,1</w:t>
                  </w:r>
                </w:p>
              </w:tc>
              <w:tc>
                <w:tcPr>
                  <w:tcW w:w="680" w:type="dxa"/>
                  <w:tcBorders>
                    <w:top w:val="nil"/>
                    <w:left w:val="nil"/>
                    <w:bottom w:val="nil"/>
                    <w:right w:val="nil"/>
                  </w:tcBorders>
                  <w:shd w:val="clear" w:color="auto" w:fill="auto"/>
                  <w:noWrap/>
                  <w:vAlign w:val="bottom"/>
                  <w:hideMark/>
                </w:tcPr>
                <w:p w14:paraId="2993337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+9,5</w:t>
                  </w:r>
                </w:p>
              </w:tc>
            </w:tr>
            <w:tr w:rsidR="003B7AFA" w:rsidRPr="001F4BF2" w14:paraId="7E7AAE4E" w14:textId="77777777" w:rsidTr="003B7AFA">
              <w:trPr>
                <w:trHeight w:val="255"/>
              </w:trPr>
              <w:tc>
                <w:tcPr>
                  <w:tcW w:w="3417" w:type="dxa"/>
                  <w:tcBorders>
                    <w:top w:val="nil"/>
                    <w:left w:val="nil"/>
                    <w:bottom w:val="nil"/>
                    <w:right w:val="nil"/>
                  </w:tcBorders>
                  <w:shd w:val="clear" w:color="auto" w:fill="auto"/>
                  <w:vAlign w:val="bottom"/>
                  <w:hideMark/>
                </w:tcPr>
                <w:p w14:paraId="359E9A95"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Papír a výrobky z papíru</w:t>
                  </w:r>
                </w:p>
              </w:tc>
              <w:tc>
                <w:tcPr>
                  <w:tcW w:w="700" w:type="dxa"/>
                  <w:tcBorders>
                    <w:top w:val="nil"/>
                    <w:left w:val="nil"/>
                    <w:bottom w:val="nil"/>
                    <w:right w:val="nil"/>
                  </w:tcBorders>
                  <w:shd w:val="clear" w:color="auto" w:fill="auto"/>
                  <w:noWrap/>
                  <w:vAlign w:val="bottom"/>
                  <w:hideMark/>
                </w:tcPr>
                <w:p w14:paraId="209D1D6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+1,0</w:t>
                  </w:r>
                </w:p>
              </w:tc>
              <w:tc>
                <w:tcPr>
                  <w:tcW w:w="680" w:type="dxa"/>
                  <w:tcBorders>
                    <w:top w:val="nil"/>
                    <w:left w:val="nil"/>
                    <w:bottom w:val="nil"/>
                    <w:right w:val="nil"/>
                  </w:tcBorders>
                  <w:shd w:val="clear" w:color="auto" w:fill="auto"/>
                  <w:noWrap/>
                  <w:vAlign w:val="bottom"/>
                  <w:hideMark/>
                </w:tcPr>
                <w:p w14:paraId="467E832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+4,5</w:t>
                  </w:r>
                </w:p>
              </w:tc>
            </w:tr>
            <w:tr w:rsidR="003B7AFA" w:rsidRPr="001F4BF2" w14:paraId="44C7F5FE" w14:textId="77777777" w:rsidTr="003B7AFA">
              <w:trPr>
                <w:trHeight w:val="255"/>
              </w:trPr>
              <w:tc>
                <w:tcPr>
                  <w:tcW w:w="3417" w:type="dxa"/>
                  <w:tcBorders>
                    <w:top w:val="nil"/>
                    <w:left w:val="nil"/>
                    <w:bottom w:val="nil"/>
                    <w:right w:val="nil"/>
                  </w:tcBorders>
                  <w:shd w:val="clear" w:color="auto" w:fill="auto"/>
                  <w:vAlign w:val="bottom"/>
                  <w:hideMark/>
                </w:tcPr>
                <w:p w14:paraId="437DF48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Koks a rafinované ropné produkty</w:t>
                  </w:r>
                </w:p>
              </w:tc>
              <w:tc>
                <w:tcPr>
                  <w:tcW w:w="700" w:type="dxa"/>
                  <w:tcBorders>
                    <w:top w:val="nil"/>
                    <w:left w:val="nil"/>
                    <w:bottom w:val="nil"/>
                    <w:right w:val="nil"/>
                  </w:tcBorders>
                  <w:shd w:val="clear" w:color="auto" w:fill="auto"/>
                  <w:noWrap/>
                  <w:vAlign w:val="bottom"/>
                  <w:hideMark/>
                </w:tcPr>
                <w:p w14:paraId="521B95C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+0,8</w:t>
                  </w:r>
                </w:p>
              </w:tc>
              <w:tc>
                <w:tcPr>
                  <w:tcW w:w="680" w:type="dxa"/>
                  <w:tcBorders>
                    <w:top w:val="nil"/>
                    <w:left w:val="nil"/>
                    <w:bottom w:val="nil"/>
                    <w:right w:val="nil"/>
                  </w:tcBorders>
                  <w:shd w:val="clear" w:color="auto" w:fill="auto"/>
                  <w:noWrap/>
                  <w:vAlign w:val="bottom"/>
                  <w:hideMark/>
                </w:tcPr>
                <w:p w14:paraId="074D8A8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+7,1</w:t>
                  </w:r>
                </w:p>
              </w:tc>
            </w:tr>
            <w:tr w:rsidR="003B7AFA" w:rsidRPr="001F4BF2" w14:paraId="67057DCE" w14:textId="77777777" w:rsidTr="003B7AFA">
              <w:trPr>
                <w:trHeight w:val="255"/>
              </w:trPr>
              <w:tc>
                <w:tcPr>
                  <w:tcW w:w="3417" w:type="dxa"/>
                  <w:tcBorders>
                    <w:top w:val="nil"/>
                    <w:left w:val="nil"/>
                    <w:bottom w:val="nil"/>
                    <w:right w:val="nil"/>
                  </w:tcBorders>
                  <w:shd w:val="clear" w:color="auto" w:fill="auto"/>
                  <w:vAlign w:val="bottom"/>
                  <w:hideMark/>
                </w:tcPr>
                <w:p w14:paraId="4634FDC5"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Základní kovy</w:t>
                  </w:r>
                </w:p>
              </w:tc>
              <w:tc>
                <w:tcPr>
                  <w:tcW w:w="700" w:type="dxa"/>
                  <w:tcBorders>
                    <w:top w:val="nil"/>
                    <w:left w:val="nil"/>
                    <w:bottom w:val="nil"/>
                    <w:right w:val="nil"/>
                  </w:tcBorders>
                  <w:shd w:val="clear" w:color="auto" w:fill="auto"/>
                  <w:noWrap/>
                  <w:vAlign w:val="bottom"/>
                  <w:hideMark/>
                </w:tcPr>
                <w:p w14:paraId="79F8490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+0,8</w:t>
                  </w:r>
                </w:p>
              </w:tc>
              <w:tc>
                <w:tcPr>
                  <w:tcW w:w="680" w:type="dxa"/>
                  <w:tcBorders>
                    <w:top w:val="nil"/>
                    <w:left w:val="nil"/>
                    <w:bottom w:val="nil"/>
                    <w:right w:val="nil"/>
                  </w:tcBorders>
                  <w:shd w:val="clear" w:color="auto" w:fill="auto"/>
                  <w:noWrap/>
                  <w:vAlign w:val="bottom"/>
                  <w:hideMark/>
                </w:tcPr>
                <w:p w14:paraId="45158E6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+2,0</w:t>
                  </w:r>
                </w:p>
              </w:tc>
            </w:tr>
          </w:tbl>
          <w:p w14:paraId="58B826FE" w14:textId="77777777" w:rsidR="003B7AFA" w:rsidRDefault="003B7AFA" w:rsidP="003B7AFA">
            <w:pPr>
              <w:spacing w:after="0"/>
              <w:rPr>
                <w:spacing w:val="-4"/>
                <w:lang w:eastAsia="en-US"/>
              </w:rPr>
            </w:pPr>
          </w:p>
        </w:tc>
        <w:tc>
          <w:tcPr>
            <w:tcW w:w="57" w:type="dxa"/>
          </w:tcPr>
          <w:p w14:paraId="2BBCD257" w14:textId="77777777" w:rsidR="003B7AFA" w:rsidRDefault="003B7AFA" w:rsidP="003B7AFA">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3B7AFA" w:rsidRPr="001F4BF2" w14:paraId="1D80BC86" w14:textId="77777777" w:rsidTr="003B7AFA">
              <w:trPr>
                <w:trHeight w:val="255"/>
              </w:trPr>
              <w:tc>
                <w:tcPr>
                  <w:tcW w:w="3362" w:type="dxa"/>
                  <w:tcBorders>
                    <w:top w:val="nil"/>
                    <w:left w:val="nil"/>
                    <w:bottom w:val="nil"/>
                    <w:right w:val="nil"/>
                  </w:tcBorders>
                  <w:shd w:val="clear" w:color="auto" w:fill="auto"/>
                  <w:noWrap/>
                  <w:vAlign w:val="bottom"/>
                  <w:hideMark/>
                </w:tcPr>
                <w:p w14:paraId="05DE14F2" w14:textId="77777777" w:rsidR="003B7AFA" w:rsidRPr="001F4BF2" w:rsidRDefault="003B7AFA" w:rsidP="003B7AFA">
                  <w:pPr>
                    <w:spacing w:after="0" w:line="240" w:lineRule="auto"/>
                    <w:jc w:val="left"/>
                    <w:rPr>
                      <w:rFonts w:ascii="Times New Roman" w:hAnsi="Times New Roman"/>
                      <w:sz w:val="24"/>
                      <w:szCs w:val="20"/>
                    </w:rPr>
                  </w:pPr>
                </w:p>
              </w:tc>
              <w:tc>
                <w:tcPr>
                  <w:tcW w:w="700" w:type="dxa"/>
                  <w:tcBorders>
                    <w:top w:val="nil"/>
                    <w:left w:val="nil"/>
                    <w:bottom w:val="nil"/>
                    <w:right w:val="nil"/>
                  </w:tcBorders>
                  <w:shd w:val="clear" w:color="auto" w:fill="auto"/>
                  <w:noWrap/>
                  <w:vAlign w:val="bottom"/>
                  <w:hideMark/>
                </w:tcPr>
                <w:p w14:paraId="33D64A6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mld. Kč</w:t>
                  </w:r>
                </w:p>
              </w:tc>
              <w:tc>
                <w:tcPr>
                  <w:tcW w:w="700" w:type="dxa"/>
                  <w:tcBorders>
                    <w:top w:val="nil"/>
                    <w:left w:val="nil"/>
                    <w:bottom w:val="nil"/>
                    <w:right w:val="nil"/>
                  </w:tcBorders>
                  <w:shd w:val="clear" w:color="auto" w:fill="auto"/>
                  <w:noWrap/>
                  <w:vAlign w:val="bottom"/>
                  <w:hideMark/>
                </w:tcPr>
                <w:p w14:paraId="3EF0232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w:t>
                  </w:r>
                </w:p>
              </w:tc>
            </w:tr>
            <w:tr w:rsidR="003B7AFA" w:rsidRPr="001F4BF2" w14:paraId="7F2D13C5" w14:textId="77777777" w:rsidTr="003B7AFA">
              <w:trPr>
                <w:trHeight w:val="255"/>
              </w:trPr>
              <w:tc>
                <w:tcPr>
                  <w:tcW w:w="3362" w:type="dxa"/>
                  <w:tcBorders>
                    <w:top w:val="single" w:sz="4" w:space="0" w:color="auto"/>
                    <w:left w:val="nil"/>
                    <w:bottom w:val="nil"/>
                    <w:right w:val="nil"/>
                  </w:tcBorders>
                  <w:shd w:val="clear" w:color="auto" w:fill="auto"/>
                  <w:noWrap/>
                  <w:vAlign w:val="bottom"/>
                  <w:hideMark/>
                </w:tcPr>
                <w:p w14:paraId="6ECD2D1B"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Německo</w:t>
                  </w:r>
                </w:p>
              </w:tc>
              <w:tc>
                <w:tcPr>
                  <w:tcW w:w="700" w:type="dxa"/>
                  <w:tcBorders>
                    <w:top w:val="single" w:sz="4" w:space="0" w:color="auto"/>
                    <w:left w:val="nil"/>
                    <w:bottom w:val="nil"/>
                    <w:right w:val="nil"/>
                  </w:tcBorders>
                  <w:shd w:val="clear" w:color="auto" w:fill="auto"/>
                  <w:noWrap/>
                  <w:vAlign w:val="bottom"/>
                  <w:hideMark/>
                </w:tcPr>
                <w:p w14:paraId="5048492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+25,8</w:t>
                  </w:r>
                </w:p>
              </w:tc>
              <w:tc>
                <w:tcPr>
                  <w:tcW w:w="700" w:type="dxa"/>
                  <w:tcBorders>
                    <w:top w:val="single" w:sz="4" w:space="0" w:color="auto"/>
                    <w:left w:val="nil"/>
                    <w:bottom w:val="nil"/>
                    <w:right w:val="nil"/>
                  </w:tcBorders>
                  <w:shd w:val="clear" w:color="auto" w:fill="auto"/>
                  <w:noWrap/>
                  <w:vAlign w:val="bottom"/>
                  <w:hideMark/>
                </w:tcPr>
                <w:p w14:paraId="002AA5F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+7,5</w:t>
                  </w:r>
                </w:p>
              </w:tc>
            </w:tr>
            <w:tr w:rsidR="003B7AFA" w:rsidRPr="001F4BF2" w14:paraId="44DE13C1" w14:textId="77777777" w:rsidTr="003B7AFA">
              <w:trPr>
                <w:trHeight w:val="255"/>
              </w:trPr>
              <w:tc>
                <w:tcPr>
                  <w:tcW w:w="3362" w:type="dxa"/>
                  <w:tcBorders>
                    <w:top w:val="nil"/>
                    <w:left w:val="nil"/>
                    <w:bottom w:val="nil"/>
                    <w:right w:val="nil"/>
                  </w:tcBorders>
                  <w:shd w:val="clear" w:color="auto" w:fill="auto"/>
                  <w:noWrap/>
                  <w:vAlign w:val="bottom"/>
                  <w:hideMark/>
                </w:tcPr>
                <w:p w14:paraId="7F5C6B1E"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Velká Británie</w:t>
                  </w:r>
                </w:p>
              </w:tc>
              <w:tc>
                <w:tcPr>
                  <w:tcW w:w="700" w:type="dxa"/>
                  <w:tcBorders>
                    <w:top w:val="nil"/>
                    <w:left w:val="nil"/>
                    <w:bottom w:val="nil"/>
                    <w:right w:val="nil"/>
                  </w:tcBorders>
                  <w:shd w:val="clear" w:color="auto" w:fill="auto"/>
                  <w:noWrap/>
                  <w:vAlign w:val="bottom"/>
                  <w:hideMark/>
                </w:tcPr>
                <w:p w14:paraId="1786648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+9,4</w:t>
                  </w:r>
                </w:p>
              </w:tc>
              <w:tc>
                <w:tcPr>
                  <w:tcW w:w="700" w:type="dxa"/>
                  <w:tcBorders>
                    <w:top w:val="nil"/>
                    <w:left w:val="nil"/>
                    <w:bottom w:val="nil"/>
                    <w:right w:val="nil"/>
                  </w:tcBorders>
                  <w:shd w:val="clear" w:color="auto" w:fill="auto"/>
                  <w:noWrap/>
                  <w:vAlign w:val="bottom"/>
                  <w:hideMark/>
                </w:tcPr>
                <w:p w14:paraId="19CC121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+18,0</w:t>
                  </w:r>
                </w:p>
              </w:tc>
            </w:tr>
            <w:tr w:rsidR="003B7AFA" w:rsidRPr="001F4BF2" w14:paraId="614828F9" w14:textId="77777777" w:rsidTr="003B7AFA">
              <w:trPr>
                <w:trHeight w:val="255"/>
              </w:trPr>
              <w:tc>
                <w:tcPr>
                  <w:tcW w:w="3362" w:type="dxa"/>
                  <w:tcBorders>
                    <w:top w:val="nil"/>
                    <w:left w:val="nil"/>
                    <w:bottom w:val="nil"/>
                    <w:right w:val="nil"/>
                  </w:tcBorders>
                  <w:shd w:val="clear" w:color="auto" w:fill="auto"/>
                  <w:noWrap/>
                  <w:vAlign w:val="bottom"/>
                  <w:hideMark/>
                </w:tcPr>
                <w:p w14:paraId="16A8BD70"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shd w:val="clear" w:color="auto" w:fill="auto"/>
                  <w:noWrap/>
                  <w:vAlign w:val="bottom"/>
                  <w:hideMark/>
                </w:tcPr>
                <w:p w14:paraId="627841D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+6,3</w:t>
                  </w:r>
                </w:p>
              </w:tc>
              <w:tc>
                <w:tcPr>
                  <w:tcW w:w="700" w:type="dxa"/>
                  <w:tcBorders>
                    <w:top w:val="nil"/>
                    <w:left w:val="nil"/>
                    <w:bottom w:val="nil"/>
                    <w:right w:val="nil"/>
                  </w:tcBorders>
                  <w:shd w:val="clear" w:color="auto" w:fill="auto"/>
                  <w:noWrap/>
                  <w:vAlign w:val="bottom"/>
                  <w:hideMark/>
                </w:tcPr>
                <w:p w14:paraId="3A837C6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+21,3</w:t>
                  </w:r>
                </w:p>
              </w:tc>
            </w:tr>
            <w:tr w:rsidR="003B7AFA" w:rsidRPr="001F4BF2" w14:paraId="529E4494" w14:textId="77777777" w:rsidTr="003B7AFA">
              <w:trPr>
                <w:trHeight w:val="255"/>
              </w:trPr>
              <w:tc>
                <w:tcPr>
                  <w:tcW w:w="3362" w:type="dxa"/>
                  <w:tcBorders>
                    <w:top w:val="nil"/>
                    <w:left w:val="nil"/>
                    <w:bottom w:val="nil"/>
                    <w:right w:val="nil"/>
                  </w:tcBorders>
                  <w:shd w:val="clear" w:color="auto" w:fill="auto"/>
                  <w:noWrap/>
                  <w:vAlign w:val="bottom"/>
                  <w:hideMark/>
                </w:tcPr>
                <w:p w14:paraId="2858C315"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Slovensko</w:t>
                  </w:r>
                </w:p>
              </w:tc>
              <w:tc>
                <w:tcPr>
                  <w:tcW w:w="700" w:type="dxa"/>
                  <w:tcBorders>
                    <w:top w:val="nil"/>
                    <w:left w:val="nil"/>
                    <w:bottom w:val="nil"/>
                    <w:right w:val="nil"/>
                  </w:tcBorders>
                  <w:shd w:val="clear" w:color="auto" w:fill="auto"/>
                  <w:noWrap/>
                  <w:vAlign w:val="bottom"/>
                  <w:hideMark/>
                </w:tcPr>
                <w:p w14:paraId="7040C24F"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+4,9</w:t>
                  </w:r>
                </w:p>
              </w:tc>
              <w:tc>
                <w:tcPr>
                  <w:tcW w:w="700" w:type="dxa"/>
                  <w:tcBorders>
                    <w:top w:val="nil"/>
                    <w:left w:val="nil"/>
                    <w:bottom w:val="nil"/>
                    <w:right w:val="nil"/>
                  </w:tcBorders>
                  <w:shd w:val="clear" w:color="auto" w:fill="auto"/>
                  <w:noWrap/>
                  <w:vAlign w:val="bottom"/>
                  <w:hideMark/>
                </w:tcPr>
                <w:p w14:paraId="7F6B4E0D"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+4,9</w:t>
                  </w:r>
                </w:p>
              </w:tc>
            </w:tr>
            <w:tr w:rsidR="003B7AFA" w:rsidRPr="001F4BF2" w14:paraId="11E0B7FE" w14:textId="77777777" w:rsidTr="003B7AFA">
              <w:trPr>
                <w:trHeight w:val="255"/>
              </w:trPr>
              <w:tc>
                <w:tcPr>
                  <w:tcW w:w="3362" w:type="dxa"/>
                  <w:tcBorders>
                    <w:top w:val="nil"/>
                    <w:left w:val="nil"/>
                    <w:bottom w:val="nil"/>
                    <w:right w:val="nil"/>
                  </w:tcBorders>
                  <w:shd w:val="clear" w:color="auto" w:fill="auto"/>
                  <w:noWrap/>
                  <w:vAlign w:val="bottom"/>
                  <w:hideMark/>
                </w:tcPr>
                <w:p w14:paraId="1CB9C559"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Ukrajina</w:t>
                  </w:r>
                </w:p>
              </w:tc>
              <w:tc>
                <w:tcPr>
                  <w:tcW w:w="700" w:type="dxa"/>
                  <w:tcBorders>
                    <w:top w:val="nil"/>
                    <w:left w:val="nil"/>
                    <w:bottom w:val="nil"/>
                    <w:right w:val="nil"/>
                  </w:tcBorders>
                  <w:shd w:val="clear" w:color="auto" w:fill="auto"/>
                  <w:noWrap/>
                  <w:vAlign w:val="bottom"/>
                  <w:hideMark/>
                </w:tcPr>
                <w:p w14:paraId="1DD4AA2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+4,4</w:t>
                  </w:r>
                </w:p>
              </w:tc>
              <w:tc>
                <w:tcPr>
                  <w:tcW w:w="700" w:type="dxa"/>
                  <w:tcBorders>
                    <w:top w:val="nil"/>
                    <w:left w:val="nil"/>
                    <w:bottom w:val="nil"/>
                    <w:right w:val="nil"/>
                  </w:tcBorders>
                  <w:shd w:val="clear" w:color="auto" w:fill="auto"/>
                  <w:noWrap/>
                  <w:vAlign w:val="bottom"/>
                  <w:hideMark/>
                </w:tcPr>
                <w:p w14:paraId="02910E5D"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+51,9</w:t>
                  </w:r>
                </w:p>
              </w:tc>
            </w:tr>
            <w:tr w:rsidR="003B7AFA" w:rsidRPr="001F4BF2" w14:paraId="02FB1282" w14:textId="77777777" w:rsidTr="003B7AFA">
              <w:trPr>
                <w:trHeight w:val="255"/>
              </w:trPr>
              <w:tc>
                <w:tcPr>
                  <w:tcW w:w="3362" w:type="dxa"/>
                  <w:tcBorders>
                    <w:top w:val="nil"/>
                    <w:left w:val="nil"/>
                    <w:bottom w:val="nil"/>
                    <w:right w:val="nil"/>
                  </w:tcBorders>
                  <w:shd w:val="clear" w:color="auto" w:fill="auto"/>
                  <w:noWrap/>
                  <w:vAlign w:val="bottom"/>
                  <w:hideMark/>
                </w:tcPr>
                <w:p w14:paraId="74FF3336"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Francie</w:t>
                  </w:r>
                </w:p>
              </w:tc>
              <w:tc>
                <w:tcPr>
                  <w:tcW w:w="700" w:type="dxa"/>
                  <w:tcBorders>
                    <w:top w:val="nil"/>
                    <w:left w:val="nil"/>
                    <w:bottom w:val="nil"/>
                    <w:right w:val="nil"/>
                  </w:tcBorders>
                  <w:shd w:val="clear" w:color="auto" w:fill="auto"/>
                  <w:noWrap/>
                  <w:vAlign w:val="bottom"/>
                  <w:hideMark/>
                </w:tcPr>
                <w:p w14:paraId="7D5C885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+3,5</w:t>
                  </w:r>
                </w:p>
              </w:tc>
              <w:tc>
                <w:tcPr>
                  <w:tcW w:w="700" w:type="dxa"/>
                  <w:tcBorders>
                    <w:top w:val="nil"/>
                    <w:left w:val="nil"/>
                    <w:bottom w:val="nil"/>
                    <w:right w:val="nil"/>
                  </w:tcBorders>
                  <w:shd w:val="clear" w:color="auto" w:fill="auto"/>
                  <w:noWrap/>
                  <w:vAlign w:val="bottom"/>
                  <w:hideMark/>
                </w:tcPr>
                <w:p w14:paraId="61E756D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+6,2</w:t>
                  </w:r>
                </w:p>
              </w:tc>
            </w:tr>
            <w:tr w:rsidR="003B7AFA" w:rsidRPr="001F4BF2" w14:paraId="1C2B8EFE" w14:textId="77777777" w:rsidTr="003B7AFA">
              <w:trPr>
                <w:trHeight w:val="255"/>
              </w:trPr>
              <w:tc>
                <w:tcPr>
                  <w:tcW w:w="3362" w:type="dxa"/>
                  <w:tcBorders>
                    <w:top w:val="nil"/>
                    <w:left w:val="nil"/>
                    <w:bottom w:val="nil"/>
                    <w:right w:val="nil"/>
                  </w:tcBorders>
                  <w:shd w:val="clear" w:color="auto" w:fill="auto"/>
                  <w:noWrap/>
                  <w:vAlign w:val="bottom"/>
                  <w:hideMark/>
                </w:tcPr>
                <w:p w14:paraId="7501B2A1"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Turecko</w:t>
                  </w:r>
                </w:p>
              </w:tc>
              <w:tc>
                <w:tcPr>
                  <w:tcW w:w="700" w:type="dxa"/>
                  <w:tcBorders>
                    <w:top w:val="nil"/>
                    <w:left w:val="nil"/>
                    <w:bottom w:val="nil"/>
                    <w:right w:val="nil"/>
                  </w:tcBorders>
                  <w:shd w:val="clear" w:color="auto" w:fill="auto"/>
                  <w:noWrap/>
                  <w:vAlign w:val="bottom"/>
                  <w:hideMark/>
                </w:tcPr>
                <w:p w14:paraId="5D2ECD8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+3,4</w:t>
                  </w:r>
                </w:p>
              </w:tc>
              <w:tc>
                <w:tcPr>
                  <w:tcW w:w="700" w:type="dxa"/>
                  <w:tcBorders>
                    <w:top w:val="nil"/>
                    <w:left w:val="nil"/>
                    <w:bottom w:val="nil"/>
                    <w:right w:val="nil"/>
                  </w:tcBorders>
                  <w:shd w:val="clear" w:color="auto" w:fill="auto"/>
                  <w:noWrap/>
                  <w:vAlign w:val="bottom"/>
                  <w:hideMark/>
                </w:tcPr>
                <w:p w14:paraId="67900C0F"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+19,4</w:t>
                  </w:r>
                </w:p>
              </w:tc>
            </w:tr>
            <w:tr w:rsidR="003B7AFA" w:rsidRPr="001F4BF2" w14:paraId="3BC065AE" w14:textId="77777777" w:rsidTr="003B7AFA">
              <w:trPr>
                <w:trHeight w:val="255"/>
              </w:trPr>
              <w:tc>
                <w:tcPr>
                  <w:tcW w:w="3362" w:type="dxa"/>
                  <w:tcBorders>
                    <w:top w:val="nil"/>
                    <w:left w:val="nil"/>
                    <w:bottom w:val="nil"/>
                    <w:right w:val="nil"/>
                  </w:tcBorders>
                  <w:shd w:val="clear" w:color="auto" w:fill="auto"/>
                  <w:noWrap/>
                  <w:vAlign w:val="bottom"/>
                  <w:hideMark/>
                </w:tcPr>
                <w:p w14:paraId="4E195D32"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Dánsko</w:t>
                  </w:r>
                </w:p>
              </w:tc>
              <w:tc>
                <w:tcPr>
                  <w:tcW w:w="700" w:type="dxa"/>
                  <w:tcBorders>
                    <w:top w:val="nil"/>
                    <w:left w:val="nil"/>
                    <w:bottom w:val="nil"/>
                    <w:right w:val="nil"/>
                  </w:tcBorders>
                  <w:shd w:val="clear" w:color="auto" w:fill="auto"/>
                  <w:noWrap/>
                  <w:vAlign w:val="bottom"/>
                  <w:hideMark/>
                </w:tcPr>
                <w:p w14:paraId="3E192679"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+3,3</w:t>
                  </w:r>
                </w:p>
              </w:tc>
              <w:tc>
                <w:tcPr>
                  <w:tcW w:w="700" w:type="dxa"/>
                  <w:tcBorders>
                    <w:top w:val="nil"/>
                    <w:left w:val="nil"/>
                    <w:bottom w:val="nil"/>
                    <w:right w:val="nil"/>
                  </w:tcBorders>
                  <w:shd w:val="clear" w:color="auto" w:fill="auto"/>
                  <w:noWrap/>
                  <w:vAlign w:val="bottom"/>
                  <w:hideMark/>
                </w:tcPr>
                <w:p w14:paraId="65E5CB9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+45,7</w:t>
                  </w:r>
                </w:p>
              </w:tc>
            </w:tr>
            <w:tr w:rsidR="003B7AFA" w:rsidRPr="001F4BF2" w14:paraId="3187DC9F" w14:textId="77777777" w:rsidTr="003B7AFA">
              <w:trPr>
                <w:trHeight w:val="255"/>
              </w:trPr>
              <w:tc>
                <w:tcPr>
                  <w:tcW w:w="3362" w:type="dxa"/>
                  <w:tcBorders>
                    <w:top w:val="nil"/>
                    <w:left w:val="nil"/>
                    <w:bottom w:val="nil"/>
                    <w:right w:val="nil"/>
                  </w:tcBorders>
                  <w:shd w:val="clear" w:color="auto" w:fill="auto"/>
                  <w:noWrap/>
                  <w:vAlign w:val="bottom"/>
                  <w:hideMark/>
                </w:tcPr>
                <w:p w14:paraId="5F09876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Izrael</w:t>
                  </w:r>
                </w:p>
              </w:tc>
              <w:tc>
                <w:tcPr>
                  <w:tcW w:w="700" w:type="dxa"/>
                  <w:tcBorders>
                    <w:top w:val="nil"/>
                    <w:left w:val="nil"/>
                    <w:bottom w:val="nil"/>
                    <w:right w:val="nil"/>
                  </w:tcBorders>
                  <w:shd w:val="clear" w:color="auto" w:fill="auto"/>
                  <w:noWrap/>
                  <w:vAlign w:val="bottom"/>
                  <w:hideMark/>
                </w:tcPr>
                <w:p w14:paraId="0B9D117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+2,9</w:t>
                  </w:r>
                </w:p>
              </w:tc>
              <w:tc>
                <w:tcPr>
                  <w:tcW w:w="700" w:type="dxa"/>
                  <w:tcBorders>
                    <w:top w:val="nil"/>
                    <w:left w:val="nil"/>
                    <w:bottom w:val="nil"/>
                    <w:right w:val="nil"/>
                  </w:tcBorders>
                  <w:shd w:val="clear" w:color="auto" w:fill="auto"/>
                  <w:noWrap/>
                  <w:vAlign w:val="bottom"/>
                  <w:hideMark/>
                </w:tcPr>
                <w:p w14:paraId="23B3531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+63,6</w:t>
                  </w:r>
                </w:p>
              </w:tc>
            </w:tr>
            <w:tr w:rsidR="003B7AFA" w:rsidRPr="001F4BF2" w14:paraId="2C8228B2" w14:textId="77777777" w:rsidTr="003B7AFA">
              <w:trPr>
                <w:trHeight w:val="255"/>
              </w:trPr>
              <w:tc>
                <w:tcPr>
                  <w:tcW w:w="3362" w:type="dxa"/>
                  <w:tcBorders>
                    <w:top w:val="nil"/>
                    <w:left w:val="nil"/>
                    <w:bottom w:val="nil"/>
                    <w:right w:val="nil"/>
                  </w:tcBorders>
                  <w:shd w:val="clear" w:color="auto" w:fill="auto"/>
                  <w:noWrap/>
                  <w:vAlign w:val="bottom"/>
                  <w:hideMark/>
                </w:tcPr>
                <w:p w14:paraId="442780E0"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Švédsko</w:t>
                  </w:r>
                </w:p>
              </w:tc>
              <w:tc>
                <w:tcPr>
                  <w:tcW w:w="700" w:type="dxa"/>
                  <w:tcBorders>
                    <w:top w:val="nil"/>
                    <w:left w:val="nil"/>
                    <w:bottom w:val="nil"/>
                    <w:right w:val="nil"/>
                  </w:tcBorders>
                  <w:shd w:val="clear" w:color="auto" w:fill="auto"/>
                  <w:noWrap/>
                  <w:vAlign w:val="bottom"/>
                  <w:hideMark/>
                </w:tcPr>
                <w:p w14:paraId="3A87E54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+2,5</w:t>
                  </w:r>
                </w:p>
              </w:tc>
              <w:tc>
                <w:tcPr>
                  <w:tcW w:w="700" w:type="dxa"/>
                  <w:tcBorders>
                    <w:top w:val="nil"/>
                    <w:left w:val="nil"/>
                    <w:bottom w:val="nil"/>
                    <w:right w:val="nil"/>
                  </w:tcBorders>
                  <w:shd w:val="clear" w:color="auto" w:fill="auto"/>
                  <w:noWrap/>
                  <w:vAlign w:val="bottom"/>
                  <w:hideMark/>
                </w:tcPr>
                <w:p w14:paraId="0A7458DF"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+14,9</w:t>
                  </w:r>
                </w:p>
              </w:tc>
            </w:tr>
            <w:tr w:rsidR="003B7AFA" w:rsidRPr="001F4BF2" w14:paraId="5E61646A" w14:textId="77777777" w:rsidTr="003B7AFA">
              <w:trPr>
                <w:trHeight w:val="255"/>
              </w:trPr>
              <w:tc>
                <w:tcPr>
                  <w:tcW w:w="3362" w:type="dxa"/>
                  <w:tcBorders>
                    <w:top w:val="nil"/>
                    <w:left w:val="nil"/>
                    <w:bottom w:val="nil"/>
                    <w:right w:val="nil"/>
                  </w:tcBorders>
                  <w:shd w:val="clear" w:color="auto" w:fill="auto"/>
                  <w:noWrap/>
                  <w:vAlign w:val="bottom"/>
                  <w:hideMark/>
                </w:tcPr>
                <w:p w14:paraId="18600BA9"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Polsko</w:t>
                  </w:r>
                </w:p>
              </w:tc>
              <w:tc>
                <w:tcPr>
                  <w:tcW w:w="700" w:type="dxa"/>
                  <w:tcBorders>
                    <w:top w:val="nil"/>
                    <w:left w:val="nil"/>
                    <w:bottom w:val="nil"/>
                    <w:right w:val="nil"/>
                  </w:tcBorders>
                  <w:shd w:val="clear" w:color="auto" w:fill="auto"/>
                  <w:noWrap/>
                  <w:vAlign w:val="bottom"/>
                  <w:hideMark/>
                </w:tcPr>
                <w:p w14:paraId="37AC017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+1,4</w:t>
                  </w:r>
                </w:p>
              </w:tc>
              <w:tc>
                <w:tcPr>
                  <w:tcW w:w="700" w:type="dxa"/>
                  <w:tcBorders>
                    <w:top w:val="nil"/>
                    <w:left w:val="nil"/>
                    <w:bottom w:val="nil"/>
                    <w:right w:val="nil"/>
                  </w:tcBorders>
                  <w:shd w:val="clear" w:color="auto" w:fill="auto"/>
                  <w:noWrap/>
                  <w:vAlign w:val="bottom"/>
                  <w:hideMark/>
                </w:tcPr>
                <w:p w14:paraId="5CC0755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+1,6</w:t>
                  </w:r>
                </w:p>
              </w:tc>
            </w:tr>
            <w:tr w:rsidR="003B7AFA" w:rsidRPr="001F4BF2" w14:paraId="437781E9" w14:textId="77777777" w:rsidTr="003B7AFA">
              <w:trPr>
                <w:trHeight w:val="255"/>
              </w:trPr>
              <w:tc>
                <w:tcPr>
                  <w:tcW w:w="3362" w:type="dxa"/>
                  <w:tcBorders>
                    <w:top w:val="nil"/>
                    <w:left w:val="nil"/>
                    <w:bottom w:val="nil"/>
                    <w:right w:val="nil"/>
                  </w:tcBorders>
                  <w:shd w:val="clear" w:color="auto" w:fill="auto"/>
                  <w:noWrap/>
                  <w:vAlign w:val="bottom"/>
                  <w:hideMark/>
                </w:tcPr>
                <w:p w14:paraId="595614FE"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Norsko</w:t>
                  </w:r>
                </w:p>
              </w:tc>
              <w:tc>
                <w:tcPr>
                  <w:tcW w:w="700" w:type="dxa"/>
                  <w:tcBorders>
                    <w:top w:val="nil"/>
                    <w:left w:val="nil"/>
                    <w:bottom w:val="nil"/>
                    <w:right w:val="nil"/>
                  </w:tcBorders>
                  <w:shd w:val="clear" w:color="auto" w:fill="auto"/>
                  <w:noWrap/>
                  <w:vAlign w:val="bottom"/>
                  <w:hideMark/>
                </w:tcPr>
                <w:p w14:paraId="56702FFC"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1,7</w:t>
                  </w:r>
                </w:p>
              </w:tc>
              <w:tc>
                <w:tcPr>
                  <w:tcW w:w="700" w:type="dxa"/>
                  <w:tcBorders>
                    <w:top w:val="nil"/>
                    <w:left w:val="nil"/>
                    <w:bottom w:val="nil"/>
                    <w:right w:val="nil"/>
                  </w:tcBorders>
                  <w:shd w:val="clear" w:color="auto" w:fill="auto"/>
                  <w:noWrap/>
                  <w:vAlign w:val="bottom"/>
                  <w:hideMark/>
                </w:tcPr>
                <w:p w14:paraId="28EDBCFA"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24,9</w:t>
                  </w:r>
                </w:p>
              </w:tc>
            </w:tr>
            <w:tr w:rsidR="003B7AFA" w:rsidRPr="001F4BF2" w14:paraId="5856DCF0" w14:textId="77777777" w:rsidTr="003B7AFA">
              <w:trPr>
                <w:trHeight w:val="255"/>
              </w:trPr>
              <w:tc>
                <w:tcPr>
                  <w:tcW w:w="3362" w:type="dxa"/>
                  <w:tcBorders>
                    <w:top w:val="nil"/>
                    <w:left w:val="nil"/>
                    <w:bottom w:val="nil"/>
                    <w:right w:val="nil"/>
                  </w:tcBorders>
                  <w:shd w:val="clear" w:color="auto" w:fill="auto"/>
                  <w:noWrap/>
                  <w:vAlign w:val="bottom"/>
                  <w:hideMark/>
                </w:tcPr>
                <w:p w14:paraId="5ABF9F3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Itálie</w:t>
                  </w:r>
                </w:p>
              </w:tc>
              <w:tc>
                <w:tcPr>
                  <w:tcW w:w="700" w:type="dxa"/>
                  <w:tcBorders>
                    <w:top w:val="nil"/>
                    <w:left w:val="nil"/>
                    <w:bottom w:val="nil"/>
                    <w:right w:val="nil"/>
                  </w:tcBorders>
                  <w:shd w:val="clear" w:color="auto" w:fill="auto"/>
                  <w:noWrap/>
                  <w:vAlign w:val="bottom"/>
                  <w:hideMark/>
                </w:tcPr>
                <w:p w14:paraId="044CA79A"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2,4</w:t>
                  </w:r>
                </w:p>
              </w:tc>
              <w:tc>
                <w:tcPr>
                  <w:tcW w:w="700" w:type="dxa"/>
                  <w:tcBorders>
                    <w:top w:val="nil"/>
                    <w:left w:val="nil"/>
                    <w:bottom w:val="nil"/>
                    <w:right w:val="nil"/>
                  </w:tcBorders>
                  <w:shd w:val="clear" w:color="auto" w:fill="auto"/>
                  <w:noWrap/>
                  <w:vAlign w:val="bottom"/>
                  <w:hideMark/>
                </w:tcPr>
                <w:p w14:paraId="0BC67A84"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4,6</w:t>
                  </w:r>
                </w:p>
              </w:tc>
            </w:tr>
            <w:tr w:rsidR="003B7AFA" w:rsidRPr="001F4BF2" w14:paraId="3CA76CE3" w14:textId="77777777" w:rsidTr="003B7AFA">
              <w:trPr>
                <w:trHeight w:val="255"/>
              </w:trPr>
              <w:tc>
                <w:tcPr>
                  <w:tcW w:w="3362" w:type="dxa"/>
                  <w:tcBorders>
                    <w:top w:val="nil"/>
                    <w:left w:val="nil"/>
                    <w:bottom w:val="nil"/>
                    <w:right w:val="nil"/>
                  </w:tcBorders>
                  <w:shd w:val="clear" w:color="auto" w:fill="auto"/>
                  <w:noWrap/>
                  <w:vAlign w:val="bottom"/>
                  <w:hideMark/>
                </w:tcPr>
                <w:p w14:paraId="1766CBD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Maďarsko</w:t>
                  </w:r>
                </w:p>
              </w:tc>
              <w:tc>
                <w:tcPr>
                  <w:tcW w:w="700" w:type="dxa"/>
                  <w:tcBorders>
                    <w:top w:val="nil"/>
                    <w:left w:val="nil"/>
                    <w:bottom w:val="nil"/>
                    <w:right w:val="nil"/>
                  </w:tcBorders>
                  <w:shd w:val="clear" w:color="auto" w:fill="auto"/>
                  <w:noWrap/>
                  <w:vAlign w:val="bottom"/>
                  <w:hideMark/>
                </w:tcPr>
                <w:p w14:paraId="5DA7AD9B"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2,7</w:t>
                  </w:r>
                </w:p>
              </w:tc>
              <w:tc>
                <w:tcPr>
                  <w:tcW w:w="700" w:type="dxa"/>
                  <w:tcBorders>
                    <w:top w:val="nil"/>
                    <w:left w:val="nil"/>
                    <w:bottom w:val="nil"/>
                    <w:right w:val="nil"/>
                  </w:tcBorders>
                  <w:shd w:val="clear" w:color="auto" w:fill="auto"/>
                  <w:noWrap/>
                  <w:vAlign w:val="bottom"/>
                  <w:hideMark/>
                </w:tcPr>
                <w:p w14:paraId="04BC08BA"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7,3</w:t>
                  </w:r>
                </w:p>
              </w:tc>
            </w:tr>
            <w:tr w:rsidR="003B7AFA" w:rsidRPr="001F4BF2" w14:paraId="2A5296C2" w14:textId="77777777" w:rsidTr="003B7AFA">
              <w:trPr>
                <w:trHeight w:val="255"/>
              </w:trPr>
              <w:tc>
                <w:tcPr>
                  <w:tcW w:w="3362" w:type="dxa"/>
                  <w:tcBorders>
                    <w:top w:val="nil"/>
                    <w:left w:val="nil"/>
                    <w:bottom w:val="nil"/>
                    <w:right w:val="nil"/>
                  </w:tcBorders>
                  <w:shd w:val="clear" w:color="auto" w:fill="auto"/>
                  <w:noWrap/>
                  <w:vAlign w:val="bottom"/>
                  <w:hideMark/>
                </w:tcPr>
                <w:p w14:paraId="7E09057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Španělsko</w:t>
                  </w:r>
                </w:p>
              </w:tc>
              <w:tc>
                <w:tcPr>
                  <w:tcW w:w="700" w:type="dxa"/>
                  <w:tcBorders>
                    <w:top w:val="nil"/>
                    <w:left w:val="nil"/>
                    <w:bottom w:val="nil"/>
                    <w:right w:val="nil"/>
                  </w:tcBorders>
                  <w:shd w:val="clear" w:color="auto" w:fill="auto"/>
                  <w:noWrap/>
                  <w:vAlign w:val="bottom"/>
                  <w:hideMark/>
                </w:tcPr>
                <w:p w14:paraId="3B23D7F6"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3,2</w:t>
                  </w:r>
                </w:p>
              </w:tc>
              <w:tc>
                <w:tcPr>
                  <w:tcW w:w="700" w:type="dxa"/>
                  <w:tcBorders>
                    <w:top w:val="nil"/>
                    <w:left w:val="nil"/>
                    <w:bottom w:val="nil"/>
                    <w:right w:val="nil"/>
                  </w:tcBorders>
                  <w:shd w:val="clear" w:color="auto" w:fill="auto"/>
                  <w:noWrap/>
                  <w:vAlign w:val="bottom"/>
                  <w:hideMark/>
                </w:tcPr>
                <w:p w14:paraId="6920CC82"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8,9</w:t>
                  </w:r>
                </w:p>
              </w:tc>
            </w:tr>
          </w:tbl>
          <w:p w14:paraId="3D6E49CC" w14:textId="77777777" w:rsidR="003B7AFA" w:rsidRDefault="003B7AFA" w:rsidP="003B7AFA">
            <w:pPr>
              <w:spacing w:after="0"/>
              <w:rPr>
                <w:spacing w:val="-4"/>
                <w:lang w:eastAsia="en-US"/>
              </w:rPr>
            </w:pPr>
          </w:p>
        </w:tc>
      </w:tr>
      <w:tr w:rsidR="003B7AFA" w14:paraId="69587098" w14:textId="77777777" w:rsidTr="003B7AFA">
        <w:trPr>
          <w:trHeight w:val="170"/>
        </w:trPr>
        <w:tc>
          <w:tcPr>
            <w:tcW w:w="4811" w:type="dxa"/>
            <w:gridSpan w:val="3"/>
            <w:hideMark/>
          </w:tcPr>
          <w:p w14:paraId="0A134EED" w14:textId="77777777" w:rsidR="003B7AFA" w:rsidRDefault="003B7AFA" w:rsidP="003B7AFA">
            <w:pPr>
              <w:jc w:val="right"/>
              <w:rPr>
                <w:spacing w:val="-4"/>
                <w:sz w:val="16"/>
                <w:szCs w:val="16"/>
                <w:lang w:eastAsia="en-US"/>
              </w:rPr>
            </w:pPr>
            <w:r>
              <w:rPr>
                <w:spacing w:val="-4"/>
                <w:sz w:val="16"/>
                <w:szCs w:val="16"/>
                <w:lang w:eastAsia="en-US"/>
              </w:rPr>
              <w:t>Zdroj: ČSÚ</w:t>
            </w:r>
          </w:p>
        </w:tc>
        <w:tc>
          <w:tcPr>
            <w:tcW w:w="57" w:type="dxa"/>
          </w:tcPr>
          <w:p w14:paraId="21C79F2F" w14:textId="77777777" w:rsidR="003B7AFA" w:rsidRDefault="003B7AFA" w:rsidP="003B7AFA">
            <w:pPr>
              <w:spacing w:after="0"/>
              <w:rPr>
                <w:spacing w:val="-4"/>
                <w:lang w:eastAsia="en-US"/>
              </w:rPr>
            </w:pPr>
          </w:p>
        </w:tc>
        <w:tc>
          <w:tcPr>
            <w:tcW w:w="4809" w:type="dxa"/>
            <w:hideMark/>
          </w:tcPr>
          <w:p w14:paraId="023293B0" w14:textId="77777777" w:rsidR="003B7AFA" w:rsidRDefault="003B7AFA" w:rsidP="003B7AFA">
            <w:pPr>
              <w:spacing w:after="0"/>
              <w:ind w:right="21"/>
              <w:jc w:val="right"/>
              <w:rPr>
                <w:spacing w:val="-4"/>
                <w:lang w:eastAsia="en-US"/>
              </w:rPr>
            </w:pPr>
            <w:r>
              <w:rPr>
                <w:spacing w:val="-4"/>
                <w:sz w:val="16"/>
                <w:szCs w:val="16"/>
                <w:lang w:eastAsia="en-US"/>
              </w:rPr>
              <w:t>Zdroj: ČSÚ</w:t>
            </w:r>
          </w:p>
        </w:tc>
      </w:tr>
      <w:tr w:rsidR="003B7AFA" w14:paraId="0733B7CD" w14:textId="77777777" w:rsidTr="003B7AFA">
        <w:trPr>
          <w:trHeight w:val="145"/>
        </w:trPr>
        <w:tc>
          <w:tcPr>
            <w:tcW w:w="1748" w:type="dxa"/>
            <w:hideMark/>
          </w:tcPr>
          <w:p w14:paraId="00E47721" w14:textId="77777777" w:rsidR="003B7AFA" w:rsidRDefault="003B7AFA" w:rsidP="003B7AFA">
            <w:pPr>
              <w:pStyle w:val="Marginlie"/>
              <w:rPr>
                <w:lang w:eastAsia="en-US"/>
              </w:rPr>
            </w:pPr>
            <w:r>
              <w:rPr>
                <w:lang w:eastAsia="en-US"/>
              </w:rPr>
              <w:lastRenderedPageBreak/>
              <w:t>Dovoz z většiny zemí meziročně rostl.</w:t>
            </w:r>
          </w:p>
        </w:tc>
        <w:tc>
          <w:tcPr>
            <w:tcW w:w="252" w:type="dxa"/>
          </w:tcPr>
          <w:p w14:paraId="57BAD36D" w14:textId="77777777" w:rsidR="003B7AFA" w:rsidRDefault="003B7AFA" w:rsidP="003B7AFA">
            <w:pPr>
              <w:pStyle w:val="Textpoznpodarou"/>
              <w:jc w:val="both"/>
              <w:rPr>
                <w:spacing w:val="-4"/>
                <w:lang w:eastAsia="en-US"/>
              </w:rPr>
            </w:pPr>
          </w:p>
        </w:tc>
        <w:tc>
          <w:tcPr>
            <w:tcW w:w="7677" w:type="dxa"/>
            <w:gridSpan w:val="3"/>
            <w:hideMark/>
          </w:tcPr>
          <w:p w14:paraId="354DDD68" w14:textId="77777777" w:rsidR="003B7AFA" w:rsidRDefault="003B7AFA" w:rsidP="003B7AFA">
            <w:pPr>
              <w:spacing w:after="180"/>
              <w:rPr>
                <w:spacing w:val="-4"/>
                <w:lang w:eastAsia="en-US"/>
              </w:rPr>
            </w:pPr>
            <w:r>
              <w:rPr>
                <w:spacing w:val="-4"/>
                <w:lang w:eastAsia="en-US"/>
              </w:rPr>
              <w:t>V 1. čtvrtletí 2025 hodnota dovozu zboží meziročně vzrostla o 72,0 mld. korun (6,7 %) a vystoupala na 1 142,0 mld. Rovněž u importu cenový vývoj zčásti posílil jeho nominální dynamiku</w:t>
            </w:r>
            <w:r>
              <w:rPr>
                <w:rStyle w:val="Znakapoznpodarou"/>
                <w:spacing w:val="-4"/>
                <w:lang w:eastAsia="en-US"/>
              </w:rPr>
              <w:footnoteReference w:id="55"/>
            </w:r>
            <w:r>
              <w:rPr>
                <w:spacing w:val="-4"/>
                <w:lang w:eastAsia="en-US"/>
              </w:rPr>
              <w:t xml:space="preserve">. Sezónně očištěné údaje ukázaly na mezičtvrtletní přírůstek dovozu o 3,4 %. Více se meziročně zvýšil dovoz ze zemí mimo EU (+39,6 mld. korun, 10,5 %). Import z EU byl vyšší o 31,0 mld. (4,6 %). Nejvíce vzrostla hodnota dovozu z Číny (viz Tabulka č. 4). S odstupem se dál umístily Německo, Polsko a Slovensko a z unijních zemí mělo významnější navýšení dovozu do Česka ještě Rakousko. Rostl také import z Koreje, Turecka nebo Spojených států amerických. Jen u menšiny zemí dovoz meziročně klesal. Nejvíce u Ruska, Tchaj-wanu a Maďarska.    </w:t>
            </w:r>
          </w:p>
        </w:tc>
      </w:tr>
      <w:tr w:rsidR="003B7AFA" w14:paraId="534CC072" w14:textId="77777777" w:rsidTr="003B7AFA">
        <w:trPr>
          <w:trHeight w:val="145"/>
        </w:trPr>
        <w:tc>
          <w:tcPr>
            <w:tcW w:w="1748" w:type="dxa"/>
          </w:tcPr>
          <w:p w14:paraId="661EDEDB" w14:textId="77777777" w:rsidR="003B7AFA" w:rsidRDefault="003B7AFA" w:rsidP="003B7AFA">
            <w:pPr>
              <w:pStyle w:val="Marginlie"/>
              <w:rPr>
                <w:lang w:eastAsia="en-US"/>
              </w:rPr>
            </w:pPr>
            <w:r>
              <w:rPr>
                <w:lang w:eastAsia="en-US"/>
              </w:rPr>
              <w:t>Nejvíce rostl dovoz elektrických zařízení.</w:t>
            </w:r>
          </w:p>
        </w:tc>
        <w:tc>
          <w:tcPr>
            <w:tcW w:w="252" w:type="dxa"/>
          </w:tcPr>
          <w:p w14:paraId="495857EB" w14:textId="77777777" w:rsidR="003B7AFA" w:rsidRDefault="003B7AFA" w:rsidP="003B7AFA">
            <w:pPr>
              <w:pStyle w:val="Textpoznpodarou"/>
              <w:jc w:val="both"/>
              <w:rPr>
                <w:spacing w:val="-4"/>
                <w:lang w:eastAsia="en-US"/>
              </w:rPr>
            </w:pPr>
          </w:p>
        </w:tc>
        <w:tc>
          <w:tcPr>
            <w:tcW w:w="7677" w:type="dxa"/>
            <w:gridSpan w:val="3"/>
          </w:tcPr>
          <w:p w14:paraId="5D319C79" w14:textId="77777777" w:rsidR="003B7AFA" w:rsidRDefault="003B7AFA" w:rsidP="003B7AFA">
            <w:pPr>
              <w:spacing w:after="180"/>
              <w:rPr>
                <w:spacing w:val="-4"/>
                <w:lang w:eastAsia="en-US"/>
              </w:rPr>
            </w:pPr>
            <w:r>
              <w:rPr>
                <w:spacing w:val="-4"/>
                <w:lang w:eastAsia="en-US"/>
              </w:rPr>
              <w:t>Také na straně dovozu byl v 1. čtvrtletí u většiny artiklů zaznamenán meziroční růst. Nejvíce se zvyšoval import elektrických zařízení</w:t>
            </w:r>
            <w:r>
              <w:rPr>
                <w:rStyle w:val="Znakapoznpodarou"/>
                <w:spacing w:val="-4"/>
                <w:lang w:eastAsia="en-US"/>
              </w:rPr>
              <w:footnoteReference w:id="56"/>
            </w:r>
            <w:r>
              <w:rPr>
                <w:spacing w:val="-4"/>
                <w:lang w:eastAsia="en-US"/>
              </w:rPr>
              <w:t xml:space="preserve"> (viz Tabulka č. 3), u kterých přírůstek značně posílil, a dále u kovodělných výrobků – dynamika importu u obou oddílů značně předčila zbytek klasifikace produkce. Významný byl nárůst u potravinářských výrobků, chemických látek a přípravků, počítačů, elektronických a optických přístrojů a zařízení, elektřiny, plynu páry a klimatizovaného vzduchu nebo ostatních dopravních prostředků a zařízení. Jediný významnější meziroční pokles importu byl zaznamenán u ropy a zemního plynu.    </w:t>
            </w:r>
          </w:p>
        </w:tc>
      </w:tr>
      <w:tr w:rsidR="003B7AFA" w14:paraId="7DA128A4" w14:textId="77777777" w:rsidTr="003B7AFA">
        <w:trPr>
          <w:trHeight w:val="170"/>
        </w:trPr>
        <w:tc>
          <w:tcPr>
            <w:tcW w:w="4811" w:type="dxa"/>
            <w:gridSpan w:val="3"/>
            <w:hideMark/>
          </w:tcPr>
          <w:p w14:paraId="427FC43C" w14:textId="77777777" w:rsidR="003B7AFA" w:rsidRDefault="003B7AFA" w:rsidP="003B7AFA">
            <w:pPr>
              <w:spacing w:after="0"/>
              <w:jc w:val="left"/>
              <w:rPr>
                <w:spacing w:val="-4"/>
                <w:lang w:eastAsia="en-US"/>
              </w:rPr>
            </w:pPr>
            <w:r>
              <w:rPr>
                <w:rFonts w:cs="Arial"/>
                <w:b/>
                <w:bCs/>
                <w:color w:val="000000"/>
                <w:sz w:val="18"/>
                <w:szCs w:val="18"/>
                <w:lang w:eastAsia="en-US"/>
              </w:rPr>
              <w:t xml:space="preserve">Tabulka č. 3 Oddíly klasifikace CPA s největším vlivem na vývoj dovozu zboží v 1. čtvrtletí 2025 </w:t>
            </w:r>
            <w:r>
              <w:rPr>
                <w:rFonts w:cs="Arial"/>
                <w:bCs/>
                <w:color w:val="000000"/>
                <w:sz w:val="18"/>
                <w:szCs w:val="18"/>
                <w:lang w:eastAsia="en-US"/>
              </w:rPr>
              <w:t>(meziročně)</w:t>
            </w:r>
          </w:p>
        </w:tc>
        <w:tc>
          <w:tcPr>
            <w:tcW w:w="57" w:type="dxa"/>
          </w:tcPr>
          <w:p w14:paraId="3A97FE13" w14:textId="77777777" w:rsidR="003B7AFA" w:rsidRDefault="003B7AFA" w:rsidP="003B7AFA">
            <w:pPr>
              <w:spacing w:after="0"/>
              <w:rPr>
                <w:spacing w:val="-4"/>
                <w:lang w:eastAsia="en-US"/>
              </w:rPr>
            </w:pPr>
          </w:p>
        </w:tc>
        <w:tc>
          <w:tcPr>
            <w:tcW w:w="4809" w:type="dxa"/>
            <w:hideMark/>
          </w:tcPr>
          <w:p w14:paraId="73FAF54B" w14:textId="77777777" w:rsidR="003B7AFA" w:rsidRDefault="003B7AFA" w:rsidP="003B7AFA">
            <w:pPr>
              <w:spacing w:after="0"/>
              <w:jc w:val="left"/>
              <w:rPr>
                <w:spacing w:val="-4"/>
                <w:sz w:val="18"/>
                <w:szCs w:val="18"/>
                <w:lang w:eastAsia="en-US"/>
              </w:rPr>
            </w:pPr>
            <w:r>
              <w:rPr>
                <w:rFonts w:cs="Arial"/>
                <w:b/>
                <w:bCs/>
                <w:color w:val="000000"/>
                <w:sz w:val="18"/>
                <w:szCs w:val="18"/>
                <w:lang w:eastAsia="en-US"/>
              </w:rPr>
              <w:t xml:space="preserve">Tabulka č. 4 Země s největším vlivem na vývoj dovozu zboží v 1. čtvrtletí 2025 </w:t>
            </w:r>
            <w:r>
              <w:rPr>
                <w:rFonts w:cs="Arial"/>
                <w:bCs/>
                <w:color w:val="000000"/>
                <w:sz w:val="18"/>
                <w:szCs w:val="18"/>
                <w:lang w:eastAsia="en-US"/>
              </w:rPr>
              <w:t>(meziročně)</w:t>
            </w:r>
          </w:p>
        </w:tc>
      </w:tr>
      <w:tr w:rsidR="003B7AFA" w:rsidRPr="005A40B7" w14:paraId="485F64EB" w14:textId="77777777" w:rsidTr="003B7AFA">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3B7AFA" w:rsidRPr="001F4BF2" w14:paraId="466A2919" w14:textId="77777777" w:rsidTr="003B7AFA">
              <w:trPr>
                <w:trHeight w:hRule="exact" w:val="255"/>
              </w:trPr>
              <w:tc>
                <w:tcPr>
                  <w:tcW w:w="3417" w:type="dxa"/>
                  <w:tcBorders>
                    <w:top w:val="nil"/>
                    <w:left w:val="nil"/>
                    <w:bottom w:val="single" w:sz="4" w:space="0" w:color="auto"/>
                    <w:right w:val="nil"/>
                  </w:tcBorders>
                  <w:shd w:val="clear" w:color="auto" w:fill="auto"/>
                  <w:noWrap/>
                  <w:vAlign w:val="bottom"/>
                  <w:hideMark/>
                </w:tcPr>
                <w:p w14:paraId="2AA11916"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 </w:t>
                  </w:r>
                </w:p>
              </w:tc>
              <w:tc>
                <w:tcPr>
                  <w:tcW w:w="700" w:type="dxa"/>
                  <w:tcBorders>
                    <w:top w:val="nil"/>
                    <w:left w:val="nil"/>
                    <w:bottom w:val="single" w:sz="4" w:space="0" w:color="auto"/>
                    <w:right w:val="nil"/>
                  </w:tcBorders>
                  <w:shd w:val="clear" w:color="auto" w:fill="auto"/>
                  <w:noWrap/>
                  <w:vAlign w:val="bottom"/>
                  <w:hideMark/>
                </w:tcPr>
                <w:p w14:paraId="014C1E1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mld. Kč</w:t>
                  </w:r>
                </w:p>
              </w:tc>
              <w:tc>
                <w:tcPr>
                  <w:tcW w:w="700" w:type="dxa"/>
                  <w:tcBorders>
                    <w:top w:val="nil"/>
                    <w:left w:val="nil"/>
                    <w:bottom w:val="single" w:sz="4" w:space="0" w:color="auto"/>
                    <w:right w:val="nil"/>
                  </w:tcBorders>
                  <w:shd w:val="clear" w:color="auto" w:fill="auto"/>
                  <w:noWrap/>
                  <w:vAlign w:val="bottom"/>
                  <w:hideMark/>
                </w:tcPr>
                <w:p w14:paraId="602A00B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w:t>
                  </w:r>
                </w:p>
              </w:tc>
            </w:tr>
            <w:tr w:rsidR="003B7AFA" w:rsidRPr="001F4BF2" w14:paraId="62368AC2" w14:textId="77777777" w:rsidTr="003B7AFA">
              <w:trPr>
                <w:trHeight w:hRule="exact" w:val="255"/>
              </w:trPr>
              <w:tc>
                <w:tcPr>
                  <w:tcW w:w="3417" w:type="dxa"/>
                  <w:tcBorders>
                    <w:top w:val="nil"/>
                    <w:left w:val="nil"/>
                    <w:bottom w:val="nil"/>
                    <w:right w:val="nil"/>
                  </w:tcBorders>
                  <w:shd w:val="clear" w:color="auto" w:fill="auto"/>
                  <w:noWrap/>
                  <w:vAlign w:val="bottom"/>
                  <w:hideMark/>
                </w:tcPr>
                <w:p w14:paraId="71B7875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Elektrická zařízení</w:t>
                  </w:r>
                </w:p>
              </w:tc>
              <w:tc>
                <w:tcPr>
                  <w:tcW w:w="700" w:type="dxa"/>
                  <w:tcBorders>
                    <w:top w:val="nil"/>
                    <w:left w:val="nil"/>
                    <w:bottom w:val="nil"/>
                    <w:right w:val="nil"/>
                  </w:tcBorders>
                  <w:shd w:val="clear" w:color="auto" w:fill="auto"/>
                  <w:noWrap/>
                  <w:vAlign w:val="bottom"/>
                  <w:hideMark/>
                </w:tcPr>
                <w:p w14:paraId="28D0C81D"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+20,2</w:t>
                  </w:r>
                </w:p>
              </w:tc>
              <w:tc>
                <w:tcPr>
                  <w:tcW w:w="700" w:type="dxa"/>
                  <w:tcBorders>
                    <w:top w:val="nil"/>
                    <w:left w:val="nil"/>
                    <w:bottom w:val="nil"/>
                    <w:right w:val="nil"/>
                  </w:tcBorders>
                  <w:shd w:val="clear" w:color="auto" w:fill="auto"/>
                  <w:noWrap/>
                  <w:vAlign w:val="bottom"/>
                  <w:hideMark/>
                </w:tcPr>
                <w:p w14:paraId="6C99C56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+20,4</w:t>
                  </w:r>
                </w:p>
              </w:tc>
            </w:tr>
            <w:tr w:rsidR="003B7AFA" w:rsidRPr="001F4BF2" w14:paraId="0829127C" w14:textId="77777777" w:rsidTr="003B7AFA">
              <w:trPr>
                <w:trHeight w:hRule="exact" w:val="255"/>
              </w:trPr>
              <w:tc>
                <w:tcPr>
                  <w:tcW w:w="3417" w:type="dxa"/>
                  <w:tcBorders>
                    <w:top w:val="nil"/>
                    <w:left w:val="nil"/>
                    <w:bottom w:val="nil"/>
                    <w:right w:val="nil"/>
                  </w:tcBorders>
                  <w:shd w:val="clear" w:color="auto" w:fill="auto"/>
                  <w:noWrap/>
                  <w:vAlign w:val="bottom"/>
                  <w:hideMark/>
                </w:tcPr>
                <w:p w14:paraId="61761103"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Kovodělné výrobky</w:t>
                  </w:r>
                  <w:r>
                    <w:rPr>
                      <w:rFonts w:cs="Arial"/>
                      <w:color w:val="000000"/>
                      <w:sz w:val="16"/>
                      <w:szCs w:val="16"/>
                    </w:rPr>
                    <w:t xml:space="preserve"> </w:t>
                  </w:r>
                  <w:r w:rsidRPr="001F4BF2">
                    <w:rPr>
                      <w:rFonts w:cs="Arial"/>
                      <w:color w:val="000000"/>
                      <w:sz w:val="16"/>
                      <w:szCs w:val="16"/>
                    </w:rPr>
                    <w:t>kromě strojů a zařízení</w:t>
                  </w:r>
                </w:p>
              </w:tc>
              <w:tc>
                <w:tcPr>
                  <w:tcW w:w="700" w:type="dxa"/>
                  <w:tcBorders>
                    <w:top w:val="nil"/>
                    <w:left w:val="nil"/>
                    <w:bottom w:val="nil"/>
                    <w:right w:val="nil"/>
                  </w:tcBorders>
                  <w:shd w:val="clear" w:color="auto" w:fill="auto"/>
                  <w:noWrap/>
                  <w:vAlign w:val="bottom"/>
                  <w:hideMark/>
                </w:tcPr>
                <w:p w14:paraId="09778672"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+12,7</w:t>
                  </w:r>
                </w:p>
              </w:tc>
              <w:tc>
                <w:tcPr>
                  <w:tcW w:w="700" w:type="dxa"/>
                  <w:tcBorders>
                    <w:top w:val="nil"/>
                    <w:left w:val="nil"/>
                    <w:bottom w:val="nil"/>
                    <w:right w:val="nil"/>
                  </w:tcBorders>
                  <w:shd w:val="clear" w:color="auto" w:fill="auto"/>
                  <w:noWrap/>
                  <w:vAlign w:val="bottom"/>
                  <w:hideMark/>
                </w:tcPr>
                <w:p w14:paraId="496D7B89"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+26,4</w:t>
                  </w:r>
                </w:p>
              </w:tc>
            </w:tr>
            <w:tr w:rsidR="003B7AFA" w:rsidRPr="001F4BF2" w14:paraId="76BEAA47" w14:textId="77777777" w:rsidTr="003B7AFA">
              <w:trPr>
                <w:trHeight w:hRule="exact" w:val="255"/>
              </w:trPr>
              <w:tc>
                <w:tcPr>
                  <w:tcW w:w="3417" w:type="dxa"/>
                  <w:tcBorders>
                    <w:top w:val="nil"/>
                    <w:left w:val="nil"/>
                    <w:bottom w:val="nil"/>
                    <w:right w:val="nil"/>
                  </w:tcBorders>
                  <w:shd w:val="clear" w:color="auto" w:fill="auto"/>
                  <w:noWrap/>
                  <w:vAlign w:val="bottom"/>
                  <w:hideMark/>
                </w:tcPr>
                <w:p w14:paraId="2AB6DF1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Potravinářské výrobky</w:t>
                  </w:r>
                </w:p>
              </w:tc>
              <w:tc>
                <w:tcPr>
                  <w:tcW w:w="700" w:type="dxa"/>
                  <w:tcBorders>
                    <w:top w:val="nil"/>
                    <w:left w:val="nil"/>
                    <w:bottom w:val="nil"/>
                    <w:right w:val="nil"/>
                  </w:tcBorders>
                  <w:shd w:val="clear" w:color="auto" w:fill="auto"/>
                  <w:noWrap/>
                  <w:vAlign w:val="bottom"/>
                  <w:hideMark/>
                </w:tcPr>
                <w:p w14:paraId="449A1AA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+6,1</w:t>
                  </w:r>
                </w:p>
              </w:tc>
              <w:tc>
                <w:tcPr>
                  <w:tcW w:w="700" w:type="dxa"/>
                  <w:tcBorders>
                    <w:top w:val="nil"/>
                    <w:left w:val="nil"/>
                    <w:bottom w:val="nil"/>
                    <w:right w:val="nil"/>
                  </w:tcBorders>
                  <w:shd w:val="clear" w:color="auto" w:fill="auto"/>
                  <w:noWrap/>
                  <w:vAlign w:val="bottom"/>
                  <w:hideMark/>
                </w:tcPr>
                <w:p w14:paraId="66FC43B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+10,6</w:t>
                  </w:r>
                </w:p>
              </w:tc>
            </w:tr>
            <w:tr w:rsidR="003B7AFA" w:rsidRPr="001F4BF2" w14:paraId="2F76B15F" w14:textId="77777777" w:rsidTr="003B7AFA">
              <w:trPr>
                <w:trHeight w:hRule="exact" w:val="255"/>
              </w:trPr>
              <w:tc>
                <w:tcPr>
                  <w:tcW w:w="3417" w:type="dxa"/>
                  <w:tcBorders>
                    <w:top w:val="nil"/>
                    <w:left w:val="nil"/>
                    <w:bottom w:val="nil"/>
                    <w:right w:val="nil"/>
                  </w:tcBorders>
                  <w:shd w:val="clear" w:color="auto" w:fill="auto"/>
                  <w:noWrap/>
                  <w:vAlign w:val="bottom"/>
                  <w:hideMark/>
                </w:tcPr>
                <w:p w14:paraId="0B976E17"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Chemické látky a přípravky</w:t>
                  </w:r>
                </w:p>
              </w:tc>
              <w:tc>
                <w:tcPr>
                  <w:tcW w:w="700" w:type="dxa"/>
                  <w:tcBorders>
                    <w:top w:val="nil"/>
                    <w:left w:val="nil"/>
                    <w:bottom w:val="nil"/>
                    <w:right w:val="nil"/>
                  </w:tcBorders>
                  <w:shd w:val="clear" w:color="auto" w:fill="auto"/>
                  <w:noWrap/>
                  <w:vAlign w:val="bottom"/>
                  <w:hideMark/>
                </w:tcPr>
                <w:p w14:paraId="4B672B6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+5,3</w:t>
                  </w:r>
                </w:p>
              </w:tc>
              <w:tc>
                <w:tcPr>
                  <w:tcW w:w="700" w:type="dxa"/>
                  <w:tcBorders>
                    <w:top w:val="nil"/>
                    <w:left w:val="nil"/>
                    <w:bottom w:val="nil"/>
                    <w:right w:val="nil"/>
                  </w:tcBorders>
                  <w:shd w:val="clear" w:color="auto" w:fill="auto"/>
                  <w:noWrap/>
                  <w:vAlign w:val="bottom"/>
                  <w:hideMark/>
                </w:tcPr>
                <w:p w14:paraId="4FF9712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+6,3</w:t>
                  </w:r>
                </w:p>
              </w:tc>
            </w:tr>
            <w:tr w:rsidR="003B7AFA" w:rsidRPr="001F4BF2" w14:paraId="0209D020" w14:textId="77777777" w:rsidTr="003B7AFA">
              <w:trPr>
                <w:trHeight w:hRule="exact" w:val="255"/>
              </w:trPr>
              <w:tc>
                <w:tcPr>
                  <w:tcW w:w="3417" w:type="dxa"/>
                  <w:tcBorders>
                    <w:top w:val="nil"/>
                    <w:left w:val="nil"/>
                    <w:bottom w:val="nil"/>
                    <w:right w:val="nil"/>
                  </w:tcBorders>
                  <w:shd w:val="clear" w:color="auto" w:fill="auto"/>
                  <w:noWrap/>
                  <w:vAlign w:val="bottom"/>
                  <w:hideMark/>
                </w:tcPr>
                <w:p w14:paraId="777F58E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Počítače, elektron. a opt. přístroje a zařízení</w:t>
                  </w:r>
                </w:p>
              </w:tc>
              <w:tc>
                <w:tcPr>
                  <w:tcW w:w="700" w:type="dxa"/>
                  <w:tcBorders>
                    <w:top w:val="nil"/>
                    <w:left w:val="nil"/>
                    <w:bottom w:val="nil"/>
                    <w:right w:val="nil"/>
                  </w:tcBorders>
                  <w:shd w:val="clear" w:color="auto" w:fill="auto"/>
                  <w:noWrap/>
                  <w:vAlign w:val="bottom"/>
                  <w:hideMark/>
                </w:tcPr>
                <w:p w14:paraId="6B83B75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+5,1</w:t>
                  </w:r>
                </w:p>
              </w:tc>
              <w:tc>
                <w:tcPr>
                  <w:tcW w:w="700" w:type="dxa"/>
                  <w:tcBorders>
                    <w:top w:val="nil"/>
                    <w:left w:val="nil"/>
                    <w:bottom w:val="nil"/>
                    <w:right w:val="nil"/>
                  </w:tcBorders>
                  <w:shd w:val="clear" w:color="auto" w:fill="auto"/>
                  <w:noWrap/>
                  <w:vAlign w:val="bottom"/>
                  <w:hideMark/>
                </w:tcPr>
                <w:p w14:paraId="371D81D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+4,2</w:t>
                  </w:r>
                </w:p>
              </w:tc>
            </w:tr>
            <w:tr w:rsidR="003B7AFA" w:rsidRPr="001F4BF2" w14:paraId="1F02C80D" w14:textId="77777777" w:rsidTr="003B7AFA">
              <w:trPr>
                <w:trHeight w:hRule="exact" w:val="255"/>
              </w:trPr>
              <w:tc>
                <w:tcPr>
                  <w:tcW w:w="3417" w:type="dxa"/>
                  <w:tcBorders>
                    <w:top w:val="nil"/>
                    <w:left w:val="nil"/>
                    <w:bottom w:val="nil"/>
                    <w:right w:val="nil"/>
                  </w:tcBorders>
                  <w:shd w:val="clear" w:color="auto" w:fill="auto"/>
                  <w:noWrap/>
                  <w:vAlign w:val="bottom"/>
                  <w:hideMark/>
                </w:tcPr>
                <w:p w14:paraId="4D81FAA5"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Elektřina, plyn, pára a klimatizovaný vzduch</w:t>
                  </w:r>
                </w:p>
              </w:tc>
              <w:tc>
                <w:tcPr>
                  <w:tcW w:w="700" w:type="dxa"/>
                  <w:tcBorders>
                    <w:top w:val="nil"/>
                    <w:left w:val="nil"/>
                    <w:bottom w:val="nil"/>
                    <w:right w:val="nil"/>
                  </w:tcBorders>
                  <w:shd w:val="clear" w:color="auto" w:fill="auto"/>
                  <w:noWrap/>
                  <w:vAlign w:val="bottom"/>
                  <w:hideMark/>
                </w:tcPr>
                <w:p w14:paraId="0E796D6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+4,7</w:t>
                  </w:r>
                </w:p>
              </w:tc>
              <w:tc>
                <w:tcPr>
                  <w:tcW w:w="700" w:type="dxa"/>
                  <w:tcBorders>
                    <w:top w:val="nil"/>
                    <w:left w:val="nil"/>
                    <w:bottom w:val="nil"/>
                    <w:right w:val="nil"/>
                  </w:tcBorders>
                  <w:shd w:val="clear" w:color="auto" w:fill="auto"/>
                  <w:noWrap/>
                  <w:vAlign w:val="bottom"/>
                  <w:hideMark/>
                </w:tcPr>
                <w:p w14:paraId="6367C52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+113,3</w:t>
                  </w:r>
                </w:p>
              </w:tc>
            </w:tr>
            <w:tr w:rsidR="003B7AFA" w:rsidRPr="001F4BF2" w14:paraId="562F44CF" w14:textId="77777777" w:rsidTr="003B7AFA">
              <w:trPr>
                <w:trHeight w:hRule="exact" w:val="255"/>
              </w:trPr>
              <w:tc>
                <w:tcPr>
                  <w:tcW w:w="3417" w:type="dxa"/>
                  <w:tcBorders>
                    <w:top w:val="nil"/>
                    <w:left w:val="nil"/>
                    <w:bottom w:val="nil"/>
                    <w:right w:val="nil"/>
                  </w:tcBorders>
                  <w:shd w:val="clear" w:color="auto" w:fill="auto"/>
                  <w:noWrap/>
                  <w:vAlign w:val="bottom"/>
                  <w:hideMark/>
                </w:tcPr>
                <w:p w14:paraId="48C1699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Ostatní dopravní prostředky a zařízení</w:t>
                  </w:r>
                </w:p>
              </w:tc>
              <w:tc>
                <w:tcPr>
                  <w:tcW w:w="700" w:type="dxa"/>
                  <w:tcBorders>
                    <w:top w:val="nil"/>
                    <w:left w:val="nil"/>
                    <w:bottom w:val="nil"/>
                    <w:right w:val="nil"/>
                  </w:tcBorders>
                  <w:shd w:val="clear" w:color="auto" w:fill="auto"/>
                  <w:noWrap/>
                  <w:vAlign w:val="bottom"/>
                  <w:hideMark/>
                </w:tcPr>
                <w:p w14:paraId="3EFDDCD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+4,3</w:t>
                  </w:r>
                </w:p>
              </w:tc>
              <w:tc>
                <w:tcPr>
                  <w:tcW w:w="700" w:type="dxa"/>
                  <w:tcBorders>
                    <w:top w:val="nil"/>
                    <w:left w:val="nil"/>
                    <w:bottom w:val="nil"/>
                    <w:right w:val="nil"/>
                  </w:tcBorders>
                  <w:shd w:val="clear" w:color="auto" w:fill="auto"/>
                  <w:noWrap/>
                  <w:vAlign w:val="bottom"/>
                  <w:hideMark/>
                </w:tcPr>
                <w:p w14:paraId="2C0EFDE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+28,1</w:t>
                  </w:r>
                </w:p>
              </w:tc>
            </w:tr>
            <w:tr w:rsidR="003B7AFA" w:rsidRPr="001F4BF2" w14:paraId="0DD68E73" w14:textId="77777777" w:rsidTr="003B7AFA">
              <w:trPr>
                <w:trHeight w:hRule="exact" w:val="255"/>
              </w:trPr>
              <w:tc>
                <w:tcPr>
                  <w:tcW w:w="3417" w:type="dxa"/>
                  <w:tcBorders>
                    <w:top w:val="nil"/>
                    <w:left w:val="nil"/>
                    <w:bottom w:val="nil"/>
                    <w:right w:val="nil"/>
                  </w:tcBorders>
                  <w:shd w:val="clear" w:color="auto" w:fill="auto"/>
                  <w:noWrap/>
                  <w:vAlign w:val="bottom"/>
                  <w:hideMark/>
                </w:tcPr>
                <w:p w14:paraId="6E6F9462"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Ostatní výrobky zpracovatelského průmyslu</w:t>
                  </w:r>
                </w:p>
              </w:tc>
              <w:tc>
                <w:tcPr>
                  <w:tcW w:w="700" w:type="dxa"/>
                  <w:tcBorders>
                    <w:top w:val="nil"/>
                    <w:left w:val="nil"/>
                    <w:bottom w:val="nil"/>
                    <w:right w:val="nil"/>
                  </w:tcBorders>
                  <w:shd w:val="clear" w:color="auto" w:fill="auto"/>
                  <w:noWrap/>
                  <w:vAlign w:val="bottom"/>
                  <w:hideMark/>
                </w:tcPr>
                <w:p w14:paraId="499C75F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+3,2</w:t>
                  </w:r>
                </w:p>
              </w:tc>
              <w:tc>
                <w:tcPr>
                  <w:tcW w:w="700" w:type="dxa"/>
                  <w:tcBorders>
                    <w:top w:val="nil"/>
                    <w:left w:val="nil"/>
                    <w:bottom w:val="nil"/>
                    <w:right w:val="nil"/>
                  </w:tcBorders>
                  <w:shd w:val="clear" w:color="auto" w:fill="auto"/>
                  <w:noWrap/>
                  <w:vAlign w:val="bottom"/>
                  <w:hideMark/>
                </w:tcPr>
                <w:p w14:paraId="1266D3C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+14,9</w:t>
                  </w:r>
                </w:p>
              </w:tc>
            </w:tr>
            <w:tr w:rsidR="003B7AFA" w:rsidRPr="001F4BF2" w14:paraId="3D917BD8" w14:textId="77777777" w:rsidTr="003B7AFA">
              <w:trPr>
                <w:trHeight w:hRule="exact" w:val="255"/>
              </w:trPr>
              <w:tc>
                <w:tcPr>
                  <w:tcW w:w="3417" w:type="dxa"/>
                  <w:tcBorders>
                    <w:top w:val="nil"/>
                    <w:left w:val="nil"/>
                    <w:bottom w:val="nil"/>
                    <w:right w:val="nil"/>
                  </w:tcBorders>
                  <w:shd w:val="clear" w:color="auto" w:fill="auto"/>
                  <w:noWrap/>
                  <w:vAlign w:val="bottom"/>
                  <w:hideMark/>
                </w:tcPr>
                <w:p w14:paraId="7B238480"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Stroje a zařízení j. n.</w:t>
                  </w:r>
                </w:p>
              </w:tc>
              <w:tc>
                <w:tcPr>
                  <w:tcW w:w="700" w:type="dxa"/>
                  <w:tcBorders>
                    <w:top w:val="nil"/>
                    <w:left w:val="nil"/>
                    <w:bottom w:val="nil"/>
                    <w:right w:val="nil"/>
                  </w:tcBorders>
                  <w:shd w:val="clear" w:color="auto" w:fill="auto"/>
                  <w:noWrap/>
                  <w:vAlign w:val="bottom"/>
                  <w:hideMark/>
                </w:tcPr>
                <w:p w14:paraId="1C9F219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+2,2</w:t>
                  </w:r>
                </w:p>
              </w:tc>
              <w:tc>
                <w:tcPr>
                  <w:tcW w:w="700" w:type="dxa"/>
                  <w:tcBorders>
                    <w:top w:val="nil"/>
                    <w:left w:val="nil"/>
                    <w:bottom w:val="nil"/>
                    <w:right w:val="nil"/>
                  </w:tcBorders>
                  <w:shd w:val="clear" w:color="auto" w:fill="auto"/>
                  <w:noWrap/>
                  <w:vAlign w:val="bottom"/>
                  <w:hideMark/>
                </w:tcPr>
                <w:p w14:paraId="1FD80701"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+2,4</w:t>
                  </w:r>
                </w:p>
              </w:tc>
            </w:tr>
            <w:tr w:rsidR="003B7AFA" w:rsidRPr="001F4BF2" w14:paraId="04DC6983" w14:textId="77777777" w:rsidTr="003B7AFA">
              <w:trPr>
                <w:trHeight w:hRule="exact" w:val="255"/>
              </w:trPr>
              <w:tc>
                <w:tcPr>
                  <w:tcW w:w="3417" w:type="dxa"/>
                  <w:tcBorders>
                    <w:top w:val="nil"/>
                    <w:left w:val="nil"/>
                    <w:bottom w:val="nil"/>
                    <w:right w:val="nil"/>
                  </w:tcBorders>
                  <w:shd w:val="clear" w:color="auto" w:fill="auto"/>
                  <w:noWrap/>
                  <w:vAlign w:val="bottom"/>
                  <w:hideMark/>
                </w:tcPr>
                <w:p w14:paraId="1148D614"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Základní kovy</w:t>
                  </w:r>
                </w:p>
              </w:tc>
              <w:tc>
                <w:tcPr>
                  <w:tcW w:w="700" w:type="dxa"/>
                  <w:tcBorders>
                    <w:top w:val="nil"/>
                    <w:left w:val="nil"/>
                    <w:bottom w:val="nil"/>
                    <w:right w:val="nil"/>
                  </w:tcBorders>
                  <w:shd w:val="clear" w:color="auto" w:fill="auto"/>
                  <w:noWrap/>
                  <w:vAlign w:val="bottom"/>
                  <w:hideMark/>
                </w:tcPr>
                <w:p w14:paraId="3249711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+2,2</w:t>
                  </w:r>
                </w:p>
              </w:tc>
              <w:tc>
                <w:tcPr>
                  <w:tcW w:w="700" w:type="dxa"/>
                  <w:tcBorders>
                    <w:top w:val="nil"/>
                    <w:left w:val="nil"/>
                    <w:bottom w:val="nil"/>
                    <w:right w:val="nil"/>
                  </w:tcBorders>
                  <w:shd w:val="clear" w:color="auto" w:fill="auto"/>
                  <w:noWrap/>
                  <w:vAlign w:val="bottom"/>
                  <w:hideMark/>
                </w:tcPr>
                <w:p w14:paraId="46855A0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+2,7</w:t>
                  </w:r>
                </w:p>
              </w:tc>
            </w:tr>
            <w:tr w:rsidR="003B7AFA" w:rsidRPr="001F4BF2" w14:paraId="22B72B93" w14:textId="77777777" w:rsidTr="003B7AFA">
              <w:trPr>
                <w:trHeight w:hRule="exact" w:val="255"/>
              </w:trPr>
              <w:tc>
                <w:tcPr>
                  <w:tcW w:w="3417" w:type="dxa"/>
                  <w:tcBorders>
                    <w:top w:val="nil"/>
                    <w:left w:val="nil"/>
                    <w:bottom w:val="nil"/>
                    <w:right w:val="nil"/>
                  </w:tcBorders>
                  <w:shd w:val="clear" w:color="auto" w:fill="auto"/>
                  <w:noWrap/>
                  <w:vAlign w:val="bottom"/>
                  <w:hideMark/>
                </w:tcPr>
                <w:p w14:paraId="16C87054"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Základní farmaceutické výrobky a přípravky</w:t>
                  </w:r>
                </w:p>
              </w:tc>
              <w:tc>
                <w:tcPr>
                  <w:tcW w:w="700" w:type="dxa"/>
                  <w:tcBorders>
                    <w:top w:val="nil"/>
                    <w:left w:val="nil"/>
                    <w:bottom w:val="nil"/>
                    <w:right w:val="nil"/>
                  </w:tcBorders>
                  <w:shd w:val="clear" w:color="auto" w:fill="auto"/>
                  <w:noWrap/>
                  <w:vAlign w:val="bottom"/>
                  <w:hideMark/>
                </w:tcPr>
                <w:p w14:paraId="228A00A9"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+2,1</w:t>
                  </w:r>
                </w:p>
              </w:tc>
              <w:tc>
                <w:tcPr>
                  <w:tcW w:w="700" w:type="dxa"/>
                  <w:tcBorders>
                    <w:top w:val="nil"/>
                    <w:left w:val="nil"/>
                    <w:bottom w:val="nil"/>
                    <w:right w:val="nil"/>
                  </w:tcBorders>
                  <w:shd w:val="clear" w:color="auto" w:fill="auto"/>
                  <w:noWrap/>
                  <w:vAlign w:val="bottom"/>
                  <w:hideMark/>
                </w:tcPr>
                <w:p w14:paraId="23482B7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+5,9</w:t>
                  </w:r>
                </w:p>
              </w:tc>
            </w:tr>
            <w:tr w:rsidR="003B7AFA" w:rsidRPr="001F4BF2" w14:paraId="39979FCC" w14:textId="77777777" w:rsidTr="003B7AFA">
              <w:trPr>
                <w:trHeight w:hRule="exact" w:val="255"/>
              </w:trPr>
              <w:tc>
                <w:tcPr>
                  <w:tcW w:w="3417" w:type="dxa"/>
                  <w:tcBorders>
                    <w:top w:val="nil"/>
                    <w:left w:val="nil"/>
                    <w:bottom w:val="nil"/>
                    <w:right w:val="nil"/>
                  </w:tcBorders>
                  <w:shd w:val="clear" w:color="auto" w:fill="auto"/>
                  <w:noWrap/>
                  <w:vAlign w:val="bottom"/>
                  <w:hideMark/>
                </w:tcPr>
                <w:p w14:paraId="680F6F9B"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Produkty zemědělství a myslivosti</w:t>
                  </w:r>
                </w:p>
              </w:tc>
              <w:tc>
                <w:tcPr>
                  <w:tcW w:w="700" w:type="dxa"/>
                  <w:tcBorders>
                    <w:top w:val="nil"/>
                    <w:left w:val="nil"/>
                    <w:bottom w:val="nil"/>
                    <w:right w:val="nil"/>
                  </w:tcBorders>
                  <w:shd w:val="clear" w:color="auto" w:fill="auto"/>
                  <w:noWrap/>
                  <w:vAlign w:val="bottom"/>
                  <w:hideMark/>
                </w:tcPr>
                <w:p w14:paraId="333978E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+1,9</w:t>
                  </w:r>
                </w:p>
              </w:tc>
              <w:tc>
                <w:tcPr>
                  <w:tcW w:w="700" w:type="dxa"/>
                  <w:tcBorders>
                    <w:top w:val="nil"/>
                    <w:left w:val="nil"/>
                    <w:bottom w:val="nil"/>
                    <w:right w:val="nil"/>
                  </w:tcBorders>
                  <w:shd w:val="clear" w:color="auto" w:fill="auto"/>
                  <w:noWrap/>
                  <w:vAlign w:val="bottom"/>
                  <w:hideMark/>
                </w:tcPr>
                <w:p w14:paraId="3EE02FD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+10,0</w:t>
                  </w:r>
                </w:p>
              </w:tc>
            </w:tr>
            <w:tr w:rsidR="003B7AFA" w:rsidRPr="001F4BF2" w14:paraId="2130DF91" w14:textId="77777777" w:rsidTr="003B7AFA">
              <w:trPr>
                <w:trHeight w:hRule="exact" w:val="255"/>
              </w:trPr>
              <w:tc>
                <w:tcPr>
                  <w:tcW w:w="3417" w:type="dxa"/>
                  <w:tcBorders>
                    <w:top w:val="nil"/>
                    <w:left w:val="nil"/>
                    <w:bottom w:val="nil"/>
                    <w:right w:val="nil"/>
                  </w:tcBorders>
                  <w:shd w:val="clear" w:color="auto" w:fill="auto"/>
                  <w:noWrap/>
                  <w:vAlign w:val="bottom"/>
                  <w:hideMark/>
                </w:tcPr>
                <w:p w14:paraId="08DA2F67"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Oděvy</w:t>
                  </w:r>
                </w:p>
              </w:tc>
              <w:tc>
                <w:tcPr>
                  <w:tcW w:w="700" w:type="dxa"/>
                  <w:tcBorders>
                    <w:top w:val="nil"/>
                    <w:left w:val="nil"/>
                    <w:bottom w:val="nil"/>
                    <w:right w:val="nil"/>
                  </w:tcBorders>
                  <w:shd w:val="clear" w:color="auto" w:fill="auto"/>
                  <w:noWrap/>
                  <w:vAlign w:val="bottom"/>
                  <w:hideMark/>
                </w:tcPr>
                <w:p w14:paraId="3559312D"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+1,8</w:t>
                  </w:r>
                </w:p>
              </w:tc>
              <w:tc>
                <w:tcPr>
                  <w:tcW w:w="700" w:type="dxa"/>
                  <w:tcBorders>
                    <w:top w:val="nil"/>
                    <w:left w:val="nil"/>
                    <w:bottom w:val="nil"/>
                    <w:right w:val="nil"/>
                  </w:tcBorders>
                  <w:shd w:val="clear" w:color="auto" w:fill="auto"/>
                  <w:noWrap/>
                  <w:vAlign w:val="bottom"/>
                  <w:hideMark/>
                </w:tcPr>
                <w:p w14:paraId="39C04C0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+12,5</w:t>
                  </w:r>
                </w:p>
              </w:tc>
            </w:tr>
            <w:tr w:rsidR="003B7AFA" w:rsidRPr="001F4BF2" w14:paraId="0F3111E2" w14:textId="77777777" w:rsidTr="003B7AFA">
              <w:trPr>
                <w:trHeight w:hRule="exact" w:val="255"/>
              </w:trPr>
              <w:tc>
                <w:tcPr>
                  <w:tcW w:w="3417" w:type="dxa"/>
                  <w:tcBorders>
                    <w:top w:val="nil"/>
                    <w:left w:val="nil"/>
                    <w:bottom w:val="nil"/>
                    <w:right w:val="nil"/>
                  </w:tcBorders>
                  <w:shd w:val="clear" w:color="auto" w:fill="auto"/>
                  <w:noWrap/>
                  <w:vAlign w:val="bottom"/>
                  <w:hideMark/>
                </w:tcPr>
                <w:p w14:paraId="6AFD744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Pryžové a plastové výrobky</w:t>
                  </w:r>
                </w:p>
              </w:tc>
              <w:tc>
                <w:tcPr>
                  <w:tcW w:w="700" w:type="dxa"/>
                  <w:tcBorders>
                    <w:top w:val="nil"/>
                    <w:left w:val="nil"/>
                    <w:bottom w:val="nil"/>
                    <w:right w:val="nil"/>
                  </w:tcBorders>
                  <w:shd w:val="clear" w:color="auto" w:fill="auto"/>
                  <w:noWrap/>
                  <w:vAlign w:val="bottom"/>
                  <w:hideMark/>
                </w:tcPr>
                <w:p w14:paraId="18637169"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+1,5</w:t>
                  </w:r>
                </w:p>
              </w:tc>
              <w:tc>
                <w:tcPr>
                  <w:tcW w:w="700" w:type="dxa"/>
                  <w:tcBorders>
                    <w:top w:val="nil"/>
                    <w:left w:val="nil"/>
                    <w:bottom w:val="nil"/>
                    <w:right w:val="nil"/>
                  </w:tcBorders>
                  <w:shd w:val="clear" w:color="auto" w:fill="auto"/>
                  <w:noWrap/>
                  <w:vAlign w:val="bottom"/>
                  <w:hideMark/>
                </w:tcPr>
                <w:p w14:paraId="3A028EE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+2,9</w:t>
                  </w:r>
                </w:p>
              </w:tc>
            </w:tr>
            <w:tr w:rsidR="003B7AFA" w:rsidRPr="001F4BF2" w14:paraId="79B7DD5F" w14:textId="77777777" w:rsidTr="003B7AFA">
              <w:trPr>
                <w:trHeight w:hRule="exact" w:val="255"/>
              </w:trPr>
              <w:tc>
                <w:tcPr>
                  <w:tcW w:w="3417" w:type="dxa"/>
                  <w:tcBorders>
                    <w:top w:val="nil"/>
                    <w:left w:val="nil"/>
                    <w:bottom w:val="nil"/>
                    <w:right w:val="nil"/>
                  </w:tcBorders>
                  <w:shd w:val="clear" w:color="auto" w:fill="auto"/>
                  <w:noWrap/>
                  <w:vAlign w:val="bottom"/>
                  <w:hideMark/>
                </w:tcPr>
                <w:p w14:paraId="6887B609"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Ropa a zemní plyn</w:t>
                  </w:r>
                </w:p>
              </w:tc>
              <w:tc>
                <w:tcPr>
                  <w:tcW w:w="700" w:type="dxa"/>
                  <w:tcBorders>
                    <w:top w:val="nil"/>
                    <w:left w:val="nil"/>
                    <w:bottom w:val="nil"/>
                    <w:right w:val="nil"/>
                  </w:tcBorders>
                  <w:shd w:val="clear" w:color="auto" w:fill="auto"/>
                  <w:noWrap/>
                  <w:vAlign w:val="bottom"/>
                  <w:hideMark/>
                </w:tcPr>
                <w:p w14:paraId="395F542E"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4,0</w:t>
                  </w:r>
                </w:p>
              </w:tc>
              <w:tc>
                <w:tcPr>
                  <w:tcW w:w="700" w:type="dxa"/>
                  <w:tcBorders>
                    <w:top w:val="nil"/>
                    <w:left w:val="nil"/>
                    <w:bottom w:val="nil"/>
                    <w:right w:val="nil"/>
                  </w:tcBorders>
                  <w:shd w:val="clear" w:color="auto" w:fill="auto"/>
                  <w:noWrap/>
                  <w:vAlign w:val="bottom"/>
                  <w:hideMark/>
                </w:tcPr>
                <w:p w14:paraId="192D4B8B"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9,4</w:t>
                  </w:r>
                </w:p>
              </w:tc>
            </w:tr>
          </w:tbl>
          <w:p w14:paraId="1DB48976" w14:textId="77777777" w:rsidR="003B7AFA" w:rsidRPr="005A40B7" w:rsidRDefault="003B7AFA" w:rsidP="003B7AFA">
            <w:pPr>
              <w:spacing w:after="0"/>
              <w:rPr>
                <w:spacing w:val="-4"/>
                <w:sz w:val="16"/>
                <w:szCs w:val="16"/>
                <w:lang w:eastAsia="en-US"/>
              </w:rPr>
            </w:pPr>
          </w:p>
        </w:tc>
        <w:tc>
          <w:tcPr>
            <w:tcW w:w="57" w:type="dxa"/>
          </w:tcPr>
          <w:p w14:paraId="320A48C3" w14:textId="77777777" w:rsidR="003B7AFA" w:rsidRPr="005A40B7" w:rsidRDefault="003B7AFA" w:rsidP="003B7AFA">
            <w:pPr>
              <w:spacing w:after="0"/>
              <w:rPr>
                <w:spacing w:val="-4"/>
                <w:sz w:val="16"/>
                <w:szCs w:val="16"/>
                <w:lang w:eastAsia="en-US"/>
              </w:rPr>
            </w:pPr>
          </w:p>
        </w:tc>
        <w:tc>
          <w:tcPr>
            <w:tcW w:w="4809" w:type="dxa"/>
            <w:hideMark/>
          </w:tcPr>
          <w:tbl>
            <w:tblPr>
              <w:tblW w:w="4810" w:type="dxa"/>
              <w:tblLayout w:type="fixed"/>
              <w:tblCellMar>
                <w:left w:w="70" w:type="dxa"/>
                <w:right w:w="70" w:type="dxa"/>
              </w:tblCellMar>
              <w:tblLook w:val="04A0" w:firstRow="1" w:lastRow="0" w:firstColumn="1" w:lastColumn="0" w:noHBand="0" w:noVBand="1"/>
            </w:tblPr>
            <w:tblGrid>
              <w:gridCol w:w="3362"/>
              <w:gridCol w:w="748"/>
              <w:gridCol w:w="700"/>
            </w:tblGrid>
            <w:tr w:rsidR="003B7AFA" w:rsidRPr="001F4BF2" w14:paraId="73AA0C1C" w14:textId="77777777" w:rsidTr="003B7AFA">
              <w:trPr>
                <w:trHeight w:hRule="exact" w:val="255"/>
              </w:trPr>
              <w:tc>
                <w:tcPr>
                  <w:tcW w:w="3362" w:type="dxa"/>
                  <w:tcBorders>
                    <w:top w:val="nil"/>
                    <w:left w:val="nil"/>
                    <w:bottom w:val="single" w:sz="4" w:space="0" w:color="auto"/>
                    <w:right w:val="nil"/>
                  </w:tcBorders>
                  <w:shd w:val="clear" w:color="auto" w:fill="auto"/>
                  <w:noWrap/>
                  <w:vAlign w:val="bottom"/>
                  <w:hideMark/>
                </w:tcPr>
                <w:p w14:paraId="4F9632F6" w14:textId="77777777" w:rsidR="003B7AFA" w:rsidRPr="001F4BF2" w:rsidRDefault="003B7AFA" w:rsidP="003B7AFA">
                  <w:pPr>
                    <w:spacing w:after="0" w:line="240" w:lineRule="auto"/>
                    <w:jc w:val="left"/>
                    <w:rPr>
                      <w:rFonts w:cs="Arial"/>
                      <w:color w:val="000000"/>
                      <w:szCs w:val="20"/>
                    </w:rPr>
                  </w:pPr>
                </w:p>
              </w:tc>
              <w:tc>
                <w:tcPr>
                  <w:tcW w:w="748" w:type="dxa"/>
                  <w:tcBorders>
                    <w:top w:val="nil"/>
                    <w:left w:val="nil"/>
                    <w:bottom w:val="single" w:sz="4" w:space="0" w:color="auto"/>
                    <w:right w:val="nil"/>
                  </w:tcBorders>
                  <w:shd w:val="clear" w:color="auto" w:fill="auto"/>
                  <w:noWrap/>
                  <w:vAlign w:val="bottom"/>
                  <w:hideMark/>
                </w:tcPr>
                <w:p w14:paraId="502DE43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mld. Kč</w:t>
                  </w:r>
                </w:p>
              </w:tc>
              <w:tc>
                <w:tcPr>
                  <w:tcW w:w="700" w:type="dxa"/>
                  <w:tcBorders>
                    <w:top w:val="nil"/>
                    <w:left w:val="nil"/>
                    <w:bottom w:val="single" w:sz="4" w:space="0" w:color="auto"/>
                    <w:right w:val="nil"/>
                  </w:tcBorders>
                  <w:shd w:val="clear" w:color="auto" w:fill="auto"/>
                  <w:noWrap/>
                  <w:vAlign w:val="bottom"/>
                  <w:hideMark/>
                </w:tcPr>
                <w:p w14:paraId="0B987AC2"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w:t>
                  </w:r>
                </w:p>
              </w:tc>
            </w:tr>
            <w:tr w:rsidR="003B7AFA" w:rsidRPr="001F4BF2" w14:paraId="3F101C9A" w14:textId="77777777" w:rsidTr="003B7AFA">
              <w:trPr>
                <w:trHeight w:hRule="exact" w:val="255"/>
              </w:trPr>
              <w:tc>
                <w:tcPr>
                  <w:tcW w:w="3362" w:type="dxa"/>
                  <w:tcBorders>
                    <w:top w:val="nil"/>
                    <w:left w:val="nil"/>
                    <w:bottom w:val="nil"/>
                    <w:right w:val="nil"/>
                  </w:tcBorders>
                  <w:shd w:val="clear" w:color="auto" w:fill="auto"/>
                  <w:noWrap/>
                  <w:vAlign w:val="bottom"/>
                  <w:hideMark/>
                </w:tcPr>
                <w:p w14:paraId="5D9F91B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Čína</w:t>
                  </w:r>
                </w:p>
              </w:tc>
              <w:tc>
                <w:tcPr>
                  <w:tcW w:w="748" w:type="dxa"/>
                  <w:tcBorders>
                    <w:top w:val="nil"/>
                    <w:left w:val="nil"/>
                    <w:bottom w:val="nil"/>
                    <w:right w:val="nil"/>
                  </w:tcBorders>
                  <w:shd w:val="clear" w:color="auto" w:fill="auto"/>
                  <w:noWrap/>
                  <w:vAlign w:val="bottom"/>
                  <w:hideMark/>
                </w:tcPr>
                <w:p w14:paraId="4DA724B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+20,7</w:t>
                  </w:r>
                </w:p>
              </w:tc>
              <w:tc>
                <w:tcPr>
                  <w:tcW w:w="700" w:type="dxa"/>
                  <w:tcBorders>
                    <w:top w:val="nil"/>
                    <w:left w:val="nil"/>
                    <w:bottom w:val="nil"/>
                    <w:right w:val="nil"/>
                  </w:tcBorders>
                  <w:shd w:val="clear" w:color="auto" w:fill="auto"/>
                  <w:noWrap/>
                  <w:vAlign w:val="bottom"/>
                  <w:hideMark/>
                </w:tcPr>
                <w:p w14:paraId="2038D35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+17,5</w:t>
                  </w:r>
                </w:p>
              </w:tc>
            </w:tr>
            <w:tr w:rsidR="003B7AFA" w:rsidRPr="001F4BF2" w14:paraId="06B7E0D3" w14:textId="77777777" w:rsidTr="003B7AFA">
              <w:trPr>
                <w:trHeight w:hRule="exact" w:val="255"/>
              </w:trPr>
              <w:tc>
                <w:tcPr>
                  <w:tcW w:w="3362" w:type="dxa"/>
                  <w:tcBorders>
                    <w:top w:val="nil"/>
                    <w:left w:val="nil"/>
                    <w:bottom w:val="nil"/>
                    <w:right w:val="nil"/>
                  </w:tcBorders>
                  <w:shd w:val="clear" w:color="auto" w:fill="auto"/>
                  <w:noWrap/>
                  <w:vAlign w:val="bottom"/>
                  <w:hideMark/>
                </w:tcPr>
                <w:p w14:paraId="682606A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Německo</w:t>
                  </w:r>
                </w:p>
              </w:tc>
              <w:tc>
                <w:tcPr>
                  <w:tcW w:w="748" w:type="dxa"/>
                  <w:tcBorders>
                    <w:top w:val="nil"/>
                    <w:left w:val="nil"/>
                    <w:bottom w:val="nil"/>
                    <w:right w:val="nil"/>
                  </w:tcBorders>
                  <w:shd w:val="clear" w:color="auto" w:fill="auto"/>
                  <w:noWrap/>
                  <w:vAlign w:val="bottom"/>
                  <w:hideMark/>
                </w:tcPr>
                <w:p w14:paraId="15DB06A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+8,6</w:t>
                  </w:r>
                </w:p>
              </w:tc>
              <w:tc>
                <w:tcPr>
                  <w:tcW w:w="700" w:type="dxa"/>
                  <w:tcBorders>
                    <w:top w:val="nil"/>
                    <w:left w:val="nil"/>
                    <w:bottom w:val="nil"/>
                    <w:right w:val="nil"/>
                  </w:tcBorders>
                  <w:shd w:val="clear" w:color="auto" w:fill="auto"/>
                  <w:noWrap/>
                  <w:vAlign w:val="bottom"/>
                  <w:hideMark/>
                </w:tcPr>
                <w:p w14:paraId="0E9BB69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+3,4</w:t>
                  </w:r>
                </w:p>
              </w:tc>
            </w:tr>
            <w:tr w:rsidR="003B7AFA" w:rsidRPr="001F4BF2" w14:paraId="77E81280" w14:textId="77777777" w:rsidTr="003B7AFA">
              <w:trPr>
                <w:trHeight w:hRule="exact" w:val="255"/>
              </w:trPr>
              <w:tc>
                <w:tcPr>
                  <w:tcW w:w="3362" w:type="dxa"/>
                  <w:tcBorders>
                    <w:top w:val="nil"/>
                    <w:left w:val="nil"/>
                    <w:bottom w:val="nil"/>
                    <w:right w:val="nil"/>
                  </w:tcBorders>
                  <w:shd w:val="clear" w:color="auto" w:fill="auto"/>
                  <w:noWrap/>
                  <w:vAlign w:val="bottom"/>
                  <w:hideMark/>
                </w:tcPr>
                <w:p w14:paraId="5738B3B3"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Polsko</w:t>
                  </w:r>
                </w:p>
              </w:tc>
              <w:tc>
                <w:tcPr>
                  <w:tcW w:w="748" w:type="dxa"/>
                  <w:tcBorders>
                    <w:top w:val="nil"/>
                    <w:left w:val="nil"/>
                    <w:bottom w:val="nil"/>
                    <w:right w:val="nil"/>
                  </w:tcBorders>
                  <w:shd w:val="clear" w:color="auto" w:fill="auto"/>
                  <w:noWrap/>
                  <w:vAlign w:val="bottom"/>
                  <w:hideMark/>
                </w:tcPr>
                <w:p w14:paraId="3552CAF2"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+8,4</w:t>
                  </w:r>
                </w:p>
              </w:tc>
              <w:tc>
                <w:tcPr>
                  <w:tcW w:w="700" w:type="dxa"/>
                  <w:tcBorders>
                    <w:top w:val="nil"/>
                    <w:left w:val="nil"/>
                    <w:bottom w:val="nil"/>
                    <w:right w:val="nil"/>
                  </w:tcBorders>
                  <w:shd w:val="clear" w:color="auto" w:fill="auto"/>
                  <w:noWrap/>
                  <w:vAlign w:val="bottom"/>
                  <w:hideMark/>
                </w:tcPr>
                <w:p w14:paraId="4440757D"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+8,5</w:t>
                  </w:r>
                </w:p>
              </w:tc>
            </w:tr>
            <w:tr w:rsidR="003B7AFA" w:rsidRPr="001F4BF2" w14:paraId="02582881" w14:textId="77777777" w:rsidTr="003B7AFA">
              <w:trPr>
                <w:trHeight w:hRule="exact" w:val="255"/>
              </w:trPr>
              <w:tc>
                <w:tcPr>
                  <w:tcW w:w="3362" w:type="dxa"/>
                  <w:tcBorders>
                    <w:top w:val="nil"/>
                    <w:left w:val="nil"/>
                    <w:bottom w:val="nil"/>
                    <w:right w:val="nil"/>
                  </w:tcBorders>
                  <w:shd w:val="clear" w:color="auto" w:fill="auto"/>
                  <w:noWrap/>
                  <w:vAlign w:val="bottom"/>
                  <w:hideMark/>
                </w:tcPr>
                <w:p w14:paraId="1D1AAD64"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Slovensko</w:t>
                  </w:r>
                </w:p>
              </w:tc>
              <w:tc>
                <w:tcPr>
                  <w:tcW w:w="748" w:type="dxa"/>
                  <w:tcBorders>
                    <w:top w:val="nil"/>
                    <w:left w:val="nil"/>
                    <w:bottom w:val="nil"/>
                    <w:right w:val="nil"/>
                  </w:tcBorders>
                  <w:shd w:val="clear" w:color="auto" w:fill="auto"/>
                  <w:noWrap/>
                  <w:vAlign w:val="bottom"/>
                  <w:hideMark/>
                </w:tcPr>
                <w:p w14:paraId="237A969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+4,8</w:t>
                  </w:r>
                </w:p>
              </w:tc>
              <w:tc>
                <w:tcPr>
                  <w:tcW w:w="700" w:type="dxa"/>
                  <w:tcBorders>
                    <w:top w:val="nil"/>
                    <w:left w:val="nil"/>
                    <w:bottom w:val="nil"/>
                    <w:right w:val="nil"/>
                  </w:tcBorders>
                  <w:shd w:val="clear" w:color="auto" w:fill="auto"/>
                  <w:noWrap/>
                  <w:vAlign w:val="bottom"/>
                  <w:hideMark/>
                </w:tcPr>
                <w:p w14:paraId="30F000B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+8,6</w:t>
                  </w:r>
                </w:p>
              </w:tc>
            </w:tr>
            <w:tr w:rsidR="003B7AFA" w:rsidRPr="001F4BF2" w14:paraId="6753FD24" w14:textId="77777777" w:rsidTr="003B7AFA">
              <w:trPr>
                <w:trHeight w:hRule="exact" w:val="255"/>
              </w:trPr>
              <w:tc>
                <w:tcPr>
                  <w:tcW w:w="3362" w:type="dxa"/>
                  <w:tcBorders>
                    <w:top w:val="nil"/>
                    <w:left w:val="nil"/>
                    <w:bottom w:val="nil"/>
                    <w:right w:val="nil"/>
                  </w:tcBorders>
                  <w:shd w:val="clear" w:color="auto" w:fill="auto"/>
                  <w:noWrap/>
                  <w:vAlign w:val="bottom"/>
                  <w:hideMark/>
                </w:tcPr>
                <w:p w14:paraId="0B167CF0"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Korejská republika</w:t>
                  </w:r>
                </w:p>
              </w:tc>
              <w:tc>
                <w:tcPr>
                  <w:tcW w:w="748" w:type="dxa"/>
                  <w:tcBorders>
                    <w:top w:val="nil"/>
                    <w:left w:val="nil"/>
                    <w:bottom w:val="nil"/>
                    <w:right w:val="nil"/>
                  </w:tcBorders>
                  <w:shd w:val="clear" w:color="auto" w:fill="auto"/>
                  <w:noWrap/>
                  <w:vAlign w:val="bottom"/>
                  <w:hideMark/>
                </w:tcPr>
                <w:p w14:paraId="78C3ACC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+3,6</w:t>
                  </w:r>
                </w:p>
              </w:tc>
              <w:tc>
                <w:tcPr>
                  <w:tcW w:w="700" w:type="dxa"/>
                  <w:tcBorders>
                    <w:top w:val="nil"/>
                    <w:left w:val="nil"/>
                    <w:bottom w:val="nil"/>
                    <w:right w:val="nil"/>
                  </w:tcBorders>
                  <w:shd w:val="clear" w:color="auto" w:fill="auto"/>
                  <w:noWrap/>
                  <w:vAlign w:val="bottom"/>
                  <w:hideMark/>
                </w:tcPr>
                <w:p w14:paraId="05C8118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+17,1</w:t>
                  </w:r>
                </w:p>
              </w:tc>
            </w:tr>
            <w:tr w:rsidR="003B7AFA" w:rsidRPr="001F4BF2" w14:paraId="70B2E4FA" w14:textId="77777777" w:rsidTr="003B7AFA">
              <w:trPr>
                <w:trHeight w:hRule="exact" w:val="255"/>
              </w:trPr>
              <w:tc>
                <w:tcPr>
                  <w:tcW w:w="3362" w:type="dxa"/>
                  <w:tcBorders>
                    <w:top w:val="nil"/>
                    <w:left w:val="nil"/>
                    <w:bottom w:val="nil"/>
                    <w:right w:val="nil"/>
                  </w:tcBorders>
                  <w:shd w:val="clear" w:color="auto" w:fill="auto"/>
                  <w:noWrap/>
                  <w:vAlign w:val="bottom"/>
                  <w:hideMark/>
                </w:tcPr>
                <w:p w14:paraId="1C233D46"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Turecko</w:t>
                  </w:r>
                </w:p>
              </w:tc>
              <w:tc>
                <w:tcPr>
                  <w:tcW w:w="748" w:type="dxa"/>
                  <w:tcBorders>
                    <w:top w:val="nil"/>
                    <w:left w:val="nil"/>
                    <w:bottom w:val="nil"/>
                    <w:right w:val="nil"/>
                  </w:tcBorders>
                  <w:shd w:val="clear" w:color="auto" w:fill="auto"/>
                  <w:noWrap/>
                  <w:vAlign w:val="bottom"/>
                  <w:hideMark/>
                </w:tcPr>
                <w:p w14:paraId="0EF26F3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+3,6</w:t>
                  </w:r>
                </w:p>
              </w:tc>
              <w:tc>
                <w:tcPr>
                  <w:tcW w:w="700" w:type="dxa"/>
                  <w:tcBorders>
                    <w:top w:val="nil"/>
                    <w:left w:val="nil"/>
                    <w:bottom w:val="nil"/>
                    <w:right w:val="nil"/>
                  </w:tcBorders>
                  <w:shd w:val="clear" w:color="auto" w:fill="auto"/>
                  <w:noWrap/>
                  <w:vAlign w:val="bottom"/>
                  <w:hideMark/>
                </w:tcPr>
                <w:p w14:paraId="05A0463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+27,3</w:t>
                  </w:r>
                </w:p>
              </w:tc>
            </w:tr>
            <w:tr w:rsidR="003B7AFA" w:rsidRPr="001F4BF2" w14:paraId="2B177BC5" w14:textId="77777777" w:rsidTr="003B7AFA">
              <w:trPr>
                <w:trHeight w:hRule="exact" w:val="255"/>
              </w:trPr>
              <w:tc>
                <w:tcPr>
                  <w:tcW w:w="3362" w:type="dxa"/>
                  <w:tcBorders>
                    <w:top w:val="nil"/>
                    <w:left w:val="nil"/>
                    <w:bottom w:val="nil"/>
                    <w:right w:val="nil"/>
                  </w:tcBorders>
                  <w:shd w:val="clear" w:color="auto" w:fill="auto"/>
                  <w:noWrap/>
                  <w:vAlign w:val="bottom"/>
                  <w:hideMark/>
                </w:tcPr>
                <w:p w14:paraId="1A0736B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Rakousko</w:t>
                  </w:r>
                </w:p>
              </w:tc>
              <w:tc>
                <w:tcPr>
                  <w:tcW w:w="748" w:type="dxa"/>
                  <w:tcBorders>
                    <w:top w:val="nil"/>
                    <w:left w:val="nil"/>
                    <w:bottom w:val="nil"/>
                    <w:right w:val="nil"/>
                  </w:tcBorders>
                  <w:shd w:val="clear" w:color="auto" w:fill="auto"/>
                  <w:noWrap/>
                  <w:vAlign w:val="bottom"/>
                  <w:hideMark/>
                </w:tcPr>
                <w:p w14:paraId="21CAF9E7"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+3,5</w:t>
                  </w:r>
                </w:p>
              </w:tc>
              <w:tc>
                <w:tcPr>
                  <w:tcW w:w="700" w:type="dxa"/>
                  <w:tcBorders>
                    <w:top w:val="nil"/>
                    <w:left w:val="nil"/>
                    <w:bottom w:val="nil"/>
                    <w:right w:val="nil"/>
                  </w:tcBorders>
                  <w:shd w:val="clear" w:color="auto" w:fill="auto"/>
                  <w:noWrap/>
                  <w:vAlign w:val="bottom"/>
                  <w:hideMark/>
                </w:tcPr>
                <w:p w14:paraId="02E1CA3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+12,5</w:t>
                  </w:r>
                </w:p>
              </w:tc>
            </w:tr>
            <w:tr w:rsidR="003B7AFA" w:rsidRPr="001F4BF2" w14:paraId="7E891D2B" w14:textId="77777777" w:rsidTr="003B7AFA">
              <w:trPr>
                <w:trHeight w:hRule="exact" w:val="255"/>
              </w:trPr>
              <w:tc>
                <w:tcPr>
                  <w:tcW w:w="3362" w:type="dxa"/>
                  <w:tcBorders>
                    <w:top w:val="nil"/>
                    <w:left w:val="nil"/>
                    <w:bottom w:val="nil"/>
                    <w:right w:val="nil"/>
                  </w:tcBorders>
                  <w:shd w:val="clear" w:color="auto" w:fill="auto"/>
                  <w:noWrap/>
                  <w:vAlign w:val="bottom"/>
                  <w:hideMark/>
                </w:tcPr>
                <w:p w14:paraId="3EF3FB9A"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Spojené státy</w:t>
                  </w:r>
                  <w:r>
                    <w:rPr>
                      <w:rFonts w:cs="Arial"/>
                      <w:color w:val="000000"/>
                      <w:sz w:val="16"/>
                      <w:szCs w:val="16"/>
                    </w:rPr>
                    <w:t xml:space="preserve"> americké</w:t>
                  </w:r>
                </w:p>
              </w:tc>
              <w:tc>
                <w:tcPr>
                  <w:tcW w:w="748" w:type="dxa"/>
                  <w:tcBorders>
                    <w:top w:val="nil"/>
                    <w:left w:val="nil"/>
                    <w:bottom w:val="nil"/>
                    <w:right w:val="nil"/>
                  </w:tcBorders>
                  <w:shd w:val="clear" w:color="auto" w:fill="auto"/>
                  <w:noWrap/>
                  <w:vAlign w:val="bottom"/>
                  <w:hideMark/>
                </w:tcPr>
                <w:p w14:paraId="310814E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+2,4</w:t>
                  </w:r>
                </w:p>
              </w:tc>
              <w:tc>
                <w:tcPr>
                  <w:tcW w:w="700" w:type="dxa"/>
                  <w:tcBorders>
                    <w:top w:val="nil"/>
                    <w:left w:val="nil"/>
                    <w:bottom w:val="nil"/>
                    <w:right w:val="nil"/>
                  </w:tcBorders>
                  <w:shd w:val="clear" w:color="auto" w:fill="auto"/>
                  <w:noWrap/>
                  <w:vAlign w:val="bottom"/>
                  <w:hideMark/>
                </w:tcPr>
                <w:p w14:paraId="1E174A46"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+7,2</w:t>
                  </w:r>
                </w:p>
              </w:tc>
            </w:tr>
            <w:tr w:rsidR="003B7AFA" w:rsidRPr="001F4BF2" w14:paraId="2034A16C" w14:textId="77777777" w:rsidTr="003B7AFA">
              <w:trPr>
                <w:trHeight w:hRule="exact" w:val="255"/>
              </w:trPr>
              <w:tc>
                <w:tcPr>
                  <w:tcW w:w="3362" w:type="dxa"/>
                  <w:tcBorders>
                    <w:top w:val="nil"/>
                    <w:left w:val="nil"/>
                    <w:bottom w:val="nil"/>
                    <w:right w:val="nil"/>
                  </w:tcBorders>
                  <w:shd w:val="clear" w:color="auto" w:fill="auto"/>
                  <w:noWrap/>
                  <w:vAlign w:val="bottom"/>
                  <w:hideMark/>
                </w:tcPr>
                <w:p w14:paraId="6D30EE3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Itálie</w:t>
                  </w:r>
                </w:p>
              </w:tc>
              <w:tc>
                <w:tcPr>
                  <w:tcW w:w="748" w:type="dxa"/>
                  <w:tcBorders>
                    <w:top w:val="nil"/>
                    <w:left w:val="nil"/>
                    <w:bottom w:val="nil"/>
                    <w:right w:val="nil"/>
                  </w:tcBorders>
                  <w:shd w:val="clear" w:color="auto" w:fill="auto"/>
                  <w:noWrap/>
                  <w:vAlign w:val="bottom"/>
                  <w:hideMark/>
                </w:tcPr>
                <w:p w14:paraId="09305821"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+1,8</w:t>
                  </w:r>
                </w:p>
              </w:tc>
              <w:tc>
                <w:tcPr>
                  <w:tcW w:w="700" w:type="dxa"/>
                  <w:tcBorders>
                    <w:top w:val="nil"/>
                    <w:left w:val="nil"/>
                    <w:bottom w:val="nil"/>
                    <w:right w:val="nil"/>
                  </w:tcBorders>
                  <w:shd w:val="clear" w:color="auto" w:fill="auto"/>
                  <w:noWrap/>
                  <w:vAlign w:val="bottom"/>
                  <w:hideMark/>
                </w:tcPr>
                <w:p w14:paraId="1EB1A5D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+3,9</w:t>
                  </w:r>
                </w:p>
              </w:tc>
            </w:tr>
            <w:tr w:rsidR="003B7AFA" w:rsidRPr="001F4BF2" w14:paraId="220D65B3" w14:textId="77777777" w:rsidTr="003B7AFA">
              <w:trPr>
                <w:trHeight w:hRule="exact" w:val="255"/>
              </w:trPr>
              <w:tc>
                <w:tcPr>
                  <w:tcW w:w="3362" w:type="dxa"/>
                  <w:tcBorders>
                    <w:top w:val="nil"/>
                    <w:left w:val="nil"/>
                    <w:bottom w:val="nil"/>
                    <w:right w:val="nil"/>
                  </w:tcBorders>
                  <w:shd w:val="clear" w:color="auto" w:fill="auto"/>
                  <w:noWrap/>
                  <w:vAlign w:val="bottom"/>
                  <w:hideMark/>
                </w:tcPr>
                <w:p w14:paraId="1E215E10"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Švýcarsko</w:t>
                  </w:r>
                </w:p>
              </w:tc>
              <w:tc>
                <w:tcPr>
                  <w:tcW w:w="748" w:type="dxa"/>
                  <w:tcBorders>
                    <w:top w:val="nil"/>
                    <w:left w:val="nil"/>
                    <w:bottom w:val="nil"/>
                    <w:right w:val="nil"/>
                  </w:tcBorders>
                  <w:shd w:val="clear" w:color="auto" w:fill="auto"/>
                  <w:noWrap/>
                  <w:vAlign w:val="bottom"/>
                  <w:hideMark/>
                </w:tcPr>
                <w:p w14:paraId="01225DA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+1,8</w:t>
                  </w:r>
                </w:p>
              </w:tc>
              <w:tc>
                <w:tcPr>
                  <w:tcW w:w="700" w:type="dxa"/>
                  <w:tcBorders>
                    <w:top w:val="nil"/>
                    <w:left w:val="nil"/>
                    <w:bottom w:val="nil"/>
                    <w:right w:val="nil"/>
                  </w:tcBorders>
                  <w:shd w:val="clear" w:color="auto" w:fill="auto"/>
                  <w:noWrap/>
                  <w:vAlign w:val="bottom"/>
                  <w:hideMark/>
                </w:tcPr>
                <w:p w14:paraId="1E6EF72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+16,5</w:t>
                  </w:r>
                </w:p>
              </w:tc>
            </w:tr>
            <w:tr w:rsidR="003B7AFA" w:rsidRPr="001F4BF2" w14:paraId="6720DC16" w14:textId="77777777" w:rsidTr="003B7AFA">
              <w:trPr>
                <w:trHeight w:hRule="exact" w:val="255"/>
              </w:trPr>
              <w:tc>
                <w:tcPr>
                  <w:tcW w:w="3362" w:type="dxa"/>
                  <w:tcBorders>
                    <w:top w:val="nil"/>
                    <w:left w:val="nil"/>
                    <w:bottom w:val="nil"/>
                    <w:right w:val="nil"/>
                  </w:tcBorders>
                  <w:shd w:val="clear" w:color="auto" w:fill="auto"/>
                  <w:noWrap/>
                  <w:vAlign w:val="bottom"/>
                  <w:hideMark/>
                </w:tcPr>
                <w:p w14:paraId="770335AA"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Indie</w:t>
                  </w:r>
                </w:p>
              </w:tc>
              <w:tc>
                <w:tcPr>
                  <w:tcW w:w="748" w:type="dxa"/>
                  <w:tcBorders>
                    <w:top w:val="nil"/>
                    <w:left w:val="nil"/>
                    <w:bottom w:val="nil"/>
                    <w:right w:val="nil"/>
                  </w:tcBorders>
                  <w:shd w:val="clear" w:color="auto" w:fill="auto"/>
                  <w:noWrap/>
                  <w:vAlign w:val="bottom"/>
                  <w:hideMark/>
                </w:tcPr>
                <w:p w14:paraId="512EB4B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+1,8</w:t>
                  </w:r>
                </w:p>
              </w:tc>
              <w:tc>
                <w:tcPr>
                  <w:tcW w:w="700" w:type="dxa"/>
                  <w:tcBorders>
                    <w:top w:val="nil"/>
                    <w:left w:val="nil"/>
                    <w:bottom w:val="nil"/>
                    <w:right w:val="nil"/>
                  </w:tcBorders>
                  <w:shd w:val="clear" w:color="auto" w:fill="auto"/>
                  <w:noWrap/>
                  <w:vAlign w:val="bottom"/>
                  <w:hideMark/>
                </w:tcPr>
                <w:p w14:paraId="07D73BE1"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+21,5</w:t>
                  </w:r>
                </w:p>
              </w:tc>
            </w:tr>
            <w:tr w:rsidR="003B7AFA" w:rsidRPr="001F4BF2" w14:paraId="3A0D5E91" w14:textId="77777777" w:rsidTr="003B7AFA">
              <w:trPr>
                <w:trHeight w:hRule="exact" w:val="255"/>
              </w:trPr>
              <w:tc>
                <w:tcPr>
                  <w:tcW w:w="3362" w:type="dxa"/>
                  <w:tcBorders>
                    <w:top w:val="nil"/>
                    <w:left w:val="nil"/>
                    <w:bottom w:val="nil"/>
                    <w:right w:val="nil"/>
                  </w:tcBorders>
                  <w:shd w:val="clear" w:color="auto" w:fill="auto"/>
                  <w:noWrap/>
                  <w:vAlign w:val="bottom"/>
                  <w:hideMark/>
                </w:tcPr>
                <w:p w14:paraId="72A81E6B"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Norsko</w:t>
                  </w:r>
                </w:p>
              </w:tc>
              <w:tc>
                <w:tcPr>
                  <w:tcW w:w="748" w:type="dxa"/>
                  <w:tcBorders>
                    <w:top w:val="nil"/>
                    <w:left w:val="nil"/>
                    <w:bottom w:val="nil"/>
                    <w:right w:val="nil"/>
                  </w:tcBorders>
                  <w:shd w:val="clear" w:color="auto" w:fill="auto"/>
                  <w:noWrap/>
                  <w:vAlign w:val="bottom"/>
                  <w:hideMark/>
                </w:tcPr>
                <w:p w14:paraId="36A3D45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+1,7</w:t>
                  </w:r>
                </w:p>
              </w:tc>
              <w:tc>
                <w:tcPr>
                  <w:tcW w:w="700" w:type="dxa"/>
                  <w:tcBorders>
                    <w:top w:val="nil"/>
                    <w:left w:val="nil"/>
                    <w:bottom w:val="nil"/>
                    <w:right w:val="nil"/>
                  </w:tcBorders>
                  <w:shd w:val="clear" w:color="auto" w:fill="auto"/>
                  <w:noWrap/>
                  <w:vAlign w:val="bottom"/>
                  <w:hideMark/>
                </w:tcPr>
                <w:p w14:paraId="46154BE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+12,8</w:t>
                  </w:r>
                </w:p>
              </w:tc>
            </w:tr>
            <w:tr w:rsidR="003B7AFA" w:rsidRPr="001F4BF2" w14:paraId="79D05FC5" w14:textId="77777777" w:rsidTr="003B7AFA">
              <w:trPr>
                <w:trHeight w:hRule="exact" w:val="255"/>
              </w:trPr>
              <w:tc>
                <w:tcPr>
                  <w:tcW w:w="3362" w:type="dxa"/>
                  <w:tcBorders>
                    <w:top w:val="nil"/>
                    <w:left w:val="nil"/>
                    <w:bottom w:val="nil"/>
                    <w:right w:val="nil"/>
                  </w:tcBorders>
                  <w:shd w:val="clear" w:color="auto" w:fill="auto"/>
                  <w:noWrap/>
                  <w:vAlign w:val="bottom"/>
                  <w:hideMark/>
                </w:tcPr>
                <w:p w14:paraId="2DF1BA5E"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Maďarsko</w:t>
                  </w:r>
                </w:p>
              </w:tc>
              <w:tc>
                <w:tcPr>
                  <w:tcW w:w="748" w:type="dxa"/>
                  <w:tcBorders>
                    <w:top w:val="nil"/>
                    <w:left w:val="nil"/>
                    <w:bottom w:val="nil"/>
                    <w:right w:val="nil"/>
                  </w:tcBorders>
                  <w:shd w:val="clear" w:color="auto" w:fill="auto"/>
                  <w:noWrap/>
                  <w:vAlign w:val="bottom"/>
                  <w:hideMark/>
                </w:tcPr>
                <w:p w14:paraId="2D876BE3"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2,4</w:t>
                  </w:r>
                </w:p>
              </w:tc>
              <w:tc>
                <w:tcPr>
                  <w:tcW w:w="700" w:type="dxa"/>
                  <w:tcBorders>
                    <w:top w:val="nil"/>
                    <w:left w:val="nil"/>
                    <w:bottom w:val="nil"/>
                    <w:right w:val="nil"/>
                  </w:tcBorders>
                  <w:shd w:val="clear" w:color="auto" w:fill="auto"/>
                  <w:noWrap/>
                  <w:vAlign w:val="bottom"/>
                  <w:hideMark/>
                </w:tcPr>
                <w:p w14:paraId="3F429EBC"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8,9</w:t>
                  </w:r>
                </w:p>
              </w:tc>
            </w:tr>
            <w:tr w:rsidR="003B7AFA" w:rsidRPr="001F4BF2" w14:paraId="757A4647" w14:textId="77777777" w:rsidTr="003B7AFA">
              <w:trPr>
                <w:trHeight w:hRule="exact" w:val="255"/>
              </w:trPr>
              <w:tc>
                <w:tcPr>
                  <w:tcW w:w="3362" w:type="dxa"/>
                  <w:tcBorders>
                    <w:top w:val="nil"/>
                    <w:left w:val="nil"/>
                    <w:bottom w:val="nil"/>
                    <w:right w:val="nil"/>
                  </w:tcBorders>
                  <w:shd w:val="clear" w:color="auto" w:fill="auto"/>
                  <w:noWrap/>
                  <w:vAlign w:val="bottom"/>
                  <w:hideMark/>
                </w:tcPr>
                <w:p w14:paraId="49F701BA"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Tchaj</w:t>
                  </w:r>
                  <w:r>
                    <w:rPr>
                      <w:rFonts w:cs="Arial"/>
                      <w:color w:val="000000"/>
                      <w:sz w:val="16"/>
                      <w:szCs w:val="16"/>
                    </w:rPr>
                    <w:t>−</w:t>
                  </w:r>
                  <w:r w:rsidRPr="001F4BF2">
                    <w:rPr>
                      <w:rFonts w:cs="Arial"/>
                      <w:color w:val="000000"/>
                      <w:sz w:val="16"/>
                      <w:szCs w:val="16"/>
                    </w:rPr>
                    <w:t>wan</w:t>
                  </w:r>
                </w:p>
              </w:tc>
              <w:tc>
                <w:tcPr>
                  <w:tcW w:w="748" w:type="dxa"/>
                  <w:tcBorders>
                    <w:top w:val="nil"/>
                    <w:left w:val="nil"/>
                    <w:bottom w:val="nil"/>
                    <w:right w:val="nil"/>
                  </w:tcBorders>
                  <w:shd w:val="clear" w:color="auto" w:fill="auto"/>
                  <w:noWrap/>
                  <w:vAlign w:val="bottom"/>
                  <w:hideMark/>
                </w:tcPr>
                <w:p w14:paraId="240A0B79"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3,4</w:t>
                  </w:r>
                </w:p>
              </w:tc>
              <w:tc>
                <w:tcPr>
                  <w:tcW w:w="700" w:type="dxa"/>
                  <w:tcBorders>
                    <w:top w:val="nil"/>
                    <w:left w:val="nil"/>
                    <w:bottom w:val="nil"/>
                    <w:right w:val="nil"/>
                  </w:tcBorders>
                  <w:shd w:val="clear" w:color="auto" w:fill="auto"/>
                  <w:noWrap/>
                  <w:vAlign w:val="bottom"/>
                  <w:hideMark/>
                </w:tcPr>
                <w:p w14:paraId="3066DEB3"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30,1</w:t>
                  </w:r>
                </w:p>
              </w:tc>
            </w:tr>
            <w:tr w:rsidR="003B7AFA" w:rsidRPr="001F4BF2" w14:paraId="5E4BA599" w14:textId="77777777" w:rsidTr="003B7AFA">
              <w:trPr>
                <w:trHeight w:hRule="exact" w:val="255"/>
              </w:trPr>
              <w:tc>
                <w:tcPr>
                  <w:tcW w:w="3362" w:type="dxa"/>
                  <w:tcBorders>
                    <w:top w:val="nil"/>
                    <w:left w:val="nil"/>
                    <w:bottom w:val="nil"/>
                    <w:right w:val="nil"/>
                  </w:tcBorders>
                  <w:shd w:val="clear" w:color="auto" w:fill="auto"/>
                  <w:noWrap/>
                  <w:vAlign w:val="bottom"/>
                  <w:hideMark/>
                </w:tcPr>
                <w:p w14:paraId="6EE6F60B"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Rusko</w:t>
                  </w:r>
                </w:p>
              </w:tc>
              <w:tc>
                <w:tcPr>
                  <w:tcW w:w="748" w:type="dxa"/>
                  <w:tcBorders>
                    <w:top w:val="nil"/>
                    <w:left w:val="nil"/>
                    <w:bottom w:val="nil"/>
                    <w:right w:val="nil"/>
                  </w:tcBorders>
                  <w:shd w:val="clear" w:color="auto" w:fill="auto"/>
                  <w:noWrap/>
                  <w:vAlign w:val="bottom"/>
                  <w:hideMark/>
                </w:tcPr>
                <w:p w14:paraId="2D7A05B3"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9,3</w:t>
                  </w:r>
                </w:p>
              </w:tc>
              <w:tc>
                <w:tcPr>
                  <w:tcW w:w="700" w:type="dxa"/>
                  <w:tcBorders>
                    <w:top w:val="nil"/>
                    <w:left w:val="nil"/>
                    <w:bottom w:val="nil"/>
                    <w:right w:val="nil"/>
                  </w:tcBorders>
                  <w:shd w:val="clear" w:color="auto" w:fill="auto"/>
                  <w:noWrap/>
                  <w:vAlign w:val="bottom"/>
                  <w:hideMark/>
                </w:tcPr>
                <w:p w14:paraId="3D3967B0"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45,9</w:t>
                  </w:r>
                </w:p>
              </w:tc>
            </w:tr>
          </w:tbl>
          <w:p w14:paraId="171CD68C" w14:textId="77777777" w:rsidR="003B7AFA" w:rsidRPr="005A40B7" w:rsidRDefault="003B7AFA" w:rsidP="003B7AFA">
            <w:pPr>
              <w:spacing w:after="0"/>
              <w:rPr>
                <w:spacing w:val="-4"/>
                <w:sz w:val="16"/>
                <w:szCs w:val="16"/>
                <w:lang w:eastAsia="en-US"/>
              </w:rPr>
            </w:pPr>
          </w:p>
        </w:tc>
      </w:tr>
      <w:tr w:rsidR="003B7AFA" w14:paraId="505F1174" w14:textId="77777777" w:rsidTr="003B7AFA">
        <w:trPr>
          <w:trHeight w:val="170"/>
        </w:trPr>
        <w:tc>
          <w:tcPr>
            <w:tcW w:w="4811" w:type="dxa"/>
            <w:gridSpan w:val="3"/>
            <w:hideMark/>
          </w:tcPr>
          <w:p w14:paraId="0EAF5DB8" w14:textId="77777777" w:rsidR="003B7AFA" w:rsidRDefault="003B7AFA" w:rsidP="003B7AFA">
            <w:pPr>
              <w:jc w:val="right"/>
              <w:rPr>
                <w:spacing w:val="-4"/>
                <w:sz w:val="16"/>
                <w:szCs w:val="16"/>
                <w:lang w:eastAsia="en-US"/>
              </w:rPr>
            </w:pPr>
            <w:r>
              <w:rPr>
                <w:spacing w:val="-4"/>
                <w:sz w:val="16"/>
                <w:szCs w:val="16"/>
                <w:lang w:eastAsia="en-US"/>
              </w:rPr>
              <w:t>Zdroj: ČSÚ</w:t>
            </w:r>
          </w:p>
        </w:tc>
        <w:tc>
          <w:tcPr>
            <w:tcW w:w="57" w:type="dxa"/>
          </w:tcPr>
          <w:p w14:paraId="78AB2738" w14:textId="77777777" w:rsidR="003B7AFA" w:rsidRDefault="003B7AFA" w:rsidP="003B7AFA">
            <w:pPr>
              <w:spacing w:after="0"/>
              <w:rPr>
                <w:spacing w:val="-4"/>
                <w:lang w:eastAsia="en-US"/>
              </w:rPr>
            </w:pPr>
          </w:p>
        </w:tc>
        <w:tc>
          <w:tcPr>
            <w:tcW w:w="4809" w:type="dxa"/>
            <w:hideMark/>
          </w:tcPr>
          <w:p w14:paraId="590C8534" w14:textId="77777777" w:rsidR="003B7AFA" w:rsidRDefault="003B7AFA" w:rsidP="003B7AFA">
            <w:pPr>
              <w:spacing w:after="0"/>
              <w:ind w:right="21"/>
              <w:jc w:val="right"/>
              <w:rPr>
                <w:spacing w:val="-4"/>
                <w:lang w:eastAsia="en-US"/>
              </w:rPr>
            </w:pPr>
            <w:r>
              <w:rPr>
                <w:spacing w:val="-4"/>
                <w:sz w:val="16"/>
                <w:szCs w:val="16"/>
                <w:lang w:eastAsia="en-US"/>
              </w:rPr>
              <w:t>Zdroj: ČSÚ</w:t>
            </w:r>
          </w:p>
        </w:tc>
      </w:tr>
      <w:tr w:rsidR="003B7AFA" w14:paraId="2410700C" w14:textId="77777777" w:rsidTr="003B7AFA">
        <w:trPr>
          <w:trHeight w:val="145"/>
        </w:trPr>
        <w:tc>
          <w:tcPr>
            <w:tcW w:w="1748" w:type="dxa"/>
            <w:hideMark/>
          </w:tcPr>
          <w:p w14:paraId="6A2D68C1" w14:textId="77777777" w:rsidR="003B7AFA" w:rsidRDefault="003B7AFA" w:rsidP="003B7AFA">
            <w:pPr>
              <w:pStyle w:val="Marginlie"/>
              <w:rPr>
                <w:lang w:eastAsia="en-US"/>
              </w:rPr>
            </w:pPr>
            <w:r>
              <w:rPr>
                <w:lang w:eastAsia="en-US"/>
              </w:rPr>
              <w:t>Přebytek bilance zahraničního obchodu se zbožím byl rekordní.</w:t>
            </w:r>
          </w:p>
        </w:tc>
        <w:tc>
          <w:tcPr>
            <w:tcW w:w="252" w:type="dxa"/>
          </w:tcPr>
          <w:p w14:paraId="6B18973E" w14:textId="77777777" w:rsidR="003B7AFA" w:rsidRDefault="003B7AFA" w:rsidP="003B7AFA">
            <w:pPr>
              <w:pStyle w:val="Textpoznpodarou"/>
              <w:jc w:val="both"/>
              <w:rPr>
                <w:spacing w:val="-4"/>
                <w:lang w:eastAsia="en-US"/>
              </w:rPr>
            </w:pPr>
          </w:p>
        </w:tc>
        <w:tc>
          <w:tcPr>
            <w:tcW w:w="7677" w:type="dxa"/>
            <w:gridSpan w:val="3"/>
            <w:hideMark/>
          </w:tcPr>
          <w:p w14:paraId="296F0B47" w14:textId="2D09AE25" w:rsidR="003B7AFA" w:rsidRPr="002971BF" w:rsidRDefault="003B7AFA" w:rsidP="00B7665A">
            <w:pPr>
              <w:spacing w:after="180"/>
              <w:rPr>
                <w:spacing w:val="-4"/>
                <w:szCs w:val="20"/>
                <w:lang w:eastAsia="en-US"/>
              </w:rPr>
            </w:pPr>
            <w:r w:rsidRPr="002971BF">
              <w:rPr>
                <w:spacing w:val="-4"/>
                <w:szCs w:val="20"/>
                <w:lang w:eastAsia="en-US"/>
              </w:rPr>
              <w:t>Bilance zahraničního obchodu se zbožím v 1. čtvrtletí dosáhla</w:t>
            </w:r>
            <w:r>
              <w:rPr>
                <w:spacing w:val="-4"/>
                <w:szCs w:val="20"/>
                <w:lang w:eastAsia="en-US"/>
              </w:rPr>
              <w:t xml:space="preserve"> přebytku</w:t>
            </w:r>
            <w:r w:rsidRPr="002971BF">
              <w:rPr>
                <w:spacing w:val="-4"/>
                <w:szCs w:val="20"/>
                <w:lang w:eastAsia="en-US"/>
              </w:rPr>
              <w:t xml:space="preserve"> 8</w:t>
            </w:r>
            <w:r>
              <w:rPr>
                <w:spacing w:val="-4"/>
                <w:szCs w:val="20"/>
                <w:lang w:eastAsia="en-US"/>
              </w:rPr>
              <w:t>3,0</w:t>
            </w:r>
            <w:r w:rsidRPr="002971BF">
              <w:rPr>
                <w:spacing w:val="-4"/>
                <w:szCs w:val="20"/>
                <w:lang w:eastAsia="en-US"/>
              </w:rPr>
              <w:t xml:space="preserve"> mld. korun. </w:t>
            </w:r>
            <w:r>
              <w:rPr>
                <w:szCs w:val="20"/>
              </w:rPr>
              <w:t>M</w:t>
            </w:r>
            <w:r w:rsidRPr="002971BF">
              <w:rPr>
                <w:spacing w:val="-4"/>
                <w:szCs w:val="20"/>
                <w:lang w:eastAsia="en-US"/>
              </w:rPr>
              <w:t>eziročně</w:t>
            </w:r>
            <w:r>
              <w:rPr>
                <w:spacing w:val="-4"/>
                <w:szCs w:val="20"/>
                <w:lang w:eastAsia="en-US"/>
              </w:rPr>
              <w:t xml:space="preserve"> přebytek klesl o 23 mil. korun, </w:t>
            </w:r>
            <w:r w:rsidR="00B7665A">
              <w:rPr>
                <w:spacing w:val="-4"/>
                <w:szCs w:val="20"/>
                <w:lang w:eastAsia="en-US"/>
              </w:rPr>
              <w:t xml:space="preserve">takže se v zásadě udržel na </w:t>
            </w:r>
            <w:r>
              <w:rPr>
                <w:spacing w:val="-4"/>
                <w:szCs w:val="20"/>
                <w:lang w:eastAsia="en-US"/>
              </w:rPr>
              <w:t>mimořádně vysok</w:t>
            </w:r>
            <w:r w:rsidR="00B7665A">
              <w:rPr>
                <w:spacing w:val="-4"/>
                <w:szCs w:val="20"/>
                <w:lang w:eastAsia="en-US"/>
              </w:rPr>
              <w:t>é úrovni</w:t>
            </w:r>
            <w:r w:rsidR="00B7665A">
              <w:rPr>
                <w:rStyle w:val="Znakapoznpodarou"/>
                <w:spacing w:val="-4"/>
                <w:szCs w:val="20"/>
                <w:lang w:eastAsia="en-US"/>
              </w:rPr>
              <w:footnoteReference w:id="57"/>
            </w:r>
            <w:r w:rsidR="00B7665A">
              <w:rPr>
                <w:spacing w:val="-4"/>
                <w:szCs w:val="20"/>
                <w:lang w:eastAsia="en-US"/>
              </w:rPr>
              <w:t>.</w:t>
            </w:r>
            <w:r>
              <w:rPr>
                <w:spacing w:val="-4"/>
                <w:szCs w:val="20"/>
                <w:lang w:eastAsia="en-US"/>
              </w:rPr>
              <w:t xml:space="preserve"> Podle sezónně očištěných údajů se bilance zahraničního obchodu se zbožím v 1.</w:t>
            </w:r>
            <w:r w:rsidR="00B7665A">
              <w:rPr>
                <w:spacing w:val="-4"/>
                <w:szCs w:val="20"/>
                <w:lang w:eastAsia="en-US"/>
              </w:rPr>
              <w:t> </w:t>
            </w:r>
            <w:r>
              <w:rPr>
                <w:spacing w:val="-4"/>
                <w:szCs w:val="20"/>
                <w:lang w:eastAsia="en-US"/>
              </w:rPr>
              <w:t xml:space="preserve">čtvrtletí rovněž mezičtvrtletně mírně zhoršila. Ve směru meziročního zlepšení bilance zahraničního obchodu působil výhradně obchod s EU (+4,2 mld. korun), zatímco mohutné zlepšování bilance obchodu se zeměmi mimo EU patrné v posledních dvou letech se v 1. </w:t>
            </w:r>
            <w:r w:rsidR="00B7665A">
              <w:rPr>
                <w:spacing w:val="-4"/>
                <w:szCs w:val="20"/>
                <w:lang w:eastAsia="en-US"/>
              </w:rPr>
              <w:t> č</w:t>
            </w:r>
            <w:r>
              <w:rPr>
                <w:spacing w:val="-4"/>
                <w:szCs w:val="20"/>
                <w:lang w:eastAsia="en-US"/>
              </w:rPr>
              <w:t xml:space="preserve">tvrtletí zastavilo (−2,7 mld. korun). Ve směru zlepšení bilance působil nejvíce obchod s Německem (viz Tabulka č. 6), Velkou Británií, Ruskem a Spojenými státy americkými. Významné </w:t>
            </w:r>
            <w:r w:rsidR="00B7665A">
              <w:rPr>
                <w:spacing w:val="-4"/>
                <w:szCs w:val="20"/>
                <w:lang w:eastAsia="en-US"/>
              </w:rPr>
              <w:t xml:space="preserve">zlepšení bylo zaznamenáno také </w:t>
            </w:r>
            <w:r>
              <w:rPr>
                <w:spacing w:val="-4"/>
                <w:szCs w:val="20"/>
                <w:lang w:eastAsia="en-US"/>
              </w:rPr>
              <w:t xml:space="preserve">u Francie, Ukrajiny, Švédska nebo Dánska. Naopak velmi hluboké bylo prohloubení deficitu obchodu s Čínou a zhoršila se také bilance s Polskem, Španělskem, Itálií či Norskem. </w:t>
            </w:r>
          </w:p>
        </w:tc>
      </w:tr>
      <w:tr w:rsidR="003B7AFA" w14:paraId="6FA1E6F6" w14:textId="77777777" w:rsidTr="003B7AFA">
        <w:trPr>
          <w:trHeight w:val="145"/>
        </w:trPr>
        <w:tc>
          <w:tcPr>
            <w:tcW w:w="1748" w:type="dxa"/>
          </w:tcPr>
          <w:p w14:paraId="25A73A41" w14:textId="77777777" w:rsidR="003B7AFA" w:rsidRDefault="003B7AFA" w:rsidP="003B7AFA">
            <w:pPr>
              <w:pStyle w:val="Marginlie"/>
              <w:rPr>
                <w:lang w:eastAsia="en-US"/>
              </w:rPr>
            </w:pPr>
            <w:r>
              <w:rPr>
                <w:lang w:eastAsia="en-US"/>
              </w:rPr>
              <w:t>Ke zvyšování přebytku přispívala nejvíce motorová vozidla.</w:t>
            </w:r>
          </w:p>
        </w:tc>
        <w:tc>
          <w:tcPr>
            <w:tcW w:w="252" w:type="dxa"/>
          </w:tcPr>
          <w:p w14:paraId="1B728471" w14:textId="77777777" w:rsidR="003B7AFA" w:rsidRDefault="003B7AFA" w:rsidP="003B7AFA">
            <w:pPr>
              <w:pStyle w:val="Textpoznpodarou"/>
              <w:jc w:val="both"/>
              <w:rPr>
                <w:spacing w:val="-4"/>
                <w:lang w:eastAsia="en-US"/>
              </w:rPr>
            </w:pPr>
          </w:p>
        </w:tc>
        <w:tc>
          <w:tcPr>
            <w:tcW w:w="7677" w:type="dxa"/>
            <w:gridSpan w:val="3"/>
          </w:tcPr>
          <w:p w14:paraId="134F98B4" w14:textId="77777777" w:rsidR="003B7AFA" w:rsidRPr="002971BF" w:rsidRDefault="003B7AFA" w:rsidP="003B7AFA">
            <w:pPr>
              <w:spacing w:after="180"/>
              <w:rPr>
                <w:spacing w:val="-4"/>
                <w:szCs w:val="20"/>
                <w:lang w:eastAsia="en-US"/>
              </w:rPr>
            </w:pPr>
            <w:r>
              <w:rPr>
                <w:spacing w:val="-4"/>
                <w:lang w:eastAsia="en-US"/>
              </w:rPr>
              <w:t xml:space="preserve">Meziroční stagnaci salda bilance zahraničního obchodu ukazuje také pohled na zbožovou strukturu bilance, kde bylo její zlepšení zaznamenáno asi u poloviny oddílů. Ve směru </w:t>
            </w:r>
            <w:r>
              <w:rPr>
                <w:spacing w:val="-4"/>
                <w:lang w:eastAsia="en-US"/>
              </w:rPr>
              <w:lastRenderedPageBreak/>
              <w:t xml:space="preserve">meziročního zlepšení bilance zahraničního obchodu v 1. čtvrtletí působil se značnou převahou zejména obchod s motorovými vozidly (viz Tabulka č. 5). Zlepšovalo se také saldo obchodu s elektřinou, plynem, párou a klimatizovaným vzduchem, ropou a zemním plynem nebo počítači, elektronickými a optickými přístroji a zařízeními. Naopak výrazně ve směru zhoršení bilance působil obchod s kovodělnými výrobky a elektrickými zařízeními. Zhoršení bylo zaznamenáno také u chemických látek a přípravků, produktů zemědělství a myslivosti, nebo potravinářských výrobků.  </w:t>
            </w:r>
          </w:p>
        </w:tc>
      </w:tr>
      <w:tr w:rsidR="003B7AFA" w14:paraId="78FBD050" w14:textId="77777777" w:rsidTr="003B7AFA">
        <w:trPr>
          <w:trHeight w:val="170"/>
        </w:trPr>
        <w:tc>
          <w:tcPr>
            <w:tcW w:w="4811" w:type="dxa"/>
            <w:gridSpan w:val="3"/>
            <w:hideMark/>
          </w:tcPr>
          <w:p w14:paraId="312666B3" w14:textId="77777777" w:rsidR="003B7AFA" w:rsidRDefault="003B7AFA" w:rsidP="003B7AFA">
            <w:pPr>
              <w:spacing w:after="0"/>
              <w:rPr>
                <w:rFonts w:cs="Arial"/>
                <w:b/>
                <w:bCs/>
                <w:color w:val="000000"/>
                <w:sz w:val="18"/>
                <w:szCs w:val="18"/>
                <w:lang w:eastAsia="en-US"/>
              </w:rPr>
            </w:pPr>
            <w:r>
              <w:rPr>
                <w:rFonts w:cs="Arial"/>
                <w:b/>
                <w:bCs/>
                <w:color w:val="000000"/>
                <w:sz w:val="18"/>
                <w:szCs w:val="18"/>
                <w:lang w:eastAsia="en-US"/>
              </w:rPr>
              <w:lastRenderedPageBreak/>
              <w:t xml:space="preserve">Tabulka č. 5 Oddíly klasifikace CPA s největším </w:t>
            </w:r>
          </w:p>
          <w:p w14:paraId="293EBA45" w14:textId="77777777" w:rsidR="003B7AFA" w:rsidRDefault="003B7AFA" w:rsidP="003B7AFA">
            <w:pPr>
              <w:spacing w:after="0"/>
              <w:jc w:val="left"/>
              <w:rPr>
                <w:rFonts w:cs="Arial"/>
                <w:b/>
                <w:bCs/>
                <w:color w:val="000000"/>
                <w:sz w:val="18"/>
                <w:szCs w:val="18"/>
                <w:lang w:eastAsia="en-US"/>
              </w:rPr>
            </w:pPr>
            <w:r>
              <w:rPr>
                <w:rFonts w:cs="Arial"/>
                <w:b/>
                <w:bCs/>
                <w:color w:val="000000"/>
                <w:sz w:val="18"/>
                <w:szCs w:val="18"/>
                <w:lang w:eastAsia="en-US"/>
              </w:rPr>
              <w:t xml:space="preserve">vlivem na vývoj bilance zahraničního obchodu se zbožím v 1. čtvrtletí 2025 </w:t>
            </w:r>
            <w:r>
              <w:rPr>
                <w:rFonts w:cs="Arial"/>
                <w:bCs/>
                <w:color w:val="000000"/>
                <w:sz w:val="18"/>
                <w:szCs w:val="18"/>
                <w:lang w:eastAsia="en-US"/>
              </w:rPr>
              <w:t>(meziročně)</w:t>
            </w:r>
          </w:p>
        </w:tc>
        <w:tc>
          <w:tcPr>
            <w:tcW w:w="57" w:type="dxa"/>
          </w:tcPr>
          <w:p w14:paraId="667CA95A" w14:textId="77777777" w:rsidR="003B7AFA" w:rsidRDefault="003B7AFA" w:rsidP="003B7AFA">
            <w:pPr>
              <w:spacing w:after="0"/>
              <w:rPr>
                <w:spacing w:val="-4"/>
                <w:lang w:eastAsia="en-US"/>
              </w:rPr>
            </w:pPr>
          </w:p>
        </w:tc>
        <w:tc>
          <w:tcPr>
            <w:tcW w:w="4809" w:type="dxa"/>
            <w:hideMark/>
          </w:tcPr>
          <w:p w14:paraId="5779DC0D" w14:textId="77777777" w:rsidR="003B7AFA" w:rsidRDefault="003B7AFA" w:rsidP="003B7AFA">
            <w:pPr>
              <w:spacing w:after="0"/>
              <w:jc w:val="left"/>
              <w:rPr>
                <w:spacing w:val="-4"/>
                <w:sz w:val="18"/>
                <w:szCs w:val="18"/>
                <w:lang w:eastAsia="en-US"/>
              </w:rPr>
            </w:pPr>
            <w:r>
              <w:rPr>
                <w:rFonts w:cs="Arial"/>
                <w:b/>
                <w:bCs/>
                <w:color w:val="000000"/>
                <w:sz w:val="18"/>
                <w:szCs w:val="18"/>
                <w:lang w:eastAsia="en-US"/>
              </w:rPr>
              <w:t xml:space="preserve">Tabulka č. 6 Země s největším vlivem na vývoj bilance zahraničního obchodu se zbožím v 1. čtvrtletí 2025 </w:t>
            </w:r>
            <w:r>
              <w:rPr>
                <w:rFonts w:cs="Arial"/>
                <w:bCs/>
                <w:color w:val="000000"/>
                <w:sz w:val="18"/>
                <w:szCs w:val="18"/>
                <w:lang w:eastAsia="en-US"/>
              </w:rPr>
              <w:t>(meziročně)</w:t>
            </w:r>
          </w:p>
        </w:tc>
      </w:tr>
      <w:tr w:rsidR="003B7AFA" w14:paraId="1A7D39D0" w14:textId="77777777" w:rsidTr="003B7AFA">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3B7AFA" w:rsidRPr="001F4BF2" w14:paraId="4F7A86A2" w14:textId="77777777" w:rsidTr="003B7AFA">
              <w:trPr>
                <w:trHeight w:val="255"/>
              </w:trPr>
              <w:tc>
                <w:tcPr>
                  <w:tcW w:w="4126" w:type="dxa"/>
                  <w:tcBorders>
                    <w:top w:val="nil"/>
                    <w:left w:val="nil"/>
                    <w:bottom w:val="single" w:sz="4" w:space="0" w:color="auto"/>
                    <w:right w:val="nil"/>
                  </w:tcBorders>
                  <w:shd w:val="clear" w:color="auto" w:fill="auto"/>
                  <w:noWrap/>
                  <w:vAlign w:val="bottom"/>
                  <w:hideMark/>
                </w:tcPr>
                <w:p w14:paraId="6F7374F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 </w:t>
                  </w:r>
                </w:p>
              </w:tc>
              <w:tc>
                <w:tcPr>
                  <w:tcW w:w="700" w:type="dxa"/>
                  <w:tcBorders>
                    <w:top w:val="nil"/>
                    <w:left w:val="nil"/>
                    <w:bottom w:val="single" w:sz="4" w:space="0" w:color="auto"/>
                    <w:right w:val="nil"/>
                  </w:tcBorders>
                  <w:shd w:val="clear" w:color="auto" w:fill="auto"/>
                  <w:noWrap/>
                  <w:vAlign w:val="bottom"/>
                  <w:hideMark/>
                </w:tcPr>
                <w:p w14:paraId="3B5BE55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mld. Kč</w:t>
                  </w:r>
                </w:p>
              </w:tc>
            </w:tr>
            <w:tr w:rsidR="003B7AFA" w:rsidRPr="001F4BF2" w14:paraId="17CC26D8" w14:textId="77777777" w:rsidTr="003B7AFA">
              <w:trPr>
                <w:trHeight w:val="255"/>
              </w:trPr>
              <w:tc>
                <w:tcPr>
                  <w:tcW w:w="4126" w:type="dxa"/>
                  <w:tcBorders>
                    <w:top w:val="nil"/>
                    <w:left w:val="nil"/>
                    <w:bottom w:val="nil"/>
                    <w:right w:val="nil"/>
                  </w:tcBorders>
                  <w:shd w:val="clear" w:color="auto" w:fill="auto"/>
                  <w:noWrap/>
                  <w:vAlign w:val="bottom"/>
                  <w:hideMark/>
                </w:tcPr>
                <w:p w14:paraId="2A8BE5F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Motorová vozidla (kromě motocyklů) a díly</w:t>
                  </w:r>
                </w:p>
              </w:tc>
              <w:tc>
                <w:tcPr>
                  <w:tcW w:w="700" w:type="dxa"/>
                  <w:tcBorders>
                    <w:top w:val="nil"/>
                    <w:left w:val="nil"/>
                    <w:bottom w:val="nil"/>
                    <w:right w:val="nil"/>
                  </w:tcBorders>
                  <w:shd w:val="clear" w:color="auto" w:fill="auto"/>
                  <w:noWrap/>
                  <w:vAlign w:val="bottom"/>
                  <w:hideMark/>
                </w:tcPr>
                <w:p w14:paraId="540325C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+24,5</w:t>
                  </w:r>
                </w:p>
              </w:tc>
            </w:tr>
            <w:tr w:rsidR="003B7AFA" w:rsidRPr="001F4BF2" w14:paraId="4E1D92C5" w14:textId="77777777" w:rsidTr="003B7AFA">
              <w:trPr>
                <w:trHeight w:val="255"/>
              </w:trPr>
              <w:tc>
                <w:tcPr>
                  <w:tcW w:w="4126" w:type="dxa"/>
                  <w:tcBorders>
                    <w:top w:val="nil"/>
                    <w:left w:val="nil"/>
                    <w:bottom w:val="nil"/>
                    <w:right w:val="nil"/>
                  </w:tcBorders>
                  <w:shd w:val="clear" w:color="auto" w:fill="auto"/>
                  <w:noWrap/>
                  <w:vAlign w:val="bottom"/>
                  <w:hideMark/>
                </w:tcPr>
                <w:p w14:paraId="0DFAFC1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Elektřina, plyn, pára a klimatizovaný vzduch</w:t>
                  </w:r>
                </w:p>
              </w:tc>
              <w:tc>
                <w:tcPr>
                  <w:tcW w:w="700" w:type="dxa"/>
                  <w:tcBorders>
                    <w:top w:val="nil"/>
                    <w:left w:val="nil"/>
                    <w:bottom w:val="nil"/>
                    <w:right w:val="nil"/>
                  </w:tcBorders>
                  <w:shd w:val="clear" w:color="auto" w:fill="auto"/>
                  <w:noWrap/>
                  <w:vAlign w:val="bottom"/>
                  <w:hideMark/>
                </w:tcPr>
                <w:p w14:paraId="70A6E7F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+5,2</w:t>
                  </w:r>
                </w:p>
              </w:tc>
            </w:tr>
            <w:tr w:rsidR="003B7AFA" w:rsidRPr="001F4BF2" w14:paraId="7807AEC1" w14:textId="77777777" w:rsidTr="003B7AFA">
              <w:trPr>
                <w:trHeight w:val="255"/>
              </w:trPr>
              <w:tc>
                <w:tcPr>
                  <w:tcW w:w="4126" w:type="dxa"/>
                  <w:tcBorders>
                    <w:top w:val="nil"/>
                    <w:left w:val="nil"/>
                    <w:bottom w:val="nil"/>
                    <w:right w:val="nil"/>
                  </w:tcBorders>
                  <w:shd w:val="clear" w:color="auto" w:fill="auto"/>
                  <w:noWrap/>
                  <w:vAlign w:val="bottom"/>
                  <w:hideMark/>
                </w:tcPr>
                <w:p w14:paraId="5F9477A4"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Ropa a zemní plyn</w:t>
                  </w:r>
                </w:p>
              </w:tc>
              <w:tc>
                <w:tcPr>
                  <w:tcW w:w="700" w:type="dxa"/>
                  <w:tcBorders>
                    <w:top w:val="nil"/>
                    <w:left w:val="nil"/>
                    <w:bottom w:val="nil"/>
                    <w:right w:val="nil"/>
                  </w:tcBorders>
                  <w:shd w:val="clear" w:color="auto" w:fill="auto"/>
                  <w:noWrap/>
                  <w:vAlign w:val="bottom"/>
                  <w:hideMark/>
                </w:tcPr>
                <w:p w14:paraId="5DBEB3E1"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+3,8</w:t>
                  </w:r>
                </w:p>
              </w:tc>
            </w:tr>
            <w:tr w:rsidR="003B7AFA" w:rsidRPr="001F4BF2" w14:paraId="1FC55241" w14:textId="77777777" w:rsidTr="003B7AFA">
              <w:trPr>
                <w:trHeight w:val="255"/>
              </w:trPr>
              <w:tc>
                <w:tcPr>
                  <w:tcW w:w="4126" w:type="dxa"/>
                  <w:tcBorders>
                    <w:top w:val="nil"/>
                    <w:left w:val="nil"/>
                    <w:bottom w:val="nil"/>
                    <w:right w:val="nil"/>
                  </w:tcBorders>
                  <w:shd w:val="clear" w:color="auto" w:fill="auto"/>
                  <w:noWrap/>
                  <w:vAlign w:val="bottom"/>
                  <w:hideMark/>
                </w:tcPr>
                <w:p w14:paraId="59C8112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Počítače, elektron. a opt. přístroje a zařízení</w:t>
                  </w:r>
                </w:p>
              </w:tc>
              <w:tc>
                <w:tcPr>
                  <w:tcW w:w="700" w:type="dxa"/>
                  <w:tcBorders>
                    <w:top w:val="nil"/>
                    <w:left w:val="nil"/>
                    <w:bottom w:val="nil"/>
                    <w:right w:val="nil"/>
                  </w:tcBorders>
                  <w:shd w:val="clear" w:color="auto" w:fill="auto"/>
                  <w:noWrap/>
                  <w:vAlign w:val="bottom"/>
                  <w:hideMark/>
                </w:tcPr>
                <w:p w14:paraId="6B470CD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+2,0</w:t>
                  </w:r>
                </w:p>
              </w:tc>
            </w:tr>
            <w:tr w:rsidR="003B7AFA" w:rsidRPr="001F4BF2" w14:paraId="7F39DF15" w14:textId="77777777" w:rsidTr="003B7AFA">
              <w:trPr>
                <w:trHeight w:val="255"/>
              </w:trPr>
              <w:tc>
                <w:tcPr>
                  <w:tcW w:w="4126" w:type="dxa"/>
                  <w:tcBorders>
                    <w:top w:val="nil"/>
                    <w:left w:val="nil"/>
                    <w:bottom w:val="nil"/>
                    <w:right w:val="nil"/>
                  </w:tcBorders>
                  <w:shd w:val="clear" w:color="auto" w:fill="auto"/>
                  <w:noWrap/>
                  <w:vAlign w:val="bottom"/>
                  <w:hideMark/>
                </w:tcPr>
                <w:p w14:paraId="6FF144A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Pryžové a plastové výrobky</w:t>
                  </w:r>
                </w:p>
              </w:tc>
              <w:tc>
                <w:tcPr>
                  <w:tcW w:w="700" w:type="dxa"/>
                  <w:tcBorders>
                    <w:top w:val="nil"/>
                    <w:left w:val="nil"/>
                    <w:bottom w:val="nil"/>
                    <w:right w:val="nil"/>
                  </w:tcBorders>
                  <w:shd w:val="clear" w:color="auto" w:fill="auto"/>
                  <w:noWrap/>
                  <w:vAlign w:val="bottom"/>
                  <w:hideMark/>
                </w:tcPr>
                <w:p w14:paraId="15E4A27A"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+1,4</w:t>
                  </w:r>
                </w:p>
              </w:tc>
            </w:tr>
            <w:tr w:rsidR="003B7AFA" w:rsidRPr="001F4BF2" w14:paraId="61766178" w14:textId="77777777" w:rsidTr="003B7AFA">
              <w:trPr>
                <w:trHeight w:val="255"/>
              </w:trPr>
              <w:tc>
                <w:tcPr>
                  <w:tcW w:w="4126" w:type="dxa"/>
                  <w:tcBorders>
                    <w:top w:val="nil"/>
                    <w:left w:val="nil"/>
                    <w:bottom w:val="nil"/>
                    <w:right w:val="nil"/>
                  </w:tcBorders>
                  <w:shd w:val="clear" w:color="auto" w:fill="auto"/>
                  <w:noWrap/>
                  <w:vAlign w:val="bottom"/>
                  <w:hideMark/>
                </w:tcPr>
                <w:p w14:paraId="6A3034BE"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Koks a rafinované ropné produkty</w:t>
                  </w:r>
                </w:p>
              </w:tc>
              <w:tc>
                <w:tcPr>
                  <w:tcW w:w="700" w:type="dxa"/>
                  <w:tcBorders>
                    <w:top w:val="nil"/>
                    <w:left w:val="nil"/>
                    <w:bottom w:val="nil"/>
                    <w:right w:val="nil"/>
                  </w:tcBorders>
                  <w:shd w:val="clear" w:color="auto" w:fill="auto"/>
                  <w:noWrap/>
                  <w:vAlign w:val="bottom"/>
                  <w:hideMark/>
                </w:tcPr>
                <w:p w14:paraId="566450A3"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+1,0</w:t>
                  </w:r>
                </w:p>
              </w:tc>
            </w:tr>
            <w:tr w:rsidR="003B7AFA" w:rsidRPr="001F4BF2" w14:paraId="64796B0E" w14:textId="77777777" w:rsidTr="003B7AFA">
              <w:trPr>
                <w:trHeight w:val="255"/>
              </w:trPr>
              <w:tc>
                <w:tcPr>
                  <w:tcW w:w="4126" w:type="dxa"/>
                  <w:tcBorders>
                    <w:top w:val="nil"/>
                    <w:left w:val="nil"/>
                    <w:bottom w:val="nil"/>
                    <w:right w:val="nil"/>
                  </w:tcBorders>
                  <w:shd w:val="clear" w:color="auto" w:fill="auto"/>
                  <w:noWrap/>
                  <w:vAlign w:val="bottom"/>
                  <w:hideMark/>
                </w:tcPr>
                <w:p w14:paraId="158613C9"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Usně a související výrobky</w:t>
                  </w:r>
                </w:p>
              </w:tc>
              <w:tc>
                <w:tcPr>
                  <w:tcW w:w="700" w:type="dxa"/>
                  <w:tcBorders>
                    <w:top w:val="nil"/>
                    <w:left w:val="nil"/>
                    <w:bottom w:val="nil"/>
                    <w:right w:val="nil"/>
                  </w:tcBorders>
                  <w:shd w:val="clear" w:color="auto" w:fill="auto"/>
                  <w:noWrap/>
                  <w:vAlign w:val="bottom"/>
                  <w:hideMark/>
                </w:tcPr>
                <w:p w14:paraId="53B1BBAB"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1,2</w:t>
                  </w:r>
                </w:p>
              </w:tc>
            </w:tr>
            <w:tr w:rsidR="003B7AFA" w:rsidRPr="001F4BF2" w14:paraId="0DA73E16" w14:textId="77777777" w:rsidTr="003B7AFA">
              <w:trPr>
                <w:trHeight w:val="255"/>
              </w:trPr>
              <w:tc>
                <w:tcPr>
                  <w:tcW w:w="4126" w:type="dxa"/>
                  <w:tcBorders>
                    <w:top w:val="nil"/>
                    <w:left w:val="nil"/>
                    <w:bottom w:val="nil"/>
                    <w:right w:val="nil"/>
                  </w:tcBorders>
                  <w:shd w:val="clear" w:color="auto" w:fill="auto"/>
                  <w:noWrap/>
                  <w:vAlign w:val="bottom"/>
                  <w:hideMark/>
                </w:tcPr>
                <w:p w14:paraId="210CF36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Základní kovy</w:t>
                  </w:r>
                </w:p>
              </w:tc>
              <w:tc>
                <w:tcPr>
                  <w:tcW w:w="700" w:type="dxa"/>
                  <w:tcBorders>
                    <w:top w:val="nil"/>
                    <w:left w:val="nil"/>
                    <w:bottom w:val="nil"/>
                    <w:right w:val="nil"/>
                  </w:tcBorders>
                  <w:shd w:val="clear" w:color="auto" w:fill="auto"/>
                  <w:noWrap/>
                  <w:vAlign w:val="bottom"/>
                  <w:hideMark/>
                </w:tcPr>
                <w:p w14:paraId="08E328F7"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1,4</w:t>
                  </w:r>
                </w:p>
              </w:tc>
            </w:tr>
            <w:tr w:rsidR="003B7AFA" w:rsidRPr="001F4BF2" w14:paraId="27092C98" w14:textId="77777777" w:rsidTr="003B7AFA">
              <w:trPr>
                <w:trHeight w:val="255"/>
              </w:trPr>
              <w:tc>
                <w:tcPr>
                  <w:tcW w:w="4126" w:type="dxa"/>
                  <w:tcBorders>
                    <w:top w:val="nil"/>
                    <w:left w:val="nil"/>
                    <w:bottom w:val="nil"/>
                    <w:right w:val="nil"/>
                  </w:tcBorders>
                  <w:shd w:val="clear" w:color="auto" w:fill="auto"/>
                  <w:noWrap/>
                  <w:vAlign w:val="bottom"/>
                  <w:hideMark/>
                </w:tcPr>
                <w:p w14:paraId="640587D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Oděvy</w:t>
                  </w:r>
                </w:p>
              </w:tc>
              <w:tc>
                <w:tcPr>
                  <w:tcW w:w="700" w:type="dxa"/>
                  <w:tcBorders>
                    <w:top w:val="nil"/>
                    <w:left w:val="nil"/>
                    <w:bottom w:val="nil"/>
                    <w:right w:val="nil"/>
                  </w:tcBorders>
                  <w:shd w:val="clear" w:color="auto" w:fill="auto"/>
                  <w:noWrap/>
                  <w:vAlign w:val="bottom"/>
                  <w:hideMark/>
                </w:tcPr>
                <w:p w14:paraId="433A1A21"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1,9</w:t>
                  </w:r>
                </w:p>
              </w:tc>
            </w:tr>
            <w:tr w:rsidR="003B7AFA" w:rsidRPr="001F4BF2" w14:paraId="40D5021B" w14:textId="77777777" w:rsidTr="003B7AFA">
              <w:trPr>
                <w:trHeight w:val="255"/>
              </w:trPr>
              <w:tc>
                <w:tcPr>
                  <w:tcW w:w="4126" w:type="dxa"/>
                  <w:tcBorders>
                    <w:top w:val="nil"/>
                    <w:left w:val="nil"/>
                    <w:bottom w:val="nil"/>
                    <w:right w:val="nil"/>
                  </w:tcBorders>
                  <w:shd w:val="clear" w:color="auto" w:fill="auto"/>
                  <w:noWrap/>
                  <w:vAlign w:val="bottom"/>
                  <w:hideMark/>
                </w:tcPr>
                <w:p w14:paraId="26009D6F"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Ostatní výrobky zpracovatelského průmyslu</w:t>
                  </w:r>
                </w:p>
              </w:tc>
              <w:tc>
                <w:tcPr>
                  <w:tcW w:w="700" w:type="dxa"/>
                  <w:tcBorders>
                    <w:top w:val="nil"/>
                    <w:left w:val="nil"/>
                    <w:bottom w:val="nil"/>
                    <w:right w:val="nil"/>
                  </w:tcBorders>
                  <w:shd w:val="clear" w:color="auto" w:fill="auto"/>
                  <w:noWrap/>
                  <w:vAlign w:val="bottom"/>
                  <w:hideMark/>
                </w:tcPr>
                <w:p w14:paraId="00A4797B"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1,9</w:t>
                  </w:r>
                </w:p>
              </w:tc>
            </w:tr>
            <w:tr w:rsidR="003B7AFA" w:rsidRPr="001F4BF2" w14:paraId="7A2D7AA2" w14:textId="77777777" w:rsidTr="003B7AFA">
              <w:trPr>
                <w:trHeight w:val="255"/>
              </w:trPr>
              <w:tc>
                <w:tcPr>
                  <w:tcW w:w="4126" w:type="dxa"/>
                  <w:tcBorders>
                    <w:top w:val="nil"/>
                    <w:left w:val="nil"/>
                    <w:bottom w:val="nil"/>
                    <w:right w:val="nil"/>
                  </w:tcBorders>
                  <w:shd w:val="clear" w:color="auto" w:fill="auto"/>
                  <w:noWrap/>
                  <w:vAlign w:val="bottom"/>
                  <w:hideMark/>
                </w:tcPr>
                <w:p w14:paraId="46BE95E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Potravinářské výrobky</w:t>
                  </w:r>
                </w:p>
              </w:tc>
              <w:tc>
                <w:tcPr>
                  <w:tcW w:w="700" w:type="dxa"/>
                  <w:tcBorders>
                    <w:top w:val="nil"/>
                    <w:left w:val="nil"/>
                    <w:bottom w:val="nil"/>
                    <w:right w:val="nil"/>
                  </w:tcBorders>
                  <w:shd w:val="clear" w:color="auto" w:fill="auto"/>
                  <w:noWrap/>
                  <w:vAlign w:val="bottom"/>
                  <w:hideMark/>
                </w:tcPr>
                <w:p w14:paraId="1889D141"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2,2</w:t>
                  </w:r>
                </w:p>
              </w:tc>
            </w:tr>
            <w:tr w:rsidR="003B7AFA" w:rsidRPr="001F4BF2" w14:paraId="341D472D" w14:textId="77777777" w:rsidTr="003B7AFA">
              <w:trPr>
                <w:trHeight w:val="255"/>
              </w:trPr>
              <w:tc>
                <w:tcPr>
                  <w:tcW w:w="4126" w:type="dxa"/>
                  <w:tcBorders>
                    <w:top w:val="nil"/>
                    <w:left w:val="nil"/>
                    <w:bottom w:val="nil"/>
                    <w:right w:val="nil"/>
                  </w:tcBorders>
                  <w:shd w:val="clear" w:color="auto" w:fill="auto"/>
                  <w:noWrap/>
                  <w:vAlign w:val="bottom"/>
                  <w:hideMark/>
                </w:tcPr>
                <w:p w14:paraId="3DC698C1"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Produkty zemědělství a myslivosti</w:t>
                  </w:r>
                </w:p>
              </w:tc>
              <w:tc>
                <w:tcPr>
                  <w:tcW w:w="700" w:type="dxa"/>
                  <w:tcBorders>
                    <w:top w:val="nil"/>
                    <w:left w:val="nil"/>
                    <w:bottom w:val="nil"/>
                    <w:right w:val="nil"/>
                  </w:tcBorders>
                  <w:shd w:val="clear" w:color="auto" w:fill="auto"/>
                  <w:noWrap/>
                  <w:vAlign w:val="bottom"/>
                  <w:hideMark/>
                </w:tcPr>
                <w:p w14:paraId="06DF005B"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2,3</w:t>
                  </w:r>
                </w:p>
              </w:tc>
            </w:tr>
            <w:tr w:rsidR="003B7AFA" w:rsidRPr="001F4BF2" w14:paraId="6129BAB5" w14:textId="77777777" w:rsidTr="003B7AFA">
              <w:trPr>
                <w:trHeight w:val="255"/>
              </w:trPr>
              <w:tc>
                <w:tcPr>
                  <w:tcW w:w="4126" w:type="dxa"/>
                  <w:tcBorders>
                    <w:top w:val="nil"/>
                    <w:left w:val="nil"/>
                    <w:bottom w:val="nil"/>
                    <w:right w:val="nil"/>
                  </w:tcBorders>
                  <w:shd w:val="clear" w:color="auto" w:fill="auto"/>
                  <w:noWrap/>
                  <w:vAlign w:val="bottom"/>
                  <w:hideMark/>
                </w:tcPr>
                <w:p w14:paraId="624051F4"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Chemické látky a přípravky</w:t>
                  </w:r>
                </w:p>
              </w:tc>
              <w:tc>
                <w:tcPr>
                  <w:tcW w:w="700" w:type="dxa"/>
                  <w:tcBorders>
                    <w:top w:val="nil"/>
                    <w:left w:val="nil"/>
                    <w:bottom w:val="nil"/>
                    <w:right w:val="nil"/>
                  </w:tcBorders>
                  <w:shd w:val="clear" w:color="auto" w:fill="auto"/>
                  <w:noWrap/>
                  <w:vAlign w:val="bottom"/>
                  <w:hideMark/>
                </w:tcPr>
                <w:p w14:paraId="5894D7DA"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4,0</w:t>
                  </w:r>
                </w:p>
              </w:tc>
            </w:tr>
            <w:tr w:rsidR="003B7AFA" w:rsidRPr="001F4BF2" w14:paraId="2A8EEBF6" w14:textId="77777777" w:rsidTr="003B7AFA">
              <w:trPr>
                <w:trHeight w:val="255"/>
              </w:trPr>
              <w:tc>
                <w:tcPr>
                  <w:tcW w:w="4126" w:type="dxa"/>
                  <w:tcBorders>
                    <w:top w:val="nil"/>
                    <w:left w:val="nil"/>
                    <w:bottom w:val="nil"/>
                    <w:right w:val="nil"/>
                  </w:tcBorders>
                  <w:shd w:val="clear" w:color="auto" w:fill="auto"/>
                  <w:noWrap/>
                  <w:vAlign w:val="bottom"/>
                  <w:hideMark/>
                </w:tcPr>
                <w:p w14:paraId="18EC9CE7"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Elektrická zařízení</w:t>
                  </w:r>
                </w:p>
              </w:tc>
              <w:tc>
                <w:tcPr>
                  <w:tcW w:w="700" w:type="dxa"/>
                  <w:tcBorders>
                    <w:top w:val="nil"/>
                    <w:left w:val="nil"/>
                    <w:bottom w:val="nil"/>
                    <w:right w:val="nil"/>
                  </w:tcBorders>
                  <w:shd w:val="clear" w:color="auto" w:fill="auto"/>
                  <w:noWrap/>
                  <w:vAlign w:val="bottom"/>
                  <w:hideMark/>
                </w:tcPr>
                <w:p w14:paraId="484C1A04"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11,7</w:t>
                  </w:r>
                </w:p>
              </w:tc>
            </w:tr>
            <w:tr w:rsidR="003B7AFA" w:rsidRPr="001F4BF2" w14:paraId="7473301C" w14:textId="77777777" w:rsidTr="003B7AFA">
              <w:trPr>
                <w:trHeight w:val="255"/>
              </w:trPr>
              <w:tc>
                <w:tcPr>
                  <w:tcW w:w="4126" w:type="dxa"/>
                  <w:tcBorders>
                    <w:top w:val="nil"/>
                    <w:left w:val="nil"/>
                    <w:bottom w:val="nil"/>
                    <w:right w:val="nil"/>
                  </w:tcBorders>
                  <w:shd w:val="clear" w:color="auto" w:fill="auto"/>
                  <w:noWrap/>
                  <w:vAlign w:val="bottom"/>
                  <w:hideMark/>
                </w:tcPr>
                <w:p w14:paraId="47FF146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Kovodělné výrobky kromě strojů a zařízení</w:t>
                  </w:r>
                </w:p>
              </w:tc>
              <w:tc>
                <w:tcPr>
                  <w:tcW w:w="700" w:type="dxa"/>
                  <w:tcBorders>
                    <w:top w:val="nil"/>
                    <w:left w:val="nil"/>
                    <w:bottom w:val="nil"/>
                    <w:right w:val="nil"/>
                  </w:tcBorders>
                  <w:shd w:val="clear" w:color="auto" w:fill="auto"/>
                  <w:noWrap/>
                  <w:vAlign w:val="bottom"/>
                  <w:hideMark/>
                </w:tcPr>
                <w:p w14:paraId="1FBEC408"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12,2</w:t>
                  </w:r>
                </w:p>
              </w:tc>
            </w:tr>
          </w:tbl>
          <w:p w14:paraId="02098DC6" w14:textId="77777777" w:rsidR="003B7AFA" w:rsidRDefault="003B7AFA" w:rsidP="003B7AFA">
            <w:pPr>
              <w:spacing w:after="0"/>
              <w:rPr>
                <w:spacing w:val="-4"/>
                <w:lang w:eastAsia="en-US"/>
              </w:rPr>
            </w:pPr>
          </w:p>
        </w:tc>
        <w:tc>
          <w:tcPr>
            <w:tcW w:w="57" w:type="dxa"/>
          </w:tcPr>
          <w:p w14:paraId="4390921D" w14:textId="77777777" w:rsidR="003B7AFA" w:rsidRDefault="003B7AFA" w:rsidP="003B7AFA">
            <w:pPr>
              <w:spacing w:after="0"/>
              <w:rPr>
                <w:spacing w:val="-4"/>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3B7AFA" w:rsidRPr="001F4BF2" w14:paraId="0B319CE6" w14:textId="77777777" w:rsidTr="003B7AFA">
              <w:trPr>
                <w:trHeight w:val="255"/>
              </w:trPr>
              <w:tc>
                <w:tcPr>
                  <w:tcW w:w="4071" w:type="dxa"/>
                  <w:tcBorders>
                    <w:top w:val="nil"/>
                    <w:left w:val="nil"/>
                    <w:bottom w:val="single" w:sz="4" w:space="0" w:color="auto"/>
                    <w:right w:val="nil"/>
                  </w:tcBorders>
                  <w:shd w:val="clear" w:color="auto" w:fill="auto"/>
                  <w:noWrap/>
                  <w:vAlign w:val="bottom"/>
                  <w:hideMark/>
                </w:tcPr>
                <w:p w14:paraId="1C422A52" w14:textId="77777777" w:rsidR="003B7AFA" w:rsidRPr="001F4BF2" w:rsidRDefault="003B7AFA" w:rsidP="003B7AFA">
                  <w:pPr>
                    <w:spacing w:after="0" w:line="240" w:lineRule="auto"/>
                    <w:jc w:val="left"/>
                    <w:rPr>
                      <w:rFonts w:ascii="Calibri" w:hAnsi="Calibri" w:cs="Calibri"/>
                      <w:color w:val="000000"/>
                      <w:szCs w:val="20"/>
                    </w:rPr>
                  </w:pPr>
                </w:p>
              </w:tc>
              <w:tc>
                <w:tcPr>
                  <w:tcW w:w="700" w:type="dxa"/>
                  <w:tcBorders>
                    <w:top w:val="nil"/>
                    <w:left w:val="nil"/>
                    <w:bottom w:val="single" w:sz="4" w:space="0" w:color="auto"/>
                    <w:right w:val="nil"/>
                  </w:tcBorders>
                  <w:shd w:val="clear" w:color="auto" w:fill="auto"/>
                  <w:noWrap/>
                  <w:vAlign w:val="bottom"/>
                  <w:hideMark/>
                </w:tcPr>
                <w:p w14:paraId="315E56B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mld. Kč</w:t>
                  </w:r>
                </w:p>
              </w:tc>
            </w:tr>
            <w:tr w:rsidR="003B7AFA" w:rsidRPr="001F4BF2" w14:paraId="5EE1A3B5" w14:textId="77777777" w:rsidTr="003B7AFA">
              <w:trPr>
                <w:trHeight w:val="255"/>
              </w:trPr>
              <w:tc>
                <w:tcPr>
                  <w:tcW w:w="4071" w:type="dxa"/>
                  <w:tcBorders>
                    <w:top w:val="nil"/>
                    <w:left w:val="nil"/>
                    <w:bottom w:val="nil"/>
                    <w:right w:val="nil"/>
                  </w:tcBorders>
                  <w:shd w:val="clear" w:color="auto" w:fill="auto"/>
                  <w:noWrap/>
                  <w:vAlign w:val="bottom"/>
                  <w:hideMark/>
                </w:tcPr>
                <w:p w14:paraId="095CE50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Německo</w:t>
                  </w:r>
                </w:p>
              </w:tc>
              <w:tc>
                <w:tcPr>
                  <w:tcW w:w="700" w:type="dxa"/>
                  <w:tcBorders>
                    <w:top w:val="nil"/>
                    <w:left w:val="nil"/>
                    <w:bottom w:val="nil"/>
                    <w:right w:val="nil"/>
                  </w:tcBorders>
                  <w:shd w:val="clear" w:color="auto" w:fill="auto"/>
                  <w:noWrap/>
                  <w:vAlign w:val="bottom"/>
                  <w:hideMark/>
                </w:tcPr>
                <w:p w14:paraId="4BCBA765"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+17,2</w:t>
                  </w:r>
                </w:p>
              </w:tc>
            </w:tr>
            <w:tr w:rsidR="003B7AFA" w:rsidRPr="001F4BF2" w14:paraId="485BC6EA" w14:textId="77777777" w:rsidTr="003B7AFA">
              <w:trPr>
                <w:trHeight w:val="255"/>
              </w:trPr>
              <w:tc>
                <w:tcPr>
                  <w:tcW w:w="4071" w:type="dxa"/>
                  <w:tcBorders>
                    <w:top w:val="nil"/>
                    <w:left w:val="nil"/>
                    <w:bottom w:val="nil"/>
                    <w:right w:val="nil"/>
                  </w:tcBorders>
                  <w:shd w:val="clear" w:color="auto" w:fill="auto"/>
                  <w:noWrap/>
                  <w:vAlign w:val="bottom"/>
                  <w:hideMark/>
                </w:tcPr>
                <w:p w14:paraId="115244AD"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Velká Británie</w:t>
                  </w:r>
                </w:p>
              </w:tc>
              <w:tc>
                <w:tcPr>
                  <w:tcW w:w="700" w:type="dxa"/>
                  <w:tcBorders>
                    <w:top w:val="nil"/>
                    <w:left w:val="nil"/>
                    <w:bottom w:val="nil"/>
                    <w:right w:val="nil"/>
                  </w:tcBorders>
                  <w:shd w:val="clear" w:color="auto" w:fill="auto"/>
                  <w:noWrap/>
                  <w:vAlign w:val="bottom"/>
                  <w:hideMark/>
                </w:tcPr>
                <w:p w14:paraId="1C21663C"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+9,4</w:t>
                  </w:r>
                </w:p>
              </w:tc>
            </w:tr>
            <w:tr w:rsidR="003B7AFA" w:rsidRPr="001F4BF2" w14:paraId="2C809CA7" w14:textId="77777777" w:rsidTr="003B7AFA">
              <w:trPr>
                <w:trHeight w:val="255"/>
              </w:trPr>
              <w:tc>
                <w:tcPr>
                  <w:tcW w:w="4071" w:type="dxa"/>
                  <w:tcBorders>
                    <w:top w:val="nil"/>
                    <w:left w:val="nil"/>
                    <w:bottom w:val="nil"/>
                    <w:right w:val="nil"/>
                  </w:tcBorders>
                  <w:shd w:val="clear" w:color="auto" w:fill="auto"/>
                  <w:noWrap/>
                  <w:vAlign w:val="bottom"/>
                  <w:hideMark/>
                </w:tcPr>
                <w:p w14:paraId="03EAE4EA"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Rusko</w:t>
                  </w:r>
                </w:p>
              </w:tc>
              <w:tc>
                <w:tcPr>
                  <w:tcW w:w="700" w:type="dxa"/>
                  <w:tcBorders>
                    <w:top w:val="nil"/>
                    <w:left w:val="nil"/>
                    <w:bottom w:val="nil"/>
                    <w:right w:val="nil"/>
                  </w:tcBorders>
                  <w:shd w:val="clear" w:color="auto" w:fill="auto"/>
                  <w:noWrap/>
                  <w:vAlign w:val="bottom"/>
                  <w:hideMark/>
                </w:tcPr>
                <w:p w14:paraId="655C99AE"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+8,7</w:t>
                  </w:r>
                </w:p>
              </w:tc>
            </w:tr>
            <w:tr w:rsidR="003B7AFA" w:rsidRPr="001F4BF2" w14:paraId="79D425D5" w14:textId="77777777" w:rsidTr="003B7AFA">
              <w:trPr>
                <w:trHeight w:val="255"/>
              </w:trPr>
              <w:tc>
                <w:tcPr>
                  <w:tcW w:w="4071" w:type="dxa"/>
                  <w:tcBorders>
                    <w:top w:val="nil"/>
                    <w:left w:val="nil"/>
                    <w:bottom w:val="nil"/>
                    <w:right w:val="nil"/>
                  </w:tcBorders>
                  <w:shd w:val="clear" w:color="auto" w:fill="auto"/>
                  <w:noWrap/>
                  <w:vAlign w:val="bottom"/>
                  <w:hideMark/>
                </w:tcPr>
                <w:p w14:paraId="5D06707B"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shd w:val="clear" w:color="auto" w:fill="auto"/>
                  <w:noWrap/>
                  <w:vAlign w:val="bottom"/>
                  <w:hideMark/>
                </w:tcPr>
                <w:p w14:paraId="5B161944"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+3,9</w:t>
                  </w:r>
                </w:p>
              </w:tc>
            </w:tr>
            <w:tr w:rsidR="003B7AFA" w:rsidRPr="001F4BF2" w14:paraId="08978218" w14:textId="77777777" w:rsidTr="003B7AFA">
              <w:trPr>
                <w:trHeight w:val="255"/>
              </w:trPr>
              <w:tc>
                <w:tcPr>
                  <w:tcW w:w="4071" w:type="dxa"/>
                  <w:tcBorders>
                    <w:top w:val="nil"/>
                    <w:left w:val="nil"/>
                    <w:bottom w:val="nil"/>
                    <w:right w:val="nil"/>
                  </w:tcBorders>
                  <w:shd w:val="clear" w:color="auto" w:fill="auto"/>
                  <w:noWrap/>
                  <w:vAlign w:val="bottom"/>
                  <w:hideMark/>
                </w:tcPr>
                <w:p w14:paraId="5ABC5E4E"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Francie</w:t>
                  </w:r>
                </w:p>
              </w:tc>
              <w:tc>
                <w:tcPr>
                  <w:tcW w:w="700" w:type="dxa"/>
                  <w:tcBorders>
                    <w:top w:val="nil"/>
                    <w:left w:val="nil"/>
                    <w:bottom w:val="nil"/>
                    <w:right w:val="nil"/>
                  </w:tcBorders>
                  <w:shd w:val="clear" w:color="auto" w:fill="auto"/>
                  <w:noWrap/>
                  <w:vAlign w:val="bottom"/>
                  <w:hideMark/>
                </w:tcPr>
                <w:p w14:paraId="077AAEF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+3,5</w:t>
                  </w:r>
                </w:p>
              </w:tc>
            </w:tr>
            <w:tr w:rsidR="003B7AFA" w:rsidRPr="001F4BF2" w14:paraId="0272C889" w14:textId="77777777" w:rsidTr="003B7AFA">
              <w:trPr>
                <w:trHeight w:val="255"/>
              </w:trPr>
              <w:tc>
                <w:tcPr>
                  <w:tcW w:w="4071" w:type="dxa"/>
                  <w:tcBorders>
                    <w:top w:val="nil"/>
                    <w:left w:val="nil"/>
                    <w:bottom w:val="nil"/>
                    <w:right w:val="nil"/>
                  </w:tcBorders>
                  <w:shd w:val="clear" w:color="auto" w:fill="auto"/>
                  <w:noWrap/>
                  <w:vAlign w:val="bottom"/>
                  <w:hideMark/>
                </w:tcPr>
                <w:p w14:paraId="37667AF5"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Švédsko</w:t>
                  </w:r>
                </w:p>
              </w:tc>
              <w:tc>
                <w:tcPr>
                  <w:tcW w:w="700" w:type="dxa"/>
                  <w:tcBorders>
                    <w:top w:val="nil"/>
                    <w:left w:val="nil"/>
                    <w:bottom w:val="nil"/>
                    <w:right w:val="nil"/>
                  </w:tcBorders>
                  <w:shd w:val="clear" w:color="auto" w:fill="auto"/>
                  <w:noWrap/>
                  <w:vAlign w:val="bottom"/>
                  <w:hideMark/>
                </w:tcPr>
                <w:p w14:paraId="7187D13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+3,4</w:t>
                  </w:r>
                </w:p>
              </w:tc>
            </w:tr>
            <w:tr w:rsidR="003B7AFA" w:rsidRPr="001F4BF2" w14:paraId="5C2A3636" w14:textId="77777777" w:rsidTr="003B7AFA">
              <w:trPr>
                <w:trHeight w:val="255"/>
              </w:trPr>
              <w:tc>
                <w:tcPr>
                  <w:tcW w:w="4071" w:type="dxa"/>
                  <w:tcBorders>
                    <w:top w:val="nil"/>
                    <w:left w:val="nil"/>
                    <w:bottom w:val="nil"/>
                    <w:right w:val="nil"/>
                  </w:tcBorders>
                  <w:shd w:val="clear" w:color="auto" w:fill="auto"/>
                  <w:noWrap/>
                  <w:vAlign w:val="bottom"/>
                  <w:hideMark/>
                </w:tcPr>
                <w:p w14:paraId="0883EC3E"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Ukrajina</w:t>
                  </w:r>
                </w:p>
              </w:tc>
              <w:tc>
                <w:tcPr>
                  <w:tcW w:w="700" w:type="dxa"/>
                  <w:tcBorders>
                    <w:top w:val="nil"/>
                    <w:left w:val="nil"/>
                    <w:bottom w:val="nil"/>
                    <w:right w:val="nil"/>
                  </w:tcBorders>
                  <w:shd w:val="clear" w:color="auto" w:fill="auto"/>
                  <w:noWrap/>
                  <w:vAlign w:val="bottom"/>
                  <w:hideMark/>
                </w:tcPr>
                <w:p w14:paraId="480AAA0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+3,3</w:t>
                  </w:r>
                </w:p>
              </w:tc>
            </w:tr>
            <w:tr w:rsidR="003B7AFA" w:rsidRPr="001F4BF2" w14:paraId="78D9339D" w14:textId="77777777" w:rsidTr="003B7AFA">
              <w:trPr>
                <w:trHeight w:val="255"/>
              </w:trPr>
              <w:tc>
                <w:tcPr>
                  <w:tcW w:w="4071" w:type="dxa"/>
                  <w:tcBorders>
                    <w:top w:val="nil"/>
                    <w:left w:val="nil"/>
                    <w:bottom w:val="nil"/>
                    <w:right w:val="nil"/>
                  </w:tcBorders>
                  <w:shd w:val="clear" w:color="auto" w:fill="auto"/>
                  <w:noWrap/>
                  <w:vAlign w:val="bottom"/>
                  <w:hideMark/>
                </w:tcPr>
                <w:p w14:paraId="5A6E9872"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Dánsko</w:t>
                  </w:r>
                </w:p>
              </w:tc>
              <w:tc>
                <w:tcPr>
                  <w:tcW w:w="700" w:type="dxa"/>
                  <w:tcBorders>
                    <w:top w:val="nil"/>
                    <w:left w:val="nil"/>
                    <w:bottom w:val="nil"/>
                    <w:right w:val="nil"/>
                  </w:tcBorders>
                  <w:shd w:val="clear" w:color="auto" w:fill="auto"/>
                  <w:noWrap/>
                  <w:vAlign w:val="bottom"/>
                  <w:hideMark/>
                </w:tcPr>
                <w:p w14:paraId="5FDB3DA8"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+3,0</w:t>
                  </w:r>
                </w:p>
              </w:tc>
            </w:tr>
            <w:tr w:rsidR="003B7AFA" w:rsidRPr="001F4BF2" w14:paraId="6D860D17" w14:textId="77777777" w:rsidTr="003B7AFA">
              <w:trPr>
                <w:trHeight w:val="255"/>
              </w:trPr>
              <w:tc>
                <w:tcPr>
                  <w:tcW w:w="4071" w:type="dxa"/>
                  <w:tcBorders>
                    <w:top w:val="nil"/>
                    <w:left w:val="nil"/>
                    <w:bottom w:val="nil"/>
                    <w:right w:val="nil"/>
                  </w:tcBorders>
                  <w:shd w:val="clear" w:color="auto" w:fill="auto"/>
                  <w:noWrap/>
                  <w:vAlign w:val="bottom"/>
                  <w:hideMark/>
                </w:tcPr>
                <w:p w14:paraId="3F9E0938"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Izrael</w:t>
                  </w:r>
                </w:p>
              </w:tc>
              <w:tc>
                <w:tcPr>
                  <w:tcW w:w="700" w:type="dxa"/>
                  <w:tcBorders>
                    <w:top w:val="nil"/>
                    <w:left w:val="nil"/>
                    <w:bottom w:val="nil"/>
                    <w:right w:val="nil"/>
                  </w:tcBorders>
                  <w:shd w:val="clear" w:color="auto" w:fill="auto"/>
                  <w:noWrap/>
                  <w:vAlign w:val="bottom"/>
                  <w:hideMark/>
                </w:tcPr>
                <w:p w14:paraId="2CD47480"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+2,9</w:t>
                  </w:r>
                </w:p>
              </w:tc>
            </w:tr>
            <w:tr w:rsidR="003B7AFA" w:rsidRPr="001F4BF2" w14:paraId="0CD94C9F" w14:textId="77777777" w:rsidTr="003B7AFA">
              <w:trPr>
                <w:trHeight w:val="255"/>
              </w:trPr>
              <w:tc>
                <w:tcPr>
                  <w:tcW w:w="4071" w:type="dxa"/>
                  <w:tcBorders>
                    <w:top w:val="nil"/>
                    <w:left w:val="nil"/>
                    <w:bottom w:val="nil"/>
                    <w:right w:val="nil"/>
                  </w:tcBorders>
                  <w:shd w:val="clear" w:color="auto" w:fill="auto"/>
                  <w:noWrap/>
                  <w:vAlign w:val="bottom"/>
                  <w:hideMark/>
                </w:tcPr>
                <w:p w14:paraId="4AB12D35"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Tchaj-wan</w:t>
                  </w:r>
                </w:p>
              </w:tc>
              <w:tc>
                <w:tcPr>
                  <w:tcW w:w="700" w:type="dxa"/>
                  <w:tcBorders>
                    <w:top w:val="nil"/>
                    <w:left w:val="nil"/>
                    <w:bottom w:val="nil"/>
                    <w:right w:val="nil"/>
                  </w:tcBorders>
                  <w:shd w:val="clear" w:color="auto" w:fill="auto"/>
                  <w:noWrap/>
                  <w:vAlign w:val="bottom"/>
                  <w:hideMark/>
                </w:tcPr>
                <w:p w14:paraId="0A201BDB" w14:textId="77777777" w:rsidR="003B7AFA" w:rsidRPr="001F4BF2" w:rsidRDefault="003B7AFA" w:rsidP="003B7AFA">
                  <w:pPr>
                    <w:spacing w:after="0" w:line="240" w:lineRule="auto"/>
                    <w:jc w:val="right"/>
                    <w:rPr>
                      <w:rFonts w:cs="Arial"/>
                      <w:color w:val="000000"/>
                      <w:sz w:val="16"/>
                      <w:szCs w:val="16"/>
                    </w:rPr>
                  </w:pPr>
                  <w:r w:rsidRPr="001F4BF2">
                    <w:rPr>
                      <w:rFonts w:cs="Arial"/>
                      <w:color w:val="000000"/>
                      <w:sz w:val="16"/>
                      <w:szCs w:val="16"/>
                    </w:rPr>
                    <w:t>+2,5</w:t>
                  </w:r>
                </w:p>
              </w:tc>
            </w:tr>
            <w:tr w:rsidR="003B7AFA" w:rsidRPr="001F4BF2" w14:paraId="48FAE3B4" w14:textId="77777777" w:rsidTr="003B7AFA">
              <w:trPr>
                <w:trHeight w:val="255"/>
              </w:trPr>
              <w:tc>
                <w:tcPr>
                  <w:tcW w:w="4071" w:type="dxa"/>
                  <w:tcBorders>
                    <w:top w:val="nil"/>
                    <w:left w:val="nil"/>
                    <w:bottom w:val="nil"/>
                    <w:right w:val="nil"/>
                  </w:tcBorders>
                  <w:shd w:val="clear" w:color="auto" w:fill="auto"/>
                  <w:noWrap/>
                  <w:vAlign w:val="bottom"/>
                  <w:hideMark/>
                </w:tcPr>
                <w:p w14:paraId="075D1BC0"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Norsko</w:t>
                  </w:r>
                </w:p>
              </w:tc>
              <w:tc>
                <w:tcPr>
                  <w:tcW w:w="700" w:type="dxa"/>
                  <w:tcBorders>
                    <w:top w:val="nil"/>
                    <w:left w:val="nil"/>
                    <w:bottom w:val="nil"/>
                    <w:right w:val="nil"/>
                  </w:tcBorders>
                  <w:shd w:val="clear" w:color="auto" w:fill="auto"/>
                  <w:noWrap/>
                  <w:vAlign w:val="bottom"/>
                  <w:hideMark/>
                </w:tcPr>
                <w:p w14:paraId="19FE39C4"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3,4</w:t>
                  </w:r>
                </w:p>
              </w:tc>
            </w:tr>
            <w:tr w:rsidR="003B7AFA" w:rsidRPr="001F4BF2" w14:paraId="3CFA3DD5" w14:textId="77777777" w:rsidTr="003B7AFA">
              <w:trPr>
                <w:trHeight w:val="255"/>
              </w:trPr>
              <w:tc>
                <w:tcPr>
                  <w:tcW w:w="4071" w:type="dxa"/>
                  <w:tcBorders>
                    <w:top w:val="nil"/>
                    <w:left w:val="nil"/>
                    <w:bottom w:val="nil"/>
                    <w:right w:val="nil"/>
                  </w:tcBorders>
                  <w:shd w:val="clear" w:color="auto" w:fill="auto"/>
                  <w:noWrap/>
                  <w:vAlign w:val="bottom"/>
                  <w:hideMark/>
                </w:tcPr>
                <w:p w14:paraId="5BFE3F83"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Itálie</w:t>
                  </w:r>
                </w:p>
              </w:tc>
              <w:tc>
                <w:tcPr>
                  <w:tcW w:w="700" w:type="dxa"/>
                  <w:tcBorders>
                    <w:top w:val="nil"/>
                    <w:left w:val="nil"/>
                    <w:bottom w:val="nil"/>
                    <w:right w:val="nil"/>
                  </w:tcBorders>
                  <w:shd w:val="clear" w:color="auto" w:fill="auto"/>
                  <w:noWrap/>
                  <w:vAlign w:val="bottom"/>
                  <w:hideMark/>
                </w:tcPr>
                <w:p w14:paraId="43D77D99"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4,2</w:t>
                  </w:r>
                </w:p>
              </w:tc>
            </w:tr>
            <w:tr w:rsidR="003B7AFA" w:rsidRPr="001F4BF2" w14:paraId="4444A201" w14:textId="77777777" w:rsidTr="003B7AFA">
              <w:trPr>
                <w:trHeight w:val="255"/>
              </w:trPr>
              <w:tc>
                <w:tcPr>
                  <w:tcW w:w="4071" w:type="dxa"/>
                  <w:tcBorders>
                    <w:top w:val="nil"/>
                    <w:left w:val="nil"/>
                    <w:bottom w:val="nil"/>
                    <w:right w:val="nil"/>
                  </w:tcBorders>
                  <w:shd w:val="clear" w:color="auto" w:fill="auto"/>
                  <w:noWrap/>
                  <w:vAlign w:val="bottom"/>
                  <w:hideMark/>
                </w:tcPr>
                <w:p w14:paraId="6722F9C1"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Španělsko</w:t>
                  </w:r>
                </w:p>
              </w:tc>
              <w:tc>
                <w:tcPr>
                  <w:tcW w:w="700" w:type="dxa"/>
                  <w:tcBorders>
                    <w:top w:val="nil"/>
                    <w:left w:val="nil"/>
                    <w:bottom w:val="nil"/>
                    <w:right w:val="nil"/>
                  </w:tcBorders>
                  <w:shd w:val="clear" w:color="auto" w:fill="auto"/>
                  <w:noWrap/>
                  <w:vAlign w:val="bottom"/>
                  <w:hideMark/>
                </w:tcPr>
                <w:p w14:paraId="43D45819"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4,5</w:t>
                  </w:r>
                </w:p>
              </w:tc>
            </w:tr>
            <w:tr w:rsidR="003B7AFA" w:rsidRPr="001F4BF2" w14:paraId="2F37DE71" w14:textId="77777777" w:rsidTr="003B7AFA">
              <w:trPr>
                <w:trHeight w:val="255"/>
              </w:trPr>
              <w:tc>
                <w:tcPr>
                  <w:tcW w:w="4071" w:type="dxa"/>
                  <w:tcBorders>
                    <w:top w:val="nil"/>
                    <w:left w:val="nil"/>
                    <w:bottom w:val="nil"/>
                    <w:right w:val="nil"/>
                  </w:tcBorders>
                  <w:shd w:val="clear" w:color="auto" w:fill="auto"/>
                  <w:noWrap/>
                  <w:vAlign w:val="bottom"/>
                  <w:hideMark/>
                </w:tcPr>
                <w:p w14:paraId="1807E1EC"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Polsko</w:t>
                  </w:r>
                </w:p>
              </w:tc>
              <w:tc>
                <w:tcPr>
                  <w:tcW w:w="700" w:type="dxa"/>
                  <w:tcBorders>
                    <w:top w:val="nil"/>
                    <w:left w:val="nil"/>
                    <w:bottom w:val="nil"/>
                    <w:right w:val="nil"/>
                  </w:tcBorders>
                  <w:shd w:val="clear" w:color="auto" w:fill="auto"/>
                  <w:noWrap/>
                  <w:vAlign w:val="bottom"/>
                  <w:hideMark/>
                </w:tcPr>
                <w:p w14:paraId="0172E13F"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7,1</w:t>
                  </w:r>
                </w:p>
              </w:tc>
            </w:tr>
            <w:tr w:rsidR="003B7AFA" w:rsidRPr="001F4BF2" w14:paraId="07154EA9" w14:textId="77777777" w:rsidTr="003B7AFA">
              <w:trPr>
                <w:trHeight w:val="255"/>
              </w:trPr>
              <w:tc>
                <w:tcPr>
                  <w:tcW w:w="4071" w:type="dxa"/>
                  <w:tcBorders>
                    <w:top w:val="nil"/>
                    <w:left w:val="nil"/>
                    <w:bottom w:val="nil"/>
                    <w:right w:val="nil"/>
                  </w:tcBorders>
                  <w:shd w:val="clear" w:color="auto" w:fill="auto"/>
                  <w:noWrap/>
                  <w:vAlign w:val="bottom"/>
                  <w:hideMark/>
                </w:tcPr>
                <w:p w14:paraId="0D5D6381" w14:textId="77777777" w:rsidR="003B7AFA" w:rsidRPr="001F4BF2" w:rsidRDefault="003B7AFA" w:rsidP="003B7AFA">
                  <w:pPr>
                    <w:spacing w:after="0" w:line="240" w:lineRule="auto"/>
                    <w:jc w:val="left"/>
                    <w:rPr>
                      <w:rFonts w:cs="Arial"/>
                      <w:color w:val="000000"/>
                      <w:sz w:val="16"/>
                      <w:szCs w:val="16"/>
                    </w:rPr>
                  </w:pPr>
                  <w:r w:rsidRPr="001F4BF2">
                    <w:rPr>
                      <w:rFonts w:cs="Arial"/>
                      <w:color w:val="000000"/>
                      <w:sz w:val="16"/>
                      <w:szCs w:val="16"/>
                    </w:rPr>
                    <w:t>Čína</w:t>
                  </w:r>
                </w:p>
              </w:tc>
              <w:tc>
                <w:tcPr>
                  <w:tcW w:w="700" w:type="dxa"/>
                  <w:tcBorders>
                    <w:top w:val="nil"/>
                    <w:left w:val="nil"/>
                    <w:bottom w:val="nil"/>
                    <w:right w:val="nil"/>
                  </w:tcBorders>
                  <w:shd w:val="clear" w:color="auto" w:fill="auto"/>
                  <w:noWrap/>
                  <w:vAlign w:val="bottom"/>
                  <w:hideMark/>
                </w:tcPr>
                <w:p w14:paraId="52BF11A8" w14:textId="77777777" w:rsidR="003B7AFA" w:rsidRPr="001F4BF2" w:rsidRDefault="003B7AFA" w:rsidP="003B7AFA">
                  <w:pPr>
                    <w:spacing w:after="0" w:line="240" w:lineRule="auto"/>
                    <w:jc w:val="right"/>
                    <w:rPr>
                      <w:rFonts w:cs="Arial"/>
                      <w:color w:val="000000"/>
                      <w:sz w:val="16"/>
                      <w:szCs w:val="16"/>
                    </w:rPr>
                  </w:pPr>
                  <w:r>
                    <w:rPr>
                      <w:rFonts w:cs="Arial"/>
                      <w:color w:val="000000"/>
                      <w:sz w:val="16"/>
                      <w:szCs w:val="16"/>
                    </w:rPr>
                    <w:t>−</w:t>
                  </w:r>
                  <w:r w:rsidRPr="001F4BF2">
                    <w:rPr>
                      <w:rFonts w:cs="Arial"/>
                      <w:color w:val="000000"/>
                      <w:sz w:val="16"/>
                      <w:szCs w:val="16"/>
                    </w:rPr>
                    <w:t>21,0</w:t>
                  </w:r>
                </w:p>
              </w:tc>
            </w:tr>
          </w:tbl>
          <w:p w14:paraId="5777657C" w14:textId="77777777" w:rsidR="003B7AFA" w:rsidRDefault="003B7AFA" w:rsidP="003B7AFA">
            <w:pPr>
              <w:spacing w:after="0"/>
              <w:rPr>
                <w:spacing w:val="-4"/>
                <w:lang w:eastAsia="en-US"/>
              </w:rPr>
            </w:pPr>
          </w:p>
        </w:tc>
      </w:tr>
      <w:tr w:rsidR="003B7AFA" w14:paraId="4392C1B2" w14:textId="77777777" w:rsidTr="003B7AFA">
        <w:trPr>
          <w:trHeight w:val="170"/>
        </w:trPr>
        <w:tc>
          <w:tcPr>
            <w:tcW w:w="4811" w:type="dxa"/>
            <w:gridSpan w:val="3"/>
            <w:hideMark/>
          </w:tcPr>
          <w:p w14:paraId="511FAC64" w14:textId="77777777" w:rsidR="003B7AFA" w:rsidRDefault="003B7AFA" w:rsidP="003B7AFA">
            <w:pPr>
              <w:jc w:val="right"/>
              <w:rPr>
                <w:spacing w:val="-4"/>
                <w:sz w:val="16"/>
                <w:szCs w:val="16"/>
                <w:lang w:eastAsia="en-US"/>
              </w:rPr>
            </w:pPr>
            <w:r>
              <w:rPr>
                <w:spacing w:val="-4"/>
                <w:sz w:val="16"/>
                <w:szCs w:val="16"/>
                <w:lang w:eastAsia="en-US"/>
              </w:rPr>
              <w:t>Zdroj: ČSÚ</w:t>
            </w:r>
          </w:p>
        </w:tc>
        <w:tc>
          <w:tcPr>
            <w:tcW w:w="57" w:type="dxa"/>
          </w:tcPr>
          <w:p w14:paraId="47254B46" w14:textId="77777777" w:rsidR="003B7AFA" w:rsidRDefault="003B7AFA" w:rsidP="003B7AFA">
            <w:pPr>
              <w:spacing w:after="0"/>
              <w:rPr>
                <w:spacing w:val="-4"/>
                <w:lang w:eastAsia="en-US"/>
              </w:rPr>
            </w:pPr>
          </w:p>
        </w:tc>
        <w:tc>
          <w:tcPr>
            <w:tcW w:w="4809" w:type="dxa"/>
            <w:hideMark/>
          </w:tcPr>
          <w:p w14:paraId="7CC59930" w14:textId="77777777" w:rsidR="003B7AFA" w:rsidRDefault="003B7AFA" w:rsidP="003B7AFA">
            <w:pPr>
              <w:spacing w:after="0"/>
              <w:ind w:right="21"/>
              <w:jc w:val="right"/>
              <w:rPr>
                <w:spacing w:val="-4"/>
                <w:lang w:eastAsia="en-US"/>
              </w:rPr>
            </w:pPr>
            <w:r>
              <w:rPr>
                <w:spacing w:val="-4"/>
                <w:sz w:val="16"/>
                <w:szCs w:val="16"/>
                <w:lang w:eastAsia="en-US"/>
              </w:rPr>
              <w:t>Zdroj: ČSÚ</w:t>
            </w:r>
          </w:p>
        </w:tc>
      </w:tr>
      <w:tr w:rsidR="003B7AFA" w14:paraId="2D694070" w14:textId="77777777" w:rsidTr="003B7AFA">
        <w:trPr>
          <w:trHeight w:val="170"/>
        </w:trPr>
        <w:tc>
          <w:tcPr>
            <w:tcW w:w="1748" w:type="dxa"/>
          </w:tcPr>
          <w:p w14:paraId="701D9BDC" w14:textId="77777777" w:rsidR="003B7AFA" w:rsidRDefault="003B7AFA" w:rsidP="003B7AFA">
            <w:pPr>
              <w:pStyle w:val="Marginlie"/>
              <w:rPr>
                <w:lang w:eastAsia="en-US"/>
              </w:rPr>
            </w:pPr>
          </w:p>
        </w:tc>
        <w:tc>
          <w:tcPr>
            <w:tcW w:w="252" w:type="dxa"/>
          </w:tcPr>
          <w:p w14:paraId="3AF12ABA" w14:textId="77777777" w:rsidR="003B7AFA" w:rsidRDefault="003B7AFA" w:rsidP="003B7AFA">
            <w:pPr>
              <w:pStyle w:val="Textpoznpodarou"/>
              <w:jc w:val="both"/>
              <w:rPr>
                <w:spacing w:val="-4"/>
                <w:lang w:eastAsia="en-US"/>
              </w:rPr>
            </w:pPr>
          </w:p>
        </w:tc>
        <w:tc>
          <w:tcPr>
            <w:tcW w:w="7677" w:type="dxa"/>
            <w:gridSpan w:val="3"/>
          </w:tcPr>
          <w:p w14:paraId="5100F950" w14:textId="77777777" w:rsidR="003B7AFA" w:rsidRDefault="003B7AFA" w:rsidP="003B7AFA">
            <w:pPr>
              <w:spacing w:after="0"/>
              <w:rPr>
                <w:spacing w:val="-4"/>
                <w:lang w:eastAsia="en-US"/>
              </w:rPr>
            </w:pPr>
            <w:r>
              <w:rPr>
                <w:rFonts w:cs="Arial"/>
                <w:b/>
                <w:bCs/>
                <w:color w:val="000000"/>
                <w:szCs w:val="20"/>
                <w:lang w:eastAsia="en-US"/>
              </w:rPr>
              <w:t xml:space="preserve">Graf č. 9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3B7AFA" w14:paraId="33147FE8" w14:textId="77777777" w:rsidTr="003B7AFA">
        <w:tblPrEx>
          <w:tblCellMar>
            <w:left w:w="70" w:type="dxa"/>
            <w:right w:w="70" w:type="dxa"/>
          </w:tblCellMar>
        </w:tblPrEx>
        <w:trPr>
          <w:trHeight w:val="170"/>
        </w:trPr>
        <w:tc>
          <w:tcPr>
            <w:tcW w:w="1748" w:type="dxa"/>
            <w:vMerge/>
          </w:tcPr>
          <w:p w14:paraId="39D9E261" w14:textId="77777777" w:rsidR="003B7AFA" w:rsidRDefault="003B7AFA" w:rsidP="003B7AFA">
            <w:pPr>
              <w:pStyle w:val="Marginlie"/>
              <w:rPr>
                <w:lang w:eastAsia="en-US"/>
              </w:rPr>
            </w:pPr>
          </w:p>
        </w:tc>
        <w:tc>
          <w:tcPr>
            <w:tcW w:w="252" w:type="dxa"/>
            <w:vMerge/>
          </w:tcPr>
          <w:p w14:paraId="76CE66F8" w14:textId="77777777" w:rsidR="003B7AFA" w:rsidRDefault="003B7AFA" w:rsidP="003B7AFA">
            <w:pPr>
              <w:pStyle w:val="Textpoznpodarou"/>
              <w:jc w:val="both"/>
              <w:rPr>
                <w:spacing w:val="-4"/>
                <w:lang w:eastAsia="en-US"/>
              </w:rPr>
            </w:pPr>
          </w:p>
        </w:tc>
        <w:tc>
          <w:tcPr>
            <w:tcW w:w="7677" w:type="dxa"/>
            <w:gridSpan w:val="3"/>
          </w:tcPr>
          <w:p w14:paraId="67514016" w14:textId="77777777" w:rsidR="003B7AFA" w:rsidRDefault="003B7AFA" w:rsidP="003B7AFA">
            <w:pPr>
              <w:spacing w:after="0"/>
              <w:rPr>
                <w:spacing w:val="-4"/>
                <w:lang w:eastAsia="en-US"/>
              </w:rPr>
            </w:pPr>
            <w:r>
              <w:rPr>
                <w:noProof/>
              </w:rPr>
              <w:drawing>
                <wp:inline distT="0" distB="0" distL="0" distR="0" wp14:anchorId="66D8541E" wp14:editId="141FE907">
                  <wp:extent cx="4752000" cy="3492000"/>
                  <wp:effectExtent l="0" t="0" r="0" b="0"/>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B7AFA" w14:paraId="28B8E901" w14:textId="77777777" w:rsidTr="003B7AFA">
        <w:trPr>
          <w:trHeight w:val="170"/>
        </w:trPr>
        <w:tc>
          <w:tcPr>
            <w:tcW w:w="1748" w:type="dxa"/>
            <w:vMerge/>
          </w:tcPr>
          <w:p w14:paraId="347BC10C" w14:textId="77777777" w:rsidR="003B7AFA" w:rsidRDefault="003B7AFA" w:rsidP="003B7AFA">
            <w:pPr>
              <w:pStyle w:val="Marginlie"/>
              <w:rPr>
                <w:lang w:eastAsia="en-US"/>
              </w:rPr>
            </w:pPr>
          </w:p>
        </w:tc>
        <w:tc>
          <w:tcPr>
            <w:tcW w:w="252" w:type="dxa"/>
            <w:vMerge/>
          </w:tcPr>
          <w:p w14:paraId="0AA9B411" w14:textId="77777777" w:rsidR="003B7AFA" w:rsidRDefault="003B7AFA" w:rsidP="003B7AFA">
            <w:pPr>
              <w:pStyle w:val="Textpoznpodarou"/>
              <w:jc w:val="both"/>
              <w:rPr>
                <w:spacing w:val="-4"/>
                <w:lang w:eastAsia="en-US"/>
              </w:rPr>
            </w:pPr>
          </w:p>
        </w:tc>
        <w:tc>
          <w:tcPr>
            <w:tcW w:w="7677" w:type="dxa"/>
            <w:gridSpan w:val="3"/>
          </w:tcPr>
          <w:p w14:paraId="2B6DA753" w14:textId="77777777" w:rsidR="003B7AFA" w:rsidRDefault="003B7AFA" w:rsidP="003B7AFA">
            <w:pPr>
              <w:rPr>
                <w:spacing w:val="-4"/>
                <w:lang w:eastAsia="en-US"/>
              </w:rPr>
            </w:pPr>
            <w:r>
              <w:rPr>
                <w:sz w:val="16"/>
                <w:szCs w:val="16"/>
                <w:lang w:eastAsia="en-US"/>
              </w:rPr>
              <w:t>Zdroj: ČSÚ</w:t>
            </w:r>
          </w:p>
        </w:tc>
      </w:tr>
      <w:bookmarkEnd w:id="21"/>
      <w:bookmarkEnd w:id="22"/>
      <w:bookmarkEnd w:id="23"/>
    </w:tbl>
    <w:p w14:paraId="58CF9AA3" w14:textId="77777777" w:rsidR="003B7AFA" w:rsidRDefault="003B7AFA" w:rsidP="003B7AFA">
      <w:pPr>
        <w:spacing w:after="0" w:line="240" w:lineRule="auto"/>
        <w:jc w:val="left"/>
        <w:rPr>
          <w:rFonts w:eastAsia="MS Gothic"/>
          <w:bCs/>
          <w:color w:val="71818C"/>
          <w:sz w:val="2"/>
          <w:szCs w:val="2"/>
        </w:rPr>
      </w:pPr>
    </w:p>
    <w:p w14:paraId="2F6C3FCC" w14:textId="77777777" w:rsidR="003B7AFA" w:rsidRDefault="003B7AFA" w:rsidP="003B7AFA">
      <w:pPr>
        <w:spacing w:after="0" w:line="240" w:lineRule="auto"/>
        <w:jc w:val="left"/>
        <w:rPr>
          <w:rFonts w:eastAsia="MS Gothic"/>
          <w:b/>
          <w:bCs/>
          <w:color w:val="86BF5E"/>
          <w:sz w:val="32"/>
          <w:szCs w:val="28"/>
        </w:rPr>
      </w:pPr>
    </w:p>
    <w:p w14:paraId="14C31B44" w14:textId="77777777" w:rsidR="003B7AFA" w:rsidRDefault="003B7AFA" w:rsidP="003B7AFA">
      <w:pPr>
        <w:pStyle w:val="Nadpis1"/>
      </w:pPr>
      <w:bookmarkStart w:id="24" w:name="_Toc200969292"/>
      <w:r>
        <w:lastRenderedPageBreak/>
        <w:t>5. Ceny</w:t>
      </w:r>
      <w:bookmarkEnd w:id="24"/>
      <w:r>
        <w:t xml:space="preserve"> </w:t>
      </w:r>
    </w:p>
    <w:tbl>
      <w:tblPr>
        <w:tblW w:w="9639" w:type="dxa"/>
        <w:tblInd w:w="-15" w:type="dxa"/>
        <w:tblCellMar>
          <w:left w:w="0" w:type="dxa"/>
          <w:right w:w="0" w:type="dxa"/>
        </w:tblCellMar>
        <w:tblLook w:val="00A0" w:firstRow="1" w:lastRow="0" w:firstColumn="1" w:lastColumn="0" w:noHBand="0" w:noVBand="0"/>
      </w:tblPr>
      <w:tblGrid>
        <w:gridCol w:w="1791"/>
        <w:gridCol w:w="223"/>
        <w:gridCol w:w="7625"/>
      </w:tblGrid>
      <w:tr w:rsidR="003B7AFA" w14:paraId="5778D403" w14:textId="77777777" w:rsidTr="003B7AFA">
        <w:trPr>
          <w:trHeight w:val="145"/>
        </w:trPr>
        <w:tc>
          <w:tcPr>
            <w:tcW w:w="1791" w:type="dxa"/>
            <w:hideMark/>
          </w:tcPr>
          <w:p w14:paraId="1BF9B654" w14:textId="77777777" w:rsidR="003B7AFA" w:rsidRDefault="003B7AFA" w:rsidP="003B7AFA">
            <w:pPr>
              <w:pStyle w:val="Marginlie"/>
              <w:rPr>
                <w:spacing w:val="0"/>
                <w:lang w:eastAsia="en-US"/>
              </w:rPr>
            </w:pPr>
            <w:r>
              <w:rPr>
                <w:spacing w:val="0"/>
                <w:lang w:eastAsia="en-US"/>
              </w:rPr>
              <w:t>Meziroční růst celkové cenové hladiny oslabil.</w:t>
            </w:r>
          </w:p>
        </w:tc>
        <w:tc>
          <w:tcPr>
            <w:tcW w:w="223" w:type="dxa"/>
          </w:tcPr>
          <w:p w14:paraId="55D477F3" w14:textId="77777777" w:rsidR="003B7AFA" w:rsidRDefault="003B7AFA" w:rsidP="003B7AFA">
            <w:pPr>
              <w:pStyle w:val="Textpoznpodarou1"/>
              <w:jc w:val="both"/>
              <w:rPr>
                <w:lang w:eastAsia="en-US"/>
              </w:rPr>
            </w:pPr>
          </w:p>
        </w:tc>
        <w:tc>
          <w:tcPr>
            <w:tcW w:w="7625" w:type="dxa"/>
            <w:hideMark/>
          </w:tcPr>
          <w:p w14:paraId="530A9166" w14:textId="77777777" w:rsidR="003B7AFA" w:rsidRDefault="003B7AFA" w:rsidP="003B7AFA">
            <w:pPr>
              <w:rPr>
                <w:szCs w:val="20"/>
                <w:lang w:eastAsia="en-US"/>
              </w:rPr>
            </w:pPr>
            <w:r>
              <w:rPr>
                <w:szCs w:val="20"/>
                <w:lang w:eastAsia="en-US"/>
              </w:rPr>
              <w:t xml:space="preserve">Celková cenová hladina (měřeno deflátorem HDP) se v 1. čtvrtletí 2025 meziročně zvýšila o 3,1 %. Tempo výrazně oslabilo oproti minulému roku a šlo o nejnižší přírůstek od 4. čtvrtletí 2018. Především pod vlivem cen spotřeby vládních institucí (2,1 %) zpomalil meziroční růst cenové hladiny u spotřeby (2,6 %). Přírůstek ceny spotřeby domácností mírně posílil na 2,8 %. Výraznější byl meziroční nárůst cenové hladiny u tvorby hrubého kapitálu (2,9 %), z toho u tvorby hrubého fixního kapitálu stoupl na 4,0 %. Meziroční směnné relace zůstaly v 1. čtvrtletí kladné (100,6 %), ale zmírnily se, a to jak u zboží (100,5 %), tak u služeb (100,6 %). Mezičtvrtletní růst celkové cenové hladiny v 1. čtvrtletí posílil na 1,0 %, ale stále šlo v rámci prvního kvartálu o nejnižší přírůstek od roku 2021. Ceny spotřeby vzrostly mezičtvrtletně o 1,1 % a kapitálových statků o 0,8 % (z toho ale u samotné tvorby hrubého fixního kapitálu došlo k poklesu o 2,8 %). Mezičtvrtletní směnné relace dosáhly 99,9 %. Mírně kladné byly směnné relace obchodu se zbožím (100,2 %), zatímco u služeb byly záporné (98,8 %). </w:t>
            </w:r>
          </w:p>
        </w:tc>
      </w:tr>
      <w:tr w:rsidR="003B7AFA" w14:paraId="79497105" w14:textId="77777777" w:rsidTr="003B7AFA">
        <w:trPr>
          <w:trHeight w:val="145"/>
        </w:trPr>
        <w:tc>
          <w:tcPr>
            <w:tcW w:w="1791" w:type="dxa"/>
          </w:tcPr>
          <w:p w14:paraId="516A6EC0" w14:textId="77777777" w:rsidR="003B7AFA" w:rsidRDefault="003B7AFA" w:rsidP="003B7AFA">
            <w:pPr>
              <w:pStyle w:val="Marginlie"/>
              <w:rPr>
                <w:spacing w:val="0"/>
                <w:lang w:eastAsia="en-US"/>
              </w:rPr>
            </w:pPr>
            <w:r>
              <w:rPr>
                <w:spacing w:val="0"/>
                <w:lang w:eastAsia="en-US"/>
              </w:rPr>
              <w:t>Meziroční přírůstek spotřebitelských cen mírně oslabil.</w:t>
            </w:r>
          </w:p>
        </w:tc>
        <w:tc>
          <w:tcPr>
            <w:tcW w:w="223" w:type="dxa"/>
          </w:tcPr>
          <w:p w14:paraId="7B2798A8" w14:textId="77777777" w:rsidR="003B7AFA" w:rsidRDefault="003B7AFA" w:rsidP="003B7AFA">
            <w:pPr>
              <w:pStyle w:val="Textpoznpodarou1"/>
              <w:jc w:val="both"/>
              <w:rPr>
                <w:lang w:eastAsia="en-US"/>
              </w:rPr>
            </w:pPr>
          </w:p>
        </w:tc>
        <w:tc>
          <w:tcPr>
            <w:tcW w:w="7625" w:type="dxa"/>
          </w:tcPr>
          <w:p w14:paraId="39186E3A" w14:textId="77777777" w:rsidR="003B7AFA" w:rsidRDefault="003B7AFA" w:rsidP="003B7AFA">
            <w:pPr>
              <w:rPr>
                <w:lang w:eastAsia="en-US"/>
              </w:rPr>
            </w:pPr>
            <w:r>
              <w:rPr>
                <w:lang w:eastAsia="en-US"/>
              </w:rPr>
              <w:t xml:space="preserve">Index spotřebitelských cen se v 1. čtvrtletí 2025 meziročně zvýšil o 2,7 %. Přírůstek tak mírně oslabil oproti závěru roku 2025 (2,9 % ve 4. kvartálu). Skladba meziročního cenového růstu se oproti loňsku proměnila. Hlavním faktorem působícím ve směru posílení celkového meziročního růstu cen se staly potraviny a nealkoholické nápoje, jejichž ceny na konec roku 2024 navázaly dalším posílením růstu. Naopak u cen bydlení a energií došlo k výraznému oslabení meziročního přírůstku a oddíl tak po několika letech přestal být tím, který nejvíce pohání růst spotřebitelských cen. K celkovému meziročnímu růstu cen významně přispívaly alkoholické nápoje a tabák a stravování </w:t>
            </w:r>
            <w:r>
              <w:rPr>
                <w:lang w:eastAsia="en-US"/>
              </w:rPr>
              <w:br/>
              <w:t>a ubytování. Jako jediné meziročně klesly ceny odívání a obuvi. Spotřebitelské ceny se celkově mezičtvrtletně v 1. kvartálu zvýšily o 1,3 %. To je s výjimkou let 2022 a 2023 úroveň obvyklá pro začátek roku. Výrazně v 1. čtvrtletí mezičtvrtletně rostly především ceny alkoholických nápojů a tabáku, rekreací a kultury a potravin a nealkoholických nápojů. Klesly pouze ceny odívání a obuvi.</w:t>
            </w:r>
          </w:p>
        </w:tc>
      </w:tr>
      <w:tr w:rsidR="003B7AFA" w14:paraId="012EC57B" w14:textId="77777777" w:rsidTr="003B7AFA">
        <w:trPr>
          <w:trHeight w:val="145"/>
        </w:trPr>
        <w:tc>
          <w:tcPr>
            <w:tcW w:w="1791" w:type="dxa"/>
          </w:tcPr>
          <w:p w14:paraId="1181D7BD" w14:textId="77777777" w:rsidR="003B7AFA" w:rsidRDefault="003B7AFA" w:rsidP="003B7AFA">
            <w:pPr>
              <w:pStyle w:val="Marginlie"/>
              <w:rPr>
                <w:spacing w:val="0"/>
                <w:lang w:eastAsia="en-US"/>
              </w:rPr>
            </w:pPr>
          </w:p>
        </w:tc>
        <w:tc>
          <w:tcPr>
            <w:tcW w:w="223" w:type="dxa"/>
          </w:tcPr>
          <w:p w14:paraId="3D3E1825" w14:textId="77777777" w:rsidR="003B7AFA" w:rsidRDefault="003B7AFA" w:rsidP="003B7AFA">
            <w:pPr>
              <w:pStyle w:val="Textpoznpodarou1"/>
              <w:jc w:val="both"/>
              <w:rPr>
                <w:lang w:eastAsia="en-US"/>
              </w:rPr>
            </w:pPr>
          </w:p>
        </w:tc>
        <w:tc>
          <w:tcPr>
            <w:tcW w:w="7625" w:type="dxa"/>
            <w:hideMark/>
          </w:tcPr>
          <w:p w14:paraId="12311CE9" w14:textId="77777777" w:rsidR="003B7AFA" w:rsidRDefault="003B7AFA" w:rsidP="003B7AFA">
            <w:pPr>
              <w:spacing w:after="0"/>
              <w:rPr>
                <w:lang w:eastAsia="en-US"/>
              </w:rPr>
            </w:pPr>
            <w:r>
              <w:rPr>
                <w:rFonts w:cs="Arial"/>
                <w:b/>
                <w:bCs/>
                <w:color w:val="000000"/>
                <w:sz w:val="18"/>
                <w:szCs w:val="18"/>
                <w:lang w:eastAsia="en-US"/>
              </w:rPr>
              <w:t>Graf č. 10 Ceny ve vybraných oddílech indexu spotřebitelských cen</w:t>
            </w:r>
            <w:r>
              <w:rPr>
                <w:rFonts w:cs="Arial"/>
                <w:b/>
                <w:color w:val="000000"/>
                <w:sz w:val="18"/>
                <w:szCs w:val="18"/>
                <w:lang w:eastAsia="en-US"/>
              </w:rPr>
              <w:t xml:space="preserve"> </w:t>
            </w:r>
            <w:r>
              <w:rPr>
                <w:rFonts w:cs="Arial"/>
                <w:color w:val="000000"/>
                <w:sz w:val="18"/>
                <w:szCs w:val="18"/>
                <w:lang w:eastAsia="en-US"/>
              </w:rPr>
              <w:t>(meziročně v %)</w:t>
            </w:r>
          </w:p>
        </w:tc>
      </w:tr>
      <w:tr w:rsidR="003B7AFA" w14:paraId="0D032E17" w14:textId="77777777" w:rsidTr="003B7AFA">
        <w:tblPrEx>
          <w:tblCellMar>
            <w:left w:w="70" w:type="dxa"/>
            <w:right w:w="70" w:type="dxa"/>
          </w:tblCellMar>
        </w:tblPrEx>
        <w:trPr>
          <w:trHeight w:val="145"/>
        </w:trPr>
        <w:tc>
          <w:tcPr>
            <w:tcW w:w="1791" w:type="dxa"/>
          </w:tcPr>
          <w:p w14:paraId="7A5AA0F3" w14:textId="77777777" w:rsidR="003B7AFA" w:rsidRDefault="003B7AFA" w:rsidP="003B7AFA">
            <w:pPr>
              <w:pStyle w:val="Marginlie"/>
              <w:rPr>
                <w:spacing w:val="0"/>
                <w:lang w:eastAsia="en-US"/>
              </w:rPr>
            </w:pPr>
          </w:p>
        </w:tc>
        <w:tc>
          <w:tcPr>
            <w:tcW w:w="223" w:type="dxa"/>
          </w:tcPr>
          <w:p w14:paraId="01DD7CFF" w14:textId="77777777" w:rsidR="003B7AFA" w:rsidRDefault="003B7AFA" w:rsidP="003B7AFA">
            <w:pPr>
              <w:pStyle w:val="Textpoznpodarou1"/>
              <w:jc w:val="both"/>
              <w:rPr>
                <w:lang w:eastAsia="en-US"/>
              </w:rPr>
            </w:pPr>
          </w:p>
        </w:tc>
        <w:tc>
          <w:tcPr>
            <w:tcW w:w="7625" w:type="dxa"/>
            <w:hideMark/>
          </w:tcPr>
          <w:p w14:paraId="29110540" w14:textId="77777777" w:rsidR="003B7AFA" w:rsidRDefault="003B7AFA" w:rsidP="003B7AFA">
            <w:pPr>
              <w:spacing w:after="0"/>
              <w:jc w:val="center"/>
              <w:rPr>
                <w:lang w:eastAsia="en-US"/>
              </w:rPr>
            </w:pPr>
            <w:r>
              <w:rPr>
                <w:noProof/>
              </w:rPr>
              <w:drawing>
                <wp:inline distT="0" distB="0" distL="0" distR="0" wp14:anchorId="56D47F9A" wp14:editId="3130185A">
                  <wp:extent cx="4752000" cy="3553200"/>
                  <wp:effectExtent l="0" t="0" r="0" b="0"/>
                  <wp:docPr id="25" name="Graf 2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3B7AFA" w14:paraId="10B81335" w14:textId="77777777" w:rsidTr="003B7AFA">
        <w:trPr>
          <w:trHeight w:val="145"/>
        </w:trPr>
        <w:tc>
          <w:tcPr>
            <w:tcW w:w="1791" w:type="dxa"/>
          </w:tcPr>
          <w:p w14:paraId="4E0BD78F" w14:textId="77777777" w:rsidR="003B7AFA" w:rsidRDefault="003B7AFA" w:rsidP="003B7AFA">
            <w:pPr>
              <w:pStyle w:val="Marginlie"/>
              <w:rPr>
                <w:spacing w:val="0"/>
                <w:lang w:eastAsia="en-US"/>
              </w:rPr>
            </w:pPr>
          </w:p>
        </w:tc>
        <w:tc>
          <w:tcPr>
            <w:tcW w:w="223" w:type="dxa"/>
          </w:tcPr>
          <w:p w14:paraId="3759736C" w14:textId="77777777" w:rsidR="003B7AFA" w:rsidRDefault="003B7AFA" w:rsidP="003B7AFA">
            <w:pPr>
              <w:pStyle w:val="Textpoznpodarou1"/>
              <w:jc w:val="both"/>
              <w:rPr>
                <w:lang w:eastAsia="en-US"/>
              </w:rPr>
            </w:pPr>
          </w:p>
        </w:tc>
        <w:tc>
          <w:tcPr>
            <w:tcW w:w="7625" w:type="dxa"/>
            <w:hideMark/>
          </w:tcPr>
          <w:p w14:paraId="7DADD457" w14:textId="77777777" w:rsidR="003B7AFA" w:rsidRDefault="003B7AFA" w:rsidP="003B7AFA">
            <w:pPr>
              <w:jc w:val="right"/>
              <w:rPr>
                <w:sz w:val="16"/>
                <w:szCs w:val="16"/>
                <w:lang w:eastAsia="en-US"/>
              </w:rPr>
            </w:pPr>
            <w:r>
              <w:rPr>
                <w:sz w:val="16"/>
                <w:szCs w:val="16"/>
                <w:lang w:eastAsia="en-US"/>
              </w:rPr>
              <w:t>Zdroj: ČSÚ</w:t>
            </w:r>
          </w:p>
        </w:tc>
      </w:tr>
      <w:tr w:rsidR="003B7AFA" w14:paraId="3E0ECBF7" w14:textId="77777777" w:rsidTr="003B7AFA">
        <w:trPr>
          <w:trHeight w:val="145"/>
        </w:trPr>
        <w:tc>
          <w:tcPr>
            <w:tcW w:w="1791" w:type="dxa"/>
          </w:tcPr>
          <w:p w14:paraId="00C586A4" w14:textId="77777777" w:rsidR="003B7AFA" w:rsidRDefault="003B7AFA" w:rsidP="003B7AFA">
            <w:pPr>
              <w:pStyle w:val="Marginlie"/>
              <w:rPr>
                <w:spacing w:val="0"/>
                <w:lang w:eastAsia="en-US"/>
              </w:rPr>
            </w:pPr>
            <w:r>
              <w:rPr>
                <w:spacing w:val="0"/>
                <w:lang w:eastAsia="en-US"/>
              </w:rPr>
              <w:lastRenderedPageBreak/>
              <w:t xml:space="preserve">Potraviny </w:t>
            </w:r>
            <w:r>
              <w:rPr>
                <w:spacing w:val="0"/>
                <w:lang w:eastAsia="en-US"/>
              </w:rPr>
              <w:br/>
              <w:t>a nealkoholické nápoje se staly hlavním hybatelem cenového růstu.</w:t>
            </w:r>
          </w:p>
        </w:tc>
        <w:tc>
          <w:tcPr>
            <w:tcW w:w="223" w:type="dxa"/>
          </w:tcPr>
          <w:p w14:paraId="34CADF67" w14:textId="77777777" w:rsidR="003B7AFA" w:rsidRDefault="003B7AFA" w:rsidP="003B7AFA">
            <w:pPr>
              <w:pStyle w:val="Textpoznpodarou1"/>
              <w:jc w:val="both"/>
              <w:rPr>
                <w:lang w:eastAsia="en-US"/>
              </w:rPr>
            </w:pPr>
          </w:p>
        </w:tc>
        <w:tc>
          <w:tcPr>
            <w:tcW w:w="7625" w:type="dxa"/>
          </w:tcPr>
          <w:p w14:paraId="65E93122" w14:textId="77777777" w:rsidR="003B7AFA" w:rsidRDefault="003B7AFA" w:rsidP="003B7AFA">
            <w:pPr>
              <w:rPr>
                <w:lang w:eastAsia="en-US"/>
              </w:rPr>
            </w:pPr>
            <w:r>
              <w:rPr>
                <w:lang w:eastAsia="en-US"/>
              </w:rPr>
              <w:t>Meziroční růst cen potravin a nealkoholických nápojů v 1. čtvrtletí zrychlil na 5,1 % a příspěvek oddílu k celkovému růstu spotřebitelských cen tak razantně posílil. Zrychlení růstu nejvíce ovlivnil vývoj cen mléka, sýrů a vajec (8,9 %). Udržoval se silný přírůstek cen olejů a tuků (16,9 %), cukru a příbuzných výrobků (8,9 %), ovoce (7,9 %) i nealkoholických nápojů (6,7 %). Meziročně se opět začaly zvyšovat ceny masa (3,1 %) a pekárenských výrobků (1,6 %). Mezičtvrtletně se v 1. kvartálu zvýšily ceny potravin a nealkoholických nápojů o 2,6 %. Druhý nejvýraznější příspěvek k meziročnímu růstu spotřebitelských cen měly ceny alkoholických nápojů a tabáku. Ty v 1. čtvrtletí mezičtvrtletně vzrostly nejvíc z celého spotřebního koše (2,9 %), což také ovlivnilo posílení jejich meziročního přírůstku na 5,1 % (zrychlil především růst cen tabáku).</w:t>
            </w:r>
          </w:p>
        </w:tc>
      </w:tr>
      <w:tr w:rsidR="003B7AFA" w14:paraId="78646503" w14:textId="77777777" w:rsidTr="003B7AFA">
        <w:trPr>
          <w:trHeight w:val="145"/>
        </w:trPr>
        <w:tc>
          <w:tcPr>
            <w:tcW w:w="1791" w:type="dxa"/>
            <w:hideMark/>
          </w:tcPr>
          <w:p w14:paraId="58B3A662" w14:textId="77777777" w:rsidR="003B7AFA" w:rsidRDefault="003B7AFA" w:rsidP="003B7AFA">
            <w:pPr>
              <w:pStyle w:val="Marginlie"/>
              <w:rPr>
                <w:spacing w:val="0"/>
                <w:lang w:eastAsia="en-US"/>
              </w:rPr>
            </w:pPr>
            <w:r>
              <w:rPr>
                <w:spacing w:val="0"/>
                <w:lang w:eastAsia="en-US"/>
              </w:rPr>
              <w:t>Ceny bydlení a energií vzrostly nejméně za téměř čtyři roky.</w:t>
            </w:r>
          </w:p>
        </w:tc>
        <w:tc>
          <w:tcPr>
            <w:tcW w:w="223" w:type="dxa"/>
          </w:tcPr>
          <w:p w14:paraId="7F02EDC4" w14:textId="77777777" w:rsidR="003B7AFA" w:rsidRDefault="003B7AFA" w:rsidP="003B7AFA">
            <w:pPr>
              <w:pStyle w:val="Textpoznpodarou1"/>
              <w:jc w:val="both"/>
              <w:rPr>
                <w:lang w:eastAsia="en-US"/>
              </w:rPr>
            </w:pPr>
          </w:p>
        </w:tc>
        <w:tc>
          <w:tcPr>
            <w:tcW w:w="7625" w:type="dxa"/>
            <w:hideMark/>
          </w:tcPr>
          <w:p w14:paraId="2E68752F" w14:textId="77777777" w:rsidR="003B7AFA" w:rsidRDefault="003B7AFA" w:rsidP="003B7AFA">
            <w:pPr>
              <w:rPr>
                <w:lang w:eastAsia="en-US"/>
              </w:rPr>
            </w:pPr>
            <w:r>
              <w:rPr>
                <w:lang w:eastAsia="en-US"/>
              </w:rPr>
              <w:t>Ceny bydlení, vody, energií a paliv se v 1. čtvrtletí meziročně zvýšily o 1,4 %, což byl nejmírnější přírůstek od 2. kvartálu 2021. Značně se tak zmírnilo jejich celkové působení ve směru celkového růstu cen. Na oslabení růstu se projevil především propad cen elektrické a tepelné energie, plynu a paliv (−3,3 %). Mírněji se zvyšovaly rovněž ceny ostatních služeb souvisejících s bydlením (3,9 %) a běžné údržby a drobných oprav bytu (3,5 %). Naopak posílení meziročního přírůstku cen bylo zaznamenáno v případě nájemného z bytu (6,5 %) i imputovaného nájemného (3,2 %)</w:t>
            </w:r>
            <w:r>
              <w:rPr>
                <w:rStyle w:val="Znakapoznpodarou"/>
                <w:lang w:eastAsia="en-US"/>
              </w:rPr>
              <w:footnoteReference w:id="58"/>
            </w:r>
            <w:r>
              <w:rPr>
                <w:lang w:eastAsia="en-US"/>
              </w:rPr>
              <w:t xml:space="preserve">. Mezičtvrtletní přírůstek cen bydlení a energií v 1. čtvrtletí dosáhl 0,4 %, což je nižší přírůstek, než je v této oblasti pro začátek roku obvyklé.  </w:t>
            </w:r>
          </w:p>
        </w:tc>
      </w:tr>
      <w:tr w:rsidR="003B7AFA" w14:paraId="7E8F643D" w14:textId="77777777" w:rsidTr="003B7AFA">
        <w:trPr>
          <w:trHeight w:val="145"/>
        </w:trPr>
        <w:tc>
          <w:tcPr>
            <w:tcW w:w="1791" w:type="dxa"/>
          </w:tcPr>
          <w:p w14:paraId="3E84153B" w14:textId="77777777" w:rsidR="003B7AFA" w:rsidRDefault="003B7AFA" w:rsidP="003B7AFA">
            <w:pPr>
              <w:pStyle w:val="Marginlie"/>
              <w:rPr>
                <w:spacing w:val="0"/>
                <w:lang w:eastAsia="en-US"/>
              </w:rPr>
            </w:pPr>
            <w:r>
              <w:rPr>
                <w:spacing w:val="0"/>
                <w:lang w:eastAsia="en-US"/>
              </w:rPr>
              <w:t>U služeb přetrvával zesílený růst cen.</w:t>
            </w:r>
          </w:p>
        </w:tc>
        <w:tc>
          <w:tcPr>
            <w:tcW w:w="223" w:type="dxa"/>
          </w:tcPr>
          <w:p w14:paraId="6C2F5D0F" w14:textId="77777777" w:rsidR="003B7AFA" w:rsidRDefault="003B7AFA" w:rsidP="003B7AFA">
            <w:pPr>
              <w:pStyle w:val="Textpoznpodarou1"/>
              <w:jc w:val="both"/>
              <w:rPr>
                <w:lang w:eastAsia="en-US"/>
              </w:rPr>
            </w:pPr>
          </w:p>
        </w:tc>
        <w:tc>
          <w:tcPr>
            <w:tcW w:w="7625" w:type="dxa"/>
          </w:tcPr>
          <w:p w14:paraId="7012067A" w14:textId="77777777" w:rsidR="003B7AFA" w:rsidRDefault="003B7AFA" w:rsidP="003B7AFA">
            <w:pPr>
              <w:rPr>
                <w:lang w:eastAsia="en-US"/>
              </w:rPr>
            </w:pPr>
            <w:r>
              <w:rPr>
                <w:lang w:eastAsia="en-US"/>
              </w:rPr>
              <w:t>Meziroční růst cen stravování a ubytování během loňského roku postupně oslaboval a v 1. čtvrtletí 2025 se snížil na stále nadprůměrné 5,3 %. Výrazněji rostly ceny ubytovacích služeb (8,5 %), zatímco u stravovacích služeb je více patrné zpomalování (4,9 %). Mezičtvrtletně se ceny stravování a ubytování zvýšily o 1,1 %. Přetrvával zvýšený meziroční růst cen v dalších oddílech zahrnujících oblast služeb – ostatní zboží a služby</w:t>
            </w:r>
            <w:r>
              <w:rPr>
                <w:rStyle w:val="Znakapoznpodarou"/>
                <w:lang w:eastAsia="en-US"/>
              </w:rPr>
              <w:footnoteReference w:id="59"/>
            </w:r>
            <w:r>
              <w:rPr>
                <w:lang w:eastAsia="en-US"/>
              </w:rPr>
              <w:t xml:space="preserve"> (3,3 %, mezičtvrtletně o 1,5 %), rekreace a kultura (3,1 %, mezičtvrtletně o 2,8 %). Ceny vzdělávání meziročně vzrostly o 11,2 % (ovlivněno zejména silným mezičtvrtletním přírůstkem ve 4. čtvrtletí 2024, v 1. čtvrtletí se mezičtvrtletně zvyšovaly jen o 0,3 %). Ceny v oblasti zdraví byly v 1. čtvrtletí meziročně vyšší o 4,1 % (mezičtvrtletně o 1,5 %).    </w:t>
            </w:r>
          </w:p>
        </w:tc>
      </w:tr>
      <w:tr w:rsidR="003B7AFA" w14:paraId="70297027" w14:textId="77777777" w:rsidTr="003B7AFA">
        <w:trPr>
          <w:trHeight w:val="145"/>
        </w:trPr>
        <w:tc>
          <w:tcPr>
            <w:tcW w:w="1791" w:type="dxa"/>
          </w:tcPr>
          <w:p w14:paraId="5E0563FB" w14:textId="77777777" w:rsidR="003B7AFA" w:rsidRDefault="003B7AFA" w:rsidP="003B7AFA">
            <w:pPr>
              <w:pStyle w:val="Marginlie"/>
              <w:rPr>
                <w:spacing w:val="0"/>
                <w:lang w:eastAsia="en-US"/>
              </w:rPr>
            </w:pPr>
            <w:r>
              <w:rPr>
                <w:spacing w:val="0"/>
                <w:lang w:eastAsia="en-US"/>
              </w:rPr>
              <w:t xml:space="preserve">Klesly jen ceny odívání </w:t>
            </w:r>
            <w:r>
              <w:rPr>
                <w:spacing w:val="0"/>
                <w:lang w:eastAsia="en-US"/>
              </w:rPr>
              <w:br/>
              <w:t>a obuvi.</w:t>
            </w:r>
          </w:p>
        </w:tc>
        <w:tc>
          <w:tcPr>
            <w:tcW w:w="223" w:type="dxa"/>
          </w:tcPr>
          <w:p w14:paraId="0FD97CB6" w14:textId="77777777" w:rsidR="003B7AFA" w:rsidRDefault="003B7AFA" w:rsidP="003B7AFA">
            <w:pPr>
              <w:pStyle w:val="Textpoznpodarou1"/>
              <w:jc w:val="both"/>
              <w:rPr>
                <w:lang w:eastAsia="en-US"/>
              </w:rPr>
            </w:pPr>
          </w:p>
        </w:tc>
        <w:tc>
          <w:tcPr>
            <w:tcW w:w="7625" w:type="dxa"/>
          </w:tcPr>
          <w:p w14:paraId="25921481" w14:textId="77777777" w:rsidR="003B7AFA" w:rsidRDefault="003B7AFA" w:rsidP="003B7AFA">
            <w:pPr>
              <w:rPr>
                <w:lang w:eastAsia="en-US"/>
              </w:rPr>
            </w:pPr>
            <w:r>
              <w:rPr>
                <w:lang w:eastAsia="en-US"/>
              </w:rPr>
              <w:t>Slabý zůstával meziroční růst cen dopravy (0,3 %). Ceny pohonných hmot byly meziročně nižší (−4,4 %), ale celkově náklady na provoz dopravních prostředků mírně vzrostly (0,3 %). Nižší byly ceny nákupů automobilů, motocyklů a jízdních kol (−0,4 %). Naopak ceny dopravních služeb vzrostly meziročně o 3,7 %. Mezičtvrtletně se ceny dopravy zvýšily o 1,0 %, hlavně pod vlivem cen pohonných hmot. Jen mírně se v 1. čtvrtletí zvýšily také ceny bytového vybavení, zařízení a oprav (1,5 % meziročně, 0,5 % mezičtvrtletně) a pošt a telekomunikací (0,4 % meziročně, mezičtvrtletně beze změny). Jediným oddílem, kde se ceny meziročně propadly, bylo odívání a obuv (−1,9 %), kde došlo také k mezičtvrtletnímu poklesu o 2,2 %.</w:t>
            </w:r>
          </w:p>
        </w:tc>
      </w:tr>
      <w:tr w:rsidR="003B7AFA" w14:paraId="0E74D0A6" w14:textId="77777777" w:rsidTr="003B7AFA">
        <w:trPr>
          <w:trHeight w:val="145"/>
        </w:trPr>
        <w:tc>
          <w:tcPr>
            <w:tcW w:w="1791" w:type="dxa"/>
            <w:hideMark/>
          </w:tcPr>
          <w:p w14:paraId="00C07977" w14:textId="77777777" w:rsidR="003B7AFA" w:rsidRDefault="003B7AFA" w:rsidP="003B7AFA">
            <w:pPr>
              <w:pStyle w:val="Marginlie"/>
              <w:rPr>
                <w:spacing w:val="0"/>
                <w:lang w:eastAsia="en-US"/>
              </w:rPr>
            </w:pPr>
            <w:r>
              <w:rPr>
                <w:spacing w:val="0"/>
                <w:lang w:eastAsia="en-US"/>
              </w:rPr>
              <w:t xml:space="preserve">Růst spotřebitelských cen v EU posílil. </w:t>
            </w:r>
          </w:p>
        </w:tc>
        <w:tc>
          <w:tcPr>
            <w:tcW w:w="223" w:type="dxa"/>
          </w:tcPr>
          <w:p w14:paraId="73006FEB" w14:textId="77777777" w:rsidR="003B7AFA" w:rsidRDefault="003B7AFA" w:rsidP="003B7AFA">
            <w:pPr>
              <w:pStyle w:val="Textpoznpodarou1"/>
              <w:jc w:val="both"/>
              <w:rPr>
                <w:lang w:eastAsia="en-US"/>
              </w:rPr>
            </w:pPr>
          </w:p>
        </w:tc>
        <w:tc>
          <w:tcPr>
            <w:tcW w:w="7625" w:type="dxa"/>
            <w:hideMark/>
          </w:tcPr>
          <w:p w14:paraId="72D27238" w14:textId="77777777" w:rsidR="003B7AFA" w:rsidRDefault="003B7AFA" w:rsidP="003B7AFA">
            <w:pPr>
              <w:rPr>
                <w:lang w:eastAsia="en-US"/>
              </w:rPr>
            </w:pPr>
            <w:r>
              <w:rPr>
                <w:lang w:eastAsia="en-US"/>
              </w:rPr>
              <w:t>V 1. čtvrtletí 2025 se harmonizovaný index spotřebitelských cen</w:t>
            </w:r>
            <w:r>
              <w:rPr>
                <w:rStyle w:val="Znakapoznpodarou"/>
                <w:lang w:eastAsia="en-US"/>
              </w:rPr>
              <w:footnoteReference w:id="60"/>
            </w:r>
            <w:r>
              <w:rPr>
                <w:lang w:eastAsia="en-US"/>
              </w:rPr>
              <w:t xml:space="preserve"> v EU zvýšil meziročně o 2,7 %. Nejvíce se meziročně zvýšily ceny alkoholu a tabáku (5,0 %), ale pokračoval rovněž zvýšený růst cen různých služeb, což bylo patrné zejména na vývoji cen stravování a ubytování (4,3 %), ale také u ostatního zboží a služeb (4,3 %), cen zdraví (3,8 %) a vzdělávání (4,8 %). Nadprůměrný byl také přírůstek u cen bydlení a energií (3,4 %). V 1. kvartálu meziročně klesly jen ceny telekomunikací (−2,2 %). </w:t>
            </w:r>
            <w:r>
              <w:rPr>
                <w:lang w:eastAsia="en-US"/>
              </w:rPr>
              <w:lastRenderedPageBreak/>
              <w:t xml:space="preserve">Nejvíce meziročně rostly spotřebitelské ceny v Maďarsku (5,4 %), Rumunsku (5,2 %) a Chorvatsku (4,7 %). Nejnižší přírůstky byly naopak zaznamenány ve Francii (1,2 %), Dánsku a Irsku (shodně 1,6 %). Spotřebitelské ceny v EU v 1. čtvrtletí mezičtvrtletně vzrostly o 0,6 %. Vyšší byly zejména ceny bydlení a energií (1,7 %), alkoholu a tabáku (1,6 %), ostatního zboží a služeb (1,5 %) a potravin a nealkoholických nápojů (1,2 %). Klesly jen ceny odívání a obuvi (−7,9 %) a rekreací a kultury (−0,3 %). Nejvýraznější mezičtvrtletní nárůst spotřebitelských cen byl zaznamenán v Maďarsku, Bulharsku (shodně 2,5 %) a Litvě (2,4 %). Ceny naopak klesly v pěti zemích, nejvíce na Kypru (−1,6 %), Maltě (−1,1 %) a v Portugalsku (−0,6 %).  </w:t>
            </w:r>
          </w:p>
        </w:tc>
      </w:tr>
      <w:tr w:rsidR="003B7AFA" w14:paraId="612F2187" w14:textId="77777777" w:rsidTr="003B7AFA">
        <w:trPr>
          <w:trHeight w:val="145"/>
        </w:trPr>
        <w:tc>
          <w:tcPr>
            <w:tcW w:w="1791" w:type="dxa"/>
          </w:tcPr>
          <w:p w14:paraId="32751EFC" w14:textId="77777777" w:rsidR="003B7AFA" w:rsidRDefault="003B7AFA" w:rsidP="003B7AFA">
            <w:pPr>
              <w:pStyle w:val="Marginlie"/>
              <w:rPr>
                <w:spacing w:val="0"/>
                <w:lang w:eastAsia="en-US"/>
              </w:rPr>
            </w:pPr>
            <w:r>
              <w:rPr>
                <w:spacing w:val="0"/>
                <w:lang w:eastAsia="en-US"/>
              </w:rPr>
              <w:lastRenderedPageBreak/>
              <w:t>Růst cen bytů zrychlil.</w:t>
            </w:r>
          </w:p>
        </w:tc>
        <w:tc>
          <w:tcPr>
            <w:tcW w:w="223" w:type="dxa"/>
          </w:tcPr>
          <w:p w14:paraId="5232899B" w14:textId="77777777" w:rsidR="003B7AFA" w:rsidRDefault="003B7AFA" w:rsidP="003B7AFA">
            <w:pPr>
              <w:pStyle w:val="Textpoznpodarou1"/>
              <w:jc w:val="both"/>
              <w:rPr>
                <w:lang w:eastAsia="en-US"/>
              </w:rPr>
            </w:pPr>
          </w:p>
        </w:tc>
        <w:tc>
          <w:tcPr>
            <w:tcW w:w="7625" w:type="dxa"/>
          </w:tcPr>
          <w:p w14:paraId="77D5D3E6" w14:textId="77777777" w:rsidR="003B7AFA" w:rsidRDefault="003B7AFA" w:rsidP="003B7AFA">
            <w:pPr>
              <w:rPr>
                <w:lang w:eastAsia="en-US"/>
              </w:rPr>
            </w:pPr>
            <w:r>
              <w:rPr>
                <w:lang w:eastAsia="en-US"/>
              </w:rPr>
              <w:t xml:space="preserve">Vývoj nabídkových cen bytů v Česku v 1. čtvrtletí 2025 odrážel pokračující novou vlnu rozehřívání trhu s nemovitostmi. Mezičtvrtletně se nabídkové ceny zvýšily o 6,3 %, nejvíce od 2. kvartálu 2022. Meziroční přírůstek pak zrychlil až na 15,7 %. Silný mezičtvrtletní nárůst měly nabídkové ceny bytů v Praze (7,9 %, meziročně 16,5 %) i mimo Prahu (4,4 %, meziročně 14,6 %). Realizované ceny starších bytů v ČR, v samotné Praze i v Česku bez Prahy v 1. čtvrtletí vzrostly meziročně stejným tempem 15,8 %. Mezičtvrtletně realizované ceny starších bytů v Česku vzrostly o 4,0 %. Z toho realizované ceny starších bytů mimo Prahu byly vyšší o 4,2 % a v Praze o 3,5 %. V samotné Praze se zjišťují také realizované ceny nových bytů. Ty se v 1. čtvrtletí zvýšily mezičtvrtletně o 3,4 % a jejich meziroční přírůstek posílil na 12,4 %.    </w:t>
            </w:r>
          </w:p>
        </w:tc>
      </w:tr>
      <w:tr w:rsidR="003B7AFA" w14:paraId="4BAB99BC" w14:textId="77777777" w:rsidTr="003B7AFA">
        <w:trPr>
          <w:trHeight w:val="145"/>
        </w:trPr>
        <w:tc>
          <w:tcPr>
            <w:tcW w:w="1791" w:type="dxa"/>
          </w:tcPr>
          <w:p w14:paraId="6826255C" w14:textId="77777777" w:rsidR="003B7AFA" w:rsidRDefault="003B7AFA" w:rsidP="003B7AFA">
            <w:pPr>
              <w:pStyle w:val="Marginlie"/>
              <w:rPr>
                <w:spacing w:val="0"/>
                <w:lang w:eastAsia="en-US"/>
              </w:rPr>
            </w:pPr>
          </w:p>
        </w:tc>
        <w:tc>
          <w:tcPr>
            <w:tcW w:w="223" w:type="dxa"/>
          </w:tcPr>
          <w:p w14:paraId="1A743B27" w14:textId="77777777" w:rsidR="003B7AFA" w:rsidRDefault="003B7AFA" w:rsidP="003B7AFA">
            <w:pPr>
              <w:pStyle w:val="Textpoznpodarou1"/>
              <w:jc w:val="both"/>
              <w:rPr>
                <w:lang w:eastAsia="en-US"/>
              </w:rPr>
            </w:pPr>
          </w:p>
        </w:tc>
        <w:tc>
          <w:tcPr>
            <w:tcW w:w="7625" w:type="dxa"/>
            <w:hideMark/>
          </w:tcPr>
          <w:p w14:paraId="780DFCE3" w14:textId="77777777" w:rsidR="003B7AFA" w:rsidRDefault="003B7AFA" w:rsidP="003B7AFA">
            <w:pPr>
              <w:spacing w:after="0"/>
              <w:rPr>
                <w:rStyle w:val="Znakapoznpodarou"/>
              </w:rPr>
            </w:pPr>
            <w:r>
              <w:rPr>
                <w:b/>
                <w:sz w:val="18"/>
                <w:szCs w:val="18"/>
                <w:lang w:eastAsia="en-US"/>
              </w:rPr>
              <w:t xml:space="preserve">Graf č. 11 Ceny nemovitostí </w:t>
            </w:r>
            <w:r>
              <w:rPr>
                <w:sz w:val="18"/>
                <w:szCs w:val="18"/>
                <w:lang w:eastAsia="en-US"/>
              </w:rPr>
              <w:t>(meziroční změna, v %)</w:t>
            </w:r>
          </w:p>
        </w:tc>
      </w:tr>
      <w:tr w:rsidR="003B7AFA" w14:paraId="038002F5" w14:textId="77777777" w:rsidTr="003B7AFA">
        <w:tblPrEx>
          <w:tblCellMar>
            <w:left w:w="70" w:type="dxa"/>
            <w:right w:w="70" w:type="dxa"/>
          </w:tblCellMar>
        </w:tblPrEx>
        <w:trPr>
          <w:trHeight w:val="145"/>
        </w:trPr>
        <w:tc>
          <w:tcPr>
            <w:tcW w:w="1791" w:type="dxa"/>
          </w:tcPr>
          <w:p w14:paraId="11359226" w14:textId="77777777" w:rsidR="003B7AFA" w:rsidRDefault="003B7AFA" w:rsidP="003B7AFA">
            <w:pPr>
              <w:pStyle w:val="Marginlie"/>
              <w:rPr>
                <w:spacing w:val="0"/>
              </w:rPr>
            </w:pPr>
          </w:p>
        </w:tc>
        <w:tc>
          <w:tcPr>
            <w:tcW w:w="223" w:type="dxa"/>
          </w:tcPr>
          <w:p w14:paraId="4F346EE8" w14:textId="77777777" w:rsidR="003B7AFA" w:rsidRDefault="003B7AFA" w:rsidP="003B7AFA">
            <w:pPr>
              <w:pStyle w:val="Textpoznpodarou1"/>
              <w:jc w:val="both"/>
              <w:rPr>
                <w:lang w:eastAsia="en-US"/>
              </w:rPr>
            </w:pPr>
          </w:p>
        </w:tc>
        <w:tc>
          <w:tcPr>
            <w:tcW w:w="7625" w:type="dxa"/>
            <w:hideMark/>
          </w:tcPr>
          <w:p w14:paraId="298F8F7A" w14:textId="77777777" w:rsidR="003B7AFA" w:rsidRDefault="003B7AFA" w:rsidP="003B7AFA">
            <w:pPr>
              <w:spacing w:after="0"/>
              <w:rPr>
                <w:rStyle w:val="Znakapoznpodarou"/>
              </w:rPr>
            </w:pPr>
            <w:r>
              <w:rPr>
                <w:noProof/>
              </w:rPr>
              <w:drawing>
                <wp:inline distT="0" distB="0" distL="0" distR="0" wp14:anchorId="1D2313A2" wp14:editId="65B4E6A5">
                  <wp:extent cx="4737600" cy="3553200"/>
                  <wp:effectExtent l="0" t="0" r="6350" b="0"/>
                  <wp:docPr id="26" name="Graf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3B7AFA" w14:paraId="4B5CA581" w14:textId="77777777" w:rsidTr="003B7AFA">
        <w:trPr>
          <w:trHeight w:val="145"/>
        </w:trPr>
        <w:tc>
          <w:tcPr>
            <w:tcW w:w="1791" w:type="dxa"/>
          </w:tcPr>
          <w:p w14:paraId="60FE16FE" w14:textId="77777777" w:rsidR="003B7AFA" w:rsidRDefault="003B7AFA" w:rsidP="003B7AFA">
            <w:pPr>
              <w:pStyle w:val="Marginlie"/>
              <w:rPr>
                <w:spacing w:val="0"/>
              </w:rPr>
            </w:pPr>
          </w:p>
        </w:tc>
        <w:tc>
          <w:tcPr>
            <w:tcW w:w="223" w:type="dxa"/>
          </w:tcPr>
          <w:p w14:paraId="0EC4EBA3" w14:textId="77777777" w:rsidR="003B7AFA" w:rsidRDefault="003B7AFA" w:rsidP="003B7AFA">
            <w:pPr>
              <w:pStyle w:val="Textpoznpodarou1"/>
              <w:jc w:val="both"/>
              <w:rPr>
                <w:lang w:eastAsia="en-US"/>
              </w:rPr>
            </w:pPr>
          </w:p>
        </w:tc>
        <w:tc>
          <w:tcPr>
            <w:tcW w:w="7625" w:type="dxa"/>
            <w:hideMark/>
          </w:tcPr>
          <w:p w14:paraId="33908C21" w14:textId="77777777" w:rsidR="003B7AFA" w:rsidRDefault="003B7AFA" w:rsidP="003B7AFA">
            <w:pPr>
              <w:jc w:val="right"/>
              <w:rPr>
                <w:rStyle w:val="Znakapoznpodarou"/>
                <w:sz w:val="16"/>
                <w:szCs w:val="16"/>
              </w:rPr>
            </w:pPr>
            <w:r>
              <w:rPr>
                <w:sz w:val="16"/>
                <w:szCs w:val="16"/>
                <w:lang w:eastAsia="en-US"/>
              </w:rPr>
              <w:t>Zdroj: ČSÚ</w:t>
            </w:r>
          </w:p>
        </w:tc>
      </w:tr>
      <w:tr w:rsidR="003B7AFA" w14:paraId="65858A56" w14:textId="77777777" w:rsidTr="003B7AFA">
        <w:trPr>
          <w:trHeight w:val="145"/>
        </w:trPr>
        <w:tc>
          <w:tcPr>
            <w:tcW w:w="1791" w:type="dxa"/>
          </w:tcPr>
          <w:p w14:paraId="3C4625B2" w14:textId="77777777" w:rsidR="003B7AFA" w:rsidRDefault="003B7AFA" w:rsidP="003B7AFA">
            <w:pPr>
              <w:pStyle w:val="Marginlie"/>
              <w:rPr>
                <w:spacing w:val="0"/>
                <w:lang w:eastAsia="en-US"/>
              </w:rPr>
            </w:pPr>
            <w:r>
              <w:rPr>
                <w:spacing w:val="0"/>
                <w:lang w:eastAsia="en-US"/>
              </w:rPr>
              <w:t>Ceny průmyslových výrobců meziročně stagnovaly.</w:t>
            </w:r>
          </w:p>
        </w:tc>
        <w:tc>
          <w:tcPr>
            <w:tcW w:w="223" w:type="dxa"/>
          </w:tcPr>
          <w:p w14:paraId="6A2103B7" w14:textId="77777777" w:rsidR="003B7AFA" w:rsidRDefault="003B7AFA" w:rsidP="003B7AFA">
            <w:pPr>
              <w:pStyle w:val="Textpoznpodarou1"/>
              <w:jc w:val="both"/>
              <w:rPr>
                <w:lang w:eastAsia="en-US"/>
              </w:rPr>
            </w:pPr>
          </w:p>
        </w:tc>
        <w:tc>
          <w:tcPr>
            <w:tcW w:w="7625" w:type="dxa"/>
          </w:tcPr>
          <w:p w14:paraId="0F986C75" w14:textId="77777777" w:rsidR="003B7AFA" w:rsidRDefault="003B7AFA" w:rsidP="003B7AFA">
            <w:pPr>
              <w:rPr>
                <w:lang w:eastAsia="en-US"/>
              </w:rPr>
            </w:pPr>
            <w:r>
              <w:rPr>
                <w:lang w:eastAsia="en-US"/>
              </w:rPr>
              <w:t>Ceny průmyslových výrobců v 1. čtvrtletí meziročně stagnovaly. Z toho mírně vyšší byly ceny výrobků a služeb zpracovatelského průmyslu (0,4 %). Na jedné straně proti sobě působil trvající pokles u surovin a výroby na ně těsně navázané, jako je koks a rafinované ropné produkty</w:t>
            </w:r>
            <w:r>
              <w:rPr>
                <w:rStyle w:val="Znakapoznpodarou"/>
                <w:lang w:eastAsia="en-US"/>
              </w:rPr>
              <w:footnoteReference w:id="61"/>
            </w:r>
            <w:r>
              <w:rPr>
                <w:lang w:eastAsia="en-US"/>
              </w:rPr>
              <w:t xml:space="preserve">, základní kovy (−2,5 %), kovodělné výrobky (−1,1 %) a chemické látky a přípravky (−0,2 %). Meziročně nižší byly také ceny elektrických zařízení (−0,8 %). Posílil naopak meziroční přírůstek cen oděvů (4,7 %), ostatních dopravních prostředků a zařízení (2,9 %), textilií (2,6 %), základních farmaceutických </w:t>
            </w:r>
            <w:r>
              <w:rPr>
                <w:lang w:eastAsia="en-US"/>
              </w:rPr>
              <w:lastRenderedPageBreak/>
              <w:t>výrobků a přípravků (2,5 %) nebo potravinářských výrobků (2,2 %). Vyšší ale slabší v porovnání s loňskými tempy byl meziroční přírůstek cen počítačů, elektronických a optických přístrojů a zařízení (2,7 %), strojů a zařízení (2,3 %), motorových vozidel (1,5 %), nábytku (1,1 %) nebo nápojů (0,4 %). Mezičtvrtletní přírůstek cen výrobků a služeb zpracovatelského průmyslu v 1. čtvrtletí mírně posílil na 0,6 %.</w:t>
            </w:r>
          </w:p>
        </w:tc>
      </w:tr>
      <w:tr w:rsidR="003B7AFA" w14:paraId="125F5D06" w14:textId="77777777" w:rsidTr="003B7AFA">
        <w:trPr>
          <w:trHeight w:val="145"/>
        </w:trPr>
        <w:tc>
          <w:tcPr>
            <w:tcW w:w="1791" w:type="dxa"/>
          </w:tcPr>
          <w:p w14:paraId="4F18EA2C" w14:textId="77777777" w:rsidR="003B7AFA" w:rsidRDefault="003B7AFA" w:rsidP="003B7AFA">
            <w:pPr>
              <w:pStyle w:val="Marginlie"/>
              <w:rPr>
                <w:spacing w:val="0"/>
                <w:lang w:eastAsia="en-US"/>
              </w:rPr>
            </w:pPr>
            <w:r>
              <w:rPr>
                <w:spacing w:val="0"/>
                <w:lang w:eastAsia="en-US"/>
              </w:rPr>
              <w:lastRenderedPageBreak/>
              <w:t xml:space="preserve">Klesaly ceny těžby </w:t>
            </w:r>
            <w:r>
              <w:rPr>
                <w:spacing w:val="0"/>
                <w:lang w:eastAsia="en-US"/>
              </w:rPr>
              <w:br/>
              <w:t>a dobývání.</w:t>
            </w:r>
          </w:p>
        </w:tc>
        <w:tc>
          <w:tcPr>
            <w:tcW w:w="223" w:type="dxa"/>
          </w:tcPr>
          <w:p w14:paraId="09DC672A" w14:textId="77777777" w:rsidR="003B7AFA" w:rsidRDefault="003B7AFA" w:rsidP="003B7AFA">
            <w:pPr>
              <w:pStyle w:val="Textpoznpodarou1"/>
              <w:jc w:val="both"/>
              <w:rPr>
                <w:lang w:eastAsia="en-US"/>
              </w:rPr>
            </w:pPr>
          </w:p>
        </w:tc>
        <w:tc>
          <w:tcPr>
            <w:tcW w:w="7625" w:type="dxa"/>
            <w:hideMark/>
          </w:tcPr>
          <w:p w14:paraId="676E6D2E" w14:textId="77777777" w:rsidR="003B7AFA" w:rsidRDefault="003B7AFA" w:rsidP="003B7AFA">
            <w:pPr>
              <w:rPr>
                <w:lang w:eastAsia="en-US"/>
              </w:rPr>
            </w:pPr>
            <w:r>
              <w:rPr>
                <w:lang w:eastAsia="en-US"/>
              </w:rPr>
              <w:t xml:space="preserve">Meziroční pokles cen těžby a dobývání se v 1. čtvrtletí 2025 prohloubil na 2,6 %, zejména pod vlivem cen uhlí. Mezičtvrtletní pokles cen těžby a dobývání zesílil na 2,9 %. Na loňská posilující meziroční tempa navázaly v 1. čtvrtletí ceny elektřiny, plynu, páry a klimatizovaného vzduchu poklesem o 1,2 % (klesly ceny přenosu a rozvodu, pokles cen elektřiny se zmírnil). Mezičtvrtletně se ale ceny v této sekci zvýšily o 0,8 %. Ceny zásobování vodou a služeb souvisejících s odpadními vodami byly meziročně vyšší o 4,1 % a stejný byl i mezičtvrtletní přírůstek. </w:t>
            </w:r>
          </w:p>
        </w:tc>
      </w:tr>
      <w:tr w:rsidR="003B7AFA" w14:paraId="5067AD7D" w14:textId="77777777" w:rsidTr="003B7AFA">
        <w:trPr>
          <w:trHeight w:val="145"/>
        </w:trPr>
        <w:tc>
          <w:tcPr>
            <w:tcW w:w="1791" w:type="dxa"/>
          </w:tcPr>
          <w:p w14:paraId="6F806473" w14:textId="77777777" w:rsidR="003B7AFA" w:rsidRDefault="003B7AFA" w:rsidP="003B7AFA">
            <w:pPr>
              <w:pStyle w:val="Marginlie"/>
              <w:rPr>
                <w:spacing w:val="0"/>
                <w:lang w:eastAsia="en-US"/>
              </w:rPr>
            </w:pPr>
          </w:p>
        </w:tc>
        <w:tc>
          <w:tcPr>
            <w:tcW w:w="223" w:type="dxa"/>
          </w:tcPr>
          <w:p w14:paraId="2B9A959A" w14:textId="77777777" w:rsidR="003B7AFA" w:rsidRDefault="003B7AFA" w:rsidP="003B7AFA">
            <w:pPr>
              <w:pStyle w:val="Textpoznpodarou1"/>
              <w:jc w:val="both"/>
              <w:rPr>
                <w:lang w:eastAsia="en-US"/>
              </w:rPr>
            </w:pPr>
          </w:p>
        </w:tc>
        <w:tc>
          <w:tcPr>
            <w:tcW w:w="7625" w:type="dxa"/>
            <w:hideMark/>
          </w:tcPr>
          <w:p w14:paraId="6469F84E" w14:textId="77777777" w:rsidR="003B7AFA" w:rsidRDefault="003B7AFA" w:rsidP="003B7AFA">
            <w:pPr>
              <w:spacing w:after="0"/>
              <w:rPr>
                <w:lang w:eastAsia="en-US"/>
              </w:rPr>
            </w:pPr>
            <w:r>
              <w:rPr>
                <w:b/>
                <w:sz w:val="18"/>
                <w:szCs w:val="18"/>
                <w:lang w:eastAsia="en-US"/>
              </w:rPr>
              <w:t xml:space="preserve">Graf č. 12 Ceny hlavních skupin průmyslových výrobců </w:t>
            </w:r>
            <w:r>
              <w:rPr>
                <w:sz w:val="18"/>
                <w:szCs w:val="18"/>
                <w:lang w:eastAsia="en-US"/>
              </w:rPr>
              <w:t>(meziroční změna, v %, podle klasifikace CPA)</w:t>
            </w:r>
          </w:p>
        </w:tc>
      </w:tr>
      <w:tr w:rsidR="003B7AFA" w14:paraId="742ED927" w14:textId="77777777" w:rsidTr="006B759B">
        <w:tblPrEx>
          <w:tblCellMar>
            <w:left w:w="70" w:type="dxa"/>
            <w:right w:w="70" w:type="dxa"/>
          </w:tblCellMar>
        </w:tblPrEx>
        <w:trPr>
          <w:trHeight w:val="145"/>
        </w:trPr>
        <w:tc>
          <w:tcPr>
            <w:tcW w:w="1791" w:type="dxa"/>
          </w:tcPr>
          <w:p w14:paraId="3477767E" w14:textId="77777777" w:rsidR="003B7AFA" w:rsidRDefault="003B7AFA" w:rsidP="003B7AFA">
            <w:pPr>
              <w:pStyle w:val="Marginlie"/>
              <w:rPr>
                <w:spacing w:val="0"/>
                <w:lang w:eastAsia="en-US"/>
              </w:rPr>
            </w:pPr>
          </w:p>
        </w:tc>
        <w:tc>
          <w:tcPr>
            <w:tcW w:w="223" w:type="dxa"/>
          </w:tcPr>
          <w:p w14:paraId="660990B2" w14:textId="77777777" w:rsidR="003B7AFA" w:rsidRDefault="003B7AFA" w:rsidP="003B7AFA">
            <w:pPr>
              <w:pStyle w:val="Textpoznpodarou1"/>
              <w:jc w:val="both"/>
              <w:rPr>
                <w:lang w:eastAsia="en-US"/>
              </w:rPr>
            </w:pPr>
          </w:p>
        </w:tc>
        <w:tc>
          <w:tcPr>
            <w:tcW w:w="7625" w:type="dxa"/>
            <w:hideMark/>
          </w:tcPr>
          <w:p w14:paraId="1800DD19" w14:textId="0676C805" w:rsidR="003B7AFA" w:rsidRDefault="006B759B" w:rsidP="003B7AFA">
            <w:pPr>
              <w:spacing w:after="0"/>
              <w:jc w:val="center"/>
              <w:rPr>
                <w:lang w:eastAsia="en-US"/>
              </w:rPr>
            </w:pPr>
            <w:r>
              <w:rPr>
                <w:noProof/>
              </w:rPr>
              <w:drawing>
                <wp:inline distT="0" distB="0" distL="0" distR="0" wp14:anchorId="15E42A95" wp14:editId="6F5E6C43">
                  <wp:extent cx="4752000" cy="3553200"/>
                  <wp:effectExtent l="0" t="0" r="0" b="0"/>
                  <wp:docPr id="10" name="Graf 1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3B7AFA" w14:paraId="11C4B017" w14:textId="77777777" w:rsidTr="003B7AFA">
        <w:trPr>
          <w:trHeight w:val="145"/>
        </w:trPr>
        <w:tc>
          <w:tcPr>
            <w:tcW w:w="1791" w:type="dxa"/>
          </w:tcPr>
          <w:p w14:paraId="444D9B8A" w14:textId="77777777" w:rsidR="003B7AFA" w:rsidRDefault="003B7AFA" w:rsidP="003B7AFA">
            <w:pPr>
              <w:pStyle w:val="Marginlie"/>
              <w:rPr>
                <w:spacing w:val="0"/>
                <w:lang w:eastAsia="en-US"/>
              </w:rPr>
            </w:pPr>
          </w:p>
        </w:tc>
        <w:tc>
          <w:tcPr>
            <w:tcW w:w="223" w:type="dxa"/>
          </w:tcPr>
          <w:p w14:paraId="7054C609" w14:textId="77777777" w:rsidR="003B7AFA" w:rsidRDefault="003B7AFA" w:rsidP="003B7AFA">
            <w:pPr>
              <w:pStyle w:val="Textpoznpodarou1"/>
              <w:jc w:val="both"/>
              <w:rPr>
                <w:lang w:eastAsia="en-US"/>
              </w:rPr>
            </w:pPr>
          </w:p>
        </w:tc>
        <w:tc>
          <w:tcPr>
            <w:tcW w:w="7625" w:type="dxa"/>
            <w:hideMark/>
          </w:tcPr>
          <w:p w14:paraId="7F3E3D5A" w14:textId="77777777" w:rsidR="003B7AFA" w:rsidRDefault="003B7AFA" w:rsidP="003B7AFA">
            <w:pPr>
              <w:jc w:val="right"/>
              <w:rPr>
                <w:sz w:val="16"/>
                <w:szCs w:val="16"/>
                <w:lang w:eastAsia="en-US"/>
              </w:rPr>
            </w:pPr>
            <w:r>
              <w:rPr>
                <w:sz w:val="16"/>
                <w:szCs w:val="16"/>
                <w:lang w:eastAsia="en-US"/>
              </w:rPr>
              <w:t>Zdroj: ČSÚ</w:t>
            </w:r>
          </w:p>
        </w:tc>
      </w:tr>
      <w:tr w:rsidR="003B7AFA" w14:paraId="091E03DC" w14:textId="77777777" w:rsidTr="003B7AFA">
        <w:trPr>
          <w:trHeight w:val="145"/>
        </w:trPr>
        <w:tc>
          <w:tcPr>
            <w:tcW w:w="1791" w:type="dxa"/>
            <w:hideMark/>
          </w:tcPr>
          <w:p w14:paraId="41A428B7" w14:textId="77777777" w:rsidR="003B7AFA" w:rsidRDefault="003B7AFA" w:rsidP="003B7AFA">
            <w:pPr>
              <w:pStyle w:val="Marginlie"/>
              <w:rPr>
                <w:spacing w:val="0"/>
                <w:lang w:eastAsia="en-US"/>
              </w:rPr>
            </w:pPr>
            <w:r>
              <w:rPr>
                <w:spacing w:val="0"/>
                <w:lang w:eastAsia="en-US"/>
              </w:rPr>
              <w:t xml:space="preserve">Ceny průmyslových výrobců v EU </w:t>
            </w:r>
            <w:r>
              <w:rPr>
                <w:spacing w:val="0"/>
                <w:lang w:eastAsia="en-US"/>
              </w:rPr>
              <w:br/>
              <w:t>v 1. čtvrtletí meziročně vzrostly.</w:t>
            </w:r>
          </w:p>
        </w:tc>
        <w:tc>
          <w:tcPr>
            <w:tcW w:w="223" w:type="dxa"/>
          </w:tcPr>
          <w:p w14:paraId="51BABD76" w14:textId="77777777" w:rsidR="003B7AFA" w:rsidRDefault="003B7AFA" w:rsidP="003B7AFA">
            <w:pPr>
              <w:pStyle w:val="Textpoznpodarou1"/>
              <w:jc w:val="both"/>
              <w:rPr>
                <w:lang w:eastAsia="en-US"/>
              </w:rPr>
            </w:pPr>
          </w:p>
        </w:tc>
        <w:tc>
          <w:tcPr>
            <w:tcW w:w="7625" w:type="dxa"/>
            <w:hideMark/>
          </w:tcPr>
          <w:p w14:paraId="04032E90" w14:textId="112CD9B8" w:rsidR="003B7AFA" w:rsidRDefault="003B7AFA" w:rsidP="00E0465E">
            <w:pPr>
              <w:rPr>
                <w:lang w:eastAsia="en-US"/>
              </w:rPr>
            </w:pPr>
            <w:r>
              <w:rPr>
                <w:lang w:eastAsia="en-US"/>
              </w:rPr>
              <w:t>Ceny průmyslových výrobců v EU</w:t>
            </w:r>
            <w:r>
              <w:rPr>
                <w:rStyle w:val="Znakapoznpodarou"/>
                <w:lang w:eastAsia="en-US"/>
              </w:rPr>
              <w:footnoteReference w:id="62"/>
            </w:r>
            <w:r>
              <w:rPr>
                <w:lang w:eastAsia="en-US"/>
              </w:rPr>
              <w:t xml:space="preserve"> v 1. čtvrtletí rostly meziročně o 2,4 %. Šlo o první nárůst od 2. kvartálu 2023. Meziročně výrazně rostly ceny elektřiny, plynu, páry a klimatizovaného vzduchu (7,</w:t>
            </w:r>
            <w:r w:rsidR="00E0465E">
              <w:rPr>
                <w:lang w:eastAsia="en-US"/>
              </w:rPr>
              <w:t>7</w:t>
            </w:r>
            <w:r>
              <w:rPr>
                <w:lang w:eastAsia="en-US"/>
              </w:rPr>
              <w:t xml:space="preserve"> %) i těžby a dobývání (5,3 %) a začaly růst ceny výrobků a služeb zpracovatelského průmyslu (0,8 %). Meziroční dynamika cen průmyslových výrobců se v rámci EU pohybovala ve značně širokém rozmezí. Dvouciferně rostly ceny v Bulharsku (18,4 %) a Irsku (12,8 %) a téměř o desetinu také v Dánsku (9,2 %). Ceny byly meziročně nižší v devíti zemích, nejvíce v Lucembursku (−5,</w:t>
            </w:r>
            <w:r w:rsidR="00E0465E">
              <w:rPr>
                <w:lang w:eastAsia="en-US"/>
              </w:rPr>
              <w:t>9</w:t>
            </w:r>
            <w:r>
              <w:rPr>
                <w:lang w:eastAsia="en-US"/>
              </w:rPr>
              <w:t xml:space="preserve"> %), Litvě (−2,5 %) a Francii (−1,</w:t>
            </w:r>
            <w:r w:rsidR="00E0465E">
              <w:rPr>
                <w:lang w:eastAsia="en-US"/>
              </w:rPr>
              <w:t>1</w:t>
            </w:r>
            <w:r>
              <w:rPr>
                <w:lang w:eastAsia="en-US"/>
              </w:rPr>
              <w:t xml:space="preserve"> %). Mezičtvrtletně se ceny průmyslových výrobců v EU v 1. čtvrtletí zvýšily o 1,3 %. Šlo o třetí podobně vysoký přírůstek v řadě. Oslabila dynamika cen elektřiny, plynu, páry a klimatizovaného vzduchu, ale i tak zůstal nárůst výrazný (3,</w:t>
            </w:r>
            <w:r w:rsidR="00E0465E">
              <w:rPr>
                <w:lang w:eastAsia="en-US"/>
              </w:rPr>
              <w:t>2</w:t>
            </w:r>
            <w:r>
              <w:rPr>
                <w:lang w:eastAsia="en-US"/>
              </w:rPr>
              <w:t xml:space="preserve"> %) a na 2,7 % posílil růst u cen těžby a dobývání. Mírně mezičtvrtletně vzrostly i ceny výrobků a služeb zpracovatelského průmyslu (0,8 %). Ve většině zemí EU ceny průmyslových výrobců mezičtvrtletně rostly, nejvíce v Bulharsku </w:t>
            </w:r>
            <w:r>
              <w:rPr>
                <w:lang w:eastAsia="en-US"/>
              </w:rPr>
              <w:lastRenderedPageBreak/>
              <w:t xml:space="preserve">(12,0 %), Estonsku (4,4 %) a Švédsku (3,6 %). Jen v pěti zemích ceny klesly, nejvýrazněji v Portugalsku (−1,7 %) a na Kypru (−0,7 %).  </w:t>
            </w:r>
          </w:p>
        </w:tc>
      </w:tr>
      <w:tr w:rsidR="003B7AFA" w14:paraId="4A10EB80" w14:textId="77777777" w:rsidTr="003B7AFA">
        <w:trPr>
          <w:trHeight w:val="145"/>
        </w:trPr>
        <w:tc>
          <w:tcPr>
            <w:tcW w:w="1791" w:type="dxa"/>
            <w:hideMark/>
          </w:tcPr>
          <w:p w14:paraId="5F86D594" w14:textId="77777777" w:rsidR="003B7AFA" w:rsidRDefault="003B7AFA" w:rsidP="003B7AFA">
            <w:pPr>
              <w:pStyle w:val="Marginlie"/>
              <w:rPr>
                <w:spacing w:val="0"/>
                <w:lang w:eastAsia="en-US"/>
              </w:rPr>
            </w:pPr>
            <w:r>
              <w:rPr>
                <w:spacing w:val="0"/>
                <w:lang w:eastAsia="en-US"/>
              </w:rPr>
              <w:lastRenderedPageBreak/>
              <w:t>Růst cen stavebních prací mírně posílil.</w:t>
            </w:r>
          </w:p>
        </w:tc>
        <w:tc>
          <w:tcPr>
            <w:tcW w:w="223" w:type="dxa"/>
          </w:tcPr>
          <w:p w14:paraId="52BC739E" w14:textId="77777777" w:rsidR="003B7AFA" w:rsidRDefault="003B7AFA" w:rsidP="003B7AFA">
            <w:pPr>
              <w:pStyle w:val="Textpoznpodarou1"/>
              <w:jc w:val="both"/>
              <w:rPr>
                <w:lang w:eastAsia="en-US"/>
              </w:rPr>
            </w:pPr>
          </w:p>
        </w:tc>
        <w:tc>
          <w:tcPr>
            <w:tcW w:w="7625" w:type="dxa"/>
            <w:hideMark/>
          </w:tcPr>
          <w:p w14:paraId="22AC60F9" w14:textId="77777777" w:rsidR="003B7AFA" w:rsidRDefault="003B7AFA" w:rsidP="003B7AFA">
            <w:pPr>
              <w:rPr>
                <w:lang w:eastAsia="en-US"/>
              </w:rPr>
            </w:pPr>
            <w:r w:rsidRPr="00AB7F43">
              <w:rPr>
                <w:lang w:eastAsia="en-US"/>
              </w:rPr>
              <w:t xml:space="preserve">Ceny stavebních prací byly dle odhadů v 1. čtvrtletí 2025 </w:t>
            </w:r>
            <w:r>
              <w:rPr>
                <w:lang w:eastAsia="en-US"/>
              </w:rPr>
              <w:t xml:space="preserve">mezičtvrtletně </w:t>
            </w:r>
            <w:r w:rsidRPr="00AB7F43">
              <w:rPr>
                <w:lang w:eastAsia="en-US"/>
              </w:rPr>
              <w:t>vyšší o 1,0</w:t>
            </w:r>
            <w:r>
              <w:rPr>
                <w:lang w:eastAsia="en-US"/>
              </w:rPr>
              <w:t> %</w:t>
            </w:r>
            <w:r w:rsidRPr="00AB7F43">
              <w:rPr>
                <w:lang w:eastAsia="en-US"/>
              </w:rPr>
              <w:t>,</w:t>
            </w:r>
            <w:r>
              <w:rPr>
                <w:lang w:eastAsia="en-US"/>
              </w:rPr>
              <w:t xml:space="preserve"> zatímco</w:t>
            </w:r>
            <w:r w:rsidRPr="00AB7F43">
              <w:rPr>
                <w:lang w:eastAsia="en-US"/>
              </w:rPr>
              <w:t xml:space="preserve"> ceny materiálů a výrobků spotřebovávaných ve stavebnictví se zvýšily o 0,6</w:t>
            </w:r>
            <w:r>
              <w:rPr>
                <w:lang w:eastAsia="en-US"/>
              </w:rPr>
              <w:t> %</w:t>
            </w:r>
            <w:r w:rsidRPr="00AB7F43">
              <w:rPr>
                <w:lang w:eastAsia="en-US"/>
              </w:rPr>
              <w:t>.</w:t>
            </w:r>
            <w:r>
              <w:rPr>
                <w:lang w:eastAsia="en-US"/>
              </w:rPr>
              <w:t xml:space="preserve"> Meziročně se c</w:t>
            </w:r>
            <w:r w:rsidRPr="00AB7F43">
              <w:rPr>
                <w:lang w:eastAsia="en-US"/>
              </w:rPr>
              <w:t xml:space="preserve">eny stavebních prací dle odhadů </w:t>
            </w:r>
            <w:r>
              <w:rPr>
                <w:lang w:eastAsia="en-US"/>
              </w:rPr>
              <w:t xml:space="preserve">zvýšily o </w:t>
            </w:r>
            <w:r w:rsidRPr="00AB7F43">
              <w:rPr>
                <w:lang w:eastAsia="en-US"/>
              </w:rPr>
              <w:t>2,8</w:t>
            </w:r>
            <w:r>
              <w:rPr>
                <w:lang w:eastAsia="en-US"/>
              </w:rPr>
              <w:t> % a</w:t>
            </w:r>
            <w:r w:rsidRPr="00AB7F43">
              <w:rPr>
                <w:lang w:eastAsia="en-US"/>
              </w:rPr>
              <w:t xml:space="preserve"> ceny materiálů a</w:t>
            </w:r>
            <w:r>
              <w:rPr>
                <w:lang w:eastAsia="en-US"/>
              </w:rPr>
              <w:t> </w:t>
            </w:r>
            <w:r w:rsidRPr="00AB7F43">
              <w:rPr>
                <w:lang w:eastAsia="en-US"/>
              </w:rPr>
              <w:t>výrobků spotřebovávaných ve stavebnictví vzrostly o 0,7</w:t>
            </w:r>
            <w:r>
              <w:rPr>
                <w:lang w:eastAsia="en-US"/>
              </w:rPr>
              <w:t> %</w:t>
            </w:r>
            <w:r w:rsidRPr="00AB7F43">
              <w:rPr>
                <w:lang w:eastAsia="en-US"/>
              </w:rPr>
              <w:t>.</w:t>
            </w:r>
            <w:r>
              <w:rPr>
                <w:lang w:eastAsia="en-US"/>
              </w:rPr>
              <w:t xml:space="preserve"> Růst cen stavebních prací oproti loňsku mírně posílil.</w:t>
            </w:r>
          </w:p>
        </w:tc>
      </w:tr>
      <w:tr w:rsidR="003B7AFA" w14:paraId="5EA88616" w14:textId="77777777" w:rsidTr="003B7AFA">
        <w:trPr>
          <w:trHeight w:val="145"/>
        </w:trPr>
        <w:tc>
          <w:tcPr>
            <w:tcW w:w="1791" w:type="dxa"/>
            <w:hideMark/>
          </w:tcPr>
          <w:p w14:paraId="06276C70" w14:textId="77777777" w:rsidR="003B7AFA" w:rsidRDefault="003B7AFA" w:rsidP="003B7AFA">
            <w:pPr>
              <w:pStyle w:val="Marginlie"/>
              <w:rPr>
                <w:spacing w:val="0"/>
                <w:lang w:eastAsia="en-US"/>
              </w:rPr>
            </w:pPr>
            <w:r>
              <w:rPr>
                <w:spacing w:val="0"/>
                <w:lang w:eastAsia="en-US"/>
              </w:rPr>
              <w:t>Meziroční růst cen tržních služeb mírně oslabil.</w:t>
            </w:r>
          </w:p>
        </w:tc>
        <w:tc>
          <w:tcPr>
            <w:tcW w:w="223" w:type="dxa"/>
          </w:tcPr>
          <w:p w14:paraId="3177BD7C" w14:textId="77777777" w:rsidR="003B7AFA" w:rsidRDefault="003B7AFA" w:rsidP="003B7AFA">
            <w:pPr>
              <w:pStyle w:val="Textpoznpodarou1"/>
              <w:jc w:val="both"/>
              <w:rPr>
                <w:lang w:eastAsia="en-US"/>
              </w:rPr>
            </w:pPr>
          </w:p>
        </w:tc>
        <w:tc>
          <w:tcPr>
            <w:tcW w:w="7625" w:type="dxa"/>
            <w:hideMark/>
          </w:tcPr>
          <w:p w14:paraId="59AD0BBF" w14:textId="77777777" w:rsidR="003B7AFA" w:rsidRDefault="003B7AFA" w:rsidP="003B7AFA">
            <w:pPr>
              <w:rPr>
                <w:lang w:eastAsia="en-US"/>
              </w:rPr>
            </w:pPr>
            <w:r>
              <w:rPr>
                <w:lang w:eastAsia="en-US"/>
              </w:rPr>
              <w:t>Ceny tržních služeb se v 1. čtvrtletí meziročně zvýšily o 3,5 % a mezičtvrtletně byly vyšší o 0,9 %. Meziroční tempo mírně oslabilo oproti předchozímu kvartálu. K celkovému růstu cen tržních služeb nejvíce přispěl vývoj cen služeb v oblasti nemovitostí (5,1 %). Po loňských poklesech výrazně meziročně vzrostly ceny skladování a podpůrných služeb v dopravě (5,9 %). V popředí vlivu se také udržovaly ceny služeb v oblasti programování a souvisejícího poradenství (3,1 %). I přes oslabení významně ovlivnil ceny tržních služeb také přírůstek cen reklamních služeb a průzkumu trhu (5,2 %). Silně v 1. kvartálu meziročně rostly také ceny bezpečnostních a pátracích služeb (10,0 %), tvorby programů a vysílání (8,8 %) a služeb v oblasti zaměstnání (8,6 %) a vyšší byly také ceny vydavatelských služeb (4,0 %), p</w:t>
            </w:r>
            <w:r w:rsidRPr="009E44A1">
              <w:rPr>
                <w:lang w:eastAsia="en-US"/>
              </w:rPr>
              <w:t xml:space="preserve">ojištění, zajištění </w:t>
            </w:r>
            <w:r>
              <w:rPr>
                <w:lang w:eastAsia="en-US"/>
              </w:rPr>
              <w:br/>
            </w:r>
            <w:r w:rsidRPr="009E44A1">
              <w:rPr>
                <w:lang w:eastAsia="en-US"/>
              </w:rPr>
              <w:t>a penzijní</w:t>
            </w:r>
            <w:r>
              <w:rPr>
                <w:lang w:eastAsia="en-US"/>
              </w:rPr>
              <w:t>ho</w:t>
            </w:r>
            <w:r w:rsidRPr="009E44A1">
              <w:rPr>
                <w:lang w:eastAsia="en-US"/>
              </w:rPr>
              <w:t xml:space="preserve"> financování</w:t>
            </w:r>
            <w:r>
              <w:rPr>
                <w:lang w:eastAsia="en-US"/>
              </w:rPr>
              <w:t xml:space="preserve"> (3,8 %),</w:t>
            </w:r>
            <w:r w:rsidRPr="009E44A1">
              <w:rPr>
                <w:lang w:eastAsia="en-US"/>
              </w:rPr>
              <w:t xml:space="preserve"> </w:t>
            </w:r>
            <w:r>
              <w:rPr>
                <w:lang w:eastAsia="en-US"/>
              </w:rPr>
              <w:t xml:space="preserve">úklidových služeb (3,6 %), poštovních a kurýrních služeb (3,6 %) nebo právních a účetnických služeb (3,3 %). Meziročně nižší byly jen ceny činností v oblasti </w:t>
            </w:r>
            <w:r w:rsidRPr="009E44A1">
              <w:rPr>
                <w:lang w:eastAsia="en-US"/>
              </w:rPr>
              <w:t>filmů, videozáznamů a televizních programů, pořizování zvukových nahrávek a hudební vydavatelské činnosti</w:t>
            </w:r>
            <w:r>
              <w:rPr>
                <w:lang w:eastAsia="en-US"/>
              </w:rPr>
              <w:t xml:space="preserve"> (−0,8 %).   </w:t>
            </w:r>
          </w:p>
        </w:tc>
      </w:tr>
      <w:tr w:rsidR="003B7AFA" w14:paraId="0EB98652" w14:textId="77777777" w:rsidTr="003B7AFA">
        <w:trPr>
          <w:trHeight w:val="145"/>
        </w:trPr>
        <w:tc>
          <w:tcPr>
            <w:tcW w:w="1791" w:type="dxa"/>
            <w:hideMark/>
          </w:tcPr>
          <w:p w14:paraId="022CE2D2" w14:textId="77777777" w:rsidR="003B7AFA" w:rsidRDefault="003B7AFA" w:rsidP="003B7AFA">
            <w:pPr>
              <w:pStyle w:val="Marginlie"/>
              <w:rPr>
                <w:spacing w:val="0"/>
                <w:lang w:eastAsia="en-US"/>
              </w:rPr>
            </w:pPr>
            <w:r>
              <w:rPr>
                <w:spacing w:val="0"/>
                <w:lang w:eastAsia="en-US"/>
              </w:rPr>
              <w:t>Ceny zemědělských výrobců pokračovaly v meziročním růstu.</w:t>
            </w:r>
          </w:p>
        </w:tc>
        <w:tc>
          <w:tcPr>
            <w:tcW w:w="223" w:type="dxa"/>
          </w:tcPr>
          <w:p w14:paraId="0F064A30" w14:textId="77777777" w:rsidR="003B7AFA" w:rsidRDefault="003B7AFA" w:rsidP="003B7AFA">
            <w:pPr>
              <w:pStyle w:val="Textpoznpodarou1"/>
              <w:jc w:val="both"/>
              <w:rPr>
                <w:lang w:eastAsia="en-US"/>
              </w:rPr>
            </w:pPr>
          </w:p>
        </w:tc>
        <w:tc>
          <w:tcPr>
            <w:tcW w:w="7625" w:type="dxa"/>
            <w:hideMark/>
          </w:tcPr>
          <w:p w14:paraId="7F58DA3E" w14:textId="4CAADA47" w:rsidR="003B7AFA" w:rsidRDefault="003B7AFA" w:rsidP="004F2C1B">
            <w:pPr>
              <w:rPr>
                <w:lang w:eastAsia="en-US"/>
              </w:rPr>
            </w:pPr>
            <w:r>
              <w:rPr>
                <w:lang w:eastAsia="en-US"/>
              </w:rPr>
              <w:t>Ceny zemědělských výrobců (včetně ryb) v 1. čtvrtletí 2025 meziročně vzrostly o 8,8 % a mezičtvrtletně o 3,0 %. V rostlinné výrobě ceny meziročně vzrostly o 6,5 % a zvyšovaly se ceny obilovin (9,5 %, zejména pšenice a kukuřice, klesaly ceny ovsa a ječmene), průmyslových plodin (21,7 %, zejména pod vlivem olejnin – řepky a slunečnice) a ovoce (25,6 %, vliv měla zejména průmyslová jablka). Naopak nižší byly ceny brambor (−18,3 %), zeleniny a zahradnických produktů (−17,7 %) a krmných plodin (−0,2 %). Ceny živočišné výroby byly v 1. čtvrtletí meziročně vyšší o 12,0 %. Podílely se na tom především živočišné výrobky – mléko (1</w:t>
            </w:r>
            <w:r w:rsidR="004F2C1B">
              <w:rPr>
                <w:lang w:eastAsia="en-US"/>
              </w:rPr>
              <w:t>7,9</w:t>
            </w:r>
            <w:r>
              <w:rPr>
                <w:lang w:eastAsia="en-US"/>
              </w:rPr>
              <w:t> %) a vejce (25,1 %). U hospodářských zvířat výrazný růst cen skotu (2</w:t>
            </w:r>
            <w:r w:rsidR="004F2C1B">
              <w:rPr>
                <w:lang w:eastAsia="en-US"/>
              </w:rPr>
              <w:t>0,1</w:t>
            </w:r>
            <w:r>
              <w:rPr>
                <w:lang w:eastAsia="en-US"/>
              </w:rPr>
              <w:t> %) a vyšší ceny drůbeže (</w:t>
            </w:r>
            <w:r w:rsidR="004F2C1B">
              <w:rPr>
                <w:lang w:eastAsia="en-US"/>
              </w:rPr>
              <w:t>2</w:t>
            </w:r>
            <w:r>
              <w:rPr>
                <w:lang w:eastAsia="en-US"/>
              </w:rPr>
              <w:t>,6 %) vyvažoval trvající pokles u prasat a selat (−1</w:t>
            </w:r>
            <w:r w:rsidR="004F2C1B">
              <w:rPr>
                <w:lang w:eastAsia="en-US"/>
              </w:rPr>
              <w:t>1,1</w:t>
            </w:r>
            <w:r>
              <w:rPr>
                <w:lang w:eastAsia="en-US"/>
              </w:rPr>
              <w:t> %).</w:t>
            </w:r>
          </w:p>
        </w:tc>
      </w:tr>
      <w:tr w:rsidR="003B7AFA" w14:paraId="7EEFB7B9" w14:textId="77777777" w:rsidTr="003B7AFA">
        <w:trPr>
          <w:trHeight w:val="145"/>
        </w:trPr>
        <w:tc>
          <w:tcPr>
            <w:tcW w:w="1791" w:type="dxa"/>
            <w:hideMark/>
          </w:tcPr>
          <w:p w14:paraId="7E62ACC3" w14:textId="77777777" w:rsidR="003B7AFA" w:rsidRDefault="003B7AFA" w:rsidP="003B7AFA">
            <w:pPr>
              <w:pStyle w:val="Marginlie"/>
              <w:rPr>
                <w:spacing w:val="0"/>
                <w:lang w:eastAsia="en-US"/>
              </w:rPr>
            </w:pPr>
            <w:r>
              <w:rPr>
                <w:spacing w:val="0"/>
                <w:lang w:eastAsia="en-US"/>
              </w:rPr>
              <w:t>Ceny vývozu zboží meziročně vzrostly, ale mezičtvrtletně se nezměnily.</w:t>
            </w:r>
          </w:p>
        </w:tc>
        <w:tc>
          <w:tcPr>
            <w:tcW w:w="223" w:type="dxa"/>
          </w:tcPr>
          <w:p w14:paraId="2A8A9ECA" w14:textId="77777777" w:rsidR="003B7AFA" w:rsidRDefault="003B7AFA" w:rsidP="003B7AFA">
            <w:pPr>
              <w:pStyle w:val="Textpoznpodarou1"/>
              <w:jc w:val="both"/>
              <w:rPr>
                <w:lang w:eastAsia="en-US"/>
              </w:rPr>
            </w:pPr>
          </w:p>
        </w:tc>
        <w:tc>
          <w:tcPr>
            <w:tcW w:w="7625" w:type="dxa"/>
            <w:hideMark/>
          </w:tcPr>
          <w:p w14:paraId="22FA7F3B" w14:textId="30D252D0" w:rsidR="003B7AFA" w:rsidRDefault="003B7AFA" w:rsidP="00E0465E">
            <w:pPr>
              <w:rPr>
                <w:lang w:eastAsia="en-US"/>
              </w:rPr>
            </w:pPr>
            <w:r>
              <w:rPr>
                <w:lang w:eastAsia="en-US"/>
              </w:rPr>
              <w:t>Meziroční růst cen zahraničního obchodu byl v 1. čtvrtletí částečně ovlivněn kurzovými pohyby, zejména oslabením koruny vůči americkému dolaru</w:t>
            </w:r>
            <w:r>
              <w:rPr>
                <w:rStyle w:val="Znakapoznpodarou"/>
                <w:lang w:eastAsia="en-US"/>
              </w:rPr>
              <w:footnoteReference w:id="63"/>
            </w:r>
            <w:r>
              <w:rPr>
                <w:lang w:eastAsia="en-US"/>
              </w:rPr>
              <w:t xml:space="preserve">, což následně působilo proinflačně. V mezičtvrtletním srovnání byly kurzové efekty spíše smíšené, protože průměrný kurz vůči euru mezičtvrtletně posílil, zatímco u dolarového kurzu došlo celkově k oslabení. Souhrnně v 1. čtvrtletí 2025 ceny vývozu zboží meziročně vzrostly o 2,3 % a přírůstek oslabil oproti předchozímu kvartálu. Nejvíce meziročně rostly ceny vývozu v sekci elektřina, plyn, pára a klimatizovaný vzduch (37,7 %) a dále u </w:t>
            </w:r>
            <w:r w:rsidR="00E0465E">
              <w:rPr>
                <w:lang w:eastAsia="en-US"/>
              </w:rPr>
              <w:t>produktů a služeb zemědělství, lesnictví a rybářství</w:t>
            </w:r>
            <w:r>
              <w:rPr>
                <w:lang w:eastAsia="en-US"/>
              </w:rPr>
              <w:t xml:space="preserve"> (9,0 %). Ceny exportu výrobků zpracovatelského průmyslu byly v 1. čtvrtletí vyšší o 1,4 %. Zde meziročně rostly ceny u většiny oddílů, ale přírůstky napříč celou sekcí zmírnily. Nejvíce rostly ceny exportu dřeva a výrobků z něj (6,5 %), základních farmaceutických výrobků a přípravků (6,2 %), textilií (3,9 %), papíru a výrobků z něj (3,8 %) a ostatních dopravních prostředků a</w:t>
            </w:r>
            <w:r w:rsidR="00E0465E">
              <w:rPr>
                <w:lang w:eastAsia="en-US"/>
              </w:rPr>
              <w:t> </w:t>
            </w:r>
            <w:r>
              <w:rPr>
                <w:lang w:eastAsia="en-US"/>
              </w:rPr>
              <w:t xml:space="preserve">zařízení (3,6 %). Klesaly především ceny vývozu koksu a rafinovaných ropných produktů (−11,7 %), nábytku (−3,0 %) a ostatních nekovových minerálních výrobků (−1,4 %). Mezičtvrtletně se ceny exportu nezměnily. Protichůdně působil růst cen vývozu </w:t>
            </w:r>
            <w:r w:rsidR="00E0465E">
              <w:rPr>
                <w:lang w:eastAsia="en-US"/>
              </w:rPr>
              <w:t>produktů a služeb zemědělství, lesnictví a rybářství</w:t>
            </w:r>
            <w:r>
              <w:rPr>
                <w:lang w:eastAsia="en-US"/>
              </w:rPr>
              <w:t xml:space="preserve"> o 4,5 % a naopak poklesu </w:t>
            </w:r>
            <w:r>
              <w:rPr>
                <w:lang w:eastAsia="en-US"/>
              </w:rPr>
              <w:lastRenderedPageBreak/>
              <w:t>cen elektřiny, plynu, páry a klimatizovaného vzduchu (−3,4 %) a těžby a dobývání (−1,0</w:t>
            </w:r>
            <w:r w:rsidR="00E0465E">
              <w:rPr>
                <w:lang w:eastAsia="en-US"/>
              </w:rPr>
              <w:t> </w:t>
            </w:r>
            <w:r>
              <w:rPr>
                <w:lang w:eastAsia="en-US"/>
              </w:rPr>
              <w:t xml:space="preserve">%). Ceny vývozu výrobků zpracovatelského průmyslu v zásadě mezičtvrtletně stagnovaly (−0,1 %).  </w:t>
            </w:r>
          </w:p>
        </w:tc>
      </w:tr>
      <w:tr w:rsidR="003B7AFA" w14:paraId="0D2EA827" w14:textId="77777777" w:rsidTr="003B7AFA">
        <w:trPr>
          <w:trHeight w:val="145"/>
        </w:trPr>
        <w:tc>
          <w:tcPr>
            <w:tcW w:w="1791" w:type="dxa"/>
          </w:tcPr>
          <w:p w14:paraId="4D682460" w14:textId="77777777" w:rsidR="003B7AFA" w:rsidRDefault="003B7AFA" w:rsidP="003B7AFA">
            <w:pPr>
              <w:pStyle w:val="Marginlie"/>
              <w:rPr>
                <w:spacing w:val="0"/>
                <w:lang w:eastAsia="en-US"/>
              </w:rPr>
            </w:pPr>
            <w:r>
              <w:rPr>
                <w:spacing w:val="0"/>
                <w:lang w:eastAsia="en-US"/>
              </w:rPr>
              <w:lastRenderedPageBreak/>
              <w:t xml:space="preserve">Ceny dovozu meziročně rostly. </w:t>
            </w:r>
          </w:p>
        </w:tc>
        <w:tc>
          <w:tcPr>
            <w:tcW w:w="223" w:type="dxa"/>
          </w:tcPr>
          <w:p w14:paraId="2F484D92" w14:textId="77777777" w:rsidR="003B7AFA" w:rsidRDefault="003B7AFA" w:rsidP="003B7AFA">
            <w:pPr>
              <w:pStyle w:val="Textpoznpodarou1"/>
              <w:jc w:val="both"/>
              <w:rPr>
                <w:lang w:eastAsia="en-US"/>
              </w:rPr>
            </w:pPr>
          </w:p>
        </w:tc>
        <w:tc>
          <w:tcPr>
            <w:tcW w:w="7625" w:type="dxa"/>
            <w:hideMark/>
          </w:tcPr>
          <w:p w14:paraId="03D49397" w14:textId="076D5A90" w:rsidR="003B7AFA" w:rsidRDefault="003B7AFA" w:rsidP="00E0465E">
            <w:pPr>
              <w:rPr>
                <w:lang w:eastAsia="en-US"/>
              </w:rPr>
            </w:pPr>
            <w:r>
              <w:rPr>
                <w:lang w:eastAsia="en-US"/>
              </w:rPr>
              <w:t xml:space="preserve">Ceny dovozu zboží v 1. čtvrtletí meziročně vzrostly o 2,2 %. Značně posílil meziroční přírůstek cen elektřiny, plynu, páry a klimatizovaného vzduchu (38,1 %) a z poklesu do meziročního růstu se dostaly ceny importu </w:t>
            </w:r>
            <w:r w:rsidR="00E0465E">
              <w:rPr>
                <w:lang w:eastAsia="en-US"/>
              </w:rPr>
              <w:t>produktů a služeb zemědělství, lesnictví a rybářství</w:t>
            </w:r>
            <w:r>
              <w:rPr>
                <w:lang w:eastAsia="en-US"/>
              </w:rPr>
              <w:t xml:space="preserve"> (8,9 %) a rovněž ceny těžby a dobývání (5,8 %). Růst cen výrobků zpracovatelského průmyslu naopak zmírnil na 1,6 %. Ceny dovozu zboží mezičtvrtletně vzrostly o 0,2 %. Z toho ceny </w:t>
            </w:r>
            <w:r w:rsidR="00E0465E">
              <w:rPr>
                <w:lang w:eastAsia="en-US"/>
              </w:rPr>
              <w:t>produktů a služeb zemědělství, lesnictví a rybářství</w:t>
            </w:r>
            <w:r>
              <w:rPr>
                <w:lang w:eastAsia="en-US"/>
              </w:rPr>
              <w:t xml:space="preserve"> vzrostly o 6,7 %, elektřiny, plynu, páry a klimatizovaného vzduchu o 4,3 % a těžby a</w:t>
            </w:r>
            <w:r w:rsidR="00E0465E">
              <w:rPr>
                <w:lang w:eastAsia="en-US"/>
              </w:rPr>
              <w:t> </w:t>
            </w:r>
            <w:r>
              <w:rPr>
                <w:lang w:eastAsia="en-US"/>
              </w:rPr>
              <w:t xml:space="preserve">dobývání o 1,6 %. Ceny výrobků zpracovatelského průmyslu se mezičtvrtletně nezměnily. Meziroční směnné relace v 1. čtvrtletí dosáhly 100,1 %. Mírně kladné byly směnné relace obchodu s produkty zemědělství, lesnictví a rybářství (100,1 %). Výrazně záporné byly směnné relace u těžby a dobývání (79,5 %) a negativní byly také pro výrobky zpracovatelského průmyslu a v sekci elektřina, plyn, pára a klimatizovaný vzduch (99,8 %). Mezičtvrtletní směnné relace byly mírně záporné (99,8 %). Negativní byly mezičtvrtletní směnné relace u elektřiny, plynu, páry a klimatizovaného vzduchu (92,6 %), těžby a dobývání (97,4 %), </w:t>
            </w:r>
            <w:r w:rsidR="00E0465E">
              <w:rPr>
                <w:lang w:eastAsia="en-US"/>
              </w:rPr>
              <w:t>produktů a služeb zemědělství, lesnictví a rybářství</w:t>
            </w:r>
            <w:r>
              <w:rPr>
                <w:lang w:eastAsia="en-US"/>
              </w:rPr>
              <w:t xml:space="preserve"> (98,0 %) i výrobků zpracovatelského průmyslu (99,9 %).</w:t>
            </w:r>
          </w:p>
        </w:tc>
      </w:tr>
    </w:tbl>
    <w:p w14:paraId="51F59EA8" w14:textId="77777777" w:rsidR="003B7AFA" w:rsidRDefault="003B7AFA" w:rsidP="003B7AFA">
      <w:pPr>
        <w:spacing w:after="0"/>
      </w:pPr>
    </w:p>
    <w:p w14:paraId="4E6A91F0" w14:textId="77777777" w:rsidR="003B7AFA" w:rsidRDefault="003B7AFA">
      <w:pPr>
        <w:spacing w:after="0" w:line="240" w:lineRule="auto"/>
        <w:jc w:val="left"/>
        <w:rPr>
          <w:rFonts w:eastAsia="MS Gothic"/>
          <w:b/>
          <w:bCs/>
          <w:color w:val="86BF5E"/>
          <w:sz w:val="32"/>
          <w:szCs w:val="28"/>
        </w:rPr>
      </w:pPr>
      <w:r>
        <w:br w:type="page"/>
      </w:r>
    </w:p>
    <w:p w14:paraId="3AD4AB29" w14:textId="77777777" w:rsidR="000C004E" w:rsidRDefault="000C004E" w:rsidP="000C004E">
      <w:pPr>
        <w:pStyle w:val="Nadpis1"/>
      </w:pPr>
      <w:bookmarkStart w:id="25" w:name="_Toc200969293"/>
      <w:bookmarkEnd w:id="18"/>
      <w:r>
        <w:lastRenderedPageBreak/>
        <w:t>6. Trh práce</w:t>
      </w:r>
      <w:bookmarkEnd w:id="25"/>
    </w:p>
    <w:tbl>
      <w:tblPr>
        <w:tblW w:w="9674" w:type="dxa"/>
        <w:tblInd w:w="-35" w:type="dxa"/>
        <w:tblCellMar>
          <w:left w:w="0" w:type="dxa"/>
          <w:right w:w="0" w:type="dxa"/>
        </w:tblCellMar>
        <w:tblLook w:val="00A0" w:firstRow="1" w:lastRow="0" w:firstColumn="1" w:lastColumn="0" w:noHBand="0" w:noVBand="0"/>
      </w:tblPr>
      <w:tblGrid>
        <w:gridCol w:w="1761"/>
        <w:gridCol w:w="198"/>
        <w:gridCol w:w="7715"/>
      </w:tblGrid>
      <w:tr w:rsidR="000C004E" w14:paraId="62C912DC" w14:textId="77777777" w:rsidTr="000C004E">
        <w:trPr>
          <w:trHeight w:val="155"/>
        </w:trPr>
        <w:tc>
          <w:tcPr>
            <w:tcW w:w="1761" w:type="dxa"/>
          </w:tcPr>
          <w:p w14:paraId="0BB71CB0" w14:textId="77777777" w:rsidR="000C004E" w:rsidRDefault="000C004E">
            <w:pPr>
              <w:pStyle w:val="Marginlie"/>
              <w:rPr>
                <w:color w:val="0D0D0D" w:themeColor="text1" w:themeTint="F2"/>
                <w:spacing w:val="0"/>
                <w:lang w:eastAsia="en-US"/>
              </w:rPr>
            </w:pPr>
            <w:r>
              <w:rPr>
                <w:color w:val="0D0D0D" w:themeColor="text1" w:themeTint="F2"/>
                <w:spacing w:val="0"/>
                <w:lang w:eastAsia="en-US"/>
              </w:rPr>
              <w:t>Na trhu práce došlo na počátku roku k oživení, zejména v oblasti zaměstnanosti.</w:t>
            </w:r>
          </w:p>
          <w:p w14:paraId="0AD448C8" w14:textId="77777777" w:rsidR="000C004E" w:rsidRDefault="000C004E">
            <w:pPr>
              <w:pStyle w:val="Marginlie"/>
              <w:rPr>
                <w:color w:val="0D0D0D" w:themeColor="text1" w:themeTint="F2"/>
                <w:spacing w:val="-4"/>
                <w:lang w:eastAsia="en-US"/>
              </w:rPr>
            </w:pPr>
          </w:p>
          <w:p w14:paraId="0CF8E704" w14:textId="77777777" w:rsidR="000C004E" w:rsidRDefault="000C004E">
            <w:pPr>
              <w:pStyle w:val="Marginlie"/>
              <w:rPr>
                <w:color w:val="0D0D0D" w:themeColor="text1" w:themeTint="F2"/>
                <w:spacing w:val="-4"/>
                <w:lang w:eastAsia="en-US"/>
              </w:rPr>
            </w:pPr>
          </w:p>
          <w:p w14:paraId="43C34D6F" w14:textId="77777777" w:rsidR="000C004E" w:rsidRDefault="000C004E">
            <w:pPr>
              <w:pStyle w:val="Marginlie"/>
              <w:rPr>
                <w:color w:val="0D0D0D" w:themeColor="text1" w:themeTint="F2"/>
                <w:spacing w:val="-4"/>
                <w:lang w:eastAsia="en-US"/>
              </w:rPr>
            </w:pPr>
          </w:p>
          <w:p w14:paraId="367E7204" w14:textId="77777777" w:rsidR="000C004E" w:rsidRDefault="000C004E">
            <w:pPr>
              <w:pStyle w:val="Marginlie"/>
              <w:rPr>
                <w:color w:val="0D0D0D" w:themeColor="text1" w:themeTint="F2"/>
                <w:spacing w:val="-4"/>
                <w:lang w:eastAsia="en-US"/>
              </w:rPr>
            </w:pPr>
          </w:p>
          <w:p w14:paraId="2BE8E35D" w14:textId="77777777" w:rsidR="000C004E" w:rsidRDefault="000C004E">
            <w:pPr>
              <w:pStyle w:val="Marginlie"/>
              <w:rPr>
                <w:color w:val="0D0D0D" w:themeColor="text1" w:themeTint="F2"/>
                <w:spacing w:val="-4"/>
                <w:lang w:eastAsia="en-US"/>
              </w:rPr>
            </w:pPr>
          </w:p>
          <w:p w14:paraId="20672D72" w14:textId="77777777" w:rsidR="000C004E" w:rsidRDefault="000C004E">
            <w:pPr>
              <w:pStyle w:val="Marginlie"/>
              <w:rPr>
                <w:color w:val="0D0D0D" w:themeColor="text1" w:themeTint="F2"/>
                <w:spacing w:val="-4"/>
                <w:lang w:eastAsia="en-US"/>
              </w:rPr>
            </w:pPr>
          </w:p>
          <w:p w14:paraId="31472CE8"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t>Mzdový růst mírně zvolňoval a mezi odvětvími byl dosti diferencovaný. Kupní síla mezd odpovídala úrovni z</w:t>
            </w:r>
            <w:r>
              <w:rPr>
                <w:color w:val="0D0D0D" w:themeColor="text1" w:themeTint="F2"/>
                <w:spacing w:val="0"/>
                <w:lang w:eastAsia="en-US"/>
              </w:rPr>
              <w:t> </w:t>
            </w:r>
            <w:r>
              <w:rPr>
                <w:color w:val="0D0D0D" w:themeColor="text1" w:themeTint="F2"/>
                <w:spacing w:val="-4"/>
                <w:lang w:eastAsia="en-US"/>
              </w:rPr>
              <w:t>konce roku 2018.</w:t>
            </w:r>
          </w:p>
        </w:tc>
        <w:tc>
          <w:tcPr>
            <w:tcW w:w="198" w:type="dxa"/>
          </w:tcPr>
          <w:p w14:paraId="1292867E"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1A3E4AD2" w14:textId="77777777" w:rsidR="000C004E" w:rsidRDefault="000C004E">
            <w:pPr>
              <w:spacing w:after="200"/>
              <w:rPr>
                <w:color w:val="0D0D0D" w:themeColor="text1" w:themeTint="F2"/>
                <w:spacing w:val="-4"/>
                <w:szCs w:val="20"/>
                <w:lang w:eastAsia="en-US"/>
              </w:rPr>
            </w:pPr>
            <w:r>
              <w:rPr>
                <w:color w:val="0D0D0D" w:themeColor="text1" w:themeTint="F2"/>
                <w:spacing w:val="-4"/>
                <w:szCs w:val="20"/>
                <w:lang w:eastAsia="en-US"/>
              </w:rPr>
              <w:t>Posílení výkonu ekonomiky na počátku letošního roku se odrazilo i na trhu práce. Růst zaměstnanosti zrychlil, v samotném průmyslu ale k oživení zatím nedošlo. Dařilo se ale širokému spektru služeb, které těžily primárně z rostoucí tuzemské poptávky. Podnikatelé ve většině odvětví ekonomiky během jara mírně vylepšili krátkodobá očekávání v oblasti zaměstnanosti. I přes nejisté ekonomické výhledy firmy stále intenzivně poptávaly levnější pracovní sílu ze zahraničí. Souběžně pokračovala rovněž integrace ukrajinských uprchlíků na pracovní trh v Česku, což zčásti řešilo dlouhodobější nedostatek volných pracovních sil v tuzemsku. Nezaměstnanost setrvala bez výraznějších změn na velmi nízké úrovni. Pracovníci propuštění z průmyslových podniků totiž mohli ve většině případů nalézt nové uplatnění v jiných odvětvích bez výraznějších obtíží, a to i díky vyšší aktivitě úřadů práce v oblasti rekvalifikací. Meziroční růst nominálních mezd lehce zvolňoval, v řadě váhově významných odvětví byl navíc poměrně slabý. Při stabilizaci cenové hladiny v ekonomice pokračoval svižný růst reálných mezd, jenž byl alespoň v minimální míře patrný ve všech hlavních odvětvích. Kupní síla zaměstnaneckých výdělků ovšem dosahovala pouze úrovně z konce roku 2018.</w:t>
            </w:r>
          </w:p>
        </w:tc>
      </w:tr>
      <w:tr w:rsidR="000C004E" w14:paraId="683B9CCE" w14:textId="77777777" w:rsidTr="000C004E">
        <w:trPr>
          <w:trHeight w:val="155"/>
        </w:trPr>
        <w:tc>
          <w:tcPr>
            <w:tcW w:w="1761" w:type="dxa"/>
            <w:hideMark/>
          </w:tcPr>
          <w:p w14:paraId="56E56114"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t>Růst celkové zaměstnanosti na počátku roku zrychlil, téměř výhradně díky službám.</w:t>
            </w:r>
          </w:p>
        </w:tc>
        <w:tc>
          <w:tcPr>
            <w:tcW w:w="198" w:type="dxa"/>
          </w:tcPr>
          <w:p w14:paraId="38CA3055"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3FACEE37" w14:textId="77777777" w:rsidR="000C004E" w:rsidRDefault="000C004E">
            <w:pPr>
              <w:rPr>
                <w:spacing w:val="-4"/>
                <w:lang w:eastAsia="en-US"/>
              </w:rPr>
            </w:pPr>
            <w:r>
              <w:rPr>
                <w:spacing w:val="-4"/>
                <w:lang w:eastAsia="en-US"/>
              </w:rPr>
              <w:t>Jestliže ve druhé polovině loňského roku celková zaměstnanost</w:t>
            </w:r>
            <w:r>
              <w:rPr>
                <w:color w:val="0D0D0D" w:themeColor="text1" w:themeTint="F2"/>
                <w:vertAlign w:val="superscript"/>
                <w:lang w:eastAsia="en-US"/>
              </w:rPr>
              <w:footnoteReference w:id="64"/>
            </w:r>
            <w:r>
              <w:rPr>
                <w:spacing w:val="-4"/>
                <w:lang w:eastAsia="en-US"/>
              </w:rPr>
              <w:t xml:space="preserve"> v ekonomice mezikvartálně pouze stagnovala, v 1. čtvrtletí se následně zvýšila o 0,7 %. To představovalo nejvýraznější oživení od poloviny roku 2022. Za tímto vývojem stál z drtivé části sektor služeb, kde se projevila zvyšující se poptávka po pracovnících téměř ve všech hlavních odvětvích. Naopak ve váhově nejvýznamnějším hospodářském odvětví – průmyslu – úbytek pracovních míst pokračoval. Celková zaměstnanost letos dosáhla rekordních 5,44 mil. osob a ve srovnání s maximální hodnotou z období poslední konjunktury (4. čtvrtletí 2018) byla vyšší o 1,3 %, z rozhodující části zásluhou rozvoje veřejných služeb. Tempo celkové zaměstnanosti zrychlilo i v meziročním srovnání a v 1. čtvrtletí dosáhlo 1,1 %. Na akceleraci se podíleli jak zaměstnanci, jichž oproti počátku loňského roku přibylo 47 tis., tak sebezaměstnaní (+12 tis.). Poprvé od pandemického roku 2021 se také letos celkový počet pracovníků v Česku zvyšoval rychleji než současně v EU (+0,4 %) i eurozóně (+0,7 %)</w:t>
            </w:r>
            <w:r>
              <w:rPr>
                <w:rStyle w:val="Znakapoznpodarou"/>
                <w:spacing w:val="-4"/>
                <w:lang w:eastAsia="en-US"/>
              </w:rPr>
              <w:footnoteReference w:id="65"/>
            </w:r>
            <w:r>
              <w:rPr>
                <w:spacing w:val="-4"/>
                <w:lang w:eastAsia="en-US"/>
              </w:rPr>
              <w:t xml:space="preserve">. </w:t>
            </w:r>
          </w:p>
        </w:tc>
      </w:tr>
      <w:tr w:rsidR="000C004E" w14:paraId="17460373" w14:textId="77777777" w:rsidTr="000C004E">
        <w:trPr>
          <w:trHeight w:val="155"/>
        </w:trPr>
        <w:tc>
          <w:tcPr>
            <w:tcW w:w="1761" w:type="dxa"/>
          </w:tcPr>
          <w:p w14:paraId="51FB6918"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t>Těžiště růstu zaměstnanosti v terciární sféře spočívalo i nadále ve veřejných službách. Dařilo se i oblasti nemovitostí a vyspělejším podnikovým službám.</w:t>
            </w:r>
          </w:p>
          <w:p w14:paraId="34FBAAE4" w14:textId="77777777" w:rsidR="000C004E" w:rsidRDefault="000C004E">
            <w:pPr>
              <w:pStyle w:val="Marginlie"/>
              <w:rPr>
                <w:color w:val="0D0D0D" w:themeColor="text1" w:themeTint="F2"/>
                <w:spacing w:val="-4"/>
                <w:lang w:eastAsia="en-US"/>
              </w:rPr>
            </w:pPr>
          </w:p>
          <w:p w14:paraId="35D7B942" w14:textId="77777777" w:rsidR="000C004E" w:rsidRDefault="000C004E">
            <w:pPr>
              <w:pStyle w:val="Marginlie"/>
              <w:rPr>
                <w:color w:val="0D0D0D" w:themeColor="text1" w:themeTint="F2"/>
                <w:spacing w:val="-4"/>
                <w:lang w:eastAsia="en-US"/>
              </w:rPr>
            </w:pPr>
          </w:p>
          <w:p w14:paraId="2FEAD6F2" w14:textId="77777777" w:rsidR="000C004E" w:rsidRDefault="000C004E">
            <w:pPr>
              <w:pStyle w:val="Marginlie"/>
              <w:rPr>
                <w:color w:val="0D0D0D" w:themeColor="text1" w:themeTint="F2"/>
                <w:spacing w:val="-4"/>
                <w:lang w:eastAsia="en-US"/>
              </w:rPr>
            </w:pPr>
          </w:p>
          <w:p w14:paraId="5F44BDB5" w14:textId="77777777" w:rsidR="000C004E" w:rsidRDefault="000C004E">
            <w:pPr>
              <w:pStyle w:val="Marginlie"/>
              <w:rPr>
                <w:color w:val="0D0D0D" w:themeColor="text1" w:themeTint="F2"/>
                <w:spacing w:val="-4"/>
                <w:lang w:eastAsia="en-US"/>
              </w:rPr>
            </w:pPr>
          </w:p>
          <w:p w14:paraId="6B2EA0A4" w14:textId="77777777" w:rsidR="000C004E" w:rsidRDefault="000C004E">
            <w:pPr>
              <w:pStyle w:val="Marginlie"/>
              <w:rPr>
                <w:color w:val="0D0D0D" w:themeColor="text1" w:themeTint="F2"/>
                <w:spacing w:val="-4"/>
                <w:lang w:eastAsia="en-US"/>
              </w:rPr>
            </w:pPr>
          </w:p>
          <w:p w14:paraId="76D5B640" w14:textId="77777777" w:rsidR="000C004E" w:rsidRDefault="000C004E">
            <w:pPr>
              <w:pStyle w:val="Marginlie"/>
              <w:rPr>
                <w:color w:val="0D0D0D" w:themeColor="text1" w:themeTint="F2"/>
                <w:spacing w:val="-4"/>
                <w:lang w:eastAsia="en-US"/>
              </w:rPr>
            </w:pPr>
          </w:p>
          <w:p w14:paraId="7FBDAD0F" w14:textId="77777777" w:rsidR="000C004E" w:rsidRDefault="000C004E">
            <w:pPr>
              <w:pStyle w:val="Marginlie"/>
              <w:rPr>
                <w:color w:val="0D0D0D" w:themeColor="text1" w:themeTint="F2"/>
                <w:spacing w:val="-4"/>
                <w:lang w:eastAsia="en-US"/>
              </w:rPr>
            </w:pPr>
          </w:p>
          <w:p w14:paraId="2AA50360" w14:textId="77777777" w:rsidR="000C004E" w:rsidRDefault="000C004E">
            <w:pPr>
              <w:pStyle w:val="Marginlie"/>
              <w:rPr>
                <w:color w:val="0D0D0D" w:themeColor="text1" w:themeTint="F2"/>
                <w:spacing w:val="-4"/>
                <w:lang w:eastAsia="en-US"/>
              </w:rPr>
            </w:pPr>
          </w:p>
          <w:p w14:paraId="177F3525"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t xml:space="preserve">Ve stavebnictví růst zaměstnanosti zrychlil, přibývalo zaměstnanců </w:t>
            </w:r>
            <w:r>
              <w:rPr>
                <w:color w:val="0D0D0D" w:themeColor="text1" w:themeTint="F2"/>
                <w:spacing w:val="-4"/>
                <w:lang w:eastAsia="en-US"/>
              </w:rPr>
              <w:br/>
              <w:t>i drobných podnikatelů.</w:t>
            </w:r>
          </w:p>
        </w:tc>
        <w:tc>
          <w:tcPr>
            <w:tcW w:w="198" w:type="dxa"/>
          </w:tcPr>
          <w:p w14:paraId="062699EC"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11EB9F2C" w14:textId="77777777" w:rsidR="000C004E" w:rsidRDefault="000C004E">
            <w:pPr>
              <w:spacing w:after="200"/>
              <w:rPr>
                <w:spacing w:val="-4"/>
                <w:lang w:eastAsia="en-US"/>
              </w:rPr>
            </w:pPr>
            <w:r>
              <w:rPr>
                <w:color w:val="0D0D0D" w:themeColor="text1" w:themeTint="F2"/>
                <w:spacing w:val="-4"/>
                <w:lang w:eastAsia="en-US"/>
              </w:rPr>
              <w:t xml:space="preserve">K meziročnímu posílení zaměstnanosti </w:t>
            </w:r>
            <w:r>
              <w:rPr>
                <w:spacing w:val="-4"/>
                <w:lang w:eastAsia="en-US"/>
              </w:rPr>
              <w:t xml:space="preserve">v Česku </w:t>
            </w:r>
            <w:r>
              <w:rPr>
                <w:color w:val="0D0D0D" w:themeColor="text1" w:themeTint="F2"/>
                <w:spacing w:val="-4"/>
                <w:lang w:eastAsia="en-US"/>
              </w:rPr>
              <w:t xml:space="preserve">přispěly </w:t>
            </w:r>
            <w:r>
              <w:rPr>
                <w:spacing w:val="-4"/>
                <w:lang w:eastAsia="en-US"/>
              </w:rPr>
              <w:t>i v 1. čtvrtletí 2025 nejvíce veřejné služby</w:t>
            </w:r>
            <w:r>
              <w:rPr>
                <w:rStyle w:val="Znakapoznpodarou"/>
                <w:spacing w:val="-4"/>
                <w:lang w:eastAsia="en-US"/>
              </w:rPr>
              <w:footnoteReference w:id="66"/>
            </w:r>
            <w:r>
              <w:rPr>
                <w:spacing w:val="-4"/>
                <w:lang w:eastAsia="en-US"/>
              </w:rPr>
              <w:t>, kde se v posledních letech růst ustálil okolo 2 %. Tyto služby reagovaly na vysokou poptávku spojenou s dlouhodobějšími změnami ve věkové skladbě populace (v oblasti vzdělávání, zdravotní a sociální péče). Relativně nejvíce ovšem přibylo pracovníků v činnostech v oblasti nemovitostí (+4,7 %), k čemuž letos stejně jako v předchozích dvou letech přispívali primárně zaměstnanci. To platilo i pro odvětví ostatních činností</w:t>
            </w:r>
            <w:r>
              <w:rPr>
                <w:rStyle w:val="Znakapoznpodarou"/>
                <w:spacing w:val="-4"/>
                <w:lang w:eastAsia="en-US"/>
              </w:rPr>
              <w:footnoteReference w:id="67"/>
            </w:r>
            <w:r>
              <w:rPr>
                <w:spacing w:val="-4"/>
                <w:lang w:eastAsia="en-US"/>
              </w:rPr>
              <w:t xml:space="preserve">, kde růst zaměstnanosti zrychlil na 2,8 %, stejně jako v procyklickém odvětví profesní, vědecké, technické a administrativní činnosti (+1,8 %). Ve váhově významném uskupení obchod, doprava, ubytování a pohostinství naopak tempo zvolnilo na (0,9 %), což pramenilo z méně příznivého vývoje v oblasti dopravy a skladování, kde poptávku po zaměstnancích limituje slabší výkon v souvisejícím odvětví průmyslu. Naopak drobným podnikatelům v celém výše </w:t>
            </w:r>
            <w:r>
              <w:rPr>
                <w:spacing w:val="-4"/>
                <w:lang w:eastAsia="en-US"/>
              </w:rPr>
              <w:lastRenderedPageBreak/>
              <w:t xml:space="preserve">uvedeném uskupení se dařilo relativně lépe, což lze přičíst pokračujícímu zotavování cestovního ruchu. V okruhu nejvyspělejších služeb zařazených do kvartérního sektoru ekonomiky roste v posledních čtvrtletích celková zaměstnanost jen slabě – v oblasti ICT se letos (stejně jako loni) navyšovaly pouze stavy sebezaměstnaných a ve finančnictví je přeliv zaměstnanosti směrem k drobným podnikatelům patrný již od roku 2021. Mimo služby rostl letos počet pracovníků již pouze ve stavebnictví (+2,4 %), kde podobným tempem přibývalo zaměstnanců i drobných podnikatelů. </w:t>
            </w:r>
          </w:p>
        </w:tc>
      </w:tr>
      <w:tr w:rsidR="000C004E" w14:paraId="1BC1AB89" w14:textId="77777777" w:rsidTr="000C004E">
        <w:trPr>
          <w:trHeight w:val="155"/>
        </w:trPr>
        <w:tc>
          <w:tcPr>
            <w:tcW w:w="1761" w:type="dxa"/>
            <w:hideMark/>
          </w:tcPr>
          <w:p w14:paraId="73FF098C"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lastRenderedPageBreak/>
              <w:t>Pokles zaměstnanosti ve zpracovatelském průmyslu se zmírnil. Situace v řadě tradičních exportních oborů je stále obtížná.</w:t>
            </w:r>
          </w:p>
        </w:tc>
        <w:tc>
          <w:tcPr>
            <w:tcW w:w="198" w:type="dxa"/>
          </w:tcPr>
          <w:p w14:paraId="1A1E3799"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1447A640" w14:textId="77777777" w:rsidR="000C004E" w:rsidRDefault="000C004E">
            <w:pPr>
              <w:spacing w:after="200"/>
              <w:rPr>
                <w:spacing w:val="-4"/>
                <w:lang w:eastAsia="en-US"/>
              </w:rPr>
            </w:pPr>
            <w:r>
              <w:rPr>
                <w:color w:val="0D0D0D" w:themeColor="text1" w:themeTint="F2"/>
                <w:spacing w:val="-4"/>
                <w:lang w:eastAsia="en-US"/>
              </w:rPr>
              <w:t xml:space="preserve">Růst celkové zaměstnanosti byl rovněž na počátku letošního roku tlumen vývojem ve </w:t>
            </w:r>
            <w:r>
              <w:rPr>
                <w:spacing w:val="-4"/>
                <w:lang w:eastAsia="en-US"/>
              </w:rPr>
              <w:t xml:space="preserve">zpracovatelském průmyslu. Pracovníků zde meziročně ubývá již osmý kvartál v řadě, byť </w:t>
            </w:r>
            <w:r>
              <w:rPr>
                <w:spacing w:val="-5"/>
                <w:lang w:eastAsia="en-US"/>
              </w:rPr>
              <w:t>aktuálně již jen o 0,4 %. Potíže s odbytem zboží, nejistota nejbližšího vývoje v mezinárodních obchodních</w:t>
            </w:r>
            <w:r>
              <w:rPr>
                <w:spacing w:val="-4"/>
                <w:lang w:eastAsia="en-US"/>
              </w:rPr>
              <w:t xml:space="preserve"> vztazích, jakož i přetrvávající nákladové tlaky související hlavně s energetickou náročností výroby neposkytují větší prostor pro růst nových pracovních míst. O vážnosti situace vypovídá i pokračující pokles počtu sebezaměstnaných v průmyslu. V ostatním průmyslu byla situace trochu příznivější, neboť mírný růst zaměstnanosti v energetice, vodním a odpadovém hospodářství stačil kompenzovat prohlubující se útlum v relativně malém oboru těžby a dobývání. V odvětví zemědělství, lesnictví a rybářství se celkový počet pracovníků významně neměnil, přičemž se nadále mírně zvyšoval počet sebezaměstnaných.</w:t>
            </w:r>
          </w:p>
        </w:tc>
      </w:tr>
      <w:tr w:rsidR="000C004E" w14:paraId="11C7FE2C" w14:textId="77777777" w:rsidTr="000C004E">
        <w:trPr>
          <w:trHeight w:val="155"/>
        </w:trPr>
        <w:tc>
          <w:tcPr>
            <w:tcW w:w="1761" w:type="dxa"/>
            <w:hideMark/>
          </w:tcPr>
          <w:p w14:paraId="6FDE68C7"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t xml:space="preserve">Počet cizinců v zaměstnaneckém postavení vystoupal na rekordních 858 tis. Jejich přírůstek byl stále tažen hlavně občany Ukrajiny. Zrychlil příliv osob z některých asijských států, pracovníků ze střední a východní Evropy ale postupně ubývá. </w:t>
            </w:r>
          </w:p>
        </w:tc>
        <w:tc>
          <w:tcPr>
            <w:tcW w:w="198" w:type="dxa"/>
          </w:tcPr>
          <w:p w14:paraId="42669B78"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75672A20" w14:textId="1E9FEF4D" w:rsidR="000C004E" w:rsidRDefault="000C004E" w:rsidP="009E7F05">
            <w:pPr>
              <w:rPr>
                <w:color w:val="0D0D0D" w:themeColor="text1" w:themeTint="F2"/>
                <w:spacing w:val="-4"/>
                <w:lang w:eastAsia="en-US"/>
              </w:rPr>
            </w:pPr>
            <w:r>
              <w:rPr>
                <w:color w:val="0D0D0D" w:themeColor="text1" w:themeTint="F2"/>
                <w:spacing w:val="-4"/>
                <w:lang w:eastAsia="en-US"/>
              </w:rPr>
              <w:t xml:space="preserve">Dlouhodobě nízká zásoba volných pracovních sil v Česku (vlivem demografického stárnutí </w:t>
            </w:r>
            <w:r>
              <w:rPr>
                <w:color w:val="0D0D0D" w:themeColor="text1" w:themeTint="F2"/>
                <w:spacing w:val="-4"/>
                <w:lang w:eastAsia="en-US"/>
              </w:rPr>
              <w:br/>
              <w:t>i nízké porodnosti) spolu se sílícím tlakem firem na optimalizaci výrobních nákladů nadále stimulovaly rostoucí poptávku tuzemských zaměstnavatelů po pracovnících ze zahraničí. Snadnějšímu zaměstnávání cizinců pomáhají legislativní změny snižující administrativní náročnost v této oblasti. To se týká jak ukrajinských občanů</w:t>
            </w:r>
            <w:r>
              <w:rPr>
                <w:rStyle w:val="Znakapoznpodarou"/>
                <w:color w:val="0D0D0D" w:themeColor="text1" w:themeTint="F2"/>
                <w:spacing w:val="-4"/>
                <w:lang w:eastAsia="en-US"/>
              </w:rPr>
              <w:footnoteReference w:id="68"/>
            </w:r>
            <w:r>
              <w:rPr>
                <w:color w:val="0D0D0D" w:themeColor="text1" w:themeTint="F2"/>
                <w:spacing w:val="-4"/>
                <w:lang w:eastAsia="en-US"/>
              </w:rPr>
              <w:t>, tak i cizinců z dalších, nejen hospodářsky méně vyspělých zemí mimo EU</w:t>
            </w:r>
            <w:r>
              <w:rPr>
                <w:rStyle w:val="Znakapoznpodarou"/>
                <w:color w:val="0D0D0D" w:themeColor="text1" w:themeTint="F2"/>
                <w:spacing w:val="-4"/>
                <w:lang w:eastAsia="en-US"/>
              </w:rPr>
              <w:footnoteReference w:id="69"/>
            </w:r>
            <w:r>
              <w:rPr>
                <w:color w:val="0D0D0D" w:themeColor="text1" w:themeTint="F2"/>
                <w:spacing w:val="-4"/>
                <w:lang w:eastAsia="en-US"/>
              </w:rPr>
              <w:t>. Dlouhodobý příliv zahraničních pracovníků do Česka tak pokračoval. V dominantní skupině zaměstnanců jich letos na konci dubna bylo na úřadech práce registrováno 859 tis</w:t>
            </w:r>
            <w:r>
              <w:rPr>
                <w:rStyle w:val="Znakapoznpodarou"/>
                <w:color w:val="0D0D0D" w:themeColor="text1" w:themeTint="F2"/>
                <w:spacing w:val="-4"/>
                <w:lang w:eastAsia="en-US"/>
              </w:rPr>
              <w:footnoteReference w:id="70"/>
            </w:r>
            <w:r>
              <w:rPr>
                <w:color w:val="0D0D0D" w:themeColor="text1" w:themeTint="F2"/>
                <w:spacing w:val="-4"/>
                <w:lang w:eastAsia="en-US"/>
              </w:rPr>
              <w:t xml:space="preserve"> (meziročně o +43 tis. více)</w:t>
            </w:r>
            <w:r>
              <w:rPr>
                <w:rStyle w:val="Znakapoznpodarou"/>
                <w:color w:val="0D0D0D" w:themeColor="text1" w:themeTint="F2"/>
                <w:spacing w:val="-4"/>
                <w:lang w:eastAsia="en-US"/>
              </w:rPr>
              <w:footnoteReference w:id="71"/>
            </w:r>
            <w:r>
              <w:rPr>
                <w:color w:val="0D0D0D" w:themeColor="text1" w:themeTint="F2"/>
                <w:spacing w:val="-4"/>
                <w:lang w:eastAsia="en-US"/>
              </w:rPr>
              <w:t xml:space="preserve">. Nejvíce meziročně přibylo již tradičně občanů Ukrajiny (+32 tis. na 310 tis., z toho ženy +24 tis., na 167 tis.), řádově </w:t>
            </w:r>
            <w:r>
              <w:rPr>
                <w:color w:val="0D0D0D" w:themeColor="text1" w:themeTint="F2"/>
                <w:spacing w:val="-6"/>
                <w:lang w:eastAsia="en-US"/>
              </w:rPr>
              <w:t>méně z Filipín, Vietnamu, Slovenska i Ruska (shodně mezi +2 až +3,5 tis.). Z významnějších</w:t>
            </w:r>
            <w:r>
              <w:rPr>
                <w:color w:val="0D0D0D" w:themeColor="text1" w:themeTint="F2"/>
                <w:spacing w:val="-4"/>
                <w:lang w:eastAsia="en-US"/>
              </w:rPr>
              <w:t xml:space="preserve"> skupin cizinců rostl relativně svižně počet občanů Indie, Číny </w:t>
            </w:r>
            <w:r>
              <w:rPr>
                <w:color w:val="0D0D0D" w:themeColor="text1" w:themeTint="F2"/>
                <w:spacing w:val="-4"/>
                <w:lang w:eastAsia="en-US"/>
              </w:rPr>
              <w:br/>
              <w:t>a Kazachstánu (shodně mírně přes 20 %). Naopak ubylo početných skupin</w:t>
            </w:r>
            <w:r w:rsidR="009E7F05">
              <w:rPr>
                <w:color w:val="0D0D0D" w:themeColor="text1" w:themeTint="F2"/>
                <w:spacing w:val="-4"/>
                <w:lang w:eastAsia="en-US"/>
              </w:rPr>
              <w:t xml:space="preserve"> pracovníků</w:t>
            </w:r>
            <w:r>
              <w:rPr>
                <w:color w:val="0D0D0D" w:themeColor="text1" w:themeTint="F2"/>
                <w:spacing w:val="-4"/>
                <w:lang w:eastAsia="en-US"/>
              </w:rPr>
              <w:t xml:space="preserve"> z chudších států střední a východní Evropy – především z Polska (</w:t>
            </w:r>
            <w:r>
              <w:rPr>
                <w:spacing w:val="-4"/>
                <w:lang w:eastAsia="en-US"/>
              </w:rPr>
              <w:t>−</w:t>
            </w:r>
            <w:r>
              <w:rPr>
                <w:color w:val="0D0D0D" w:themeColor="text1" w:themeTint="F2"/>
                <w:spacing w:val="-4"/>
                <w:lang w:eastAsia="en-US"/>
              </w:rPr>
              <w:t>5,0 tis., resp. o 10 %), Bulharska (</w:t>
            </w:r>
            <w:r>
              <w:rPr>
                <w:spacing w:val="-4"/>
                <w:lang w:eastAsia="en-US"/>
              </w:rPr>
              <w:t>−4</w:t>
            </w:r>
            <w:r>
              <w:rPr>
                <w:color w:val="0D0D0D" w:themeColor="text1" w:themeTint="F2"/>
                <w:spacing w:val="-4"/>
                <w:lang w:eastAsia="en-US"/>
              </w:rPr>
              <w:t> %), Maďarska (</w:t>
            </w:r>
            <w:r>
              <w:rPr>
                <w:spacing w:val="-4"/>
                <w:lang w:eastAsia="en-US"/>
              </w:rPr>
              <w:t>−3</w:t>
            </w:r>
            <w:r>
              <w:rPr>
                <w:color w:val="0D0D0D" w:themeColor="text1" w:themeTint="F2"/>
                <w:spacing w:val="-4"/>
                <w:lang w:eastAsia="en-US"/>
              </w:rPr>
              <w:t xml:space="preserve"> %) </w:t>
            </w:r>
            <w:r>
              <w:rPr>
                <w:color w:val="0D0D0D" w:themeColor="text1" w:themeTint="F2"/>
                <w:spacing w:val="-6"/>
                <w:lang w:eastAsia="en-US"/>
              </w:rPr>
              <w:t>a Rumunska (</w:t>
            </w:r>
            <w:r>
              <w:rPr>
                <w:spacing w:val="-6"/>
                <w:lang w:eastAsia="en-US"/>
              </w:rPr>
              <w:t>−2</w:t>
            </w:r>
            <w:r>
              <w:rPr>
                <w:color w:val="0D0D0D" w:themeColor="text1" w:themeTint="F2"/>
                <w:spacing w:val="-6"/>
                <w:lang w:eastAsia="en-US"/>
              </w:rPr>
              <w:t> %), což souvisí s postupným vyrovnáváním mzdové úrovně v tomto regionu.</w:t>
            </w:r>
            <w:r>
              <w:rPr>
                <w:color w:val="0D0D0D" w:themeColor="text1" w:themeTint="F2"/>
                <w:spacing w:val="-4"/>
                <w:lang w:eastAsia="en-US"/>
              </w:rPr>
              <w:t xml:space="preserve"> </w:t>
            </w:r>
          </w:p>
        </w:tc>
      </w:tr>
      <w:tr w:rsidR="000C004E" w14:paraId="4400B123" w14:textId="77777777" w:rsidTr="000C004E">
        <w:trPr>
          <w:trHeight w:val="155"/>
        </w:trPr>
        <w:tc>
          <w:tcPr>
            <w:tcW w:w="1761" w:type="dxa"/>
            <w:hideMark/>
          </w:tcPr>
          <w:p w14:paraId="406E8ADE" w14:textId="77777777" w:rsidR="000C004E" w:rsidRDefault="000C004E">
            <w:pPr>
              <w:pStyle w:val="Marginlie"/>
              <w:spacing w:after="120"/>
              <w:rPr>
                <w:color w:val="0D0D0D" w:themeColor="text1" w:themeTint="F2"/>
                <w:spacing w:val="-4"/>
                <w:lang w:eastAsia="en-US"/>
              </w:rPr>
            </w:pPr>
            <w:r>
              <w:rPr>
                <w:color w:val="0D0D0D" w:themeColor="text1" w:themeTint="F2"/>
                <w:spacing w:val="-4"/>
                <w:lang w:eastAsia="en-US"/>
              </w:rPr>
              <w:t xml:space="preserve">Míra zaměstnanosti žen ve věku 15 až 64 let vystoupala na rekordní úroveň. </w:t>
            </w:r>
          </w:p>
        </w:tc>
        <w:tc>
          <w:tcPr>
            <w:tcW w:w="198" w:type="dxa"/>
          </w:tcPr>
          <w:p w14:paraId="6BD238EB"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7ADE7A24" w14:textId="77777777" w:rsidR="000C004E" w:rsidRDefault="000C004E">
            <w:pPr>
              <w:rPr>
                <w:spacing w:val="-4"/>
                <w:lang w:eastAsia="en-US"/>
              </w:rPr>
            </w:pPr>
            <w:r>
              <w:rPr>
                <w:spacing w:val="-4"/>
                <w:lang w:eastAsia="en-US"/>
              </w:rPr>
              <w:t>Výše uvedené trendy se odrazily v pokračujícím lehkém růstu míry ekonomické aktivity, který se letos, stejně jako po většinu roku 2024, propisuje v zásadě jen do oblasti zaměstnanosti. Míra zaměstnanosti</w:t>
            </w:r>
            <w:r>
              <w:rPr>
                <w:rStyle w:val="Znakapoznpodarou"/>
                <w:spacing w:val="-4"/>
                <w:lang w:eastAsia="en-US"/>
              </w:rPr>
              <w:footnoteReference w:id="72"/>
            </w:r>
            <w:r>
              <w:rPr>
                <w:spacing w:val="-4"/>
                <w:lang w:eastAsia="en-US"/>
              </w:rPr>
              <w:t xml:space="preserve"> (15–64letých) dosáhla v dubnu 75,8 %, meziročně posílila o 0,9 p. b. Zatímco u mužů míra stagnovala (na 81,0 %), u žen se zvýšila o rovné 2  p. b. – na rekordních 70,5 %. Vývoj u žen souvisí s celkovým oživením tržních služeb </w:t>
            </w:r>
            <w:r>
              <w:rPr>
                <w:spacing w:val="-4"/>
                <w:lang w:eastAsia="en-US"/>
              </w:rPr>
              <w:lastRenderedPageBreak/>
              <w:t>i  stabilně rostoucí zaměstnaností ve veřejných službách, s rozšiřováním zkrácených úvazků</w:t>
            </w:r>
            <w:r>
              <w:rPr>
                <w:rStyle w:val="Znakapoznpodarou"/>
                <w:spacing w:val="-4"/>
                <w:lang w:eastAsia="en-US"/>
              </w:rPr>
              <w:footnoteReference w:id="73"/>
            </w:r>
            <w:r>
              <w:rPr>
                <w:spacing w:val="-4"/>
                <w:lang w:eastAsia="en-US"/>
              </w:rPr>
              <w:t xml:space="preserve"> a také dosud stále rychlejším posunem hranice důchodového věku (oproti mužům).</w:t>
            </w:r>
          </w:p>
        </w:tc>
      </w:tr>
      <w:tr w:rsidR="000C004E" w14:paraId="1F6F3C6D" w14:textId="77777777" w:rsidTr="000C004E">
        <w:trPr>
          <w:trHeight w:val="155"/>
        </w:trPr>
        <w:tc>
          <w:tcPr>
            <w:tcW w:w="1761" w:type="dxa"/>
            <w:vMerge w:val="restart"/>
          </w:tcPr>
          <w:p w14:paraId="69986181" w14:textId="77777777" w:rsidR="000C004E" w:rsidRDefault="000C004E">
            <w:pPr>
              <w:pStyle w:val="Marginlie"/>
              <w:spacing w:after="120"/>
              <w:rPr>
                <w:spacing w:val="-4"/>
                <w:lang w:eastAsia="en-US"/>
              </w:rPr>
            </w:pPr>
          </w:p>
        </w:tc>
        <w:tc>
          <w:tcPr>
            <w:tcW w:w="198" w:type="dxa"/>
            <w:vMerge w:val="restart"/>
          </w:tcPr>
          <w:p w14:paraId="15E1913F" w14:textId="77777777" w:rsidR="000C004E" w:rsidRDefault="000C004E">
            <w:pPr>
              <w:pStyle w:val="Textpoznpodarou"/>
              <w:spacing w:after="120"/>
              <w:jc w:val="both"/>
              <w:rPr>
                <w:spacing w:val="-4"/>
                <w:lang w:eastAsia="en-US"/>
              </w:rPr>
            </w:pPr>
          </w:p>
        </w:tc>
        <w:tc>
          <w:tcPr>
            <w:tcW w:w="7715" w:type="dxa"/>
            <w:hideMark/>
          </w:tcPr>
          <w:p w14:paraId="098DC946" w14:textId="77777777" w:rsidR="000C004E" w:rsidRDefault="000C004E">
            <w:pPr>
              <w:spacing w:after="0"/>
              <w:rPr>
                <w:spacing w:val="-2"/>
                <w:lang w:eastAsia="en-US"/>
              </w:rPr>
            </w:pPr>
            <w:r>
              <w:rPr>
                <w:rFonts w:cs="Arial"/>
                <w:b/>
                <w:bCs/>
                <w:color w:val="000000"/>
                <w:szCs w:val="20"/>
                <w:lang w:eastAsia="en-US"/>
              </w:rPr>
              <w:t>Graf č. 13</w:t>
            </w:r>
            <w:r>
              <w:rPr>
                <w:rFonts w:cs="Arial"/>
                <w:b/>
                <w:bCs/>
                <w:color w:val="000000"/>
                <w:sz w:val="18"/>
                <w:szCs w:val="18"/>
                <w:lang w:eastAsia="en-US"/>
              </w:rPr>
              <w:t xml:space="preserve"> </w:t>
            </w:r>
            <w:r>
              <w:rPr>
                <w:b/>
                <w:bCs/>
                <w:lang w:eastAsia="en-US"/>
              </w:rPr>
              <w:t xml:space="preserve">Celková zaměstnanost </w:t>
            </w:r>
            <w:r>
              <w:rPr>
                <w:lang w:eastAsia="en-US"/>
              </w:rPr>
              <w:t>(</w:t>
            </w:r>
            <w:r>
              <w:rPr>
                <w:spacing w:val="-2"/>
                <w:lang w:eastAsia="en-US"/>
              </w:rPr>
              <w:t>meziročně v %)</w:t>
            </w:r>
            <w:r>
              <w:rPr>
                <w:b/>
                <w:bCs/>
                <w:spacing w:val="-2"/>
                <w:lang w:eastAsia="en-US"/>
              </w:rPr>
              <w:t xml:space="preserve">, příspěvky odvětví k meziroční změně zaměstnanosti </w:t>
            </w:r>
            <w:r>
              <w:rPr>
                <w:spacing w:val="-2"/>
                <w:lang w:eastAsia="en-US"/>
              </w:rPr>
              <w:t>(v p. b.)</w:t>
            </w:r>
            <w:r>
              <w:rPr>
                <w:b/>
                <w:bCs/>
                <w:spacing w:val="-2"/>
                <w:lang w:eastAsia="en-US"/>
              </w:rPr>
              <w:t xml:space="preserve"> a očekávání vývoje zaměstnanosti </w:t>
            </w:r>
            <w:r>
              <w:rPr>
                <w:spacing w:val="-2"/>
                <w:lang w:eastAsia="en-US"/>
              </w:rPr>
              <w:t>(saldo v p. b.)</w:t>
            </w:r>
          </w:p>
        </w:tc>
      </w:tr>
      <w:tr w:rsidR="000C004E" w14:paraId="3A78DA35" w14:textId="77777777" w:rsidTr="000C004E">
        <w:trPr>
          <w:trHeight w:val="155"/>
        </w:trPr>
        <w:tc>
          <w:tcPr>
            <w:tcW w:w="0" w:type="auto"/>
            <w:vMerge/>
            <w:vAlign w:val="center"/>
            <w:hideMark/>
          </w:tcPr>
          <w:p w14:paraId="096DEBB5" w14:textId="77777777" w:rsidR="000C004E" w:rsidRDefault="000C004E">
            <w:pPr>
              <w:spacing w:after="0" w:line="240" w:lineRule="auto"/>
              <w:jc w:val="left"/>
              <w:rPr>
                <w:spacing w:val="-4"/>
                <w:sz w:val="16"/>
                <w:szCs w:val="16"/>
                <w:lang w:eastAsia="en-US"/>
              </w:rPr>
            </w:pPr>
          </w:p>
        </w:tc>
        <w:tc>
          <w:tcPr>
            <w:tcW w:w="0" w:type="auto"/>
            <w:vMerge/>
            <w:vAlign w:val="center"/>
            <w:hideMark/>
          </w:tcPr>
          <w:p w14:paraId="58F82484" w14:textId="77777777" w:rsidR="000C004E" w:rsidRDefault="000C004E">
            <w:pPr>
              <w:spacing w:after="0" w:line="240" w:lineRule="auto"/>
              <w:jc w:val="left"/>
              <w:rPr>
                <w:rFonts w:eastAsia="Calibri"/>
                <w:spacing w:val="-4"/>
                <w:szCs w:val="20"/>
                <w:lang w:eastAsia="en-US"/>
              </w:rPr>
            </w:pPr>
          </w:p>
        </w:tc>
        <w:tc>
          <w:tcPr>
            <w:tcW w:w="7715" w:type="dxa"/>
            <w:tcMar>
              <w:top w:w="0" w:type="dxa"/>
              <w:left w:w="70" w:type="dxa"/>
              <w:bottom w:w="0" w:type="dxa"/>
              <w:right w:w="70" w:type="dxa"/>
            </w:tcMar>
            <w:hideMark/>
          </w:tcPr>
          <w:p w14:paraId="429DCAC6" w14:textId="704917D8" w:rsidR="000C004E" w:rsidRDefault="000C004E">
            <w:pPr>
              <w:spacing w:after="0"/>
              <w:rPr>
                <w:spacing w:val="-4"/>
                <w:lang w:eastAsia="en-US"/>
              </w:rPr>
            </w:pPr>
            <w:r>
              <w:rPr>
                <w:noProof/>
              </w:rPr>
              <w:drawing>
                <wp:inline distT="0" distB="0" distL="0" distR="0" wp14:anchorId="777D3A75" wp14:editId="5D6113FF">
                  <wp:extent cx="4762500" cy="3810000"/>
                  <wp:effectExtent l="0" t="0" r="0" b="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004E" w14:paraId="7D9EDE86" w14:textId="77777777" w:rsidTr="000C004E">
        <w:trPr>
          <w:trHeight w:val="671"/>
        </w:trPr>
        <w:tc>
          <w:tcPr>
            <w:tcW w:w="0" w:type="auto"/>
            <w:vMerge/>
            <w:vAlign w:val="center"/>
            <w:hideMark/>
          </w:tcPr>
          <w:p w14:paraId="4957F9A5" w14:textId="77777777" w:rsidR="000C004E" w:rsidRDefault="000C004E">
            <w:pPr>
              <w:spacing w:after="0" w:line="240" w:lineRule="auto"/>
              <w:jc w:val="left"/>
              <w:rPr>
                <w:spacing w:val="-4"/>
                <w:sz w:val="16"/>
                <w:szCs w:val="16"/>
                <w:lang w:eastAsia="en-US"/>
              </w:rPr>
            </w:pPr>
          </w:p>
        </w:tc>
        <w:tc>
          <w:tcPr>
            <w:tcW w:w="0" w:type="auto"/>
            <w:vMerge/>
            <w:vAlign w:val="center"/>
            <w:hideMark/>
          </w:tcPr>
          <w:p w14:paraId="4F111957" w14:textId="77777777" w:rsidR="000C004E" w:rsidRDefault="000C004E">
            <w:pPr>
              <w:spacing w:after="0" w:line="240" w:lineRule="auto"/>
              <w:jc w:val="left"/>
              <w:rPr>
                <w:rFonts w:eastAsia="Calibri"/>
                <w:spacing w:val="-4"/>
                <w:szCs w:val="20"/>
                <w:lang w:eastAsia="en-US"/>
              </w:rPr>
            </w:pPr>
          </w:p>
        </w:tc>
        <w:tc>
          <w:tcPr>
            <w:tcW w:w="7715" w:type="dxa"/>
            <w:hideMark/>
          </w:tcPr>
          <w:p w14:paraId="5E05F5BF" w14:textId="77777777" w:rsidR="000C004E" w:rsidRDefault="000C004E">
            <w:pPr>
              <w:spacing w:after="0" w:line="240" w:lineRule="auto"/>
              <w:rPr>
                <w:rFonts w:cs="Arial"/>
                <w:sz w:val="14"/>
                <w:szCs w:val="14"/>
                <w:lang w:eastAsia="en-US"/>
              </w:rPr>
            </w:pPr>
            <w:r>
              <w:rPr>
                <w:rFonts w:cs="Arial"/>
                <w:color w:val="0D0D0D" w:themeColor="text1" w:themeTint="F2"/>
                <w:spacing w:val="-2"/>
                <w:sz w:val="14"/>
                <w:szCs w:val="14"/>
                <w:lang w:eastAsia="en-US"/>
              </w:rPr>
              <w:t>*</w:t>
            </w:r>
            <w:r>
              <w:rPr>
                <w:rFonts w:cs="Arial"/>
                <w:sz w:val="14"/>
                <w:szCs w:val="14"/>
                <w:lang w:eastAsia="en-US"/>
              </w:rPr>
              <w:t xml:space="preserve"> Těžba a energetika; Peněžnictví a pojišťovnictví; Činnosti v oblasti nemovitostí; Kulturní, zábavní a</w:t>
            </w:r>
            <w:r>
              <w:rPr>
                <w:sz w:val="14"/>
                <w:szCs w:val="14"/>
                <w:lang w:eastAsia="en-US"/>
              </w:rPr>
              <w:t> </w:t>
            </w:r>
            <w:r>
              <w:rPr>
                <w:rFonts w:cs="Arial"/>
                <w:sz w:val="14"/>
                <w:szCs w:val="14"/>
                <w:lang w:eastAsia="en-US"/>
              </w:rPr>
              <w:t>rekreační činnosti.</w:t>
            </w:r>
          </w:p>
          <w:p w14:paraId="25B183BE" w14:textId="77777777" w:rsidR="000C004E" w:rsidRDefault="000C004E">
            <w:pPr>
              <w:spacing w:after="0" w:line="240" w:lineRule="auto"/>
              <w:rPr>
                <w:rFonts w:cs="Arial"/>
                <w:sz w:val="14"/>
                <w:szCs w:val="14"/>
                <w:lang w:eastAsia="en-US"/>
              </w:rPr>
            </w:pPr>
            <w:r>
              <w:rPr>
                <w:rFonts w:cs="Arial"/>
                <w:sz w:val="14"/>
                <w:szCs w:val="14"/>
                <w:lang w:eastAsia="en-US"/>
              </w:rPr>
              <w:t xml:space="preserve">Poznámka: Saldo </w:t>
            </w:r>
            <w:r>
              <w:rPr>
                <w:rFonts w:cs="Arial"/>
                <w:color w:val="0D0D0D" w:themeColor="text1" w:themeTint="F2"/>
                <w:sz w:val="14"/>
                <w:szCs w:val="14"/>
                <w:lang w:eastAsia="en-US"/>
              </w:rPr>
              <w:t>očekávání vyjadřuje rozdíl v p. b. mezi kategoriemi růst versus pokles zaměstnanosti v nejbližších třech měsících. Údaje jsou sezónně očištěny a vztahují se k druhému měsíci daného čtvrtletí.</w:t>
            </w:r>
          </w:p>
          <w:p w14:paraId="2617E452" w14:textId="77777777" w:rsidR="000C004E" w:rsidRDefault="000C004E">
            <w:pPr>
              <w:spacing w:after="200" w:line="240" w:lineRule="auto"/>
              <w:rPr>
                <w:rFonts w:cs="Arial"/>
                <w:color w:val="0D0D0D" w:themeColor="text1" w:themeTint="F2"/>
                <w:spacing w:val="-2"/>
                <w:sz w:val="14"/>
                <w:szCs w:val="14"/>
                <w:lang w:eastAsia="en-US"/>
              </w:rPr>
            </w:pPr>
            <w:r>
              <w:rPr>
                <w:rFonts w:cs="Arial"/>
                <w:sz w:val="14"/>
                <w:szCs w:val="14"/>
                <w:lang w:eastAsia="en-US"/>
              </w:rPr>
              <w:t>Zdroj: ČSÚ (národní účty), Eurostat (konjunkturální průzkumy).</w:t>
            </w:r>
          </w:p>
        </w:tc>
      </w:tr>
      <w:tr w:rsidR="000C004E" w14:paraId="4CB3114C" w14:textId="77777777" w:rsidTr="000C004E">
        <w:trPr>
          <w:trHeight w:val="145"/>
        </w:trPr>
        <w:tc>
          <w:tcPr>
            <w:tcW w:w="1761" w:type="dxa"/>
          </w:tcPr>
          <w:p w14:paraId="52CBB87C" w14:textId="77777777" w:rsidR="000C004E" w:rsidRDefault="000C004E">
            <w:pPr>
              <w:pStyle w:val="Marginlie"/>
              <w:rPr>
                <w:color w:val="0D0D0D" w:themeColor="text1" w:themeTint="F2"/>
                <w:spacing w:val="-4"/>
                <w:lang w:eastAsia="en-US"/>
              </w:rPr>
            </w:pPr>
            <w:r>
              <w:rPr>
                <w:color w:val="0D0D0D" w:themeColor="text1" w:themeTint="F2"/>
                <w:spacing w:val="-4"/>
                <w:lang w:eastAsia="en-US"/>
              </w:rPr>
              <w:t>Krátkodobá očekávání podniků v oblasti zaměstnanosti na počátku roku kolísala. Lehký optimismus pokračoval v obchodu i stavebnictví.</w:t>
            </w:r>
          </w:p>
          <w:p w14:paraId="6C7145FC" w14:textId="77777777" w:rsidR="000C004E" w:rsidRDefault="000C004E">
            <w:pPr>
              <w:pStyle w:val="Marginlie"/>
              <w:rPr>
                <w:color w:val="0D0D0D" w:themeColor="text1" w:themeTint="F2"/>
                <w:spacing w:val="-4"/>
                <w:lang w:eastAsia="en-US"/>
              </w:rPr>
            </w:pPr>
          </w:p>
          <w:p w14:paraId="5096C5B0" w14:textId="77777777" w:rsidR="000C004E" w:rsidRDefault="000C004E">
            <w:pPr>
              <w:pStyle w:val="Marginlie"/>
              <w:rPr>
                <w:color w:val="0D0D0D" w:themeColor="text1" w:themeTint="F2"/>
                <w:spacing w:val="-4"/>
                <w:lang w:eastAsia="en-US"/>
              </w:rPr>
            </w:pPr>
          </w:p>
          <w:p w14:paraId="432AD591" w14:textId="77777777" w:rsidR="000C004E" w:rsidRDefault="000C004E">
            <w:pPr>
              <w:pStyle w:val="Marginlie"/>
              <w:rPr>
                <w:color w:val="0D0D0D" w:themeColor="text1" w:themeTint="F2"/>
                <w:spacing w:val="-4"/>
                <w:lang w:eastAsia="en-US"/>
              </w:rPr>
            </w:pPr>
          </w:p>
          <w:p w14:paraId="5D4FF357" w14:textId="77777777" w:rsidR="000C004E" w:rsidRDefault="000C004E">
            <w:pPr>
              <w:pStyle w:val="Marginlie"/>
              <w:rPr>
                <w:color w:val="0D0D0D" w:themeColor="text1" w:themeTint="F2"/>
                <w:spacing w:val="-5"/>
                <w:lang w:eastAsia="en-US"/>
              </w:rPr>
            </w:pPr>
            <w:r>
              <w:rPr>
                <w:color w:val="0D0D0D" w:themeColor="text1" w:themeTint="F2"/>
                <w:spacing w:val="-4"/>
                <w:lang w:eastAsia="en-US"/>
              </w:rPr>
              <w:t>Nedostatek pracovníků sužuje tradičně hlavně stavební podniky.</w:t>
            </w:r>
          </w:p>
        </w:tc>
        <w:tc>
          <w:tcPr>
            <w:tcW w:w="198" w:type="dxa"/>
          </w:tcPr>
          <w:p w14:paraId="5F373E60"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6560C6AF" w14:textId="77777777" w:rsidR="000C004E" w:rsidRDefault="000C004E">
            <w:pPr>
              <w:spacing w:after="200"/>
              <w:rPr>
                <w:rStyle w:val="normaltextrun"/>
              </w:rPr>
            </w:pPr>
            <w:r>
              <w:rPr>
                <w:color w:val="0D0D0D" w:themeColor="text1" w:themeTint="F2"/>
                <w:spacing w:val="-4"/>
                <w:lang w:eastAsia="en-US"/>
              </w:rPr>
              <w:t>Krátkodobá očekávání podniků v oblasti vlastní zaměstnanosti</w:t>
            </w:r>
            <w:r>
              <w:rPr>
                <w:rStyle w:val="Znakapoznpodarou"/>
                <w:color w:val="0D0D0D" w:themeColor="text1" w:themeTint="F2"/>
                <w:spacing w:val="-4"/>
                <w:lang w:eastAsia="en-US"/>
              </w:rPr>
              <w:footnoteReference w:id="74"/>
            </w:r>
            <w:r>
              <w:rPr>
                <w:color w:val="0D0D0D" w:themeColor="text1" w:themeTint="F2"/>
                <w:spacing w:val="-4"/>
                <w:lang w:eastAsia="en-US"/>
              </w:rPr>
              <w:t xml:space="preserve"> se během loňského roku postupně zlepšovala. Jejich dosavadní letošní vývoj je spíše ve znamení kolísání, jež odráží rostoucí nejistoty podnikatelů plynoucí patrně z vnějších (zahraničních) faktorů. Celková očekávání tak zůstávají v mírně negativním pásmu, především vlivem průmyslu, kde se zatím výhledy v oblasti zaměstnanosti nelepší. Podle konjunkturálního průzkumu z května 2025 </w:t>
            </w:r>
            <w:r>
              <w:rPr>
                <w:rStyle w:val="normaltextrun"/>
                <w:rFonts w:eastAsia="MS Gothic" w:cs="Arial"/>
                <w:szCs w:val="20"/>
                <w:lang w:eastAsia="en-US"/>
              </w:rPr>
              <w:t xml:space="preserve">předpokládalo </w:t>
            </w:r>
            <w:r>
              <w:rPr>
                <w:rFonts w:cs="Arial"/>
                <w:szCs w:val="20"/>
                <w:lang w:eastAsia="en-US"/>
              </w:rPr>
              <w:t>v</w:t>
            </w:r>
            <w:r>
              <w:rPr>
                <w:color w:val="0D0D0D" w:themeColor="text1" w:themeTint="F2"/>
                <w:spacing w:val="-4"/>
                <w:lang w:eastAsia="en-US"/>
              </w:rPr>
              <w:t> </w:t>
            </w:r>
            <w:r>
              <w:rPr>
                <w:rFonts w:cs="Arial"/>
                <w:szCs w:val="20"/>
                <w:lang w:eastAsia="en-US"/>
              </w:rPr>
              <w:t>tříměsíčním horizontu snižování počtu zaměstnanců 20 % firem ve službách a 17 % v</w:t>
            </w:r>
            <w:r>
              <w:rPr>
                <w:color w:val="0D0D0D" w:themeColor="text1" w:themeTint="F2"/>
                <w:spacing w:val="-4"/>
                <w:lang w:eastAsia="en-US"/>
              </w:rPr>
              <w:t> </w:t>
            </w:r>
            <w:r>
              <w:rPr>
                <w:rFonts w:cs="Arial"/>
                <w:szCs w:val="20"/>
                <w:lang w:eastAsia="en-US"/>
              </w:rPr>
              <w:t xml:space="preserve">průmyslu, ale jen 6 % ve stavebnictví a 4 % v obchodě. Naopak náborové plány byly nejzřetelnější ve stavebnictví (16 %), obchodě a službách (shodně 15 %), v průmyslu pak očekávalo zvyšování zaměstnanosti jen 7 % podniků. </w:t>
            </w:r>
            <w:r>
              <w:rPr>
                <w:color w:val="0D0D0D" w:themeColor="text1" w:themeTint="F2"/>
                <w:spacing w:val="-4"/>
                <w:lang w:eastAsia="en-US"/>
              </w:rPr>
              <w:t>Stav na úrovni dílčích odvětví v rámci průmyslu i služeb se přirozeně odlišoval</w:t>
            </w:r>
            <w:r>
              <w:rPr>
                <w:rStyle w:val="Znakapoznpodarou"/>
                <w:color w:val="0D0D0D" w:themeColor="text1" w:themeTint="F2"/>
                <w:spacing w:val="-4"/>
                <w:lang w:eastAsia="en-US"/>
              </w:rPr>
              <w:footnoteReference w:id="75"/>
            </w:r>
            <w:r>
              <w:rPr>
                <w:color w:val="0D0D0D" w:themeColor="text1" w:themeTint="F2"/>
                <w:spacing w:val="-4"/>
                <w:lang w:eastAsia="en-US"/>
              </w:rPr>
              <w:t xml:space="preserve">. </w:t>
            </w:r>
            <w:r>
              <w:rPr>
                <w:rStyle w:val="eop"/>
                <w:rFonts w:eastAsia="MS Gothic" w:cs="Arial"/>
                <w:color w:val="0D0D0D" w:themeColor="text1" w:themeTint="F2"/>
                <w:spacing w:val="-4"/>
                <w:szCs w:val="20"/>
                <w:lang w:eastAsia="en-US"/>
              </w:rPr>
              <w:t xml:space="preserve">Podíl podniků, pro </w:t>
            </w:r>
            <w:r>
              <w:rPr>
                <w:rStyle w:val="eop"/>
                <w:rFonts w:eastAsia="MS Gothic" w:cs="Arial"/>
                <w:color w:val="0D0D0D" w:themeColor="text1" w:themeTint="F2"/>
                <w:spacing w:val="-4"/>
                <w:szCs w:val="20"/>
                <w:lang w:eastAsia="en-US"/>
              </w:rPr>
              <w:lastRenderedPageBreak/>
              <w:t xml:space="preserve">něž </w:t>
            </w:r>
            <w:r>
              <w:rPr>
                <w:color w:val="0D0D0D" w:themeColor="text1" w:themeTint="F2"/>
                <w:spacing w:val="-4"/>
                <w:lang w:eastAsia="en-US"/>
              </w:rPr>
              <w:t>představuje nedostatek pracovní síly jednu z významných růstových bariér</w:t>
            </w:r>
            <w:r>
              <w:rPr>
                <w:rStyle w:val="Znakapoznpodarou"/>
                <w:color w:val="0D0D0D" w:themeColor="text1" w:themeTint="F2"/>
                <w:spacing w:val="-4"/>
                <w:lang w:eastAsia="en-US"/>
              </w:rPr>
              <w:footnoteReference w:id="76"/>
            </w:r>
            <w:r>
              <w:rPr>
                <w:color w:val="0D0D0D" w:themeColor="text1" w:themeTint="F2"/>
                <w:spacing w:val="-4"/>
                <w:lang w:eastAsia="en-US"/>
              </w:rPr>
              <w:t xml:space="preserve">, byl na </w:t>
            </w:r>
            <w:r>
              <w:rPr>
                <w:color w:val="0D0D0D" w:themeColor="text1" w:themeTint="F2"/>
                <w:spacing w:val="-6"/>
                <w:lang w:eastAsia="en-US"/>
              </w:rPr>
              <w:t xml:space="preserve">počátku letošního roku tradičně nejvyšší ve stavebnictví (50 %.). Opačně tomu bylo v průmyslu </w:t>
            </w:r>
            <w:r>
              <w:rPr>
                <w:color w:val="0D0D0D" w:themeColor="text1" w:themeTint="F2"/>
                <w:spacing w:val="-4"/>
                <w:lang w:eastAsia="en-US"/>
              </w:rPr>
              <w:t>(11 %) a ve službách (10 %). Situace se ve srovnání s loňským jarem významně nezměnila.</w:t>
            </w:r>
          </w:p>
        </w:tc>
      </w:tr>
      <w:tr w:rsidR="000C004E" w14:paraId="55704A38" w14:textId="77777777" w:rsidTr="000C004E">
        <w:trPr>
          <w:trHeight w:val="145"/>
        </w:trPr>
        <w:tc>
          <w:tcPr>
            <w:tcW w:w="1761" w:type="dxa"/>
          </w:tcPr>
          <w:p w14:paraId="0CAB75C4" w14:textId="77777777" w:rsidR="000C004E" w:rsidRDefault="000C004E">
            <w:pPr>
              <w:pStyle w:val="Marginlie"/>
              <w:rPr>
                <w:spacing w:val="-5"/>
              </w:rPr>
            </w:pPr>
            <w:r>
              <w:rPr>
                <w:color w:val="0D0D0D" w:themeColor="text1" w:themeTint="F2"/>
                <w:spacing w:val="-5"/>
                <w:lang w:eastAsia="en-US"/>
              </w:rPr>
              <w:lastRenderedPageBreak/>
              <w:t>Obecná míra nezaměstnanosti loni mírně kolísala na nízké úrovni. Příznivý byl i vývoj dlouhodobé nezaměstnanosti.</w:t>
            </w:r>
          </w:p>
          <w:p w14:paraId="28D19BEC" w14:textId="77777777" w:rsidR="000C004E" w:rsidRDefault="000C004E">
            <w:pPr>
              <w:pStyle w:val="Marginlie"/>
              <w:rPr>
                <w:color w:val="0D0D0D" w:themeColor="text1" w:themeTint="F2"/>
                <w:spacing w:val="-5"/>
                <w:lang w:eastAsia="en-US"/>
              </w:rPr>
            </w:pPr>
          </w:p>
          <w:p w14:paraId="0C577DA9" w14:textId="77777777" w:rsidR="000C004E" w:rsidRDefault="000C004E">
            <w:pPr>
              <w:pStyle w:val="Marginlie"/>
              <w:rPr>
                <w:color w:val="0D0D0D" w:themeColor="text1" w:themeTint="F2"/>
                <w:spacing w:val="-5"/>
                <w:lang w:eastAsia="en-US"/>
              </w:rPr>
            </w:pPr>
          </w:p>
          <w:p w14:paraId="137C7678" w14:textId="77777777" w:rsidR="000C004E" w:rsidRDefault="000C004E">
            <w:pPr>
              <w:pStyle w:val="Marginlie"/>
              <w:rPr>
                <w:color w:val="0D0D0D" w:themeColor="text1" w:themeTint="F2"/>
                <w:spacing w:val="-5"/>
                <w:lang w:eastAsia="en-US"/>
              </w:rPr>
            </w:pPr>
          </w:p>
          <w:p w14:paraId="28D9844E" w14:textId="77777777" w:rsidR="000C004E" w:rsidRDefault="000C004E">
            <w:pPr>
              <w:pStyle w:val="Marginlie"/>
              <w:rPr>
                <w:color w:val="0D0D0D" w:themeColor="text1" w:themeTint="F2"/>
                <w:spacing w:val="-5"/>
                <w:lang w:eastAsia="en-US"/>
              </w:rPr>
            </w:pPr>
          </w:p>
          <w:p w14:paraId="3BB56C58" w14:textId="77777777" w:rsidR="000C004E" w:rsidRDefault="000C004E">
            <w:pPr>
              <w:pStyle w:val="Marginlie"/>
              <w:rPr>
                <w:color w:val="0D0D0D" w:themeColor="text1" w:themeTint="F2"/>
                <w:spacing w:val="-5"/>
                <w:lang w:eastAsia="en-US"/>
              </w:rPr>
            </w:pPr>
            <w:r>
              <w:rPr>
                <w:color w:val="0D0D0D" w:themeColor="text1" w:themeTint="F2"/>
                <w:spacing w:val="-5"/>
                <w:lang w:eastAsia="en-US"/>
              </w:rPr>
              <w:t xml:space="preserve">Velikost potenciální pracovní rezervy zůstávala nízká. </w:t>
            </w:r>
          </w:p>
        </w:tc>
        <w:tc>
          <w:tcPr>
            <w:tcW w:w="198" w:type="dxa"/>
          </w:tcPr>
          <w:p w14:paraId="3A0A34CD"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3498653B" w14:textId="77777777" w:rsidR="000C004E" w:rsidRDefault="000C004E">
            <w:pPr>
              <w:spacing w:after="200"/>
              <w:rPr>
                <w:color w:val="0D0D0D" w:themeColor="text1" w:themeTint="F2"/>
                <w:spacing w:val="-6"/>
                <w:lang w:eastAsia="en-US"/>
              </w:rPr>
            </w:pPr>
            <w:r>
              <w:rPr>
                <w:rStyle w:val="normaltextrun"/>
                <w:rFonts w:eastAsia="MS Gothic" w:cs="Arial"/>
                <w:color w:val="0D0D0D" w:themeColor="text1" w:themeTint="F2"/>
                <w:szCs w:val="20"/>
                <w:lang w:eastAsia="en-US"/>
              </w:rPr>
              <w:t>Navzdory problémům některých zejména průmyslových podniků se obecná míra nezaměstnanosti</w:t>
            </w:r>
            <w:r>
              <w:rPr>
                <w:vertAlign w:val="superscript"/>
                <w:lang w:eastAsia="en-US"/>
              </w:rPr>
              <w:footnoteReference w:id="77"/>
            </w:r>
            <w:r>
              <w:rPr>
                <w:rStyle w:val="normaltextrun"/>
                <w:rFonts w:eastAsia="MS Gothic" w:cs="Arial"/>
                <w:color w:val="0D0D0D" w:themeColor="text1" w:themeTint="F2"/>
                <w:szCs w:val="20"/>
                <w:lang w:eastAsia="en-US"/>
              </w:rPr>
              <w:t xml:space="preserve"> v posledních čtvrtletích významně nezvyšovala, spíše lze hovořit o jejím mírném kolísání, zejména u žen. Propuštěné pracovníky z některých útlumových oborů totiž dokázaly z velké míry vstřebat rozvíjející se služby.</w:t>
            </w:r>
            <w:r>
              <w:rPr>
                <w:color w:val="0D0D0D" w:themeColor="text1" w:themeTint="F2"/>
                <w:spacing w:val="-6"/>
                <w:lang w:eastAsia="en-US"/>
              </w:rPr>
              <w:t xml:space="preserve"> </w:t>
            </w:r>
            <w:r>
              <w:rPr>
                <w:rStyle w:val="normaltextrun"/>
                <w:rFonts w:eastAsia="MS Gothic" w:cs="Arial"/>
                <w:color w:val="0D0D0D" w:themeColor="text1" w:themeTint="F2"/>
                <w:szCs w:val="20"/>
                <w:lang w:eastAsia="en-US"/>
              </w:rPr>
              <w:t>Sezónně očištěná míra nezaměstnanosti (15–64letých) činila letos v dubnu 2,7 % (muži 2,3 %, ženy 3,2 %)</w:t>
            </w:r>
            <w:r>
              <w:rPr>
                <w:rStyle w:val="Znakapoznpodarou"/>
                <w:color w:val="0D0D0D" w:themeColor="text1" w:themeTint="F2"/>
                <w:lang w:eastAsia="en-US"/>
              </w:rPr>
              <w:footnoteReference w:id="78"/>
            </w:r>
            <w:r>
              <w:rPr>
                <w:rStyle w:val="normaltextrun"/>
                <w:rFonts w:eastAsia="MS Gothic" w:cs="Arial"/>
                <w:color w:val="0D0D0D" w:themeColor="text1" w:themeTint="F2"/>
                <w:szCs w:val="20"/>
                <w:lang w:eastAsia="en-US"/>
              </w:rPr>
              <w:t xml:space="preserve">. </w:t>
            </w:r>
            <w:r>
              <w:rPr>
                <w:color w:val="0D0D0D" w:themeColor="text1" w:themeTint="F2"/>
                <w:lang w:eastAsia="en-US"/>
              </w:rPr>
              <w:t>Nevzrostl ani počet dlouhodobě nezaměstnaných – ti se na celkovém počtu lidí bez práce ve 1. čtvrtletí 2025 podíleli 25 % (to je v dlouhodobém i mezinárodním kontextu podprůměrná hodnota). V</w:t>
            </w:r>
            <w:r>
              <w:rPr>
                <w:color w:val="0D0D0D" w:themeColor="text1" w:themeTint="F2"/>
                <w:spacing w:val="-4"/>
                <w:lang w:eastAsia="en-US"/>
              </w:rPr>
              <w:t>elikost potenciální pracovní rezervy (tj. ekonomicky neaktivních osob práci nehledajících, ale uvádějících ochotu pracovat) ve 4. čtvrtletí meziročně fakticky stagnovala (na necelých 80 tis. osobách)</w:t>
            </w:r>
            <w:r>
              <w:rPr>
                <w:rStyle w:val="Znakapoznpodarou"/>
                <w:color w:val="0D0D0D" w:themeColor="text1" w:themeTint="F2"/>
                <w:spacing w:val="-4"/>
                <w:lang w:eastAsia="en-US"/>
              </w:rPr>
              <w:footnoteReference w:id="79"/>
            </w:r>
            <w:r>
              <w:rPr>
                <w:color w:val="0D0D0D" w:themeColor="text1" w:themeTint="F2"/>
                <w:spacing w:val="-4"/>
                <w:lang w:eastAsia="en-US"/>
              </w:rPr>
              <w:t xml:space="preserve"> a z dlouhodobé perspektivy zůstává nízká. To sice představuje nezanedbatelný problém pro řadu zaměstnavatelů, na druhou stranu jde ovšem také o pozitivní signál naznačující, že rozsah skryté nezaměstnanosti (ve formě „úniku“ do ekonomické neaktivity) není na tuzemském pracovním trhu aktuálně významný.</w:t>
            </w:r>
          </w:p>
        </w:tc>
      </w:tr>
      <w:tr w:rsidR="000C004E" w14:paraId="44B0A666" w14:textId="77777777" w:rsidTr="000C004E">
        <w:trPr>
          <w:trHeight w:val="145"/>
        </w:trPr>
        <w:tc>
          <w:tcPr>
            <w:tcW w:w="1761" w:type="dxa"/>
            <w:hideMark/>
          </w:tcPr>
          <w:p w14:paraId="4FDC329D" w14:textId="77777777" w:rsidR="000C004E" w:rsidRDefault="000C004E">
            <w:pPr>
              <w:pStyle w:val="Marginlie"/>
              <w:rPr>
                <w:color w:val="0D0D0D" w:themeColor="text1" w:themeTint="F2"/>
                <w:spacing w:val="-5"/>
                <w:lang w:eastAsia="en-US"/>
              </w:rPr>
            </w:pPr>
            <w:r>
              <w:rPr>
                <w:color w:val="0D0D0D" w:themeColor="text1" w:themeTint="F2"/>
                <w:lang w:eastAsia="en-US"/>
              </w:rPr>
              <w:t xml:space="preserve">Meziročně mírně přibylo registrovaných uchazečů o práci. </w:t>
            </w:r>
          </w:p>
        </w:tc>
        <w:tc>
          <w:tcPr>
            <w:tcW w:w="198" w:type="dxa"/>
          </w:tcPr>
          <w:p w14:paraId="4D8E9CEE" w14:textId="77777777" w:rsidR="000C004E" w:rsidRDefault="000C004E">
            <w:pPr>
              <w:pStyle w:val="Textpoznpodarou"/>
              <w:spacing w:after="120"/>
              <w:jc w:val="both"/>
              <w:rPr>
                <w:color w:val="0D0D0D" w:themeColor="text1" w:themeTint="F2"/>
                <w:spacing w:val="-4"/>
                <w:lang w:eastAsia="en-US"/>
              </w:rPr>
            </w:pPr>
          </w:p>
        </w:tc>
        <w:tc>
          <w:tcPr>
            <w:tcW w:w="7715" w:type="dxa"/>
            <w:hideMark/>
          </w:tcPr>
          <w:p w14:paraId="732745E0" w14:textId="77777777" w:rsidR="000C004E" w:rsidRDefault="000C004E">
            <w:pPr>
              <w:spacing w:after="200"/>
              <w:rPr>
                <w:color w:val="0D0D0D" w:themeColor="text1" w:themeTint="F2"/>
                <w:spacing w:val="-6"/>
                <w:lang w:eastAsia="en-US"/>
              </w:rPr>
            </w:pPr>
            <w:r>
              <w:rPr>
                <w:color w:val="0D0D0D" w:themeColor="text1" w:themeTint="F2"/>
                <w:spacing w:val="-6"/>
                <w:lang w:eastAsia="en-US"/>
              </w:rPr>
              <w:t xml:space="preserve">Významnější ochlazení na tuzemském pracovním trhu aktuálně nenaznačují ani údaje z úřadů práce (ÚP). </w:t>
            </w:r>
            <w:r>
              <w:rPr>
                <w:rStyle w:val="normaltextrun"/>
                <w:rFonts w:cs="Arial"/>
                <w:szCs w:val="20"/>
                <w:lang w:eastAsia="en-US"/>
              </w:rPr>
              <w:t>Sezonně neočištěný podíl registrovaných uchazečů o práci na celkové populaci 15 až 64letých dosáhl letos na konci dubna 4,3 % (muži: 4,0 %, ženy: 4,6 %)</w:t>
            </w:r>
            <w:r>
              <w:rPr>
                <w:rStyle w:val="Znakapoznpodarou"/>
                <w:szCs w:val="20"/>
                <w:lang w:eastAsia="en-US"/>
              </w:rPr>
              <w:footnoteReference w:id="80"/>
            </w:r>
            <w:r>
              <w:rPr>
                <w:rStyle w:val="normaltextrun"/>
                <w:rFonts w:cs="Arial"/>
                <w:szCs w:val="20"/>
                <w:lang w:eastAsia="en-US"/>
              </w:rPr>
              <w:t>. To bylo meziročně o 0,6 p. b. více (mírný růst nezaměstnanosti probíhal nepřetržitě i po celý loňský rok). T</w:t>
            </w:r>
            <w:r>
              <w:rPr>
                <w:rStyle w:val="normaltextrun"/>
                <w:rFonts w:cs="Arial"/>
                <w:lang w:eastAsia="en-US"/>
              </w:rPr>
              <w:t xml:space="preserve">ento nárůst částečně souvisí s vyšší aktivitou ÚP v oblasti rekvalifikací, jež má kromě jiného i podpořit </w:t>
            </w:r>
            <w:r>
              <w:rPr>
                <w:color w:val="0D0D0D" w:themeColor="text1" w:themeTint="F2"/>
                <w:spacing w:val="-6"/>
                <w:lang w:eastAsia="en-US"/>
              </w:rPr>
              <w:t>fluktuaci pracovníků na trhu práce</w:t>
            </w:r>
            <w:r>
              <w:rPr>
                <w:rStyle w:val="normaltextrun"/>
                <w:rFonts w:cs="Arial"/>
                <w:lang w:eastAsia="en-US"/>
              </w:rPr>
              <w:t xml:space="preserve">. Ochotu k registraci na ÚP zřejmě zvyšuje i rozšíření možností elektronické komunikace s úřady na dálku, což by mělo osobám hledajícím práci poskytnout vyšší časovou flexibilitu </w:t>
            </w:r>
            <w:r>
              <w:rPr>
                <w:rStyle w:val="normaltextrun"/>
                <w:rFonts w:cs="Arial"/>
                <w:lang w:eastAsia="en-US"/>
              </w:rPr>
              <w:br/>
              <w:t>a zároveň snížit jejich potenciální stigmatizaci.</w:t>
            </w:r>
          </w:p>
        </w:tc>
      </w:tr>
      <w:tr w:rsidR="000C004E" w14:paraId="1B161DC1" w14:textId="77777777" w:rsidTr="000C004E">
        <w:trPr>
          <w:trHeight w:val="155"/>
        </w:trPr>
        <w:tc>
          <w:tcPr>
            <w:tcW w:w="1761" w:type="dxa"/>
            <w:hideMark/>
          </w:tcPr>
          <w:p w14:paraId="47EC72FE" w14:textId="77777777" w:rsidR="000C004E" w:rsidRDefault="000C004E">
            <w:pPr>
              <w:pStyle w:val="Marginlie"/>
              <w:spacing w:after="120"/>
              <w:rPr>
                <w:spacing w:val="-4"/>
                <w:lang w:eastAsia="en-US"/>
              </w:rPr>
            </w:pPr>
            <w:r>
              <w:rPr>
                <w:spacing w:val="-4"/>
                <w:lang w:eastAsia="en-US"/>
              </w:rPr>
              <w:t xml:space="preserve">V drtivé většině okresů je patrný převis počtu uchazečů o práci nad volnými místy. Přetrvává </w:t>
            </w:r>
            <w:r>
              <w:rPr>
                <w:spacing w:val="-4"/>
                <w:lang w:eastAsia="en-US"/>
              </w:rPr>
              <w:br/>
              <w:t xml:space="preserve">i problém nesouladu nabídky a poptávky </w:t>
            </w:r>
            <w:r>
              <w:rPr>
                <w:spacing w:val="-4"/>
                <w:lang w:eastAsia="en-US"/>
              </w:rPr>
              <w:lastRenderedPageBreak/>
              <w:t>z pohledu kvalifikačních nároků.</w:t>
            </w:r>
          </w:p>
        </w:tc>
        <w:tc>
          <w:tcPr>
            <w:tcW w:w="198" w:type="dxa"/>
          </w:tcPr>
          <w:p w14:paraId="55044F3E" w14:textId="77777777" w:rsidR="000C004E" w:rsidRDefault="000C004E">
            <w:pPr>
              <w:pStyle w:val="Textpoznpodarou"/>
              <w:spacing w:after="120"/>
              <w:jc w:val="both"/>
              <w:rPr>
                <w:spacing w:val="-4"/>
                <w:lang w:eastAsia="en-US"/>
              </w:rPr>
            </w:pPr>
          </w:p>
        </w:tc>
        <w:tc>
          <w:tcPr>
            <w:tcW w:w="7715" w:type="dxa"/>
            <w:hideMark/>
          </w:tcPr>
          <w:p w14:paraId="2160D69E" w14:textId="77777777" w:rsidR="000C004E" w:rsidRDefault="000C004E">
            <w:pPr>
              <w:spacing w:after="200"/>
              <w:rPr>
                <w:color w:val="0D0D0D" w:themeColor="text1" w:themeTint="F2"/>
                <w:spacing w:val="-6"/>
                <w:lang w:eastAsia="en-US"/>
              </w:rPr>
            </w:pPr>
            <w:r>
              <w:rPr>
                <w:color w:val="0D0D0D" w:themeColor="text1" w:themeTint="F2"/>
                <w:spacing w:val="-6"/>
                <w:lang w:eastAsia="en-US"/>
              </w:rPr>
              <w:t>ÚP práce evidovaly dle nové metodiky na konci dubna 95,8 tis</w:t>
            </w:r>
            <w:r>
              <w:rPr>
                <w:rStyle w:val="Znakapoznpodarou"/>
                <w:color w:val="0D0D0D" w:themeColor="text1" w:themeTint="F2"/>
                <w:spacing w:val="-6"/>
                <w:lang w:eastAsia="en-US"/>
              </w:rPr>
              <w:footnoteReference w:id="81"/>
            </w:r>
            <w:r>
              <w:rPr>
                <w:color w:val="0D0D0D" w:themeColor="text1" w:themeTint="F2"/>
                <w:spacing w:val="-6"/>
                <w:lang w:eastAsia="en-US"/>
              </w:rPr>
              <w:t>. volných míst (v zásadě jde jen místa s dobou evidence kratší než šest měsíců</w:t>
            </w:r>
            <w:r>
              <w:rPr>
                <w:rStyle w:val="Znakapoznpodarou"/>
                <w:color w:val="0D0D0D" w:themeColor="text1" w:themeTint="F2"/>
                <w:spacing w:val="-6"/>
                <w:lang w:eastAsia="en-US"/>
              </w:rPr>
              <w:footnoteReference w:id="82"/>
            </w:r>
            <w:r>
              <w:rPr>
                <w:color w:val="0D0D0D" w:themeColor="text1" w:themeTint="F2"/>
                <w:spacing w:val="-6"/>
                <w:lang w:eastAsia="en-US"/>
              </w:rPr>
              <w:t xml:space="preserve">), což je o 15 % více než letos na konci ledna. Aktuálně bylo celkem registrováno 318,5 tis. uchazečů o práci. Nejvíce uchazečů na volné místo připadá v okresu Karviná (23,7), Sokolov (17,2), Děčín (12,8), Hodonín (12,1) </w:t>
            </w:r>
            <w:r>
              <w:rPr>
                <w:color w:val="0D0D0D" w:themeColor="text1" w:themeTint="F2"/>
                <w:spacing w:val="-6"/>
                <w:lang w:eastAsia="en-US"/>
              </w:rPr>
              <w:br/>
            </w:r>
            <w:r>
              <w:rPr>
                <w:color w:val="0D0D0D" w:themeColor="text1" w:themeTint="F2"/>
                <w:spacing w:val="-6"/>
                <w:lang w:eastAsia="en-US"/>
              </w:rPr>
              <w:lastRenderedPageBreak/>
              <w:t>a Bruntál (10,5). Naopak převis míst nad uchazeči je pouze v okresech Praha-východ a Mladá Boleslav a zhruba vyrovnaná je pak bilance v Praze a na Tachovsku. Vedle toho přetrvává také problém strukturálního nesouladu mezi nabízenými místy a kvalifikací uchazečů o práci</w:t>
            </w:r>
            <w:r>
              <w:rPr>
                <w:rStyle w:val="Znakapoznpodarou"/>
                <w:color w:val="0D0D0D" w:themeColor="text1" w:themeTint="F2"/>
                <w:spacing w:val="-6"/>
                <w:lang w:eastAsia="en-US"/>
              </w:rPr>
              <w:footnoteReference w:id="83"/>
            </w:r>
            <w:r>
              <w:rPr>
                <w:color w:val="0D0D0D" w:themeColor="text1" w:themeTint="F2"/>
                <w:spacing w:val="-6"/>
                <w:lang w:eastAsia="en-US"/>
              </w:rPr>
              <w:t xml:space="preserve">. </w:t>
            </w:r>
          </w:p>
        </w:tc>
      </w:tr>
      <w:tr w:rsidR="000C004E" w14:paraId="0C63050B" w14:textId="77777777" w:rsidTr="000C004E">
        <w:trPr>
          <w:trHeight w:val="155"/>
        </w:trPr>
        <w:tc>
          <w:tcPr>
            <w:tcW w:w="1761" w:type="dxa"/>
            <w:hideMark/>
          </w:tcPr>
          <w:p w14:paraId="3A802AFD" w14:textId="77777777" w:rsidR="000C004E" w:rsidRDefault="000C004E">
            <w:pPr>
              <w:pStyle w:val="Marginlie"/>
              <w:spacing w:after="120"/>
              <w:rPr>
                <w:spacing w:val="-4"/>
                <w:lang w:eastAsia="en-US"/>
              </w:rPr>
            </w:pPr>
            <w:r>
              <w:rPr>
                <w:color w:val="0D0D0D" w:themeColor="text1" w:themeTint="F2"/>
                <w:spacing w:val="-5"/>
                <w:lang w:eastAsia="en-US"/>
              </w:rPr>
              <w:lastRenderedPageBreak/>
              <w:t>Obavy lidí z růstu nezaměstnanosti v nejbližších 12 měsících se letos zvyšují.</w:t>
            </w:r>
          </w:p>
        </w:tc>
        <w:tc>
          <w:tcPr>
            <w:tcW w:w="198" w:type="dxa"/>
          </w:tcPr>
          <w:p w14:paraId="61FDF663" w14:textId="77777777" w:rsidR="000C004E" w:rsidRDefault="000C004E">
            <w:pPr>
              <w:pStyle w:val="Textpoznpodarou"/>
              <w:spacing w:after="120"/>
              <w:jc w:val="both"/>
              <w:rPr>
                <w:spacing w:val="-4"/>
                <w:lang w:eastAsia="en-US"/>
              </w:rPr>
            </w:pPr>
          </w:p>
        </w:tc>
        <w:tc>
          <w:tcPr>
            <w:tcW w:w="7715" w:type="dxa"/>
            <w:hideMark/>
          </w:tcPr>
          <w:p w14:paraId="66E222EE" w14:textId="77777777" w:rsidR="000C004E" w:rsidRDefault="000C004E">
            <w:pPr>
              <w:spacing w:after="200"/>
              <w:rPr>
                <w:color w:val="0D0D0D" w:themeColor="text1" w:themeTint="F2"/>
                <w:spacing w:val="-4"/>
                <w:lang w:eastAsia="en-US"/>
              </w:rPr>
            </w:pPr>
            <w:r>
              <w:rPr>
                <w:color w:val="0D0D0D" w:themeColor="text1" w:themeTint="F2"/>
                <w:spacing w:val="-4"/>
                <w:lang w:eastAsia="en-US"/>
              </w:rPr>
              <w:t>Obavy lidí z růstu nezaměstnanosti (vyjádřené v rámci konjunkturálních průzkumů) od loňského prosince narůstají a aktuálně již mírně převyšují dlouhodobý průměr. Tento vývoj může souviset se situací v průmyslu, s pokračujícími veřejnými diskusemi o fiskální konsolidaci, ale i s napjatou geopolitickou situací.</w:t>
            </w:r>
          </w:p>
        </w:tc>
      </w:tr>
      <w:tr w:rsidR="000C004E" w14:paraId="0F6FB856" w14:textId="77777777" w:rsidTr="000C004E">
        <w:trPr>
          <w:trHeight w:val="155"/>
        </w:trPr>
        <w:tc>
          <w:tcPr>
            <w:tcW w:w="1761" w:type="dxa"/>
            <w:vMerge w:val="restart"/>
          </w:tcPr>
          <w:p w14:paraId="4DC51EC8" w14:textId="77777777" w:rsidR="000C004E" w:rsidRDefault="000C004E">
            <w:pPr>
              <w:pStyle w:val="Marginlie"/>
              <w:spacing w:after="120"/>
              <w:rPr>
                <w:spacing w:val="-4"/>
                <w:lang w:eastAsia="en-US"/>
              </w:rPr>
            </w:pPr>
          </w:p>
        </w:tc>
        <w:tc>
          <w:tcPr>
            <w:tcW w:w="198" w:type="dxa"/>
            <w:vMerge w:val="restart"/>
          </w:tcPr>
          <w:p w14:paraId="1E3AC9CE" w14:textId="77777777" w:rsidR="000C004E" w:rsidRDefault="000C004E">
            <w:pPr>
              <w:pStyle w:val="Textpoznpodarou"/>
              <w:spacing w:after="120"/>
              <w:jc w:val="both"/>
              <w:rPr>
                <w:spacing w:val="-4"/>
                <w:lang w:eastAsia="en-US"/>
              </w:rPr>
            </w:pPr>
          </w:p>
        </w:tc>
        <w:tc>
          <w:tcPr>
            <w:tcW w:w="7715" w:type="dxa"/>
            <w:hideMark/>
          </w:tcPr>
          <w:p w14:paraId="505CB3EF" w14:textId="77777777" w:rsidR="000C004E" w:rsidRDefault="000C004E">
            <w:pPr>
              <w:spacing w:after="0"/>
              <w:rPr>
                <w:rFonts w:cs="Arial"/>
                <w:b/>
                <w:bCs/>
                <w:spacing w:val="-4"/>
                <w:lang w:eastAsia="en-US"/>
              </w:rPr>
            </w:pPr>
            <w:r>
              <w:rPr>
                <w:b/>
                <w:spacing w:val="-4"/>
                <w:lang w:eastAsia="en-US"/>
              </w:rPr>
              <w:t xml:space="preserve">Graf č. 14 </w:t>
            </w:r>
            <w:r>
              <w:rPr>
                <w:rFonts w:cs="Arial"/>
                <w:b/>
                <w:spacing w:val="-4"/>
                <w:lang w:eastAsia="en-US"/>
              </w:rPr>
              <w:t xml:space="preserve">Obecná míra nezaměstnanosti </w:t>
            </w:r>
            <w:r>
              <w:rPr>
                <w:rFonts w:cs="Arial"/>
                <w:bCs/>
                <w:spacing w:val="-4"/>
                <w:lang w:eastAsia="en-US"/>
              </w:rPr>
              <w:t>(v %, věk 15 až 64 let)</w:t>
            </w:r>
            <w:r>
              <w:rPr>
                <w:rFonts w:cs="Arial"/>
                <w:b/>
                <w:spacing w:val="-4"/>
                <w:lang w:eastAsia="en-US"/>
              </w:rPr>
              <w:t>,</w:t>
            </w:r>
            <w:r>
              <w:rPr>
                <w:rFonts w:cs="Arial"/>
                <w:bCs/>
                <w:spacing w:val="-4"/>
                <w:lang w:eastAsia="en-US"/>
              </w:rPr>
              <w:t xml:space="preserve"> </w:t>
            </w:r>
            <w:r>
              <w:rPr>
                <w:rFonts w:cs="Arial"/>
                <w:b/>
                <w:bCs/>
                <w:spacing w:val="-4"/>
                <w:lang w:eastAsia="en-US"/>
              </w:rPr>
              <w:t>očekávání vývoje nezaměstnanosti ze strany domácností*</w:t>
            </w:r>
            <w:r>
              <w:rPr>
                <w:rFonts w:cs="Arial"/>
                <w:bCs/>
                <w:spacing w:val="-4"/>
                <w:lang w:eastAsia="en-US"/>
              </w:rPr>
              <w:t xml:space="preserve"> (v p. b.), </w:t>
            </w:r>
            <w:r>
              <w:rPr>
                <w:rFonts w:cs="Arial"/>
                <w:b/>
                <w:bCs/>
                <w:spacing w:val="-4"/>
                <w:lang w:eastAsia="en-US"/>
              </w:rPr>
              <w:t xml:space="preserve">volná pracovní místa a pracující cizinci v pozici zaměstnanců </w:t>
            </w:r>
            <w:r>
              <w:rPr>
                <w:rFonts w:cs="Arial"/>
                <w:bCs/>
                <w:spacing w:val="-4"/>
                <w:lang w:eastAsia="en-US"/>
              </w:rPr>
              <w:t>(v tis.)**</w:t>
            </w:r>
          </w:p>
        </w:tc>
      </w:tr>
      <w:tr w:rsidR="000C004E" w14:paraId="732AA053" w14:textId="77777777" w:rsidTr="000C004E">
        <w:trPr>
          <w:trHeight w:val="155"/>
        </w:trPr>
        <w:tc>
          <w:tcPr>
            <w:tcW w:w="0" w:type="auto"/>
            <w:vMerge/>
            <w:vAlign w:val="center"/>
            <w:hideMark/>
          </w:tcPr>
          <w:p w14:paraId="4BFF6CEB" w14:textId="77777777" w:rsidR="000C004E" w:rsidRDefault="000C004E">
            <w:pPr>
              <w:spacing w:after="0" w:line="240" w:lineRule="auto"/>
              <w:jc w:val="left"/>
              <w:rPr>
                <w:spacing w:val="-4"/>
                <w:sz w:val="16"/>
                <w:szCs w:val="16"/>
                <w:lang w:eastAsia="en-US"/>
              </w:rPr>
            </w:pPr>
          </w:p>
        </w:tc>
        <w:tc>
          <w:tcPr>
            <w:tcW w:w="0" w:type="auto"/>
            <w:vMerge/>
            <w:vAlign w:val="center"/>
            <w:hideMark/>
          </w:tcPr>
          <w:p w14:paraId="21025D9F" w14:textId="77777777" w:rsidR="000C004E" w:rsidRDefault="000C004E">
            <w:pPr>
              <w:spacing w:after="0" w:line="240" w:lineRule="auto"/>
              <w:jc w:val="left"/>
              <w:rPr>
                <w:rFonts w:eastAsia="Calibri"/>
                <w:spacing w:val="-4"/>
                <w:szCs w:val="20"/>
                <w:lang w:eastAsia="en-US"/>
              </w:rPr>
            </w:pPr>
          </w:p>
        </w:tc>
        <w:tc>
          <w:tcPr>
            <w:tcW w:w="7715" w:type="dxa"/>
            <w:tcMar>
              <w:top w:w="0" w:type="dxa"/>
              <w:left w:w="70" w:type="dxa"/>
              <w:bottom w:w="0" w:type="dxa"/>
              <w:right w:w="70" w:type="dxa"/>
            </w:tcMar>
            <w:hideMark/>
          </w:tcPr>
          <w:p w14:paraId="72CE65F7" w14:textId="577B4EE3" w:rsidR="000C004E" w:rsidRDefault="000C004E">
            <w:pPr>
              <w:spacing w:after="0"/>
              <w:rPr>
                <w:spacing w:val="-4"/>
                <w:lang w:eastAsia="en-US"/>
              </w:rPr>
            </w:pPr>
            <w:r>
              <w:rPr>
                <w:noProof/>
              </w:rPr>
              <w:drawing>
                <wp:inline distT="0" distB="0" distL="0" distR="0" wp14:anchorId="1A3886A1" wp14:editId="0D56D6CE">
                  <wp:extent cx="4752975" cy="3552825"/>
                  <wp:effectExtent l="0" t="0" r="0"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0C004E" w14:paraId="1932CB3A" w14:textId="77777777" w:rsidTr="000C004E">
        <w:trPr>
          <w:trHeight w:val="132"/>
        </w:trPr>
        <w:tc>
          <w:tcPr>
            <w:tcW w:w="0" w:type="auto"/>
            <w:vMerge/>
            <w:vAlign w:val="center"/>
            <w:hideMark/>
          </w:tcPr>
          <w:p w14:paraId="45558A10" w14:textId="77777777" w:rsidR="000C004E" w:rsidRDefault="000C004E">
            <w:pPr>
              <w:spacing w:after="0" w:line="240" w:lineRule="auto"/>
              <w:jc w:val="left"/>
              <w:rPr>
                <w:spacing w:val="-4"/>
                <w:sz w:val="16"/>
                <w:szCs w:val="16"/>
                <w:lang w:eastAsia="en-US"/>
              </w:rPr>
            </w:pPr>
          </w:p>
        </w:tc>
        <w:tc>
          <w:tcPr>
            <w:tcW w:w="0" w:type="auto"/>
            <w:vMerge/>
            <w:vAlign w:val="center"/>
            <w:hideMark/>
          </w:tcPr>
          <w:p w14:paraId="7D9E4FAA" w14:textId="77777777" w:rsidR="000C004E" w:rsidRDefault="000C004E">
            <w:pPr>
              <w:spacing w:after="0" w:line="240" w:lineRule="auto"/>
              <w:jc w:val="left"/>
              <w:rPr>
                <w:rFonts w:eastAsia="Calibri"/>
                <w:spacing w:val="-4"/>
                <w:szCs w:val="20"/>
                <w:lang w:eastAsia="en-US"/>
              </w:rPr>
            </w:pPr>
          </w:p>
        </w:tc>
        <w:tc>
          <w:tcPr>
            <w:tcW w:w="7715" w:type="dxa"/>
            <w:hideMark/>
          </w:tcPr>
          <w:p w14:paraId="3D633461" w14:textId="77777777" w:rsidR="000C004E" w:rsidRDefault="000C004E">
            <w:pPr>
              <w:spacing w:before="60" w:after="0" w:line="240" w:lineRule="auto"/>
              <w:rPr>
                <w:rFonts w:cs="Arial"/>
                <w:color w:val="0D0D0D" w:themeColor="text1" w:themeTint="F2"/>
                <w:spacing w:val="-4"/>
                <w:sz w:val="14"/>
                <w:szCs w:val="14"/>
                <w:lang w:eastAsia="en-US"/>
              </w:rPr>
            </w:pPr>
            <w:r>
              <w:rPr>
                <w:rFonts w:cs="Arial"/>
                <w:color w:val="0D0D0D" w:themeColor="text1" w:themeTint="F2"/>
                <w:spacing w:val="-4"/>
                <w:sz w:val="14"/>
                <w:szCs w:val="14"/>
                <w:lang w:eastAsia="en-US"/>
              </w:rPr>
              <w:t xml:space="preserve">Pozn.: Míry nezaměstnanosti jsou sezónně očištěny. </w:t>
            </w:r>
          </w:p>
          <w:p w14:paraId="21DD3E63" w14:textId="77777777" w:rsidR="000C004E" w:rsidRDefault="000C004E">
            <w:pPr>
              <w:spacing w:after="0" w:line="240" w:lineRule="auto"/>
              <w:rPr>
                <w:rFonts w:cs="Arial"/>
                <w:color w:val="0D0D0D" w:themeColor="text1" w:themeTint="F2"/>
                <w:spacing w:val="-4"/>
                <w:sz w:val="14"/>
                <w:szCs w:val="14"/>
                <w:lang w:eastAsia="en-US"/>
              </w:rPr>
            </w:pPr>
            <w:r>
              <w:rPr>
                <w:rFonts w:cs="Arial"/>
                <w:color w:val="0D0D0D" w:themeColor="text1" w:themeTint="F2"/>
                <w:spacing w:val="-4"/>
                <w:sz w:val="14"/>
                <w:szCs w:val="14"/>
                <w:lang w:eastAsia="en-US"/>
              </w:rPr>
              <w:t>VPM = pouze volná pracovní místa s délkou evidence do šesti měsíců. (stav na konci čtvrtletí).</w:t>
            </w:r>
          </w:p>
          <w:p w14:paraId="3FAF2AF1" w14:textId="77777777" w:rsidR="000C004E" w:rsidRDefault="000C004E">
            <w:pPr>
              <w:spacing w:after="0" w:line="240" w:lineRule="auto"/>
              <w:rPr>
                <w:rFonts w:cs="Arial"/>
                <w:color w:val="0D0D0D" w:themeColor="text1" w:themeTint="F2"/>
                <w:spacing w:val="-2"/>
                <w:sz w:val="14"/>
                <w:szCs w:val="14"/>
                <w:lang w:eastAsia="en-US"/>
              </w:rPr>
            </w:pPr>
            <w:r>
              <w:rPr>
                <w:rFonts w:cs="Arial"/>
                <w:color w:val="0D0D0D" w:themeColor="text1" w:themeTint="F2"/>
                <w:spacing w:val="-2"/>
                <w:sz w:val="14"/>
                <w:szCs w:val="14"/>
                <w:lang w:eastAsia="en-US"/>
              </w:rPr>
              <w:t>*Sezónně očištěné saldo očekávání nezaměstnanosti v nejbližších 12 měsících (rozdíl mezi procentuální četností odpovědí domácností, růst a pokles vyjádřený v procentních bodech). Vztahuje se k prostřednímu měsíci daného čtvrtletí.</w:t>
            </w:r>
          </w:p>
          <w:p w14:paraId="3E0F2443" w14:textId="77777777" w:rsidR="000C004E" w:rsidRDefault="000C004E">
            <w:pPr>
              <w:spacing w:after="0" w:line="240" w:lineRule="auto"/>
              <w:rPr>
                <w:rFonts w:cs="Arial"/>
                <w:color w:val="0D0D0D" w:themeColor="text1" w:themeTint="F2"/>
                <w:spacing w:val="-2"/>
                <w:sz w:val="14"/>
                <w:szCs w:val="14"/>
                <w:lang w:eastAsia="en-US"/>
              </w:rPr>
            </w:pPr>
            <w:r>
              <w:rPr>
                <w:rFonts w:cs="Arial"/>
                <w:color w:val="0D0D0D" w:themeColor="text1" w:themeTint="F2"/>
                <w:spacing w:val="-2"/>
                <w:sz w:val="14"/>
                <w:szCs w:val="14"/>
                <w:lang w:eastAsia="en-US"/>
              </w:rPr>
              <w:t>**Počet cizinců v postavení zaměstnanců evidovaných na úřadech práce v ČR na konci příslušného čtvrtletí.</w:t>
            </w:r>
          </w:p>
          <w:p w14:paraId="65EEE778" w14:textId="77777777" w:rsidR="000C004E" w:rsidRDefault="000C004E">
            <w:pPr>
              <w:spacing w:after="200" w:line="240" w:lineRule="auto"/>
              <w:rPr>
                <w:rFonts w:cs="Arial"/>
                <w:color w:val="0D0D0D" w:themeColor="text1" w:themeTint="F2"/>
                <w:spacing w:val="-2"/>
                <w:sz w:val="14"/>
                <w:szCs w:val="14"/>
                <w:lang w:eastAsia="en-US"/>
              </w:rPr>
            </w:pPr>
            <w:r>
              <w:rPr>
                <w:rFonts w:cs="Arial"/>
                <w:color w:val="0D0D0D" w:themeColor="text1" w:themeTint="F2"/>
                <w:spacing w:val="-2"/>
                <w:sz w:val="14"/>
                <w:szCs w:val="14"/>
                <w:lang w:eastAsia="en-US"/>
              </w:rPr>
              <w:t>Zdroj: ČSÚ (VŠPS, konjunkturální průzkum), MPSV (VPM registrovaná na úřadech práce v ČR, zaměstnaní cizinci)</w:t>
            </w:r>
          </w:p>
        </w:tc>
      </w:tr>
      <w:tr w:rsidR="000C004E" w14:paraId="2AA1424C" w14:textId="77777777" w:rsidTr="000C004E">
        <w:trPr>
          <w:trHeight w:val="132"/>
        </w:trPr>
        <w:tc>
          <w:tcPr>
            <w:tcW w:w="1761" w:type="dxa"/>
          </w:tcPr>
          <w:p w14:paraId="4CAB215F" w14:textId="77777777" w:rsidR="000C004E" w:rsidRDefault="000C004E">
            <w:pPr>
              <w:pStyle w:val="Marginlie"/>
              <w:rPr>
                <w:color w:val="0D0D0D" w:themeColor="text1" w:themeTint="F2"/>
                <w:spacing w:val="0"/>
                <w:lang w:eastAsia="en-US"/>
              </w:rPr>
            </w:pPr>
            <w:r>
              <w:rPr>
                <w:color w:val="0D0D0D" w:themeColor="text1" w:themeTint="F2"/>
                <w:spacing w:val="0"/>
                <w:lang w:eastAsia="en-US"/>
              </w:rPr>
              <w:t>Meziroční růst průměrných mezd činil na počátku roku 6,7 %, nejméně za posledních pět kvartálů.</w:t>
            </w:r>
          </w:p>
          <w:p w14:paraId="5C2C2748" w14:textId="77777777" w:rsidR="000C004E" w:rsidRDefault="000C004E">
            <w:pPr>
              <w:pStyle w:val="Marginlie"/>
              <w:rPr>
                <w:color w:val="0D0D0D" w:themeColor="text1" w:themeTint="F2"/>
                <w:spacing w:val="-4"/>
                <w:lang w:eastAsia="en-US"/>
              </w:rPr>
            </w:pPr>
          </w:p>
        </w:tc>
        <w:tc>
          <w:tcPr>
            <w:tcW w:w="198" w:type="dxa"/>
          </w:tcPr>
          <w:p w14:paraId="24EBD2F8" w14:textId="77777777" w:rsidR="000C004E" w:rsidRDefault="000C004E">
            <w:pPr>
              <w:pStyle w:val="Textpoznpodarou"/>
              <w:jc w:val="both"/>
              <w:rPr>
                <w:color w:val="0D0D0D" w:themeColor="text1" w:themeTint="F2"/>
                <w:spacing w:val="-4"/>
                <w:lang w:eastAsia="en-US"/>
              </w:rPr>
            </w:pPr>
          </w:p>
        </w:tc>
        <w:tc>
          <w:tcPr>
            <w:tcW w:w="7715" w:type="dxa"/>
            <w:hideMark/>
          </w:tcPr>
          <w:p w14:paraId="06093775" w14:textId="77777777" w:rsidR="000C004E" w:rsidRDefault="000C004E">
            <w:pPr>
              <w:spacing w:after="200"/>
              <w:rPr>
                <w:rFonts w:eastAsia="MS Gothic" w:cs="Arial"/>
                <w:color w:val="0D0D0D" w:themeColor="text1" w:themeTint="F2"/>
                <w:spacing w:val="-6"/>
                <w:szCs w:val="20"/>
                <w:lang w:eastAsia="en-US"/>
              </w:rPr>
            </w:pPr>
            <w:r>
              <w:rPr>
                <w:rStyle w:val="normaltextrun"/>
                <w:rFonts w:eastAsia="MS Gothic" w:cs="Arial"/>
                <w:color w:val="0D0D0D" w:themeColor="text1" w:themeTint="F2"/>
                <w:spacing w:val="-6"/>
                <w:szCs w:val="20"/>
                <w:lang w:eastAsia="en-US"/>
              </w:rPr>
              <w:t xml:space="preserve">V 1. čtvrtletí 2025 vystoupala průměrná hrubá měsíční nominální mzda v národním hospodářství na 46 924 korun a meziročně byla vyšší o 6,7 %. Ve srovnání s předchozím čtvrtletím dosáhl mzdový růst </w:t>
            </w:r>
            <w:r>
              <w:rPr>
                <w:rStyle w:val="normaltextrun"/>
                <w:rFonts w:cs="Arial"/>
                <w:color w:val="000000"/>
                <w:szCs w:val="20"/>
                <w:lang w:eastAsia="en-US"/>
              </w:rPr>
              <w:t xml:space="preserve">(po sezónním očištění) 1,7 % a na podobné úrovni kolísal </w:t>
            </w:r>
            <w:r>
              <w:rPr>
                <w:rStyle w:val="normaltextrun"/>
                <w:rFonts w:cs="Arial"/>
                <w:color w:val="000000"/>
                <w:szCs w:val="20"/>
                <w:lang w:eastAsia="en-US"/>
              </w:rPr>
              <w:br/>
              <w:t>i po většinu loňského roku. Z meziročních temp je však patrné, že dynamika nominálních mezd mírně zvolňuje, neboť aktuální růst byl nejslabší od konce roku 2023.</w:t>
            </w:r>
          </w:p>
        </w:tc>
      </w:tr>
      <w:tr w:rsidR="000C004E" w14:paraId="18D03756" w14:textId="77777777" w:rsidTr="000C004E">
        <w:trPr>
          <w:trHeight w:val="132"/>
        </w:trPr>
        <w:tc>
          <w:tcPr>
            <w:tcW w:w="1761" w:type="dxa"/>
            <w:hideMark/>
          </w:tcPr>
          <w:p w14:paraId="07791955" w14:textId="77777777" w:rsidR="000C004E" w:rsidRDefault="000C004E">
            <w:pPr>
              <w:pStyle w:val="Marginlie"/>
              <w:rPr>
                <w:color w:val="0D0D0D" w:themeColor="text1" w:themeTint="F2"/>
                <w:spacing w:val="-5"/>
                <w:lang w:eastAsia="en-US"/>
              </w:rPr>
            </w:pPr>
            <w:r>
              <w:rPr>
                <w:color w:val="0D0D0D" w:themeColor="text1" w:themeTint="F2"/>
                <w:spacing w:val="0"/>
                <w:lang w:eastAsia="en-US"/>
              </w:rPr>
              <w:t>Existují významné faktory působící ve směru vyššího růstu mezd, ale také ty s opačným efektem.</w:t>
            </w:r>
          </w:p>
        </w:tc>
        <w:tc>
          <w:tcPr>
            <w:tcW w:w="198" w:type="dxa"/>
          </w:tcPr>
          <w:p w14:paraId="4BCD7C70" w14:textId="77777777" w:rsidR="000C004E" w:rsidRDefault="000C004E">
            <w:pPr>
              <w:pStyle w:val="Textpoznpodarou"/>
              <w:jc w:val="both"/>
              <w:rPr>
                <w:color w:val="0D0D0D" w:themeColor="text1" w:themeTint="F2"/>
                <w:spacing w:val="-4"/>
                <w:lang w:eastAsia="en-US"/>
              </w:rPr>
            </w:pPr>
          </w:p>
        </w:tc>
        <w:tc>
          <w:tcPr>
            <w:tcW w:w="7715" w:type="dxa"/>
            <w:hideMark/>
          </w:tcPr>
          <w:p w14:paraId="252BB51F" w14:textId="77777777" w:rsidR="000C004E" w:rsidRDefault="000C004E" w:rsidP="002F3E4F">
            <w:pPr>
              <w:rPr>
                <w:color w:val="0D0D0D" w:themeColor="text1" w:themeTint="F2"/>
                <w:spacing w:val="-6"/>
                <w:lang w:eastAsia="en-US"/>
              </w:rPr>
            </w:pPr>
            <w:r>
              <w:rPr>
                <w:spacing w:val="-6"/>
                <w:lang w:eastAsia="en-US"/>
              </w:rPr>
              <w:t>Ve směru růstu nominální mzdy stále působila relativně vysoká poptávka podniků po pracovní síle v řadě odvětví (zejména ve stavebnictví a službách) či zvýšený tlak zaměstnanců pramenící i z napjatých rodinných rozpočtů vlivem stále vysokého růstu cen některých položek spotřebního koše i jiných výdajů (splátky hypoték). Dynamičtější mzdový růst v řadě odvětví umožňovala i přetrvávající vysoká míra zisku podniků. V některých n</w:t>
            </w:r>
            <w:r>
              <w:rPr>
                <w:lang w:eastAsia="en-US"/>
              </w:rPr>
              <w:t xml:space="preserve">ízkovýdělkových </w:t>
            </w:r>
            <w:r>
              <w:rPr>
                <w:spacing w:val="-6"/>
                <w:lang w:eastAsia="en-US"/>
              </w:rPr>
              <w:t>odvětvích mohlo mít dílčí vliv zrychlené navyšování minimální mzdy</w:t>
            </w:r>
            <w:r>
              <w:rPr>
                <w:vertAlign w:val="superscript"/>
                <w:lang w:eastAsia="en-US"/>
              </w:rPr>
              <w:footnoteReference w:id="84"/>
            </w:r>
            <w:r>
              <w:rPr>
                <w:spacing w:val="-6"/>
                <w:lang w:eastAsia="en-US"/>
              </w:rPr>
              <w:t>. M</w:t>
            </w:r>
            <w:r>
              <w:rPr>
                <w:color w:val="0D0D0D" w:themeColor="text1" w:themeTint="F2"/>
                <w:spacing w:val="-6"/>
                <w:lang w:eastAsia="en-US"/>
              </w:rPr>
              <w:t xml:space="preserve">zdový růst </w:t>
            </w:r>
            <w:r>
              <w:rPr>
                <w:color w:val="0D0D0D" w:themeColor="text1" w:themeTint="F2"/>
                <w:spacing w:val="-6"/>
                <w:lang w:eastAsia="en-US"/>
              </w:rPr>
              <w:lastRenderedPageBreak/>
              <w:t>v ekonomice naopak stále tlumila sílící potřeba úspor v rozpočtové sféře i</w:t>
            </w:r>
            <w:r>
              <w:rPr>
                <w:color w:val="0D0D0D" w:themeColor="text1" w:themeTint="F2"/>
                <w:lang w:eastAsia="en-US"/>
              </w:rPr>
              <w:t xml:space="preserve"> </w:t>
            </w:r>
            <w:r>
              <w:rPr>
                <w:color w:val="0D0D0D" w:themeColor="text1" w:themeTint="F2"/>
                <w:spacing w:val="-6"/>
                <w:lang w:eastAsia="en-US"/>
              </w:rPr>
              <w:t>s</w:t>
            </w:r>
            <w:r>
              <w:rPr>
                <w:color w:val="0D0D0D" w:themeColor="text1" w:themeTint="F2"/>
                <w:lang w:eastAsia="en-US"/>
              </w:rPr>
              <w:t xml:space="preserve">tále </w:t>
            </w:r>
            <w:r>
              <w:rPr>
                <w:color w:val="0D0D0D" w:themeColor="text1" w:themeTint="F2"/>
                <w:spacing w:val="-6"/>
                <w:lang w:eastAsia="en-US"/>
              </w:rPr>
              <w:t>rostoucí počet zahraničních pracovníků ze „třetích zemí“. Ti nezřídka pracují na nízkokvalifikovaných pozicích</w:t>
            </w:r>
            <w:r>
              <w:rPr>
                <w:vertAlign w:val="superscript"/>
                <w:lang w:eastAsia="en-US"/>
              </w:rPr>
              <w:footnoteReference w:id="85"/>
            </w:r>
            <w:r>
              <w:rPr>
                <w:color w:val="0D0D0D" w:themeColor="text1" w:themeTint="F2"/>
                <w:spacing w:val="-6"/>
                <w:lang w:eastAsia="en-US"/>
              </w:rPr>
              <w:t xml:space="preserve"> a jejich výdělky tudíž zpravidla nedosahují úrovně občanů ČR.</w:t>
            </w:r>
            <w:bookmarkStart w:id="26" w:name="_GoBack"/>
            <w:bookmarkEnd w:id="26"/>
          </w:p>
        </w:tc>
      </w:tr>
      <w:tr w:rsidR="000C004E" w14:paraId="24E0ABD4" w14:textId="77777777" w:rsidTr="000C004E">
        <w:trPr>
          <w:trHeight w:val="132"/>
        </w:trPr>
        <w:tc>
          <w:tcPr>
            <w:tcW w:w="1761" w:type="dxa"/>
            <w:hideMark/>
          </w:tcPr>
          <w:p w14:paraId="06E7A641" w14:textId="77777777" w:rsidR="000C004E" w:rsidRDefault="000C004E">
            <w:pPr>
              <w:pStyle w:val="Marginlie"/>
              <w:rPr>
                <w:color w:val="0D0D0D" w:themeColor="text1" w:themeTint="F2"/>
                <w:spacing w:val="0"/>
                <w:lang w:eastAsia="en-US"/>
              </w:rPr>
            </w:pPr>
            <w:r>
              <w:rPr>
                <w:color w:val="0D0D0D" w:themeColor="text1" w:themeTint="F2"/>
                <w:spacing w:val="0"/>
                <w:lang w:eastAsia="en-US"/>
              </w:rPr>
              <w:lastRenderedPageBreak/>
              <w:t>K</w:t>
            </w:r>
            <w:r>
              <w:rPr>
                <w:color w:val="0D0D0D" w:themeColor="text1" w:themeTint="F2"/>
                <w:lang w:eastAsia="en-US"/>
              </w:rPr>
              <w:t xml:space="preserve">upní sila mezd se zvýšila ve všech hlavních odvětvích. Reálná úroveň mzdy se ale stále nacházela pouze na </w:t>
            </w:r>
            <w:r>
              <w:rPr>
                <w:color w:val="0D0D0D" w:themeColor="text1" w:themeTint="F2"/>
                <w:spacing w:val="-4"/>
                <w:lang w:eastAsia="en-US"/>
              </w:rPr>
              <w:t>úrovni z konce roku 2018.</w:t>
            </w:r>
          </w:p>
        </w:tc>
        <w:tc>
          <w:tcPr>
            <w:tcW w:w="198" w:type="dxa"/>
          </w:tcPr>
          <w:p w14:paraId="7FE1AE14" w14:textId="77777777" w:rsidR="000C004E" w:rsidRDefault="000C004E">
            <w:pPr>
              <w:pStyle w:val="Textpoznpodarou"/>
              <w:jc w:val="both"/>
              <w:rPr>
                <w:color w:val="0D0D0D" w:themeColor="text1" w:themeTint="F2"/>
                <w:spacing w:val="-4"/>
                <w:lang w:eastAsia="en-US"/>
              </w:rPr>
            </w:pPr>
          </w:p>
        </w:tc>
        <w:tc>
          <w:tcPr>
            <w:tcW w:w="7715" w:type="dxa"/>
            <w:hideMark/>
          </w:tcPr>
          <w:p w14:paraId="0FE02463" w14:textId="77777777" w:rsidR="000C004E" w:rsidRDefault="000C004E">
            <w:pPr>
              <w:spacing w:after="200"/>
              <w:rPr>
                <w:rStyle w:val="normaltextrun"/>
                <w:rFonts w:eastAsia="MS Gothic" w:cs="Arial"/>
                <w:szCs w:val="20"/>
              </w:rPr>
            </w:pPr>
            <w:r>
              <w:rPr>
                <w:rStyle w:val="normaltextrun"/>
                <w:rFonts w:eastAsia="MS Gothic" w:cs="Arial"/>
                <w:szCs w:val="20"/>
                <w:lang w:eastAsia="en-US"/>
              </w:rPr>
              <w:t xml:space="preserve">Hlavně díky zklidnění růstu cenové hladiny v ekonomice pokračoval očekávaný růst reálné mzdy, jenž v 1. čtvrtletí 2025 činil meziročně 3,9 %, což bylo stejně jako na konci předchozího roku (ale méně než za celý rok 2024: kdy šlo o 4,7 %). Kupní síla zaměstnaneckých výdělků sice meziročně svižně rostla pátý kvartál v řadě, ale hlubší propady z let 2022 (−9,4 %) i 2023 (−3,2 %) zatím zdaleka nedohnala (současná </w:t>
            </w:r>
            <w:r>
              <w:rPr>
                <w:rStyle w:val="normaltextrun"/>
                <w:rFonts w:eastAsia="MS Gothic" w:cs="Arial"/>
                <w:spacing w:val="-6"/>
                <w:szCs w:val="20"/>
                <w:lang w:eastAsia="en-US"/>
              </w:rPr>
              <w:t>průměrná mzda se reálně nacházela stále pouze na úrovni z konce roku 2018).</w:t>
            </w:r>
            <w:r>
              <w:rPr>
                <w:rStyle w:val="normaltextrun"/>
                <w:rFonts w:eastAsia="MS Gothic" w:cs="Arial"/>
                <w:szCs w:val="20"/>
                <w:lang w:eastAsia="en-US"/>
              </w:rPr>
              <w:t xml:space="preserve"> Pozitivní je, že alespoň k minimálnímu navýšení reálné mzdy došlo v 1. čtvrtletí 2025 ve všech hlavních odvětvích ekonomiky.</w:t>
            </w:r>
          </w:p>
        </w:tc>
      </w:tr>
      <w:tr w:rsidR="000C004E" w14:paraId="0CCAC924" w14:textId="77777777" w:rsidTr="000C004E">
        <w:trPr>
          <w:trHeight w:val="132"/>
        </w:trPr>
        <w:tc>
          <w:tcPr>
            <w:tcW w:w="1761" w:type="dxa"/>
          </w:tcPr>
          <w:p w14:paraId="5A2CB0E4" w14:textId="77777777" w:rsidR="000C004E" w:rsidRDefault="000C004E">
            <w:pPr>
              <w:pStyle w:val="Marginlie"/>
              <w:rPr>
                <w:color w:val="0D0D0D" w:themeColor="text1" w:themeTint="F2"/>
                <w:spacing w:val="0"/>
              </w:rPr>
            </w:pPr>
            <w:r>
              <w:rPr>
                <w:color w:val="0D0D0D" w:themeColor="text1" w:themeTint="F2"/>
                <w:spacing w:val="0"/>
                <w:lang w:eastAsia="en-US"/>
              </w:rPr>
              <w:t xml:space="preserve">Pokračoval dynamický mzdový růst v oblasti </w:t>
            </w:r>
            <w:r>
              <w:rPr>
                <w:color w:val="0D0D0D" w:themeColor="text1" w:themeTint="F2"/>
                <w:spacing w:val="-4"/>
                <w:lang w:eastAsia="en-US"/>
              </w:rPr>
              <w:t>nemovitostí. V absolutním</w:t>
            </w:r>
            <w:r>
              <w:rPr>
                <w:color w:val="0D0D0D" w:themeColor="text1" w:themeTint="F2"/>
                <w:spacing w:val="0"/>
                <w:lang w:eastAsia="en-US"/>
              </w:rPr>
              <w:t xml:space="preserve"> vyjádření si však nejvíce polepšili zaměstnanci v oblasti ICT.</w:t>
            </w:r>
          </w:p>
          <w:p w14:paraId="7F8B029A" w14:textId="77777777" w:rsidR="000C004E" w:rsidRDefault="000C004E">
            <w:pPr>
              <w:pStyle w:val="Marginlie"/>
              <w:rPr>
                <w:color w:val="0D0D0D" w:themeColor="text1" w:themeTint="F2"/>
                <w:spacing w:val="0"/>
                <w:lang w:eastAsia="en-US"/>
              </w:rPr>
            </w:pPr>
          </w:p>
          <w:p w14:paraId="12EFBDBE" w14:textId="77777777" w:rsidR="000C004E" w:rsidRDefault="000C004E">
            <w:pPr>
              <w:pStyle w:val="Marginlie"/>
              <w:rPr>
                <w:color w:val="0D0D0D" w:themeColor="text1" w:themeTint="F2"/>
                <w:spacing w:val="0"/>
                <w:lang w:eastAsia="en-US"/>
              </w:rPr>
            </w:pPr>
          </w:p>
          <w:p w14:paraId="124ED5CD" w14:textId="77777777" w:rsidR="000C004E" w:rsidRDefault="000C004E">
            <w:pPr>
              <w:pStyle w:val="Marginlie"/>
              <w:rPr>
                <w:color w:val="0D0D0D" w:themeColor="text1" w:themeTint="F2"/>
                <w:spacing w:val="0"/>
                <w:lang w:eastAsia="en-US"/>
              </w:rPr>
            </w:pPr>
          </w:p>
          <w:p w14:paraId="756CE0A7" w14:textId="77777777" w:rsidR="000C004E" w:rsidRDefault="000C004E">
            <w:pPr>
              <w:pStyle w:val="Marginlie"/>
              <w:rPr>
                <w:color w:val="0D0D0D" w:themeColor="text1" w:themeTint="F2"/>
                <w:spacing w:val="0"/>
                <w:lang w:eastAsia="en-US"/>
              </w:rPr>
            </w:pPr>
          </w:p>
          <w:p w14:paraId="6CF355EF" w14:textId="77777777" w:rsidR="000C004E" w:rsidRDefault="000C004E">
            <w:pPr>
              <w:pStyle w:val="Marginlie"/>
              <w:rPr>
                <w:color w:val="0D0D0D" w:themeColor="text1" w:themeTint="F2"/>
                <w:spacing w:val="0"/>
                <w:lang w:eastAsia="en-US"/>
              </w:rPr>
            </w:pPr>
          </w:p>
          <w:p w14:paraId="4E34A7FC" w14:textId="77777777" w:rsidR="000C004E" w:rsidRDefault="000C004E">
            <w:pPr>
              <w:pStyle w:val="Marginlie"/>
              <w:rPr>
                <w:color w:val="0D0D0D" w:themeColor="text1" w:themeTint="F2"/>
                <w:spacing w:val="0"/>
                <w:lang w:eastAsia="en-US"/>
              </w:rPr>
            </w:pPr>
          </w:p>
          <w:p w14:paraId="551D599E" w14:textId="77777777" w:rsidR="000C004E" w:rsidRDefault="000C004E">
            <w:pPr>
              <w:pStyle w:val="Marginlie"/>
              <w:rPr>
                <w:color w:val="0D0D0D" w:themeColor="text1" w:themeTint="F2"/>
                <w:spacing w:val="0"/>
                <w:lang w:eastAsia="en-US"/>
              </w:rPr>
            </w:pPr>
          </w:p>
          <w:p w14:paraId="6203F1E4" w14:textId="77777777" w:rsidR="000C004E" w:rsidRDefault="000C004E">
            <w:pPr>
              <w:pStyle w:val="Marginlie"/>
              <w:rPr>
                <w:color w:val="0D0D0D" w:themeColor="text1" w:themeTint="F2"/>
                <w:spacing w:val="0"/>
                <w:lang w:eastAsia="en-US"/>
              </w:rPr>
            </w:pPr>
            <w:r>
              <w:rPr>
                <w:color w:val="0D0D0D" w:themeColor="text1" w:themeTint="F2"/>
                <w:spacing w:val="0"/>
                <w:lang w:eastAsia="en-US"/>
              </w:rPr>
              <w:t>Stavebnictví vykázalo svižný růst mezd druhý rok v řadě.</w:t>
            </w:r>
          </w:p>
          <w:p w14:paraId="4C639C75" w14:textId="77777777" w:rsidR="000C004E" w:rsidRDefault="000C004E">
            <w:pPr>
              <w:pStyle w:val="Marginlie"/>
              <w:rPr>
                <w:color w:val="0D0D0D" w:themeColor="text1" w:themeTint="F2"/>
                <w:spacing w:val="0"/>
                <w:lang w:eastAsia="en-US"/>
              </w:rPr>
            </w:pPr>
          </w:p>
        </w:tc>
        <w:tc>
          <w:tcPr>
            <w:tcW w:w="198" w:type="dxa"/>
          </w:tcPr>
          <w:p w14:paraId="24760C2C" w14:textId="77777777" w:rsidR="000C004E" w:rsidRDefault="000C004E">
            <w:pPr>
              <w:pStyle w:val="Textpoznpodarou"/>
              <w:jc w:val="both"/>
              <w:rPr>
                <w:color w:val="0D0D0D" w:themeColor="text1" w:themeTint="F2"/>
                <w:spacing w:val="-4"/>
                <w:lang w:eastAsia="en-US"/>
              </w:rPr>
            </w:pPr>
          </w:p>
        </w:tc>
        <w:tc>
          <w:tcPr>
            <w:tcW w:w="7715" w:type="dxa"/>
            <w:hideMark/>
          </w:tcPr>
          <w:p w14:paraId="5FBDBB64" w14:textId="77777777" w:rsidR="000C004E" w:rsidRDefault="000C004E">
            <w:pPr>
              <w:spacing w:after="200"/>
              <w:rPr>
                <w:rStyle w:val="normaltextrun"/>
                <w:rFonts w:eastAsia="MS Gothic" w:cs="Arial"/>
                <w:spacing w:val="-6"/>
                <w:szCs w:val="20"/>
              </w:rPr>
            </w:pPr>
            <w:r>
              <w:rPr>
                <w:rStyle w:val="normaltextrun"/>
                <w:rFonts w:eastAsia="MS Gothic" w:cs="Arial"/>
                <w:spacing w:val="-6"/>
                <w:szCs w:val="20"/>
                <w:lang w:eastAsia="en-US"/>
              </w:rPr>
              <w:t>Souhrnný růst průměrné mzdy zakrývá tradičně velmi různorodý vývoj na úrovni jednotlivých oborů, podniků či organizací.</w:t>
            </w:r>
            <w:r>
              <w:rPr>
                <w:rStyle w:val="normaltextrun"/>
                <w:rFonts w:eastAsia="MS Gothic" w:cs="Arial"/>
                <w:spacing w:val="-6"/>
                <w:lang w:eastAsia="en-US"/>
              </w:rPr>
              <w:t xml:space="preserve"> </w:t>
            </w:r>
            <w:r>
              <w:rPr>
                <w:rStyle w:val="normaltextrun"/>
                <w:rFonts w:cs="Arial"/>
                <w:color w:val="000000"/>
                <w:szCs w:val="20"/>
                <w:lang w:eastAsia="en-US"/>
              </w:rPr>
              <w:t>V 1. čtvrtletí 2025 r</w:t>
            </w:r>
            <w:r>
              <w:rPr>
                <w:rStyle w:val="normaltextrun"/>
                <w:rFonts w:cs="Arial"/>
                <w:color w:val="000000"/>
                <w:lang w:eastAsia="en-US"/>
              </w:rPr>
              <w:t xml:space="preserve">ostly </w:t>
            </w:r>
            <w:r>
              <w:rPr>
                <w:rStyle w:val="normaltextrun"/>
                <w:rFonts w:cs="Arial"/>
                <w:color w:val="000000"/>
                <w:szCs w:val="20"/>
                <w:lang w:eastAsia="en-US"/>
              </w:rPr>
              <w:t>průměrné mzdy n</w:t>
            </w:r>
            <w:r>
              <w:rPr>
                <w:rStyle w:val="normaltextrun"/>
                <w:rFonts w:cs="Arial"/>
                <w:color w:val="000000"/>
                <w:lang w:eastAsia="en-US"/>
              </w:rPr>
              <w:t xml:space="preserve">ejrychleji </w:t>
            </w:r>
            <w:r>
              <w:rPr>
                <w:rStyle w:val="normaltextrun"/>
                <w:rFonts w:cs="Arial"/>
                <w:color w:val="000000"/>
                <w:szCs w:val="20"/>
                <w:lang w:eastAsia="en-US"/>
              </w:rPr>
              <w:t xml:space="preserve">v malém odvětví činnosti v oblasti nemovitostí (+12,4 %) a navázaly na dvouciferný růst z loňského roku. Díky tomu se zde mzdová výše poprvé po dlouhé době dostala nad úroveň celé ekonomiky. Svižně rostly výdělky i v profesních, vědeckých a technických činnostech (+10,9 %), což je zároveň odvětví s poměrně vysokou mzdovou úrovní (61,6 tis. korun měsíčně). Mzdové tempo zde postupně </w:t>
            </w:r>
            <w:r>
              <w:rPr>
                <w:rStyle w:val="normaltextrun"/>
                <w:rFonts w:eastAsia="MS Gothic" w:cs="Arial"/>
                <w:spacing w:val="-6"/>
                <w:szCs w:val="20"/>
                <w:lang w:eastAsia="en-US"/>
              </w:rPr>
              <w:t xml:space="preserve">zrychlovalo a bylo doprovázeno také nadprůměrným růstem zaměstnanosti. Pokračující zotavování příjezdového cestovního ruchu i navyšování hranice minimální mzdy se promítly do 9,2% růstu mezd v ubytování, stravování a pohostinství. Přestože se v tomto odvětví mzdy navyšovaly relativně svižně i loni, jejich současná úroveň dosahuje pouze 60 % hodnoty v národním hospodářství. V dlouhodobě rozvíjejícím se odvětví informačních a komunikačních činností se mzdy zvýšily o 8,8 % a potvrdily tak jeho výsadní postavení (výše výdělků zde převyšovala úroveň celé ekonomiky již skoro dvojnásobně). </w:t>
            </w:r>
            <w:r>
              <w:rPr>
                <w:rStyle w:val="normaltextrun"/>
                <w:rFonts w:cs="Arial"/>
                <w:color w:val="000000"/>
                <w:szCs w:val="20"/>
                <w:lang w:eastAsia="en-US"/>
              </w:rPr>
              <w:t xml:space="preserve">Mimo terciární sféru rostly mzdy dynamicky již pouze ve stavebnictví (+10,3 %), kde výdělky rostly nadprůměrně i po celý loňský rok. Jejich tempo odráželo zlepšenou ekonomickou situaci podniků a zároveň bylo i reakcí na </w:t>
            </w:r>
            <w:r>
              <w:rPr>
                <w:rStyle w:val="normaltextrun"/>
                <w:rFonts w:eastAsia="MS Gothic" w:cs="Arial"/>
                <w:spacing w:val="-6"/>
                <w:szCs w:val="20"/>
                <w:lang w:eastAsia="en-US"/>
              </w:rPr>
              <w:t>problém s chronickým nedostatkem zejména kvalifikované pracovní síly.</w:t>
            </w:r>
          </w:p>
        </w:tc>
      </w:tr>
      <w:tr w:rsidR="000C004E" w14:paraId="584F1A23" w14:textId="77777777" w:rsidTr="000C004E">
        <w:trPr>
          <w:trHeight w:val="132"/>
        </w:trPr>
        <w:tc>
          <w:tcPr>
            <w:tcW w:w="1761" w:type="dxa"/>
          </w:tcPr>
          <w:p w14:paraId="5A932D70" w14:textId="77777777" w:rsidR="000C004E" w:rsidRDefault="000C004E">
            <w:pPr>
              <w:pStyle w:val="Marginlie"/>
              <w:rPr>
                <w:color w:val="0D0D0D" w:themeColor="text1" w:themeTint="F2"/>
                <w:spacing w:val="0"/>
              </w:rPr>
            </w:pPr>
            <w:r>
              <w:rPr>
                <w:color w:val="0D0D0D" w:themeColor="text1" w:themeTint="F2"/>
                <w:spacing w:val="0"/>
                <w:lang w:eastAsia="en-US"/>
              </w:rPr>
              <w:t>Ve většině významnějších odvětví průmyslu probíhal slabší mzdový růst současně s redukcí zaměstnaneckých míst.</w:t>
            </w:r>
          </w:p>
          <w:p w14:paraId="5B4306D7" w14:textId="77777777" w:rsidR="000C004E" w:rsidRDefault="000C004E">
            <w:pPr>
              <w:pStyle w:val="Marginlie"/>
              <w:rPr>
                <w:color w:val="0D0D0D" w:themeColor="text1" w:themeTint="F2"/>
                <w:spacing w:val="0"/>
                <w:lang w:eastAsia="en-US"/>
              </w:rPr>
            </w:pPr>
          </w:p>
          <w:p w14:paraId="356A4830" w14:textId="77777777" w:rsidR="000C004E" w:rsidRDefault="000C004E">
            <w:pPr>
              <w:pStyle w:val="Marginlie"/>
              <w:rPr>
                <w:color w:val="0D0D0D" w:themeColor="text1" w:themeTint="F2"/>
                <w:spacing w:val="0"/>
                <w:lang w:eastAsia="en-US"/>
              </w:rPr>
            </w:pPr>
          </w:p>
          <w:p w14:paraId="49602A5C" w14:textId="77777777" w:rsidR="000C004E" w:rsidRDefault="000C004E">
            <w:pPr>
              <w:pStyle w:val="Marginlie"/>
              <w:rPr>
                <w:color w:val="0D0D0D" w:themeColor="text1" w:themeTint="F2"/>
                <w:spacing w:val="0"/>
                <w:lang w:eastAsia="en-US"/>
              </w:rPr>
            </w:pPr>
          </w:p>
          <w:p w14:paraId="0945EBDC" w14:textId="77777777" w:rsidR="000C004E" w:rsidRDefault="000C004E">
            <w:pPr>
              <w:pStyle w:val="Marginlie"/>
              <w:rPr>
                <w:color w:val="0D0D0D" w:themeColor="text1" w:themeTint="F2"/>
                <w:spacing w:val="0"/>
                <w:lang w:eastAsia="en-US"/>
              </w:rPr>
            </w:pPr>
          </w:p>
          <w:p w14:paraId="5A7601A1" w14:textId="77777777" w:rsidR="000C004E" w:rsidRDefault="000C004E">
            <w:pPr>
              <w:pStyle w:val="Marginlie"/>
              <w:rPr>
                <w:color w:val="0D0D0D" w:themeColor="text1" w:themeTint="F2"/>
                <w:spacing w:val="0"/>
                <w:lang w:eastAsia="en-US"/>
              </w:rPr>
            </w:pPr>
          </w:p>
          <w:p w14:paraId="7C296BDB" w14:textId="77777777" w:rsidR="000C004E" w:rsidRDefault="000C004E">
            <w:pPr>
              <w:pStyle w:val="Marginlie"/>
              <w:rPr>
                <w:color w:val="0D0D0D" w:themeColor="text1" w:themeTint="F2"/>
                <w:spacing w:val="0"/>
                <w:lang w:eastAsia="en-US"/>
              </w:rPr>
            </w:pPr>
          </w:p>
          <w:p w14:paraId="5C1B9FC0" w14:textId="77777777" w:rsidR="000C004E" w:rsidRDefault="000C004E">
            <w:pPr>
              <w:pStyle w:val="Marginlie"/>
              <w:rPr>
                <w:color w:val="0D0D0D" w:themeColor="text1" w:themeTint="F2"/>
                <w:spacing w:val="0"/>
                <w:lang w:eastAsia="en-US"/>
              </w:rPr>
            </w:pPr>
          </w:p>
          <w:p w14:paraId="2ACC77DF" w14:textId="77777777" w:rsidR="000C004E" w:rsidRDefault="000C004E">
            <w:pPr>
              <w:pStyle w:val="Marginlie"/>
              <w:rPr>
                <w:color w:val="0D0D0D" w:themeColor="text1" w:themeTint="F2"/>
                <w:spacing w:val="0"/>
                <w:lang w:eastAsia="en-US"/>
              </w:rPr>
            </w:pPr>
            <w:r>
              <w:rPr>
                <w:color w:val="0D0D0D" w:themeColor="text1" w:themeTint="F2"/>
                <w:spacing w:val="0"/>
                <w:lang w:eastAsia="en-US"/>
              </w:rPr>
              <w:t xml:space="preserve">Podprůměrný mzdový růst přetrvával v obchodu i v odvětvích s významnou rolí státu. </w:t>
            </w:r>
          </w:p>
        </w:tc>
        <w:tc>
          <w:tcPr>
            <w:tcW w:w="198" w:type="dxa"/>
          </w:tcPr>
          <w:p w14:paraId="011F67CE" w14:textId="77777777" w:rsidR="000C004E" w:rsidRDefault="000C004E">
            <w:pPr>
              <w:pStyle w:val="Textpoznpodarou"/>
              <w:jc w:val="both"/>
              <w:rPr>
                <w:color w:val="0D0D0D" w:themeColor="text1" w:themeTint="F2"/>
                <w:spacing w:val="-4"/>
                <w:lang w:eastAsia="en-US"/>
              </w:rPr>
            </w:pPr>
          </w:p>
        </w:tc>
        <w:tc>
          <w:tcPr>
            <w:tcW w:w="7715" w:type="dxa"/>
            <w:hideMark/>
          </w:tcPr>
          <w:p w14:paraId="2CDDE962" w14:textId="77777777" w:rsidR="000C004E" w:rsidRDefault="000C004E">
            <w:pPr>
              <w:spacing w:after="200"/>
              <w:rPr>
                <w:rFonts w:cs="Arial"/>
                <w:color w:val="000000"/>
                <w:lang w:eastAsia="en-US"/>
              </w:rPr>
            </w:pPr>
            <w:r>
              <w:rPr>
                <w:rStyle w:val="normaltextrun"/>
                <w:rFonts w:eastAsia="MS Gothic" w:cs="Arial"/>
                <w:spacing w:val="-6"/>
                <w:szCs w:val="20"/>
                <w:lang w:eastAsia="en-US"/>
              </w:rPr>
              <w:t>Výrazně podprůměrný mzdový růst (okolo 3 %) byl zaznamenán ve dvou jinak dosti odlišných poměrně malých průmyslových odvětvích. Zatímco v prosperující energetice úzce souvisel s vysokou loňskou základnou (ovlivněnou výplatou mimořádných odměn), v dlouhodobě útlumové těžbě a dobývání odrážel stále obtížnější hospodářskou situaci podniků, jež se podepsala i na silném úbytku pracovních míst. Klesající zaměstnanost postihla i téměř všechny nosné obory zpracovatelského průmyslu a rovněž mzdový růst v nich patřil ke slabším (vyjma pozvolna se zotavující výroby stavebních materiálů). Podobně na tom bylo i odvětví zemědělství, lesnictví a rybářství, jež se tradičně vyznačuje nízkou mzdovou úrovní (průměrné výdělky zde letos nedosáhly ani tří čtvrtin výše národního hospodářství). Slabší mzdový růst se nevyhýbá ani některým významným odvětvím služeb. V obchodu se letos výdělky zvýšily jen o 5,8 %, a přestože podprůměrně rostly i v předchozích dvou letech, aktuální mzdová úroveň v tomto odvětví (44,7 tis. korun) v</w:t>
            </w:r>
            <w:r>
              <w:rPr>
                <w:rStyle w:val="normaltextrun"/>
                <w:rFonts w:eastAsia="MS Gothic" w:cs="Arial"/>
                <w:spacing w:val="-6"/>
                <w:lang w:eastAsia="en-US"/>
              </w:rPr>
              <w:t xml:space="preserve">ýznamně nezaostává </w:t>
            </w:r>
            <w:r>
              <w:rPr>
                <w:rStyle w:val="normaltextrun"/>
                <w:rFonts w:eastAsia="MS Gothic" w:cs="Arial"/>
                <w:spacing w:val="-6"/>
                <w:szCs w:val="20"/>
                <w:lang w:eastAsia="en-US"/>
              </w:rPr>
              <w:t xml:space="preserve">za výší celé ekonomiky. Nižší mzdová tempa jsou patrná i v některých odvětvích veřejných služeb (zejména ve zdravotní </w:t>
            </w:r>
            <w:r>
              <w:rPr>
                <w:rStyle w:val="normaltextrun"/>
                <w:rFonts w:eastAsia="MS Gothic" w:cs="Arial"/>
                <w:spacing w:val="-6"/>
                <w:szCs w:val="20"/>
                <w:lang w:eastAsia="en-US"/>
              </w:rPr>
              <w:br/>
              <w:t xml:space="preserve">a sociální péči, veřejně správě, obraně a sociálním zabezpečení). Výjimkou jsou </w:t>
            </w:r>
            <w:r>
              <w:rPr>
                <w:rStyle w:val="normaltextrun"/>
                <w:rFonts w:cs="Arial"/>
                <w:color w:val="000000"/>
                <w:szCs w:val="20"/>
                <w:lang w:eastAsia="en-US"/>
              </w:rPr>
              <w:t xml:space="preserve">kulturní, zábavní a rekreační činnosti, kde sice mzdy letos vzrostly o rovných 10 % (i </w:t>
            </w:r>
            <w:r>
              <w:rPr>
                <w:rStyle w:val="normaltextrun"/>
                <w:rFonts w:eastAsia="MS Gothic" w:cs="Arial"/>
                <w:spacing w:val="-6"/>
                <w:szCs w:val="20"/>
                <w:lang w:eastAsia="en-US"/>
              </w:rPr>
              <w:t xml:space="preserve">  </w:t>
            </w:r>
            <w:r>
              <w:rPr>
                <w:rStyle w:val="normaltextrun"/>
                <w:rFonts w:cs="Arial"/>
                <w:color w:val="000000"/>
                <w:szCs w:val="20"/>
                <w:lang w:eastAsia="en-US"/>
              </w:rPr>
              <w:t>díky plošnému navýšení tarifů o 1400 korun v platové sféře), avšak výše výdělků se stále nacházela o</w:t>
            </w:r>
            <w:r>
              <w:rPr>
                <w:rStyle w:val="normaltextrun"/>
                <w:rFonts w:eastAsia="MS Gothic" w:cs="Arial"/>
                <w:spacing w:val="-6"/>
                <w:szCs w:val="20"/>
                <w:lang w:eastAsia="en-US"/>
              </w:rPr>
              <w:t> </w:t>
            </w:r>
            <w:r>
              <w:rPr>
                <w:rStyle w:val="normaltextrun"/>
                <w:rFonts w:cs="Arial"/>
                <w:color w:val="000000"/>
                <w:szCs w:val="20"/>
                <w:lang w:eastAsia="en-US"/>
              </w:rPr>
              <w:t>více než desetinu pod úrovní celé ekonomiky. O</w:t>
            </w:r>
            <w:r>
              <w:rPr>
                <w:rStyle w:val="normaltextrun"/>
                <w:rFonts w:cs="Arial"/>
                <w:color w:val="000000"/>
                <w:lang w:eastAsia="en-US"/>
              </w:rPr>
              <w:t xml:space="preserve">dvětví s významnou rolí </w:t>
            </w:r>
            <w:r>
              <w:rPr>
                <w:rStyle w:val="normaltextrun"/>
                <w:rFonts w:cs="Arial"/>
                <w:color w:val="000000"/>
                <w:lang w:eastAsia="en-US"/>
              </w:rPr>
              <w:lastRenderedPageBreak/>
              <w:t>státu</w:t>
            </w:r>
            <w:r>
              <w:rPr>
                <w:rStyle w:val="Znakapoznpodarou"/>
                <w:color w:val="000000"/>
                <w:lang w:eastAsia="en-US"/>
              </w:rPr>
              <w:footnoteReference w:id="86"/>
            </w:r>
            <w:r>
              <w:rPr>
                <w:rStyle w:val="normaltextrun"/>
                <w:rFonts w:cs="Arial"/>
                <w:color w:val="000000"/>
                <w:lang w:eastAsia="en-US"/>
              </w:rPr>
              <w:t xml:space="preserve"> vykázala letos v úhrnu růst výdělků o 5,7 % a mzdové tempo zde za celou ekonomikou zaostává nepřetržitě od konce roku 2022.</w:t>
            </w:r>
          </w:p>
        </w:tc>
      </w:tr>
      <w:tr w:rsidR="000C004E" w14:paraId="206FBEC4" w14:textId="77777777" w:rsidTr="000C004E">
        <w:trPr>
          <w:trHeight w:val="132"/>
        </w:trPr>
        <w:tc>
          <w:tcPr>
            <w:tcW w:w="1761" w:type="dxa"/>
            <w:hideMark/>
          </w:tcPr>
          <w:p w14:paraId="6DAA8545" w14:textId="77777777" w:rsidR="000C004E" w:rsidRDefault="000C004E">
            <w:pPr>
              <w:pStyle w:val="Marginlie"/>
              <w:rPr>
                <w:color w:val="0D0D0D" w:themeColor="text1" w:themeTint="F2"/>
                <w:spacing w:val="-4"/>
                <w:lang w:eastAsia="en-US"/>
              </w:rPr>
            </w:pPr>
            <w:r>
              <w:rPr>
                <w:color w:val="0D0D0D" w:themeColor="text1" w:themeTint="F2"/>
                <w:spacing w:val="0"/>
                <w:lang w:eastAsia="en-US"/>
              </w:rPr>
              <w:lastRenderedPageBreak/>
              <w:t>Mzdový medián rostl letos pomaleji než průměrná mzda. Mzdová diferenciace se neprohlubovala.</w:t>
            </w:r>
          </w:p>
        </w:tc>
        <w:tc>
          <w:tcPr>
            <w:tcW w:w="198" w:type="dxa"/>
          </w:tcPr>
          <w:p w14:paraId="41C7946A" w14:textId="77777777" w:rsidR="000C004E" w:rsidRDefault="000C004E">
            <w:pPr>
              <w:pStyle w:val="Textpoznpodarou"/>
              <w:jc w:val="both"/>
              <w:rPr>
                <w:color w:val="0D0D0D" w:themeColor="text1" w:themeTint="F2"/>
                <w:spacing w:val="-4"/>
                <w:lang w:eastAsia="en-US"/>
              </w:rPr>
            </w:pPr>
          </w:p>
        </w:tc>
        <w:tc>
          <w:tcPr>
            <w:tcW w:w="7715" w:type="dxa"/>
            <w:hideMark/>
          </w:tcPr>
          <w:p w14:paraId="20957329" w14:textId="77777777" w:rsidR="000C004E" w:rsidRDefault="000C004E" w:rsidP="002F3E4F">
            <w:pPr>
              <w:rPr>
                <w:rStyle w:val="normaltextrun"/>
                <w:rFonts w:eastAsia="MS Gothic" w:cs="Arial"/>
                <w:spacing w:val="-6"/>
                <w:szCs w:val="20"/>
              </w:rPr>
            </w:pPr>
            <w:r>
              <w:rPr>
                <w:rStyle w:val="normaltextrun"/>
                <w:rFonts w:eastAsia="MS Gothic" w:cs="Arial"/>
                <w:spacing w:val="-6"/>
                <w:szCs w:val="20"/>
                <w:lang w:eastAsia="en-US"/>
              </w:rPr>
              <w:t>Medián mezd (38 385 Kč) vzrostl proti stejnému období předchozího roku o 5,3 %, u mužů dosáhl 41 677 korun, u žen byl 35 226 korun (mzdový růst byl u obou pohlaví srovnatelný). Osmdesát procent zaměstnanců pobíralo mzdu mezi 21 136 koruna</w:t>
            </w:r>
            <w:r>
              <w:rPr>
                <w:rStyle w:val="normaltextrun"/>
                <w:rFonts w:eastAsia="MS Gothic" w:cs="Arial"/>
                <w:spacing w:val="-6"/>
                <w:lang w:eastAsia="en-US"/>
              </w:rPr>
              <w:t>mi</w:t>
            </w:r>
            <w:r>
              <w:rPr>
                <w:rStyle w:val="normaltextrun"/>
                <w:rFonts w:eastAsia="MS Gothic" w:cs="Arial"/>
                <w:spacing w:val="-6"/>
                <w:szCs w:val="20"/>
                <w:lang w:eastAsia="en-US"/>
              </w:rPr>
              <w:t xml:space="preserve"> a 73 611 koruna</w:t>
            </w:r>
            <w:r>
              <w:rPr>
                <w:rStyle w:val="normaltextrun"/>
                <w:rFonts w:eastAsia="MS Gothic" w:cs="Arial"/>
                <w:spacing w:val="-6"/>
                <w:lang w:eastAsia="en-US"/>
              </w:rPr>
              <w:t>mi</w:t>
            </w:r>
            <w:r>
              <w:rPr>
                <w:rStyle w:val="normaltextrun"/>
                <w:rFonts w:eastAsia="MS Gothic" w:cs="Arial"/>
                <w:spacing w:val="-6"/>
                <w:szCs w:val="20"/>
                <w:lang w:eastAsia="en-US"/>
              </w:rPr>
              <w:t>. Mzdy v horním i spodním decilu rostly procentuálně podobným tempem, celkové mzdové diference se tak meziročně nezměnily.</w:t>
            </w:r>
          </w:p>
        </w:tc>
      </w:tr>
      <w:tr w:rsidR="000C004E" w14:paraId="613523F0" w14:textId="77777777" w:rsidTr="000C004E">
        <w:trPr>
          <w:trHeight w:val="336"/>
        </w:trPr>
        <w:tc>
          <w:tcPr>
            <w:tcW w:w="1761" w:type="dxa"/>
            <w:vMerge w:val="restart"/>
          </w:tcPr>
          <w:p w14:paraId="79F63AFE" w14:textId="77777777" w:rsidR="000C004E" w:rsidRDefault="000C004E">
            <w:pPr>
              <w:pStyle w:val="Marginlie"/>
              <w:rPr>
                <w:spacing w:val="-4"/>
              </w:rPr>
            </w:pPr>
          </w:p>
        </w:tc>
        <w:tc>
          <w:tcPr>
            <w:tcW w:w="198" w:type="dxa"/>
            <w:vMerge w:val="restart"/>
          </w:tcPr>
          <w:p w14:paraId="764221A6" w14:textId="77777777" w:rsidR="000C004E" w:rsidRDefault="000C004E">
            <w:pPr>
              <w:pStyle w:val="Textpoznpodarou"/>
              <w:jc w:val="both"/>
              <w:rPr>
                <w:spacing w:val="-4"/>
                <w:lang w:eastAsia="en-US"/>
              </w:rPr>
            </w:pPr>
          </w:p>
        </w:tc>
        <w:tc>
          <w:tcPr>
            <w:tcW w:w="7715" w:type="dxa"/>
            <w:hideMark/>
          </w:tcPr>
          <w:p w14:paraId="6211D56A" w14:textId="77777777" w:rsidR="000C004E" w:rsidRDefault="000C004E">
            <w:pPr>
              <w:spacing w:after="0"/>
              <w:rPr>
                <w:rFonts w:cs="Arial"/>
                <w:b/>
                <w:color w:val="0D0D0D" w:themeColor="text1" w:themeTint="F2"/>
                <w:spacing w:val="-4"/>
                <w:szCs w:val="20"/>
                <w:lang w:eastAsia="en-US"/>
              </w:rPr>
            </w:pPr>
            <w:r>
              <w:rPr>
                <w:rFonts w:cs="Arial"/>
                <w:b/>
                <w:color w:val="0D0D0D" w:themeColor="text1" w:themeTint="F2"/>
                <w:spacing w:val="-4"/>
                <w:szCs w:val="20"/>
                <w:lang w:eastAsia="en-US"/>
              </w:rPr>
              <w:t xml:space="preserve">Graf č. 15 Průměrná nominální i reálná mzda a mzdový medián </w:t>
            </w:r>
            <w:r>
              <w:rPr>
                <w:rFonts w:cs="Arial"/>
                <w:color w:val="0D0D0D" w:themeColor="text1" w:themeTint="F2"/>
                <w:spacing w:val="-4"/>
                <w:szCs w:val="20"/>
                <w:lang w:eastAsia="en-US"/>
              </w:rPr>
              <w:t>(meziroční změna, v %)</w:t>
            </w:r>
          </w:p>
        </w:tc>
      </w:tr>
      <w:tr w:rsidR="000C004E" w14:paraId="526A1BD4" w14:textId="77777777" w:rsidTr="000C004E">
        <w:trPr>
          <w:trHeight w:val="1935"/>
        </w:trPr>
        <w:tc>
          <w:tcPr>
            <w:tcW w:w="0" w:type="auto"/>
            <w:vMerge/>
            <w:vAlign w:val="center"/>
            <w:hideMark/>
          </w:tcPr>
          <w:p w14:paraId="4EB0A59F" w14:textId="77777777" w:rsidR="000C004E" w:rsidRDefault="000C004E">
            <w:pPr>
              <w:spacing w:after="0" w:line="240" w:lineRule="auto"/>
              <w:jc w:val="left"/>
              <w:rPr>
                <w:spacing w:val="-4"/>
                <w:sz w:val="16"/>
                <w:szCs w:val="16"/>
              </w:rPr>
            </w:pPr>
          </w:p>
        </w:tc>
        <w:tc>
          <w:tcPr>
            <w:tcW w:w="0" w:type="auto"/>
            <w:vMerge/>
            <w:vAlign w:val="center"/>
            <w:hideMark/>
          </w:tcPr>
          <w:p w14:paraId="69CEB321" w14:textId="77777777" w:rsidR="000C004E" w:rsidRDefault="000C004E">
            <w:pPr>
              <w:spacing w:after="0" w:line="240" w:lineRule="auto"/>
              <w:jc w:val="left"/>
              <w:rPr>
                <w:rFonts w:eastAsia="Calibri"/>
                <w:spacing w:val="-4"/>
                <w:szCs w:val="20"/>
                <w:lang w:eastAsia="en-US"/>
              </w:rPr>
            </w:pPr>
          </w:p>
        </w:tc>
        <w:tc>
          <w:tcPr>
            <w:tcW w:w="7715" w:type="dxa"/>
            <w:tcMar>
              <w:top w:w="0" w:type="dxa"/>
              <w:left w:w="70" w:type="dxa"/>
              <w:bottom w:w="0" w:type="dxa"/>
              <w:right w:w="70" w:type="dxa"/>
            </w:tcMar>
            <w:hideMark/>
          </w:tcPr>
          <w:p w14:paraId="39BAE82F" w14:textId="71DA786E" w:rsidR="000C004E" w:rsidRDefault="000C004E">
            <w:pPr>
              <w:spacing w:after="0"/>
              <w:rPr>
                <w:rFonts w:cs="Arial"/>
                <w:b/>
                <w:color w:val="0D0D0D" w:themeColor="text1" w:themeTint="F2"/>
                <w:spacing w:val="-4"/>
                <w:szCs w:val="20"/>
                <w:lang w:eastAsia="en-US"/>
              </w:rPr>
            </w:pPr>
            <w:r>
              <w:rPr>
                <w:noProof/>
              </w:rPr>
              <w:drawing>
                <wp:inline distT="0" distB="0" distL="0" distR="0" wp14:anchorId="0591862A" wp14:editId="4E641DDD">
                  <wp:extent cx="4810125" cy="3752850"/>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004E" w14:paraId="3C154F9B" w14:textId="77777777" w:rsidTr="000C004E">
        <w:trPr>
          <w:trHeight w:val="475"/>
        </w:trPr>
        <w:tc>
          <w:tcPr>
            <w:tcW w:w="0" w:type="auto"/>
            <w:vMerge/>
            <w:vAlign w:val="center"/>
            <w:hideMark/>
          </w:tcPr>
          <w:p w14:paraId="4BBA7C2A" w14:textId="77777777" w:rsidR="000C004E" w:rsidRDefault="000C004E">
            <w:pPr>
              <w:spacing w:after="0" w:line="240" w:lineRule="auto"/>
              <w:jc w:val="left"/>
              <w:rPr>
                <w:spacing w:val="-4"/>
                <w:sz w:val="16"/>
                <w:szCs w:val="16"/>
              </w:rPr>
            </w:pPr>
          </w:p>
        </w:tc>
        <w:tc>
          <w:tcPr>
            <w:tcW w:w="0" w:type="auto"/>
            <w:vMerge/>
            <w:vAlign w:val="center"/>
            <w:hideMark/>
          </w:tcPr>
          <w:p w14:paraId="4C3A4387" w14:textId="77777777" w:rsidR="000C004E" w:rsidRDefault="000C004E">
            <w:pPr>
              <w:spacing w:after="0" w:line="240" w:lineRule="auto"/>
              <w:jc w:val="left"/>
              <w:rPr>
                <w:rFonts w:eastAsia="Calibri"/>
                <w:spacing w:val="-4"/>
                <w:szCs w:val="20"/>
                <w:lang w:eastAsia="en-US"/>
              </w:rPr>
            </w:pPr>
          </w:p>
        </w:tc>
        <w:tc>
          <w:tcPr>
            <w:tcW w:w="7715" w:type="dxa"/>
            <w:hideMark/>
          </w:tcPr>
          <w:p w14:paraId="723D7DF0" w14:textId="77777777" w:rsidR="000C004E" w:rsidRDefault="000C004E">
            <w:pPr>
              <w:spacing w:after="0" w:line="240" w:lineRule="auto"/>
              <w:rPr>
                <w:rFonts w:cs="Arial"/>
                <w:color w:val="0D0D0D" w:themeColor="text1" w:themeTint="F2"/>
                <w:spacing w:val="-4"/>
                <w:sz w:val="14"/>
                <w:szCs w:val="14"/>
                <w:lang w:eastAsia="en-US"/>
              </w:rPr>
            </w:pPr>
            <w:r>
              <w:rPr>
                <w:rFonts w:cs="Arial"/>
                <w:color w:val="0D0D0D" w:themeColor="text1" w:themeTint="F2"/>
                <w:spacing w:val="-4"/>
                <w:sz w:val="14"/>
                <w:szCs w:val="14"/>
                <w:lang w:eastAsia="en-US"/>
              </w:rPr>
              <w:t>*Zahrnuje odvětví s významnou rolí vládního sektoru: Veřejná správa a obrana, povinné sociální zabezpečení; Vzdělávání; Zdravotní a sociální péče; Kulturní, zábavní a rekreační činnosti.                                                                                                                Zdroj: ČSÚ</w:t>
            </w:r>
          </w:p>
        </w:tc>
      </w:tr>
    </w:tbl>
    <w:p w14:paraId="60A272AC" w14:textId="77777777" w:rsidR="000C004E" w:rsidRDefault="000C004E" w:rsidP="000C004E">
      <w:pPr>
        <w:pStyle w:val="Nadpis1"/>
      </w:pPr>
    </w:p>
    <w:p w14:paraId="125A0403" w14:textId="77777777" w:rsidR="000C004E" w:rsidRDefault="000C004E">
      <w:pPr>
        <w:spacing w:after="0" w:line="240" w:lineRule="auto"/>
        <w:jc w:val="left"/>
        <w:rPr>
          <w:rFonts w:eastAsia="MS Gothic"/>
          <w:b/>
          <w:bCs/>
          <w:color w:val="86BF5E"/>
          <w:sz w:val="32"/>
          <w:szCs w:val="28"/>
        </w:rPr>
      </w:pPr>
      <w:r>
        <w:br w:type="page"/>
      </w:r>
    </w:p>
    <w:p w14:paraId="76E63D4F" w14:textId="53161CC1" w:rsidR="003B7AFA" w:rsidRDefault="000C004E" w:rsidP="000C004E">
      <w:pPr>
        <w:pStyle w:val="Nadpis1"/>
      </w:pPr>
      <w:bookmarkStart w:id="27" w:name="_Toc200969294"/>
      <w:r>
        <w:lastRenderedPageBreak/>
        <w:t>7</w:t>
      </w:r>
      <w:r w:rsidR="003B7AFA">
        <w:t>. Měnové podmínky</w:t>
      </w:r>
      <w:bookmarkEnd w:id="27"/>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3B7AFA" w:rsidRPr="0037004A" w14:paraId="6D114739" w14:textId="77777777" w:rsidTr="003B7AFA">
        <w:trPr>
          <w:trHeight w:val="145"/>
        </w:trPr>
        <w:tc>
          <w:tcPr>
            <w:tcW w:w="1802" w:type="dxa"/>
          </w:tcPr>
          <w:p w14:paraId="79CAFA21" w14:textId="77777777" w:rsidR="003B7AFA" w:rsidRDefault="003B7AFA" w:rsidP="003B7AFA">
            <w:pPr>
              <w:pStyle w:val="Marginlie"/>
              <w:rPr>
                <w:lang w:eastAsia="en-US"/>
              </w:rPr>
            </w:pPr>
            <w:r>
              <w:rPr>
                <w:lang w:eastAsia="en-US"/>
              </w:rPr>
              <w:t>V 1. čtvrtletí 2025 došlo k jednomu snížení měnověpolitických sazeb.</w:t>
            </w:r>
          </w:p>
        </w:tc>
        <w:tc>
          <w:tcPr>
            <w:tcW w:w="229" w:type="dxa"/>
          </w:tcPr>
          <w:p w14:paraId="7AEABCB2" w14:textId="77777777" w:rsidR="003B7AFA" w:rsidRDefault="003B7AFA" w:rsidP="003B7AFA">
            <w:pPr>
              <w:pStyle w:val="Textpoznpodarou"/>
              <w:jc w:val="both"/>
              <w:rPr>
                <w:spacing w:val="-4"/>
                <w:lang w:eastAsia="en-US"/>
              </w:rPr>
            </w:pPr>
          </w:p>
        </w:tc>
        <w:tc>
          <w:tcPr>
            <w:tcW w:w="7610" w:type="dxa"/>
          </w:tcPr>
          <w:p w14:paraId="1A55EA7C" w14:textId="77777777" w:rsidR="003B7AFA" w:rsidRPr="0037004A" w:rsidRDefault="003B7AFA" w:rsidP="003B7AFA">
            <w:pPr>
              <w:rPr>
                <w:spacing w:val="-2"/>
                <w:lang w:eastAsia="en-US"/>
              </w:rPr>
            </w:pPr>
            <w:r>
              <w:rPr>
                <w:spacing w:val="-2"/>
                <w:lang w:eastAsia="en-US"/>
              </w:rPr>
              <w:t xml:space="preserve">V 1. čtvrtletí 2025 došlo k jednomu čtvrtbodovému </w:t>
            </w:r>
            <w:r w:rsidRPr="004728DD">
              <w:rPr>
                <w:spacing w:val="-2"/>
                <w:lang w:eastAsia="en-US"/>
              </w:rPr>
              <w:t>snížení</w:t>
            </w:r>
            <w:r>
              <w:rPr>
                <w:spacing w:val="-2"/>
                <w:lang w:eastAsia="en-US"/>
              </w:rPr>
              <w:t xml:space="preserve"> základních měnověpolitických sazeb. V únoru byla dvoutýdenní repo sazba snížena na 3,75 %</w:t>
            </w:r>
            <w:r w:rsidRPr="0037004A">
              <w:rPr>
                <w:rStyle w:val="Znakapoznpodarou"/>
                <w:spacing w:val="-2"/>
                <w:lang w:eastAsia="en-US"/>
              </w:rPr>
              <w:footnoteReference w:id="87"/>
            </w:r>
            <w:r>
              <w:rPr>
                <w:spacing w:val="-2"/>
                <w:lang w:eastAsia="en-US"/>
              </w:rPr>
              <w:t xml:space="preserve">, diskontní sazba na 2,75 % a lombardní na 4,75 %. Kurz koruny vůči euru v průběhu celého kvartálu velmi mírně posiloval. Průměr za celé 1. čtvrtletí dosáhl 25,08 CZK/EUR. Meziročně se kurz téměř nezměnil a mezičtvrtletně koruna vůči euru mírně posílila (o 17 haléřů, 0,66 %). Kurz vůči dolaru v průběhu čtvrtletí výrazně posílil, což se projevilo zejména na březnových cenách zahraničního obchodu. Na počátku roku kurz dosahoval úrovně okolo 24,50 CZK/USD a během ledna tuto hranici krátce překonal. Následně koruna postupně do začátku března posílila ke 24,00 CZK/USD. V prvním březnovém týdnu ale došlo k prudkému posílení kurzu ke 23,00 CZK/USD a v závěru března byla koruna na 23,08 CZK/USD. V průměru za celý kvartál kurz činil 23,84 CZK/USD. Meziročně to znamenalo oslabení o 75 haléřů (3,27 %) a mezičtvrtletně byl průměr kurzu koruny vůči dolaru slabší o 20 haléřů (0,86 %). </w:t>
            </w:r>
          </w:p>
        </w:tc>
      </w:tr>
      <w:tr w:rsidR="003B7AFA" w14:paraId="7D15DFA4" w14:textId="77777777" w:rsidTr="003B7AFA">
        <w:trPr>
          <w:trHeight w:val="145"/>
        </w:trPr>
        <w:tc>
          <w:tcPr>
            <w:tcW w:w="1802" w:type="dxa"/>
          </w:tcPr>
          <w:p w14:paraId="4AE64E0B" w14:textId="77777777" w:rsidR="003B7AFA" w:rsidRDefault="003B7AFA" w:rsidP="003B7AFA">
            <w:pPr>
              <w:pStyle w:val="Marginlie"/>
              <w:rPr>
                <w:lang w:eastAsia="en-US"/>
              </w:rPr>
            </w:pPr>
            <w:r>
              <w:rPr>
                <w:lang w:eastAsia="en-US"/>
              </w:rPr>
              <w:t>Klesaly také mezibankovní úrokové sazby.</w:t>
            </w:r>
          </w:p>
        </w:tc>
        <w:tc>
          <w:tcPr>
            <w:tcW w:w="229" w:type="dxa"/>
          </w:tcPr>
          <w:p w14:paraId="004CCB0D" w14:textId="77777777" w:rsidR="003B7AFA" w:rsidRDefault="003B7AFA" w:rsidP="003B7AFA">
            <w:pPr>
              <w:pStyle w:val="Textpoznpodarou"/>
              <w:jc w:val="both"/>
              <w:rPr>
                <w:spacing w:val="-4"/>
                <w:lang w:eastAsia="en-US"/>
              </w:rPr>
            </w:pPr>
          </w:p>
        </w:tc>
        <w:tc>
          <w:tcPr>
            <w:tcW w:w="7610" w:type="dxa"/>
          </w:tcPr>
          <w:p w14:paraId="1D16570A" w14:textId="77777777" w:rsidR="003B7AFA" w:rsidRDefault="003B7AFA" w:rsidP="003B7AFA">
            <w:pPr>
              <w:rPr>
                <w:spacing w:val="-1"/>
                <w:lang w:eastAsia="en-US"/>
              </w:rPr>
            </w:pPr>
            <w:r>
              <w:rPr>
                <w:spacing w:val="-1"/>
                <w:lang w:eastAsia="en-US"/>
              </w:rPr>
              <w:t>Pokles mezibankovních úrokových sazeb byl v 1. čtvrtletí rovnoměrný napříč splatnostmi. Tříměsíční PRIBOR klesl o 0,19 p. b.</w:t>
            </w:r>
            <w:r>
              <w:rPr>
                <w:rStyle w:val="Znakapoznpodarou"/>
                <w:spacing w:val="-1"/>
                <w:lang w:eastAsia="en-US"/>
              </w:rPr>
              <w:footnoteReference w:id="88"/>
            </w:r>
            <w:r>
              <w:rPr>
                <w:spacing w:val="-1"/>
                <w:lang w:eastAsia="en-US"/>
              </w:rPr>
              <w:t xml:space="preserve"> na 3,72 %, šestiměsíční </w:t>
            </w:r>
            <w:r>
              <w:rPr>
                <w:spacing w:val="-1"/>
                <w:lang w:eastAsia="en-US"/>
              </w:rPr>
              <w:br/>
              <w:t xml:space="preserve">o 0,18 p. b.  na 3,61 % a roční o 0,16 p. b. na 3,53 % ke konci března. V případě výnosů vládních dluhopisů klesalo průměrné úročení u dluhopisů s nejkratší splatností do dvou let (−0,20 p. b. na 3,44 % ke konci března). Dluhopisy se splatností mezi 5 a 10 lety byly ke konci čtvrtletí úročeny v průměru 3,79 % (+0,06 p. b.) a ty s dlouhodobou splatností 4,26 % (+0,13 p. b.).    </w:t>
            </w:r>
          </w:p>
        </w:tc>
      </w:tr>
      <w:tr w:rsidR="003B7AFA" w14:paraId="7ECFDAD4" w14:textId="77777777" w:rsidTr="003B7AFA">
        <w:trPr>
          <w:trHeight w:val="145"/>
        </w:trPr>
        <w:tc>
          <w:tcPr>
            <w:tcW w:w="1802" w:type="dxa"/>
          </w:tcPr>
          <w:p w14:paraId="4B3189F8" w14:textId="77777777" w:rsidR="003B7AFA" w:rsidRDefault="003B7AFA" w:rsidP="003B7AFA">
            <w:pPr>
              <w:pStyle w:val="Marginlie"/>
              <w:rPr>
                <w:lang w:eastAsia="en-US"/>
              </w:rPr>
            </w:pPr>
            <w:r>
              <w:rPr>
                <w:lang w:eastAsia="en-US"/>
              </w:rPr>
              <w:t>Meziročně klesl objem termínovaných vkladů.</w:t>
            </w:r>
          </w:p>
        </w:tc>
        <w:tc>
          <w:tcPr>
            <w:tcW w:w="229" w:type="dxa"/>
          </w:tcPr>
          <w:p w14:paraId="4686BE71" w14:textId="77777777" w:rsidR="003B7AFA" w:rsidRDefault="003B7AFA" w:rsidP="003B7AFA">
            <w:pPr>
              <w:pStyle w:val="Textpoznpodarou"/>
              <w:jc w:val="both"/>
              <w:rPr>
                <w:spacing w:val="-4"/>
                <w:lang w:eastAsia="en-US"/>
              </w:rPr>
            </w:pPr>
          </w:p>
        </w:tc>
        <w:tc>
          <w:tcPr>
            <w:tcW w:w="7610" w:type="dxa"/>
          </w:tcPr>
          <w:p w14:paraId="3A44DC9A" w14:textId="77777777" w:rsidR="003B7AFA" w:rsidRDefault="003B7AFA" w:rsidP="003B7AFA">
            <w:pPr>
              <w:rPr>
                <w:spacing w:val="-3"/>
                <w:lang w:eastAsia="en-US"/>
              </w:rPr>
            </w:pPr>
            <w:r>
              <w:rPr>
                <w:spacing w:val="-3"/>
                <w:lang w:eastAsia="en-US"/>
              </w:rPr>
              <w:t>V 1. čtvrtletí pokračoval pokles úrokových sazeb na vkladech. Běžné účty domácností byly ke konci března v průměru úročeny 0,12 % (−0,03 p. b.). Výrazněji se snižovala průměrná úroková sazba vkladů s dohodnutou splatností (−0,19 p. b.), která ke konci března činila 3,01 %. Nefinanční podniky měly u běžných účtů mírně vyšší úrokové sazby než domácnosti (0,61 %). I pro ně se ale snižovalo úročení vkladů s dohodnutou splatností (−0,18 p. b. na 3,10 %). Celkové meziroční tempo růstu objemu vkladů v 1. čtvrtletí výrazně zpomalilo na 4,1 % (přírůstek 296,5 mld. korun). Důvodem byl především meziroční odliv prostředků z termínovaných vkladů (−129,0 mld. korun, −4,5 %). U netermínovaných vkladů se silné tempo růstu drželo (9,9 %, +425,5 mld.). Na celkovém meziročním nárůstu objemu vkladů se z naprosté většiny podílely domácnosti</w:t>
            </w:r>
            <w:r>
              <w:rPr>
                <w:rStyle w:val="Znakapoznpodarou"/>
                <w:spacing w:val="-3"/>
                <w:lang w:eastAsia="en-US"/>
              </w:rPr>
              <w:footnoteReference w:id="89"/>
            </w:r>
            <w:r>
              <w:rPr>
                <w:spacing w:val="-3"/>
                <w:lang w:eastAsia="en-US"/>
              </w:rPr>
              <w:t xml:space="preserve"> (+214,4 mld. korun). Výrazně mírnější nárůsty vkladů byly zaznamenány u nefinančních podniků (+31,2 mld. korun), finančních institucí (+26,1 mld.) a vládních institucí (+21,2 mld.). Mírně klesly vklady nerezidentů v Česku (−3,7 mld. korun).</w:t>
            </w:r>
          </w:p>
        </w:tc>
      </w:tr>
      <w:tr w:rsidR="003B7AFA" w14:paraId="1B10C1F7" w14:textId="77777777" w:rsidTr="003B7AFA">
        <w:trPr>
          <w:trHeight w:val="145"/>
        </w:trPr>
        <w:tc>
          <w:tcPr>
            <w:tcW w:w="1802" w:type="dxa"/>
          </w:tcPr>
          <w:p w14:paraId="070B03E2" w14:textId="77777777" w:rsidR="003B7AFA" w:rsidRDefault="003B7AFA" w:rsidP="003B7AFA">
            <w:pPr>
              <w:pStyle w:val="Marginlie"/>
              <w:rPr>
                <w:lang w:eastAsia="en-US"/>
              </w:rPr>
            </w:pPr>
            <w:r>
              <w:rPr>
                <w:lang w:eastAsia="en-US"/>
              </w:rPr>
              <w:t>Úrokové sazby spotřebitelských úvěrů klesly.</w:t>
            </w:r>
          </w:p>
        </w:tc>
        <w:tc>
          <w:tcPr>
            <w:tcW w:w="229" w:type="dxa"/>
          </w:tcPr>
          <w:p w14:paraId="4CA0BB29" w14:textId="77777777" w:rsidR="003B7AFA" w:rsidRDefault="003B7AFA" w:rsidP="003B7AFA">
            <w:pPr>
              <w:pStyle w:val="Textpoznpodarou"/>
              <w:jc w:val="both"/>
              <w:rPr>
                <w:spacing w:val="-4"/>
                <w:lang w:eastAsia="en-US"/>
              </w:rPr>
            </w:pPr>
          </w:p>
        </w:tc>
        <w:tc>
          <w:tcPr>
            <w:tcW w:w="7610" w:type="dxa"/>
          </w:tcPr>
          <w:p w14:paraId="4D38E75D" w14:textId="77777777" w:rsidR="003B7AFA" w:rsidRDefault="003B7AFA" w:rsidP="003B7AFA">
            <w:pPr>
              <w:rPr>
                <w:lang w:eastAsia="en-US"/>
              </w:rPr>
            </w:pPr>
            <w:r>
              <w:rPr>
                <w:lang w:eastAsia="en-US"/>
              </w:rPr>
              <w:t xml:space="preserve">Začátek roku 2025 přinesl výraznější pokles úrokových sazeb spotřebitelských úvěrů pro domácnosti ve srovnání s předcházejícími kvartály. Průměrné úročení u nich kleslo o 0,47 p. b. na 8,16 % ke konci března, což bylo nejméně od konce roku 2021. Naopak se téměř nezměnilo průměrné úročení úvěrů na bydlení (+0,03 p. b., 4,74 % ke konci března). V protichůdném směru se totiž vyvíjely úrokové sazby u úvěrů s fixací 1 rok a méně (−0,24 p. b. na 4,91 %) a těch s fixací mezi 5 a 10 lety (+0,92 % na 4,15 %). Objem poskytnutých spotřebních úvěrů si v 1. čtvrtletí 2025 držel vysoké meziroční tempo růstu (9,7 %). Meziroční přírůstek úvěrů na bydlení ke konci března dosahoval 6,0 %, což byl nejvyšší růst za více než dva roky. Toto zrychlení ovlivňovaly především hypoteční úvěry. Tempo růstu úvěrů ze stavebního spoření nadále zvolňovalo, desáté čtvrtletí v řadě ale zůstalo dvouciferné. Pokračující oživení hypotečního trhu bylo patrné na vývoji objemu nových hypotečních smluv. Celkově byly v 1. čtvrtletí uzavřeny smlouvy za 139,8 mld. korun (meziročně +57,9 mld.). Z toho čisté nové úvěry včetně </w:t>
            </w:r>
            <w:r>
              <w:rPr>
                <w:lang w:eastAsia="en-US"/>
              </w:rPr>
              <w:lastRenderedPageBreak/>
              <w:t>navýšení</w:t>
            </w:r>
            <w:r>
              <w:rPr>
                <w:rStyle w:val="Znakapoznpodarou"/>
                <w:lang w:eastAsia="en-US"/>
              </w:rPr>
              <w:footnoteReference w:id="90"/>
            </w:r>
            <w:r>
              <w:rPr>
                <w:lang w:eastAsia="en-US"/>
              </w:rPr>
              <w:t xml:space="preserve"> tvořily 65,3 mld. korun (+30,3 mld.). Ostatní nová ujednání dosáhla v 1. čtvrtletí 64,9 mld. korun (+23,8 mld.). Nově refinancované úvěry představovaly 9,5 mld. korun (+3,8 mld.) z nových smluv. Celkové zadlužení domácností ke konci března dosahovalo 2 485,7 mld. korun a meziročně bylo vyšší o 6,3 %.  </w:t>
            </w:r>
          </w:p>
        </w:tc>
      </w:tr>
      <w:tr w:rsidR="003B7AFA" w14:paraId="717CC4F2" w14:textId="77777777" w:rsidTr="003B7AFA">
        <w:trPr>
          <w:trHeight w:val="145"/>
        </w:trPr>
        <w:tc>
          <w:tcPr>
            <w:tcW w:w="1802" w:type="dxa"/>
          </w:tcPr>
          <w:p w14:paraId="6CEDD8C6" w14:textId="77777777" w:rsidR="003B7AFA" w:rsidRDefault="003B7AFA" w:rsidP="003B7AFA">
            <w:pPr>
              <w:pStyle w:val="Marginlie"/>
              <w:rPr>
                <w:lang w:eastAsia="en-US"/>
              </w:rPr>
            </w:pPr>
            <w:r>
              <w:rPr>
                <w:lang w:eastAsia="en-US"/>
              </w:rPr>
              <w:lastRenderedPageBreak/>
              <w:t>Mírně se snížil podíl úvěrů nefinančních podniků v cizí měně.</w:t>
            </w:r>
          </w:p>
        </w:tc>
        <w:tc>
          <w:tcPr>
            <w:tcW w:w="229" w:type="dxa"/>
          </w:tcPr>
          <w:p w14:paraId="7BA21F09" w14:textId="77777777" w:rsidR="003B7AFA" w:rsidRDefault="003B7AFA" w:rsidP="003B7AFA">
            <w:pPr>
              <w:pStyle w:val="Textpoznpodarou"/>
              <w:jc w:val="both"/>
              <w:rPr>
                <w:spacing w:val="-4"/>
                <w:lang w:eastAsia="en-US"/>
              </w:rPr>
            </w:pPr>
          </w:p>
        </w:tc>
        <w:tc>
          <w:tcPr>
            <w:tcW w:w="7610" w:type="dxa"/>
          </w:tcPr>
          <w:p w14:paraId="158D86E5" w14:textId="77777777" w:rsidR="003B7AFA" w:rsidRDefault="003B7AFA" w:rsidP="003B7AFA">
            <w:pPr>
              <w:rPr>
                <w:lang w:eastAsia="en-US"/>
              </w:rPr>
            </w:pPr>
            <w:r>
              <w:rPr>
                <w:lang w:eastAsia="en-US"/>
              </w:rPr>
              <w:t xml:space="preserve">Nefinanční podniky si v 1. čtvrtletí celkově v průměru půjčovaly levněji (5,54 % ke konci března, −0,21 p. b.). Stály za tím úvěry nad 30 mil. korun, u nichž se průměrné úročení snížilo o 0,25 p. b. na 5,52 %, a dále úvěry mezi 7,5 a 30 mil. (−0,18 p. b. na 5,35 %). U kategorie úvěrů pod 7,5 mil. korun se průměrná úroková sazba naopak zvýšila o 0,13 p. b. na 6,0 %. Celkový objem úvěrů a pohledávek nefinančních podniků byl ke konci března meziročně vyšší o 4,0 %. Značně výraznější byl přitom růst objemu úvěrů v korunách (6,1 %, hlavně krátkodobé úvěry vzrostly o 14,6 %) než těch v cizí měně (2,0 %, pokles u krátkodobých úvěrů o 5,1 %). Podíl úvěrů v cizí měně na celkovém objemu poskytnutých úvěrů tak mírně klesl na 51,4 %. Objem poskytnutých úvěrů meziročně rostl nejvíce v profesních, vědeckých, technických a administrativních činnostech (24,3 %), ubytování, stravování a pohostinství (19,4 %), ve veřejné správě a obraně, povinném soc. zabezpečení, vzdělávání, zdravotnictví a soc. péči (16,1 %) a ve stavebnictví (10,6 %). U řady odvětví objem úvěrů klesl. Kromě pokračujícího útlumu v těžbě a dobývání (−25,7 %) to bylo v informačních a komunikačních činnostech (−10,9 %), v kulturních, zábavních, rekreačních a ostatních činnostech a činnostech exteritoriálních organizací a orgánů (−9,4 %), ve výrobě a rozvodu elektřiny, plynu, tepla, vzduchu, vody a odpadní vody (−9,1 %), ve velkoobchodě, maloobchodě a opravách a údržbě motorových vozidel (−3,8 %), ve zpracovatelském průmyslu (−1,2 %), peněžnictví a pojišťovnictví (−0,5 %) a v dopravě a skladování (−0,2 %).  </w:t>
            </w:r>
          </w:p>
        </w:tc>
      </w:tr>
      <w:tr w:rsidR="003B7AFA" w14:paraId="53BF131E" w14:textId="77777777" w:rsidTr="003B7AFA">
        <w:trPr>
          <w:trHeight w:val="304"/>
        </w:trPr>
        <w:tc>
          <w:tcPr>
            <w:tcW w:w="1802" w:type="dxa"/>
            <w:vMerge w:val="restart"/>
          </w:tcPr>
          <w:p w14:paraId="5A9C7C3C" w14:textId="77777777" w:rsidR="003B7AFA" w:rsidRDefault="003B7AFA" w:rsidP="003B7AFA">
            <w:pPr>
              <w:pStyle w:val="Marginlie"/>
              <w:rPr>
                <w:lang w:eastAsia="en-US"/>
              </w:rPr>
            </w:pPr>
          </w:p>
        </w:tc>
        <w:tc>
          <w:tcPr>
            <w:tcW w:w="229" w:type="dxa"/>
            <w:vMerge w:val="restart"/>
          </w:tcPr>
          <w:p w14:paraId="4057019C" w14:textId="77777777" w:rsidR="003B7AFA" w:rsidRDefault="003B7AFA" w:rsidP="003B7AFA">
            <w:pPr>
              <w:pStyle w:val="Textpoznpodarou"/>
              <w:jc w:val="both"/>
              <w:rPr>
                <w:spacing w:val="-4"/>
                <w:lang w:eastAsia="en-US"/>
              </w:rPr>
            </w:pPr>
          </w:p>
        </w:tc>
        <w:tc>
          <w:tcPr>
            <w:tcW w:w="7610" w:type="dxa"/>
            <w:hideMark/>
          </w:tcPr>
          <w:p w14:paraId="64E58228" w14:textId="77777777" w:rsidR="003B7AFA" w:rsidRPr="00D721B4" w:rsidRDefault="003B7AFA" w:rsidP="003B7AFA">
            <w:pPr>
              <w:spacing w:after="0"/>
              <w:rPr>
                <w:szCs w:val="20"/>
                <w:lang w:eastAsia="en-US"/>
              </w:rPr>
            </w:pPr>
            <w:r>
              <w:rPr>
                <w:rFonts w:cs="Arial"/>
                <w:b/>
                <w:bCs/>
                <w:color w:val="000000"/>
                <w:szCs w:val="20"/>
                <w:lang w:eastAsia="en-US"/>
              </w:rPr>
              <w:t>Graf č. 16</w:t>
            </w:r>
            <w:r w:rsidRPr="00D721B4">
              <w:rPr>
                <w:rFonts w:cs="Arial"/>
                <w:b/>
                <w:bCs/>
                <w:color w:val="000000"/>
                <w:szCs w:val="20"/>
                <w:lang w:eastAsia="en-US"/>
              </w:rPr>
              <w:t xml:space="preserve"> </w:t>
            </w:r>
            <w:r w:rsidRPr="00D721B4">
              <w:rPr>
                <w:b/>
                <w:spacing w:val="-4"/>
                <w:szCs w:val="20"/>
                <w:lang w:eastAsia="en-US"/>
              </w:rPr>
              <w:t xml:space="preserve">Tržní úrokové sazby </w:t>
            </w:r>
            <w:r w:rsidRPr="00D721B4">
              <w:rPr>
                <w:bCs/>
                <w:spacing w:val="-4"/>
                <w:szCs w:val="20"/>
                <w:lang w:eastAsia="en-US"/>
              </w:rPr>
              <w:t>(v</w:t>
            </w:r>
            <w:r>
              <w:rPr>
                <w:bCs/>
                <w:spacing w:val="-4"/>
                <w:szCs w:val="20"/>
                <w:lang w:eastAsia="en-US"/>
              </w:rPr>
              <w:t> %</w:t>
            </w:r>
            <w:r w:rsidRPr="00D721B4">
              <w:rPr>
                <w:bCs/>
                <w:spacing w:val="-4"/>
                <w:szCs w:val="20"/>
                <w:lang w:eastAsia="en-US"/>
              </w:rPr>
              <w:t>)</w:t>
            </w:r>
          </w:p>
        </w:tc>
      </w:tr>
      <w:tr w:rsidR="003B7AFA" w14:paraId="055EF0F3" w14:textId="77777777" w:rsidTr="003B7AFA">
        <w:tblPrEx>
          <w:tblCellMar>
            <w:left w:w="70" w:type="dxa"/>
            <w:right w:w="70" w:type="dxa"/>
          </w:tblCellMar>
        </w:tblPrEx>
        <w:trPr>
          <w:trHeight w:val="170"/>
        </w:trPr>
        <w:tc>
          <w:tcPr>
            <w:tcW w:w="1802" w:type="dxa"/>
            <w:vMerge/>
            <w:vAlign w:val="center"/>
            <w:hideMark/>
          </w:tcPr>
          <w:p w14:paraId="644D56E3" w14:textId="77777777" w:rsidR="003B7AFA" w:rsidRDefault="003B7AFA" w:rsidP="003B7AFA">
            <w:pPr>
              <w:spacing w:after="0" w:line="240" w:lineRule="auto"/>
              <w:jc w:val="left"/>
              <w:rPr>
                <w:spacing w:val="-2"/>
                <w:sz w:val="16"/>
                <w:szCs w:val="16"/>
                <w:lang w:eastAsia="en-US"/>
              </w:rPr>
            </w:pPr>
          </w:p>
        </w:tc>
        <w:tc>
          <w:tcPr>
            <w:tcW w:w="229" w:type="dxa"/>
            <w:vMerge/>
            <w:vAlign w:val="center"/>
            <w:hideMark/>
          </w:tcPr>
          <w:p w14:paraId="060B3F60" w14:textId="77777777" w:rsidR="003B7AFA" w:rsidRDefault="003B7AFA" w:rsidP="003B7AFA">
            <w:pPr>
              <w:spacing w:after="0" w:line="240" w:lineRule="auto"/>
              <w:jc w:val="left"/>
              <w:rPr>
                <w:rFonts w:eastAsia="Calibri"/>
                <w:spacing w:val="-4"/>
                <w:szCs w:val="20"/>
                <w:lang w:eastAsia="en-US"/>
              </w:rPr>
            </w:pPr>
          </w:p>
        </w:tc>
        <w:tc>
          <w:tcPr>
            <w:tcW w:w="7610" w:type="dxa"/>
            <w:hideMark/>
          </w:tcPr>
          <w:p w14:paraId="788AF17B" w14:textId="77777777" w:rsidR="003B7AFA" w:rsidRDefault="003B7AFA" w:rsidP="003B7AFA">
            <w:pPr>
              <w:spacing w:after="0"/>
              <w:rPr>
                <w:sz w:val="14"/>
                <w:szCs w:val="14"/>
                <w:lang w:eastAsia="en-US"/>
              </w:rPr>
            </w:pPr>
            <w:r>
              <w:rPr>
                <w:noProof/>
              </w:rPr>
              <w:drawing>
                <wp:inline distT="0" distB="0" distL="0" distR="0" wp14:anchorId="36477D83" wp14:editId="6FA6D930">
                  <wp:extent cx="4737600" cy="3553200"/>
                  <wp:effectExtent l="0" t="0" r="6350" b="0"/>
                  <wp:docPr id="31" name="Graf 3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3B7AFA" w14:paraId="2BA9C45A" w14:textId="77777777" w:rsidTr="003B7AFA">
        <w:trPr>
          <w:trHeight w:val="170"/>
        </w:trPr>
        <w:tc>
          <w:tcPr>
            <w:tcW w:w="0" w:type="auto"/>
            <w:vMerge/>
            <w:vAlign w:val="center"/>
            <w:hideMark/>
          </w:tcPr>
          <w:p w14:paraId="264E5818" w14:textId="77777777" w:rsidR="003B7AFA" w:rsidRDefault="003B7AFA" w:rsidP="003B7AFA">
            <w:pPr>
              <w:spacing w:after="0" w:line="240" w:lineRule="auto"/>
              <w:jc w:val="left"/>
              <w:rPr>
                <w:spacing w:val="-2"/>
                <w:sz w:val="16"/>
                <w:szCs w:val="16"/>
                <w:lang w:eastAsia="en-US"/>
              </w:rPr>
            </w:pPr>
          </w:p>
        </w:tc>
        <w:tc>
          <w:tcPr>
            <w:tcW w:w="0" w:type="auto"/>
            <w:vMerge/>
            <w:vAlign w:val="center"/>
            <w:hideMark/>
          </w:tcPr>
          <w:p w14:paraId="269664F1" w14:textId="77777777" w:rsidR="003B7AFA" w:rsidRDefault="003B7AFA" w:rsidP="003B7AFA">
            <w:pPr>
              <w:spacing w:after="0" w:line="240" w:lineRule="auto"/>
              <w:jc w:val="left"/>
              <w:rPr>
                <w:rFonts w:eastAsia="Calibri"/>
                <w:spacing w:val="-4"/>
                <w:szCs w:val="20"/>
                <w:lang w:eastAsia="en-US"/>
              </w:rPr>
            </w:pPr>
          </w:p>
        </w:tc>
        <w:tc>
          <w:tcPr>
            <w:tcW w:w="7610" w:type="dxa"/>
            <w:hideMark/>
          </w:tcPr>
          <w:p w14:paraId="72AB2B51" w14:textId="77777777" w:rsidR="003B7AFA" w:rsidRDefault="003B7AFA" w:rsidP="003B7AFA">
            <w:pPr>
              <w:spacing w:after="0"/>
              <w:rPr>
                <w:sz w:val="14"/>
                <w:szCs w:val="14"/>
                <w:lang w:eastAsia="en-US"/>
              </w:rPr>
            </w:pPr>
            <w:r>
              <w:rPr>
                <w:sz w:val="14"/>
                <w:szCs w:val="14"/>
                <w:lang w:eastAsia="en-US"/>
              </w:rPr>
              <w:t>Zdroj: ARAD, ČNB</w:t>
            </w:r>
          </w:p>
        </w:tc>
      </w:tr>
    </w:tbl>
    <w:p w14:paraId="2ADE8956" w14:textId="77777777" w:rsidR="003B7AFA" w:rsidRPr="00BB286B" w:rsidRDefault="003B7AFA" w:rsidP="003B7AFA">
      <w:pPr>
        <w:spacing w:after="0" w:line="240" w:lineRule="auto"/>
        <w:jc w:val="left"/>
        <w:rPr>
          <w:rFonts w:eastAsia="MS Gothic"/>
          <w:b/>
          <w:bCs/>
          <w:color w:val="71818C"/>
          <w:sz w:val="32"/>
          <w:szCs w:val="32"/>
          <w:highlight w:val="yellow"/>
        </w:rPr>
      </w:pPr>
    </w:p>
    <w:p w14:paraId="08214E09" w14:textId="77777777" w:rsidR="00A04CEF" w:rsidRDefault="00A04CEF" w:rsidP="00A04CEF">
      <w:pPr>
        <w:pStyle w:val="Nadpis1"/>
      </w:pPr>
      <w:bookmarkStart w:id="28" w:name="_Toc200969295"/>
      <w:r w:rsidRPr="009B19D4">
        <w:lastRenderedPageBreak/>
        <w:t>8</w:t>
      </w:r>
      <w:r>
        <w:t>. </w:t>
      </w:r>
      <w:r w:rsidRPr="009B19D4">
        <w:t>Státní rozpočet</w:t>
      </w:r>
      <w:bookmarkEnd w:id="28"/>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A04CEF" w:rsidRPr="003C07E6" w14:paraId="19DFC4FF" w14:textId="77777777" w:rsidTr="00A04CEF">
        <w:trPr>
          <w:trHeight w:val="60"/>
        </w:trPr>
        <w:tc>
          <w:tcPr>
            <w:tcW w:w="1810" w:type="dxa"/>
            <w:shd w:val="clear" w:color="auto" w:fill="auto"/>
            <w:tcMar>
              <w:left w:w="0" w:type="dxa"/>
            </w:tcMar>
          </w:tcPr>
          <w:p w14:paraId="00BB6539" w14:textId="77777777" w:rsidR="00A04CEF" w:rsidRDefault="00A04CEF" w:rsidP="00A04CEF">
            <w:pPr>
              <w:pStyle w:val="Marginlie"/>
            </w:pPr>
            <w:r>
              <w:t xml:space="preserve">Schodek SR se </w:t>
            </w:r>
            <w:r>
              <w:br/>
              <w:t>v 1. čtvrtletí meziročně mírně snížil. Významné deficity nicméně tížily rozpočet šestým rokem v řadě.</w:t>
            </w:r>
          </w:p>
          <w:p w14:paraId="3026E6CB" w14:textId="77777777" w:rsidR="00A04CEF" w:rsidRDefault="00A04CEF" w:rsidP="00A04CEF">
            <w:pPr>
              <w:pStyle w:val="Marginlie"/>
            </w:pPr>
          </w:p>
        </w:tc>
        <w:tc>
          <w:tcPr>
            <w:tcW w:w="203" w:type="dxa"/>
            <w:shd w:val="clear" w:color="auto" w:fill="auto"/>
            <w:tcMar>
              <w:left w:w="0" w:type="dxa"/>
            </w:tcMar>
          </w:tcPr>
          <w:p w14:paraId="5F70BE3B" w14:textId="77777777" w:rsidR="00A04CEF" w:rsidRDefault="00A04CEF" w:rsidP="00A04CEF">
            <w:pPr>
              <w:pStyle w:val="Textpoznpodarou"/>
              <w:jc w:val="both"/>
              <w:rPr>
                <w:spacing w:val="-4"/>
              </w:rPr>
            </w:pPr>
          </w:p>
        </w:tc>
        <w:tc>
          <w:tcPr>
            <w:tcW w:w="7656" w:type="dxa"/>
            <w:shd w:val="clear" w:color="auto" w:fill="auto"/>
            <w:tcMar>
              <w:left w:w="0" w:type="dxa"/>
            </w:tcMar>
          </w:tcPr>
          <w:p w14:paraId="033EC387" w14:textId="77777777" w:rsidR="00A04CEF" w:rsidRDefault="00A04CEF" w:rsidP="00A04CEF">
            <w:pPr>
              <w:spacing w:after="200"/>
              <w:rPr>
                <w:spacing w:val="-4"/>
              </w:rPr>
            </w:pPr>
            <w:r>
              <w:rPr>
                <w:spacing w:val="-4"/>
              </w:rPr>
              <w:t>Hospodaření státního rozpočtu (SR)</w:t>
            </w:r>
            <w:r w:rsidRPr="00B57210">
              <w:rPr>
                <w:rStyle w:val="Znakapoznpodarou"/>
                <w:spacing w:val="-4"/>
              </w:rPr>
              <w:footnoteReference w:id="91"/>
            </w:r>
            <w:r>
              <w:rPr>
                <w:spacing w:val="-4"/>
              </w:rPr>
              <w:t xml:space="preserve"> skončilo v 1. čtvrtletí 2025 se schodkem </w:t>
            </w:r>
            <w:r>
              <w:rPr>
                <w:spacing w:val="-4"/>
              </w:rPr>
              <w:br/>
              <w:t>91,2 mld. korun. Významný deficit tak přetrvával již šestým rokem v řadě. Meziročně se ovšem snížil, aktuálně o 13,8 mld. (byť zdaleka ne tak razantně jako na počátku roku 2024, kdy činil pokles 61,2 mld.), tento trend redukce schodku koresponduje se schváleným SR</w:t>
            </w:r>
            <w:r>
              <w:rPr>
                <w:rStyle w:val="Znakapoznpodarou"/>
                <w:spacing w:val="-4"/>
              </w:rPr>
              <w:footnoteReference w:id="92"/>
            </w:r>
            <w:r>
              <w:rPr>
                <w:spacing w:val="-4"/>
              </w:rPr>
              <w:t xml:space="preserve">. Za mírným meziročním zlepšením schodku stálo relativně solidní tempo růstu celkových příjmů SR, ve kterém se postupně projevuje dopad oživení výkonu ekonomiky. Růst výdajů SR byl navíc tlumen </w:t>
            </w:r>
            <w:r w:rsidRPr="00B72A69">
              <w:rPr>
                <w:spacing w:val="-5"/>
              </w:rPr>
              <w:t>odeznívání</w:t>
            </w:r>
            <w:r>
              <w:rPr>
                <w:spacing w:val="-5"/>
              </w:rPr>
              <w:t>m</w:t>
            </w:r>
            <w:r w:rsidRPr="00B72A69">
              <w:rPr>
                <w:spacing w:val="-5"/>
              </w:rPr>
              <w:t xml:space="preserve"> potřeby mimořádných výdajů domácnostem i firmám zasaženým dopady vysoké</w:t>
            </w:r>
            <w:r>
              <w:rPr>
                <w:spacing w:val="-4"/>
              </w:rPr>
              <w:t xml:space="preserve"> inflace. Na příjmovou i výdajovou stranu rozpočtu působí také dopady </w:t>
            </w:r>
            <w:r w:rsidRPr="009E7F3F">
              <w:rPr>
                <w:spacing w:val="-5"/>
              </w:rPr>
              <w:t xml:space="preserve">konsolidačního </w:t>
            </w:r>
            <w:r>
              <w:rPr>
                <w:spacing w:val="-5"/>
              </w:rPr>
              <w:t xml:space="preserve">ozdravného </w:t>
            </w:r>
            <w:r w:rsidRPr="009E7F3F">
              <w:rPr>
                <w:spacing w:val="-5"/>
              </w:rPr>
              <w:t>balíčku schváleného</w:t>
            </w:r>
            <w:r>
              <w:rPr>
                <w:spacing w:val="-5"/>
              </w:rPr>
              <w:t xml:space="preserve"> v roce 2023, byť se jejich efekt v plné míře patrně projeví až později v průběhu letošního roku</w:t>
            </w:r>
            <w:r>
              <w:rPr>
                <w:rStyle w:val="Znakapoznpodarou"/>
                <w:spacing w:val="-5"/>
              </w:rPr>
              <w:footnoteReference w:id="93"/>
            </w:r>
            <w:r>
              <w:rPr>
                <w:spacing w:val="-5"/>
              </w:rPr>
              <w:t xml:space="preserve">. Zřetelný dopad má zde již změna </w:t>
            </w:r>
            <w:r w:rsidRPr="009E7F3F">
              <w:rPr>
                <w:spacing w:val="-5"/>
              </w:rPr>
              <w:t>rozpočtového určení daní</w:t>
            </w:r>
            <w:r>
              <w:rPr>
                <w:spacing w:val="-5"/>
              </w:rPr>
              <w:t xml:space="preserve"> (RUD)</w:t>
            </w:r>
            <w:r w:rsidRPr="009E7F3F">
              <w:rPr>
                <w:spacing w:val="-5"/>
              </w:rPr>
              <w:t>, jež od</w:t>
            </w:r>
            <w:r>
              <w:rPr>
                <w:spacing w:val="-4"/>
              </w:rPr>
              <w:t xml:space="preserve"> ledna 2025 opět zvyšuje podíl na výnosu některých váhově významných daní ve prospěch SR.</w:t>
            </w:r>
          </w:p>
        </w:tc>
      </w:tr>
      <w:tr w:rsidR="00A04CEF" w:rsidRPr="003C07E6" w14:paraId="43A82C21" w14:textId="77777777" w:rsidTr="00A04CEF">
        <w:trPr>
          <w:trHeight w:val="60"/>
        </w:trPr>
        <w:tc>
          <w:tcPr>
            <w:tcW w:w="1810" w:type="dxa"/>
            <w:shd w:val="clear" w:color="auto" w:fill="auto"/>
            <w:tcMar>
              <w:left w:w="0" w:type="dxa"/>
            </w:tcMar>
          </w:tcPr>
          <w:p w14:paraId="389531E6" w14:textId="77777777" w:rsidR="00A04CEF" w:rsidRDefault="00A04CEF" w:rsidP="00A04CEF">
            <w:pPr>
              <w:pStyle w:val="Marginlie"/>
            </w:pPr>
            <w:r>
              <w:t>Celkové příjmy se meziročně zvýšily zejména vlivem vyššího výběru nepřímých daní.</w:t>
            </w:r>
          </w:p>
        </w:tc>
        <w:tc>
          <w:tcPr>
            <w:tcW w:w="203" w:type="dxa"/>
            <w:shd w:val="clear" w:color="auto" w:fill="auto"/>
            <w:tcMar>
              <w:left w:w="0" w:type="dxa"/>
            </w:tcMar>
          </w:tcPr>
          <w:p w14:paraId="4EA80511" w14:textId="77777777" w:rsidR="00A04CEF" w:rsidRDefault="00A04CEF" w:rsidP="00A04CEF">
            <w:pPr>
              <w:pStyle w:val="Textpoznpodarou"/>
              <w:jc w:val="both"/>
              <w:rPr>
                <w:spacing w:val="-4"/>
              </w:rPr>
            </w:pPr>
          </w:p>
        </w:tc>
        <w:tc>
          <w:tcPr>
            <w:tcW w:w="7656" w:type="dxa"/>
            <w:shd w:val="clear" w:color="auto" w:fill="auto"/>
            <w:tcMar>
              <w:left w:w="0" w:type="dxa"/>
            </w:tcMar>
          </w:tcPr>
          <w:p w14:paraId="1ED74614" w14:textId="77777777" w:rsidR="00A04CEF" w:rsidRPr="007D68CA" w:rsidRDefault="00A04CEF" w:rsidP="00A04CEF">
            <w:pPr>
              <w:spacing w:after="200"/>
              <w:rPr>
                <w:color w:val="0D0D0D" w:themeColor="text1" w:themeTint="F2"/>
                <w:spacing w:val="-4"/>
              </w:rPr>
            </w:pPr>
            <w:r>
              <w:rPr>
                <w:color w:val="0D0D0D" w:themeColor="text1" w:themeTint="F2"/>
                <w:spacing w:val="-4"/>
              </w:rPr>
              <w:t>Celkové příjmy SR za celý loňský rok v souladu s rozpočtovým očekáváním v 1. čtvrtletí meziročně vzrostly (+6,1 %, resp. 27,4 mld. korun). Více než z poloviny k tomu přispělo vyšší daňové inkaso, podpořené především růstem výběru nepřímých daní (alespoň mírně ovšem vzrostl výběr všech významnějších daňových položek, vyjma mimořádných sektorových daní uvalených v souvislosti s energetickou krizí). Významný vliv měl i stabilně se zvyšující výběr pojistného na sociální zabezpečení vč. aktivní politiky zaměstnanosti (+13,3 mld. korun, +7,5</w:t>
            </w:r>
            <w:r>
              <w:rPr>
                <w:spacing w:val="-4"/>
              </w:rPr>
              <w:t> </w:t>
            </w:r>
            <w:r>
              <w:rPr>
                <w:color w:val="0D0D0D" w:themeColor="text1" w:themeTint="F2"/>
                <w:spacing w:val="-4"/>
              </w:rPr>
              <w:t xml:space="preserve">%), jenž odráží </w:t>
            </w:r>
            <w:r>
              <w:rPr>
                <w:spacing w:val="-4"/>
              </w:rPr>
              <w:t>dobrou kondici na trhu práce vyznačující se vysokou zaměstnaností i svižně rostoucími průměrnými výdělky v podnikové sféře. Z ostatních položek měl největší vliv vyšší výnos zdanění hazardu (+2,2 mld., +86 %), v němž se projevilo zvýšení sazeb daně i změna RUD u některých typů her.</w:t>
            </w:r>
          </w:p>
        </w:tc>
      </w:tr>
      <w:tr w:rsidR="00A04CEF" w:rsidRPr="003C07E6" w14:paraId="38035BE7" w14:textId="77777777" w:rsidTr="00A04CEF">
        <w:trPr>
          <w:trHeight w:val="60"/>
        </w:trPr>
        <w:tc>
          <w:tcPr>
            <w:tcW w:w="1810" w:type="dxa"/>
            <w:shd w:val="clear" w:color="auto" w:fill="auto"/>
            <w:tcMar>
              <w:left w:w="0" w:type="dxa"/>
            </w:tcMar>
          </w:tcPr>
          <w:p w14:paraId="25B1D70A" w14:textId="77777777" w:rsidR="00A04CEF" w:rsidRDefault="00A04CEF" w:rsidP="00A04CEF">
            <w:pPr>
              <w:pStyle w:val="Marginlie"/>
            </w:pPr>
            <w:r>
              <w:t xml:space="preserve">Meziroční růst celostátního daňového inkasa letos ve srovnání s počátkem loňského roku zvolnil, a to kvůli slabšímu výběru korporátní daně, včetně mimořádných daní. </w:t>
            </w:r>
          </w:p>
        </w:tc>
        <w:tc>
          <w:tcPr>
            <w:tcW w:w="203" w:type="dxa"/>
            <w:shd w:val="clear" w:color="auto" w:fill="auto"/>
            <w:tcMar>
              <w:left w:w="0" w:type="dxa"/>
            </w:tcMar>
          </w:tcPr>
          <w:p w14:paraId="3293676F" w14:textId="77777777" w:rsidR="00A04CEF" w:rsidRDefault="00A04CEF" w:rsidP="00A04CEF">
            <w:pPr>
              <w:pStyle w:val="Textpoznpodarou"/>
              <w:jc w:val="both"/>
              <w:rPr>
                <w:spacing w:val="-4"/>
              </w:rPr>
            </w:pPr>
          </w:p>
        </w:tc>
        <w:tc>
          <w:tcPr>
            <w:tcW w:w="7656" w:type="dxa"/>
            <w:shd w:val="clear" w:color="auto" w:fill="auto"/>
            <w:tcMar>
              <w:left w:w="0" w:type="dxa"/>
            </w:tcMar>
          </w:tcPr>
          <w:p w14:paraId="5BF3EE21" w14:textId="78A4A7A4" w:rsidR="00A04CEF" w:rsidRPr="004F3AC4" w:rsidRDefault="00A04CEF" w:rsidP="00A04CEF">
            <w:pPr>
              <w:spacing w:after="200"/>
              <w:rPr>
                <w:color w:val="0D0D0D" w:themeColor="text1" w:themeTint="F2"/>
                <w:spacing w:val="-4"/>
              </w:rPr>
            </w:pPr>
            <w:r>
              <w:rPr>
                <w:color w:val="0D0D0D" w:themeColor="text1" w:themeTint="F2"/>
                <w:spacing w:val="-4"/>
              </w:rPr>
              <w:t xml:space="preserve">Celostátní daňové inkaso bez pojistného (zohledňující příjmy na úrovni všech veřejných rozpočtů) se letos v 1. čtvrtletí meziročně zvýšilo o 5,3 %, ve stejném období v předchozích třech letech přitom rostlo dvoucifernými tempy. Jestliže na počátku 2022 táhla růst tohoto inkasa prostřednictvím oživené spotřeby domácností hlavně DPH a následující dva roky pak zejména vysoký výběr korporátní daně spolu s mimořádnými firemními daněmi, letos žádná příjmová položka zatím nedominovala (nejvíce se projevil vyšší výběr DPH – příspěvek +2,3 p. b.). Naopak negativní dopad měly </w:t>
            </w:r>
            <w:r>
              <w:rPr>
                <w:color w:val="0D0D0D" w:themeColor="text1" w:themeTint="F2"/>
                <w:spacing w:val="-2"/>
              </w:rPr>
              <w:t>mimořádné dočasně zavedené</w:t>
            </w:r>
            <w:r w:rsidRPr="00DA5BA1">
              <w:rPr>
                <w:color w:val="0D0D0D" w:themeColor="text1" w:themeTint="F2"/>
                <w:spacing w:val="-2"/>
              </w:rPr>
              <w:t xml:space="preserve"> </w:t>
            </w:r>
            <w:r w:rsidR="00C53E5D">
              <w:rPr>
                <w:color w:val="0D0D0D" w:themeColor="text1" w:themeTint="F2"/>
                <w:spacing w:val="-6"/>
              </w:rPr>
              <w:t>firemní</w:t>
            </w:r>
            <w:r>
              <w:rPr>
                <w:color w:val="0D0D0D" w:themeColor="text1" w:themeTint="F2"/>
                <w:spacing w:val="-6"/>
              </w:rPr>
              <w:t xml:space="preserve"> daně</w:t>
            </w:r>
            <w:r>
              <w:rPr>
                <w:rStyle w:val="Znakapoznpodarou"/>
                <w:color w:val="0D0D0D" w:themeColor="text1" w:themeTint="F2"/>
                <w:spacing w:val="-6"/>
              </w:rPr>
              <w:footnoteReference w:id="94"/>
            </w:r>
            <w:r>
              <w:rPr>
                <w:color w:val="0D0D0D" w:themeColor="text1" w:themeTint="F2"/>
                <w:spacing w:val="-6"/>
              </w:rPr>
              <w:t xml:space="preserve"> (−1,2</w:t>
            </w:r>
            <w:r w:rsidRPr="006D5DB6">
              <w:rPr>
                <w:color w:val="0D0D0D" w:themeColor="text1" w:themeTint="F2"/>
                <w:spacing w:val="-6"/>
              </w:rPr>
              <w:t xml:space="preserve"> p. b.).</w:t>
            </w:r>
            <w:r>
              <w:rPr>
                <w:color w:val="0D0D0D" w:themeColor="text1" w:themeTint="F2"/>
                <w:spacing w:val="-6"/>
              </w:rPr>
              <w:t xml:space="preserve"> </w:t>
            </w:r>
            <w:r w:rsidRPr="006D5DB6">
              <w:rPr>
                <w:color w:val="0D0D0D" w:themeColor="text1" w:themeTint="F2"/>
                <w:spacing w:val="-6"/>
              </w:rPr>
              <w:t xml:space="preserve">Celostátní daňové inkaso (bez </w:t>
            </w:r>
            <w:r>
              <w:rPr>
                <w:color w:val="0D0D0D" w:themeColor="text1" w:themeTint="F2"/>
                <w:spacing w:val="-6"/>
              </w:rPr>
              <w:t xml:space="preserve">pojistného a </w:t>
            </w:r>
            <w:r w:rsidRPr="006D5DB6">
              <w:rPr>
                <w:color w:val="0D0D0D" w:themeColor="text1" w:themeTint="F2"/>
                <w:spacing w:val="-6"/>
              </w:rPr>
              <w:t>mimořádných daní) se zvýšilo</w:t>
            </w:r>
            <w:r>
              <w:rPr>
                <w:color w:val="0D0D0D" w:themeColor="text1" w:themeTint="F2"/>
                <w:spacing w:val="-4"/>
              </w:rPr>
              <w:t xml:space="preserve"> o 6,8 %, což bylo slabší tempo než na počátku loňského roku (10,1 %), současně však vyšší než v úhrnu za celý rok 2024 (4,2 %).</w:t>
            </w:r>
          </w:p>
        </w:tc>
      </w:tr>
      <w:tr w:rsidR="00A04CEF" w:rsidRPr="003C07E6" w14:paraId="31A0FD0F" w14:textId="77777777" w:rsidTr="00A04CEF">
        <w:trPr>
          <w:trHeight w:val="60"/>
        </w:trPr>
        <w:tc>
          <w:tcPr>
            <w:tcW w:w="1810" w:type="dxa"/>
            <w:shd w:val="clear" w:color="auto" w:fill="auto"/>
            <w:tcMar>
              <w:left w:w="0" w:type="dxa"/>
            </w:tcMar>
          </w:tcPr>
          <w:p w14:paraId="73E986AE" w14:textId="77777777" w:rsidR="00A04CEF" w:rsidRPr="002F1340" w:rsidRDefault="00A04CEF" w:rsidP="00A04CEF">
            <w:pPr>
              <w:pStyle w:val="Marginlie"/>
              <w:rPr>
                <w:color w:val="0D0D0D" w:themeColor="text1" w:themeTint="F2"/>
              </w:rPr>
            </w:pPr>
            <w:r>
              <w:t>Dynamiku inkasa DPH podporovala zotavující se spotřeba domácností, opačně působily nově zavedené rozsáhlé změny a přesuny v daňových sazbách.</w:t>
            </w:r>
          </w:p>
        </w:tc>
        <w:tc>
          <w:tcPr>
            <w:tcW w:w="203" w:type="dxa"/>
            <w:shd w:val="clear" w:color="auto" w:fill="auto"/>
            <w:tcMar>
              <w:left w:w="0" w:type="dxa"/>
            </w:tcMar>
          </w:tcPr>
          <w:p w14:paraId="60E0B247" w14:textId="77777777" w:rsidR="00A04CEF" w:rsidRPr="002F1340" w:rsidRDefault="00A04CEF" w:rsidP="00A04CEF">
            <w:pPr>
              <w:pStyle w:val="Textpoznpodarou"/>
              <w:jc w:val="both"/>
              <w:rPr>
                <w:color w:val="0D0D0D" w:themeColor="text1" w:themeTint="F2"/>
                <w:spacing w:val="-4"/>
              </w:rPr>
            </w:pPr>
          </w:p>
        </w:tc>
        <w:tc>
          <w:tcPr>
            <w:tcW w:w="7656" w:type="dxa"/>
            <w:shd w:val="clear" w:color="auto" w:fill="auto"/>
            <w:tcMar>
              <w:left w:w="0" w:type="dxa"/>
            </w:tcMar>
          </w:tcPr>
          <w:p w14:paraId="27242B61" w14:textId="77777777" w:rsidR="00A04CEF" w:rsidRPr="00187778" w:rsidRDefault="00A04CEF" w:rsidP="00A04CEF">
            <w:pPr>
              <w:spacing w:after="0"/>
              <w:rPr>
                <w:spacing w:val="-6"/>
              </w:rPr>
            </w:pPr>
            <w:r w:rsidRPr="008B3F65">
              <w:rPr>
                <w:spacing w:val="-6"/>
              </w:rPr>
              <w:t xml:space="preserve">Na váhově dominantní dani – DPH – získal SR </w:t>
            </w:r>
            <w:r>
              <w:rPr>
                <w:spacing w:val="-6"/>
              </w:rPr>
              <w:t>loni</w:t>
            </w:r>
            <w:r w:rsidRPr="008B3F65">
              <w:rPr>
                <w:color w:val="0D0D0D" w:themeColor="text1" w:themeTint="F2"/>
                <w:spacing w:val="-6"/>
              </w:rPr>
              <w:t xml:space="preserve"> meziročně </w:t>
            </w:r>
            <w:r>
              <w:rPr>
                <w:spacing w:val="-6"/>
              </w:rPr>
              <w:t>o 7,1</w:t>
            </w:r>
            <w:r w:rsidRPr="008B3F65">
              <w:rPr>
                <w:spacing w:val="-6"/>
              </w:rPr>
              <w:t xml:space="preserve"> % ví</w:t>
            </w:r>
            <w:r>
              <w:rPr>
                <w:spacing w:val="-6"/>
              </w:rPr>
              <w:t>ce (+6,1 mld. korun) a tempo za celoročním rozpočtovým plánem mírně</w:t>
            </w:r>
            <w:r w:rsidRPr="008B3F65">
              <w:rPr>
                <w:spacing w:val="-6"/>
              </w:rPr>
              <w:t xml:space="preserve"> zaost</w:t>
            </w:r>
            <w:r>
              <w:rPr>
                <w:spacing w:val="-6"/>
              </w:rPr>
              <w:t>ávalo.</w:t>
            </w:r>
            <w:r w:rsidRPr="008B3F65">
              <w:rPr>
                <w:spacing w:val="-6"/>
              </w:rPr>
              <w:t xml:space="preserve"> Na úrovni všech veřejných rozpočtů dosáhl růst </w:t>
            </w:r>
            <w:r>
              <w:rPr>
                <w:spacing w:val="-6"/>
              </w:rPr>
              <w:t xml:space="preserve">inkasa 5,5 % </w:t>
            </w:r>
            <w:r w:rsidRPr="008B3F65">
              <w:rPr>
                <w:spacing w:val="-6"/>
              </w:rPr>
              <w:t>–</w:t>
            </w:r>
            <w:r>
              <w:rPr>
                <w:spacing w:val="-6"/>
              </w:rPr>
              <w:t xml:space="preserve"> nepatrně méně než ve stejném období loni, ale oproti tempu za celý rok 2024 jde takřka o dvojnásobek. V inkasu se při zklidnění cenového vývoje odráží vliv</w:t>
            </w:r>
            <w:r w:rsidRPr="008B3F65">
              <w:rPr>
                <w:spacing w:val="-6"/>
              </w:rPr>
              <w:t xml:space="preserve"> pozvolna se zotavující </w:t>
            </w:r>
            <w:r>
              <w:rPr>
                <w:spacing w:val="-6"/>
              </w:rPr>
              <w:t>spotřeby</w:t>
            </w:r>
            <w:r w:rsidRPr="008B3F65">
              <w:rPr>
                <w:spacing w:val="-6"/>
              </w:rPr>
              <w:t xml:space="preserve"> domácností</w:t>
            </w:r>
            <w:r w:rsidRPr="008B3F65">
              <w:rPr>
                <w:rStyle w:val="Znakapoznpodarou"/>
                <w:spacing w:val="-6"/>
              </w:rPr>
              <w:footnoteReference w:id="95"/>
            </w:r>
            <w:r>
              <w:rPr>
                <w:spacing w:val="-6"/>
              </w:rPr>
              <w:t>. Vedle toho se</w:t>
            </w:r>
            <w:r w:rsidRPr="008B3F65">
              <w:rPr>
                <w:spacing w:val="-6"/>
              </w:rPr>
              <w:t xml:space="preserve"> </w:t>
            </w:r>
            <w:r>
              <w:rPr>
                <w:spacing w:val="-6"/>
              </w:rPr>
              <w:t>projevují i</w:t>
            </w:r>
            <w:r w:rsidRPr="008B3F65">
              <w:rPr>
                <w:spacing w:val="-6"/>
              </w:rPr>
              <w:t xml:space="preserve"> dopady úpravy sazeb </w:t>
            </w:r>
            <w:r>
              <w:rPr>
                <w:spacing w:val="-6"/>
              </w:rPr>
              <w:t>daně</w:t>
            </w:r>
            <w:r>
              <w:rPr>
                <w:rStyle w:val="Znakapoznpodarou"/>
                <w:spacing w:val="-6"/>
              </w:rPr>
              <w:footnoteReference w:id="96"/>
            </w:r>
            <w:r>
              <w:rPr>
                <w:spacing w:val="-6"/>
              </w:rPr>
              <w:t>, k nimž došlo</w:t>
            </w:r>
            <w:r w:rsidRPr="008B3F65">
              <w:rPr>
                <w:spacing w:val="-6"/>
              </w:rPr>
              <w:t xml:space="preserve"> </w:t>
            </w:r>
            <w:r>
              <w:rPr>
                <w:spacing w:val="-6"/>
              </w:rPr>
              <w:t xml:space="preserve">vlivem </w:t>
            </w:r>
            <w:r w:rsidRPr="008B3F65">
              <w:rPr>
                <w:spacing w:val="-6"/>
              </w:rPr>
              <w:t>účinnost</w:t>
            </w:r>
            <w:r>
              <w:rPr>
                <w:spacing w:val="-6"/>
              </w:rPr>
              <w:t>i</w:t>
            </w:r>
            <w:r w:rsidRPr="008B3F65">
              <w:rPr>
                <w:spacing w:val="-6"/>
              </w:rPr>
              <w:t xml:space="preserve"> </w:t>
            </w:r>
            <w:r>
              <w:rPr>
                <w:spacing w:val="-6"/>
              </w:rPr>
              <w:t xml:space="preserve">tzv. </w:t>
            </w:r>
            <w:r w:rsidRPr="008B3F65">
              <w:rPr>
                <w:spacing w:val="-6"/>
              </w:rPr>
              <w:t>konsolidačního balíčku</w:t>
            </w:r>
            <w:r>
              <w:rPr>
                <w:rStyle w:val="Znakapoznpodarou"/>
                <w:spacing w:val="-6"/>
              </w:rPr>
              <w:footnoteReference w:id="97"/>
            </w:r>
            <w:r>
              <w:rPr>
                <w:spacing w:val="-6"/>
              </w:rPr>
              <w:t xml:space="preserve">. </w:t>
            </w:r>
          </w:p>
        </w:tc>
      </w:tr>
      <w:tr w:rsidR="00A04CEF" w:rsidRPr="003C07E6" w14:paraId="17C60ECB" w14:textId="77777777" w:rsidTr="00A04CEF">
        <w:trPr>
          <w:trHeight w:val="60"/>
        </w:trPr>
        <w:tc>
          <w:tcPr>
            <w:tcW w:w="1810" w:type="dxa"/>
            <w:shd w:val="clear" w:color="auto" w:fill="auto"/>
            <w:tcMar>
              <w:left w:w="0" w:type="dxa"/>
            </w:tcMar>
          </w:tcPr>
          <w:p w14:paraId="0818F39B" w14:textId="77777777" w:rsidR="00A04CEF" w:rsidRDefault="00A04CEF" w:rsidP="00A04CEF">
            <w:pPr>
              <w:pStyle w:val="Marginlie"/>
            </w:pPr>
            <w:r>
              <w:lastRenderedPageBreak/>
              <w:t xml:space="preserve">Svižný růst inkasa spotřební daně odrážel hlavně změny zdanění </w:t>
            </w:r>
            <w:r w:rsidRPr="00D47C1A">
              <w:rPr>
                <w:spacing w:val="-4"/>
                <w:szCs w:val="20"/>
              </w:rPr>
              <w:t>tabákových a souvisejících výrobků</w:t>
            </w:r>
            <w:r>
              <w:rPr>
                <w:spacing w:val="-4"/>
                <w:szCs w:val="20"/>
              </w:rPr>
              <w:t xml:space="preserve">. Mírný růst inkasa daně z </w:t>
            </w:r>
            <w:r>
              <w:t xml:space="preserve">minerálních olejů souvisel s </w:t>
            </w:r>
            <w:r>
              <w:rPr>
                <w:spacing w:val="-5"/>
              </w:rPr>
              <w:t>rozvojem silniční nákladní dopravy a</w:t>
            </w:r>
            <w:r>
              <w:t xml:space="preserve"> s </w:t>
            </w:r>
            <w:r>
              <w:rPr>
                <w:spacing w:val="-5"/>
              </w:rPr>
              <w:t>vyšší poptávkou díky nízkým cenám PHM.</w:t>
            </w:r>
          </w:p>
          <w:p w14:paraId="40463BE7" w14:textId="77777777" w:rsidR="00A04CEF" w:rsidRDefault="00A04CEF" w:rsidP="00A04CEF">
            <w:pPr>
              <w:pStyle w:val="Marginlie"/>
            </w:pPr>
          </w:p>
        </w:tc>
        <w:tc>
          <w:tcPr>
            <w:tcW w:w="203" w:type="dxa"/>
            <w:shd w:val="clear" w:color="auto" w:fill="auto"/>
            <w:tcMar>
              <w:left w:w="0" w:type="dxa"/>
            </w:tcMar>
          </w:tcPr>
          <w:p w14:paraId="6174E867" w14:textId="77777777" w:rsidR="00A04CEF" w:rsidRDefault="00A04CEF" w:rsidP="00A04CEF">
            <w:pPr>
              <w:pStyle w:val="Textpoznpodarou"/>
              <w:jc w:val="both"/>
              <w:rPr>
                <w:spacing w:val="-4"/>
              </w:rPr>
            </w:pPr>
          </w:p>
        </w:tc>
        <w:tc>
          <w:tcPr>
            <w:tcW w:w="7656" w:type="dxa"/>
            <w:shd w:val="clear" w:color="auto" w:fill="auto"/>
            <w:tcMar>
              <w:left w:w="0" w:type="dxa"/>
            </w:tcMar>
          </w:tcPr>
          <w:p w14:paraId="5D04AF4D" w14:textId="77777777" w:rsidR="00A04CEF" w:rsidRPr="000D1C37" w:rsidRDefault="00A04CEF" w:rsidP="00A04CEF">
            <w:pPr>
              <w:spacing w:after="200"/>
              <w:rPr>
                <w:spacing w:val="-4"/>
                <w:szCs w:val="20"/>
              </w:rPr>
            </w:pPr>
            <w:r>
              <w:rPr>
                <w:spacing w:val="-4"/>
                <w:szCs w:val="20"/>
              </w:rPr>
              <w:t>Výběr spotřební daně (vč.</w:t>
            </w:r>
            <w:r w:rsidRPr="000B2E46">
              <w:rPr>
                <w:spacing w:val="-4"/>
                <w:szCs w:val="20"/>
              </w:rPr>
              <w:t xml:space="preserve"> energetické daně)</w:t>
            </w:r>
            <w:r>
              <w:rPr>
                <w:spacing w:val="-4"/>
                <w:szCs w:val="20"/>
              </w:rPr>
              <w:t xml:space="preserve"> se letos v 1. čtvrtletí meziročně zvýšil o 11,1 % (+4,0 mld. korun). Tento růst měl plošný charakter a u všech klíčových položek daně současně zatím překonával rozpočtová očekávání (v posledních letech tomu bylo spíše opačně). K nárůstu inkasa přispělo zejména vyšší inkaso </w:t>
            </w:r>
            <w:r w:rsidRPr="00D47C1A">
              <w:rPr>
                <w:spacing w:val="-4"/>
                <w:szCs w:val="20"/>
              </w:rPr>
              <w:t>z tabákových a souvisejících výrobků</w:t>
            </w:r>
            <w:r>
              <w:rPr>
                <w:spacing w:val="-4"/>
                <w:szCs w:val="20"/>
              </w:rPr>
              <w:t xml:space="preserve"> (+2,9 mld. korun), jež meziročně posílilo o čtvrtinu, převážně v důsledku změn legislativy</w:t>
            </w:r>
            <w:r>
              <w:rPr>
                <w:rStyle w:val="Znakapoznpodarou"/>
                <w:spacing w:val="-4"/>
                <w:szCs w:val="20"/>
              </w:rPr>
              <w:footnoteReference w:id="98"/>
            </w:r>
            <w:r>
              <w:rPr>
                <w:spacing w:val="-4"/>
                <w:szCs w:val="20"/>
              </w:rPr>
              <w:t xml:space="preserve">. Zčásti jde o očekávaný efekt předzásobení v důsledku </w:t>
            </w:r>
            <w:r>
              <w:rPr>
                <w:spacing w:val="-5"/>
              </w:rPr>
              <w:t>dalšího navýšení daňové sazby (klasické tabákové výrobky) i rozšíření okruhu zdaněných produktů (od roku 2024 náplně do e-cigaret, nikotinové sáčky, od roku 2025 další alternativy). Spotřeba alternativních tabákových výrobků přitom roste i díky vyšší společenské toleranci a také stále relativně nižší úrovni zdanění. Díky efektu předzásobení vzrostl i výběr daně z lihu (+11 %), vyšší inkaso pramenilo také z dalších objemově spíše okrajových položek daně – šumivého vína a</w:t>
            </w:r>
            <w:r>
              <w:rPr>
                <w:color w:val="0D0D0D" w:themeColor="text1" w:themeTint="F2"/>
                <w:spacing w:val="-4"/>
              </w:rPr>
              <w:t> </w:t>
            </w:r>
            <w:r>
              <w:rPr>
                <w:spacing w:val="-5"/>
              </w:rPr>
              <w:t xml:space="preserve">meziproduktů (+7 %) a piva (+1 %). Relativně málo významné pro SR jsou také energetické daně. Jejich inkaso se meziročně zvýšilo o šestinu, hlavně díky zemnímu plynu, u nějž se projevila vyšší spotřeba v topné sezóně 2024/2025 vlivem relativně chladnějšího počasí a také kvůli ústupu domácností od úsporných opatření. Výběr rozpočtově tradičně nejvýznamnější spotřební daně – z minerálních olejů – rostl mírněji (+3,3 %). </w:t>
            </w:r>
            <w:r>
              <w:rPr>
                <w:spacing w:val="-4"/>
                <w:szCs w:val="20"/>
              </w:rPr>
              <w:t>Projevila se</w:t>
            </w:r>
            <w:r>
              <w:rPr>
                <w:spacing w:val="-5"/>
              </w:rPr>
              <w:t xml:space="preserve"> vyšší poptávka po těchto produktech díky rozvoji silniční nákladní dopravy i příznivému vývoji maloobchodních cen PHM</w:t>
            </w:r>
            <w:r>
              <w:rPr>
                <w:rStyle w:val="Znakapoznpodarou"/>
                <w:spacing w:val="-5"/>
              </w:rPr>
              <w:footnoteReference w:id="99"/>
            </w:r>
            <w:r>
              <w:rPr>
                <w:spacing w:val="-5"/>
              </w:rPr>
              <w:t>.</w:t>
            </w:r>
          </w:p>
        </w:tc>
      </w:tr>
      <w:tr w:rsidR="00A04CEF" w:rsidRPr="003C07E6" w14:paraId="3A4DB497" w14:textId="77777777" w:rsidTr="00A04CEF">
        <w:trPr>
          <w:trHeight w:val="60"/>
        </w:trPr>
        <w:tc>
          <w:tcPr>
            <w:tcW w:w="1810" w:type="dxa"/>
            <w:shd w:val="clear" w:color="auto" w:fill="auto"/>
            <w:tcMar>
              <w:left w:w="0" w:type="dxa"/>
            </w:tcMar>
          </w:tcPr>
          <w:p w14:paraId="243231DA" w14:textId="77777777" w:rsidR="00A04CEF" w:rsidRDefault="00A04CEF" w:rsidP="00A04CEF">
            <w:pPr>
              <w:pStyle w:val="Marginlie"/>
            </w:pPr>
            <w:r>
              <w:t>Výběr daně z příjmu právnických osob rostl na počátku roku jen mírně a za rozpočtovým očekáváním zatím zaostával.</w:t>
            </w:r>
          </w:p>
        </w:tc>
        <w:tc>
          <w:tcPr>
            <w:tcW w:w="203" w:type="dxa"/>
            <w:shd w:val="clear" w:color="auto" w:fill="auto"/>
            <w:tcMar>
              <w:left w:w="0" w:type="dxa"/>
            </w:tcMar>
          </w:tcPr>
          <w:p w14:paraId="34AF4333" w14:textId="77777777" w:rsidR="00A04CEF" w:rsidRDefault="00A04CEF" w:rsidP="00A04CEF">
            <w:pPr>
              <w:pStyle w:val="Textpoznpodarou"/>
              <w:jc w:val="both"/>
              <w:rPr>
                <w:spacing w:val="-4"/>
              </w:rPr>
            </w:pPr>
          </w:p>
        </w:tc>
        <w:tc>
          <w:tcPr>
            <w:tcW w:w="7656" w:type="dxa"/>
            <w:shd w:val="clear" w:color="auto" w:fill="auto"/>
            <w:tcMar>
              <w:left w:w="0" w:type="dxa"/>
            </w:tcMar>
          </w:tcPr>
          <w:p w14:paraId="42B1CE8C" w14:textId="77777777" w:rsidR="00A04CEF" w:rsidRPr="00B0286E" w:rsidRDefault="00A04CEF" w:rsidP="00A04CEF">
            <w:pPr>
              <w:spacing w:after="200"/>
              <w:rPr>
                <w:spacing w:val="-4"/>
                <w:szCs w:val="20"/>
              </w:rPr>
            </w:pPr>
            <w:r>
              <w:rPr>
                <w:spacing w:val="-4"/>
                <w:szCs w:val="20"/>
              </w:rPr>
              <w:t xml:space="preserve">Na korporátní dani získal SR zatím letos meziročně o 3,9 % více (+1,6 mld. korun), tempo výběru zatím zcela nenaplňuje rozpočtové očekávání. V inkasu se zatím příliš neprojevuje mírné hospodářské oživení z loňského roku ani dopady dříve schváleného konsolidačního balíčku (zejména plošné zvýšení sazby daně z 19 % na 21 %). Podobně jako loni výběr daně negativně ovlivňují </w:t>
            </w:r>
            <w:r w:rsidRPr="00B0286E">
              <w:rPr>
                <w:spacing w:val="-4"/>
                <w:szCs w:val="20"/>
              </w:rPr>
              <w:t>osvobození výnosů ze státních dluhopisů</w:t>
            </w:r>
            <w:r>
              <w:rPr>
                <w:spacing w:val="-4"/>
                <w:szCs w:val="20"/>
              </w:rPr>
              <w:t xml:space="preserve"> či prodloužení účinnosti </w:t>
            </w:r>
            <w:r>
              <w:rPr>
                <w:spacing w:val="-5"/>
              </w:rPr>
              <w:t xml:space="preserve">mimořádných odpisů. </w:t>
            </w:r>
            <w:r w:rsidRPr="00B0286E">
              <w:rPr>
                <w:spacing w:val="-5"/>
              </w:rPr>
              <w:t xml:space="preserve">Vedle běžné korporátní daně </w:t>
            </w:r>
            <w:r>
              <w:rPr>
                <w:spacing w:val="-5"/>
              </w:rPr>
              <w:t xml:space="preserve">získal zatím letos SR 9,0 mld. na daně </w:t>
            </w:r>
            <w:r w:rsidRPr="00B0286E">
              <w:rPr>
                <w:spacing w:val="-5"/>
              </w:rPr>
              <w:t>z neočekávaných zisků</w:t>
            </w:r>
            <w:r>
              <w:rPr>
                <w:spacing w:val="-5"/>
              </w:rPr>
              <w:t>, meziročně skoro o třetinu méně. Vzhledem k vývoji tržních cen energií v roce 2024 je pokles výběru této daně rozpočtově očekávaný.</w:t>
            </w:r>
          </w:p>
        </w:tc>
      </w:tr>
      <w:tr w:rsidR="00A04CEF" w:rsidRPr="003C07E6" w14:paraId="4DAE5EF9" w14:textId="77777777" w:rsidTr="00A04CEF">
        <w:trPr>
          <w:trHeight w:val="60"/>
        </w:trPr>
        <w:tc>
          <w:tcPr>
            <w:tcW w:w="1810" w:type="dxa"/>
            <w:shd w:val="clear" w:color="auto" w:fill="auto"/>
            <w:tcMar>
              <w:left w:w="0" w:type="dxa"/>
            </w:tcMar>
          </w:tcPr>
          <w:p w14:paraId="5215D5A1" w14:textId="77777777" w:rsidR="00A04CEF" w:rsidRDefault="00A04CEF" w:rsidP="00A04CEF">
            <w:pPr>
              <w:pStyle w:val="Marginlie"/>
            </w:pPr>
            <w:r>
              <w:t>K pokračujícímu svižnému růstu inkasa daně z příjmů od fyzických osob loni přispěli zaměstnanci i podnikatelé. Projevil se efekt oživení růstu ekonomiky i některé dopady konsolidačního balíčku.</w:t>
            </w:r>
          </w:p>
          <w:p w14:paraId="2AB153FC" w14:textId="77777777" w:rsidR="00A04CEF" w:rsidRDefault="00A04CEF" w:rsidP="00A04CEF">
            <w:pPr>
              <w:pStyle w:val="Marginlie"/>
            </w:pPr>
          </w:p>
          <w:p w14:paraId="6FEFC3DC" w14:textId="77777777" w:rsidR="00A04CEF" w:rsidRDefault="00A04CEF" w:rsidP="00A04CEF">
            <w:pPr>
              <w:pStyle w:val="Marginlie"/>
            </w:pPr>
          </w:p>
          <w:p w14:paraId="5C39BC8A" w14:textId="77777777" w:rsidR="00A04CEF" w:rsidRDefault="00A04CEF" w:rsidP="00A04CEF">
            <w:pPr>
              <w:pStyle w:val="Marginlie"/>
            </w:pPr>
          </w:p>
          <w:p w14:paraId="2E02F072" w14:textId="77777777" w:rsidR="00A04CEF" w:rsidRDefault="00A04CEF" w:rsidP="00A04CEF">
            <w:pPr>
              <w:pStyle w:val="Marginlie"/>
            </w:pPr>
          </w:p>
          <w:p w14:paraId="41CF17FC" w14:textId="77777777" w:rsidR="00A04CEF" w:rsidRDefault="00A04CEF" w:rsidP="00A04CEF">
            <w:pPr>
              <w:pStyle w:val="Marginlie"/>
            </w:pPr>
          </w:p>
          <w:p w14:paraId="40D7FED4" w14:textId="77777777" w:rsidR="00A04CEF" w:rsidRDefault="00A04CEF" w:rsidP="00A04CEF">
            <w:pPr>
              <w:pStyle w:val="Marginlie"/>
            </w:pPr>
            <w:r>
              <w:t xml:space="preserve">Svižný růst inkasa DPFO vybírané srážkou se zastavil. </w:t>
            </w:r>
          </w:p>
        </w:tc>
        <w:tc>
          <w:tcPr>
            <w:tcW w:w="203" w:type="dxa"/>
            <w:shd w:val="clear" w:color="auto" w:fill="auto"/>
            <w:tcMar>
              <w:left w:w="0" w:type="dxa"/>
            </w:tcMar>
          </w:tcPr>
          <w:p w14:paraId="3957F484" w14:textId="77777777" w:rsidR="00A04CEF" w:rsidRDefault="00A04CEF" w:rsidP="00A04CEF">
            <w:pPr>
              <w:pStyle w:val="Textpoznpodarou"/>
              <w:jc w:val="both"/>
              <w:rPr>
                <w:spacing w:val="-4"/>
              </w:rPr>
            </w:pPr>
          </w:p>
        </w:tc>
        <w:tc>
          <w:tcPr>
            <w:tcW w:w="7656" w:type="dxa"/>
            <w:shd w:val="clear" w:color="auto" w:fill="auto"/>
            <w:tcMar>
              <w:left w:w="0" w:type="dxa"/>
            </w:tcMar>
          </w:tcPr>
          <w:p w14:paraId="7E4C3C33" w14:textId="77777777" w:rsidR="00A04CEF" w:rsidRPr="00720081" w:rsidRDefault="00A04CEF" w:rsidP="00A04CEF">
            <w:pPr>
              <w:spacing w:after="0"/>
              <w:rPr>
                <w:color w:val="0D0D0D" w:themeColor="text1" w:themeTint="F2"/>
                <w:spacing w:val="-4"/>
              </w:rPr>
            </w:pPr>
            <w:r>
              <w:rPr>
                <w:spacing w:val="-4"/>
                <w:szCs w:val="20"/>
              </w:rPr>
              <w:t xml:space="preserve">Svižný meziroční růst inkasa </w:t>
            </w:r>
            <w:r w:rsidRPr="009124F8">
              <w:rPr>
                <w:color w:val="0D0D0D" w:themeColor="text1" w:themeTint="F2"/>
                <w:spacing w:val="-4"/>
              </w:rPr>
              <w:t>daně</w:t>
            </w:r>
            <w:r>
              <w:rPr>
                <w:color w:val="0D0D0D" w:themeColor="text1" w:themeTint="F2"/>
                <w:spacing w:val="-4"/>
              </w:rPr>
              <w:t xml:space="preserve"> z příjmů fyzických osob (DPFO) pokračoval letos na počátku roku potřetí v řadě. Do SR plynulo z této daně meziročně o 11,8 % (+4,8 mld. korun) více a tempo výběru zatím mírně překonalo rozpočtový plán. Stejně jako u korporátní daně je výnos do SR navýšen změnou RUD. </w:t>
            </w:r>
            <w:r w:rsidRPr="009124F8">
              <w:rPr>
                <w:color w:val="0D0D0D" w:themeColor="text1" w:themeTint="F2"/>
                <w:spacing w:val="-4"/>
              </w:rPr>
              <w:t>Na DPFO odvedené p</w:t>
            </w:r>
            <w:r>
              <w:rPr>
                <w:color w:val="0D0D0D" w:themeColor="text1" w:themeTint="F2"/>
                <w:spacing w:val="-4"/>
              </w:rPr>
              <w:t>látci (zaměstnavateli</w:t>
            </w:r>
            <w:r w:rsidRPr="009124F8">
              <w:rPr>
                <w:color w:val="0D0D0D" w:themeColor="text1" w:themeTint="F2"/>
                <w:spacing w:val="-4"/>
              </w:rPr>
              <w:t xml:space="preserve">) </w:t>
            </w:r>
            <w:r>
              <w:rPr>
                <w:color w:val="0D0D0D" w:themeColor="text1" w:themeTint="F2"/>
                <w:spacing w:val="-4"/>
              </w:rPr>
              <w:t xml:space="preserve">tak získal SR o 12,9 </w:t>
            </w:r>
            <w:r w:rsidRPr="009124F8">
              <w:rPr>
                <w:color w:val="0D0D0D" w:themeColor="text1" w:themeTint="F2"/>
                <w:spacing w:val="-4"/>
              </w:rPr>
              <w:t xml:space="preserve">% více. </w:t>
            </w:r>
            <w:r>
              <w:rPr>
                <w:color w:val="0D0D0D" w:themeColor="text1" w:themeTint="F2"/>
                <w:spacing w:val="-4"/>
              </w:rPr>
              <w:t>V tempu se p</w:t>
            </w:r>
            <w:r w:rsidRPr="009124F8">
              <w:rPr>
                <w:color w:val="0D0D0D" w:themeColor="text1" w:themeTint="F2"/>
                <w:spacing w:val="-4"/>
              </w:rPr>
              <w:t>říznivě promítala přetrvávající dobrá kondice trhu práce (vyšší zaměstnanost i svižný nominální růst průměrné mzdy v podnikové sféře)</w:t>
            </w:r>
            <w:r>
              <w:rPr>
                <w:color w:val="0D0D0D" w:themeColor="text1" w:themeTint="F2"/>
                <w:spacing w:val="-4"/>
              </w:rPr>
              <w:t xml:space="preserve"> a zčásti ještě i</w:t>
            </w:r>
            <w:r w:rsidRPr="009124F8">
              <w:rPr>
                <w:color w:val="0D0D0D" w:themeColor="text1" w:themeTint="F2"/>
                <w:spacing w:val="-4"/>
              </w:rPr>
              <w:t xml:space="preserve"> legislativní změny</w:t>
            </w:r>
            <w:r>
              <w:rPr>
                <w:color w:val="0D0D0D" w:themeColor="text1" w:themeTint="F2"/>
                <w:spacing w:val="-4"/>
              </w:rPr>
              <w:t xml:space="preserve"> z roku 2024</w:t>
            </w:r>
            <w:r w:rsidRPr="009124F8">
              <w:rPr>
                <w:color w:val="0D0D0D" w:themeColor="text1" w:themeTint="F2"/>
                <w:spacing w:val="-4"/>
              </w:rPr>
              <w:t xml:space="preserve"> (především snížení pásma pro druhou zvýšenou sazbu této daně, v menší míře i úprava zdanění vybraných nepeněžních </w:t>
            </w:r>
            <w:r w:rsidRPr="00B17B77">
              <w:rPr>
                <w:color w:val="0D0D0D" w:themeColor="text1" w:themeTint="F2"/>
                <w:spacing w:val="-4"/>
              </w:rPr>
              <w:t>benefi</w:t>
            </w:r>
            <w:r>
              <w:rPr>
                <w:color w:val="0D0D0D" w:themeColor="text1" w:themeTint="F2"/>
                <w:spacing w:val="-4"/>
              </w:rPr>
              <w:t>tů</w:t>
            </w:r>
            <w:r>
              <w:rPr>
                <w:rStyle w:val="Znakapoznpodarou"/>
                <w:color w:val="0D0D0D" w:themeColor="text1" w:themeTint="F2"/>
                <w:spacing w:val="-4"/>
              </w:rPr>
              <w:footnoteReference w:id="100"/>
            </w:r>
            <w:r>
              <w:rPr>
                <w:color w:val="0D0D0D" w:themeColor="text1" w:themeTint="F2"/>
                <w:spacing w:val="-4"/>
              </w:rPr>
              <w:t>).</w:t>
            </w:r>
            <w:r w:rsidRPr="00FB0E09">
              <w:rPr>
                <w:color w:val="0D0D0D" w:themeColor="text1" w:themeTint="F2"/>
                <w:spacing w:val="-4"/>
              </w:rPr>
              <w:t xml:space="preserve"> Relativně dynamicky rostl také výběr DPFO placené poplatníky (hlavně ze samostatné výdělečné činnosti), meziročně o 22 % (+1,1 mld. korun). Příznivý vliv zde měl růst počtu drobných podnikatelů. Dopady konsolidačního balíčku (snížení hranice příjmů pro druhou</w:t>
            </w:r>
            <w:r>
              <w:rPr>
                <w:color w:val="0D0D0D" w:themeColor="text1" w:themeTint="F2"/>
                <w:spacing w:val="-4"/>
              </w:rPr>
              <w:t>,</w:t>
            </w:r>
            <w:r w:rsidRPr="00FB0E09">
              <w:rPr>
                <w:color w:val="0D0D0D" w:themeColor="text1" w:themeTint="F2"/>
                <w:spacing w:val="-4"/>
              </w:rPr>
              <w:t xml:space="preserve"> vyšší daňovou sazbu, zrušení či omezení některých daňových slev) se ve větší míře letos projevily až v dubnovém inkasu</w:t>
            </w:r>
            <w:r>
              <w:rPr>
                <w:rStyle w:val="Znakapoznpodarou"/>
                <w:color w:val="0D0D0D" w:themeColor="text1" w:themeTint="F2"/>
                <w:spacing w:val="-4"/>
              </w:rPr>
              <w:footnoteReference w:id="101"/>
            </w:r>
            <w:r w:rsidRPr="00FB0E09">
              <w:rPr>
                <w:color w:val="0D0D0D" w:themeColor="text1" w:themeTint="F2"/>
                <w:spacing w:val="-4"/>
              </w:rPr>
              <w:t>.</w:t>
            </w:r>
            <w:r>
              <w:rPr>
                <w:color w:val="0D0D0D" w:themeColor="text1" w:themeTint="F2"/>
                <w:spacing w:val="-4"/>
              </w:rPr>
              <w:t xml:space="preserve"> I</w:t>
            </w:r>
            <w:r w:rsidRPr="00B17B77">
              <w:rPr>
                <w:color w:val="0D0D0D" w:themeColor="text1" w:themeTint="F2"/>
                <w:spacing w:val="-4"/>
              </w:rPr>
              <w:t>nkaso DPFO vybírané srážkou</w:t>
            </w:r>
            <w:r>
              <w:rPr>
                <w:color w:val="0D0D0D" w:themeColor="text1" w:themeTint="F2"/>
                <w:spacing w:val="-4"/>
              </w:rPr>
              <w:t xml:space="preserve"> se letos v 1. čtvrtletí meziročně snížilo o 1,1 %. S očekávaným poklesem </w:t>
            </w:r>
            <w:r w:rsidRPr="00B17B77">
              <w:rPr>
                <w:color w:val="0D0D0D" w:themeColor="text1" w:themeTint="F2"/>
                <w:spacing w:val="-4"/>
              </w:rPr>
              <w:t>úrokový</w:t>
            </w:r>
            <w:r>
              <w:rPr>
                <w:color w:val="0D0D0D" w:themeColor="text1" w:themeTint="F2"/>
                <w:spacing w:val="-4"/>
              </w:rPr>
              <w:t>ch</w:t>
            </w:r>
            <w:r w:rsidRPr="00B17B77">
              <w:rPr>
                <w:color w:val="0D0D0D" w:themeColor="text1" w:themeTint="F2"/>
                <w:spacing w:val="-4"/>
              </w:rPr>
              <w:t xml:space="preserve"> saz</w:t>
            </w:r>
            <w:r>
              <w:rPr>
                <w:color w:val="0D0D0D" w:themeColor="text1" w:themeTint="F2"/>
                <w:spacing w:val="-4"/>
              </w:rPr>
              <w:t>e</w:t>
            </w:r>
            <w:r w:rsidRPr="00B17B77">
              <w:rPr>
                <w:color w:val="0D0D0D" w:themeColor="text1" w:themeTint="F2"/>
                <w:spacing w:val="-4"/>
              </w:rPr>
              <w:t>b na vkladech</w:t>
            </w:r>
            <w:r>
              <w:rPr>
                <w:color w:val="0D0D0D" w:themeColor="text1" w:themeTint="F2"/>
                <w:spacing w:val="-4"/>
              </w:rPr>
              <w:t xml:space="preserve"> skončilo pro SR předchozí tříleté období dynamického růstu příjmů z této daně. </w:t>
            </w:r>
            <w:r w:rsidRPr="001A20A4">
              <w:rPr>
                <w:color w:val="0D0D0D" w:themeColor="text1" w:themeTint="F2"/>
                <w:spacing w:val="-4"/>
              </w:rPr>
              <w:t>Efekt poklesu sazeb je částečně tlumen relativně vysokou mírou úspor domácností. Aktuální</w:t>
            </w:r>
            <w:r w:rsidRPr="001A20A4">
              <w:rPr>
                <w:color w:val="0D0D0D" w:themeColor="text1" w:themeTint="F2"/>
                <w:spacing w:val="-6"/>
              </w:rPr>
              <w:t xml:space="preserve"> pokles inkasa souvisí i s nižším počtem osob pracujících na dohody (DPP, DPČ</w:t>
            </w:r>
            <w:r>
              <w:rPr>
                <w:color w:val="0D0D0D" w:themeColor="text1" w:themeTint="F2"/>
                <w:spacing w:val="-4"/>
              </w:rPr>
              <w:t>)</w:t>
            </w:r>
            <w:r>
              <w:rPr>
                <w:rStyle w:val="Znakapoznpodarou"/>
                <w:color w:val="0D0D0D" w:themeColor="text1" w:themeTint="F2"/>
                <w:spacing w:val="-4"/>
              </w:rPr>
              <w:footnoteReference w:id="102"/>
            </w:r>
            <w:r>
              <w:rPr>
                <w:color w:val="0D0D0D" w:themeColor="text1" w:themeTint="F2"/>
                <w:spacing w:val="-4"/>
              </w:rPr>
              <w:t>.</w:t>
            </w:r>
          </w:p>
        </w:tc>
      </w:tr>
      <w:tr w:rsidR="00A04CEF" w:rsidRPr="003C07E6" w14:paraId="1BAAD252" w14:textId="77777777" w:rsidTr="00A04CEF">
        <w:trPr>
          <w:trHeight w:val="60"/>
        </w:trPr>
        <w:tc>
          <w:tcPr>
            <w:tcW w:w="1810" w:type="dxa"/>
            <w:shd w:val="clear" w:color="auto" w:fill="auto"/>
            <w:tcMar>
              <w:left w:w="0" w:type="dxa"/>
            </w:tcMar>
          </w:tcPr>
          <w:p w14:paraId="357E4668" w14:textId="77777777" w:rsidR="00A04CEF" w:rsidRDefault="00A04CEF" w:rsidP="00A04CEF">
            <w:pPr>
              <w:pStyle w:val="Marginlie"/>
            </w:pPr>
            <w:r>
              <w:lastRenderedPageBreak/>
              <w:t>Příjmy plynoucí z rozpočtu EU vlivem pomalejšího náběhu plateb v novém programovém období mírně klesly.</w:t>
            </w:r>
          </w:p>
        </w:tc>
        <w:tc>
          <w:tcPr>
            <w:tcW w:w="203" w:type="dxa"/>
            <w:shd w:val="clear" w:color="auto" w:fill="auto"/>
            <w:tcMar>
              <w:left w:w="0" w:type="dxa"/>
            </w:tcMar>
          </w:tcPr>
          <w:p w14:paraId="485FD65A" w14:textId="77777777" w:rsidR="00A04CEF" w:rsidRDefault="00A04CEF" w:rsidP="00A04CEF">
            <w:pPr>
              <w:pStyle w:val="Textpoznpodarou"/>
              <w:jc w:val="both"/>
              <w:rPr>
                <w:spacing w:val="-4"/>
              </w:rPr>
            </w:pPr>
          </w:p>
        </w:tc>
        <w:tc>
          <w:tcPr>
            <w:tcW w:w="7656" w:type="dxa"/>
            <w:shd w:val="clear" w:color="auto" w:fill="auto"/>
            <w:tcMar>
              <w:left w:w="0" w:type="dxa"/>
            </w:tcMar>
          </w:tcPr>
          <w:p w14:paraId="1FAF1AFB" w14:textId="77777777" w:rsidR="00A04CEF" w:rsidRPr="00FB0E09" w:rsidRDefault="00A04CEF" w:rsidP="00A04CEF">
            <w:pPr>
              <w:spacing w:after="200"/>
              <w:rPr>
                <w:color w:val="0D0D0D" w:themeColor="text1" w:themeTint="F2"/>
                <w:spacing w:val="-4"/>
              </w:rPr>
            </w:pPr>
            <w:r w:rsidRPr="00342FCD">
              <w:rPr>
                <w:color w:val="0D0D0D" w:themeColor="text1" w:themeTint="F2"/>
                <w:spacing w:val="-4"/>
              </w:rPr>
              <w:t>Nedaňové a kapitálové příjmy a přijaté transfery</w:t>
            </w:r>
            <w:r>
              <w:rPr>
                <w:color w:val="0D0D0D" w:themeColor="text1" w:themeTint="F2"/>
                <w:spacing w:val="-4"/>
              </w:rPr>
              <w:t xml:space="preserve"> dosáhly letos v 1. čtvrtletí 45,6 mld. korun (na veškerých příjmech SR se podílely necelou desetinou</w:t>
            </w:r>
            <w:r>
              <w:rPr>
                <w:rStyle w:val="Znakapoznpodarou"/>
                <w:color w:val="0D0D0D" w:themeColor="text1" w:themeTint="F2"/>
                <w:spacing w:val="-4"/>
              </w:rPr>
              <w:footnoteReference w:id="103"/>
            </w:r>
            <w:r>
              <w:rPr>
                <w:color w:val="0D0D0D" w:themeColor="text1" w:themeTint="F2"/>
                <w:spacing w:val="-4"/>
              </w:rPr>
              <w:t xml:space="preserve">). V souladu s očekáváním rozpočtu se meziročně nepatrně snížily (o 1,4 %). To souvisí především s nižšími příjmy rozpočtu </w:t>
            </w:r>
            <w:r>
              <w:rPr>
                <w:spacing w:val="-4"/>
              </w:rPr>
              <w:t>EU, vč. finančních mechanismů (</w:t>
            </w:r>
            <w:r>
              <w:rPr>
                <w:color w:val="0D0D0D" w:themeColor="text1" w:themeTint="F2"/>
                <w:spacing w:val="-5"/>
              </w:rPr>
              <w:t>−</w:t>
            </w:r>
            <w:r>
              <w:rPr>
                <w:spacing w:val="-4"/>
              </w:rPr>
              <w:t>1,2 mld. korun). V nich se plně projevuje dopad ukončení staršího finančního rámce EU 2014-2020</w:t>
            </w:r>
            <w:r>
              <w:rPr>
                <w:rStyle w:val="Znakapoznpodarou"/>
                <w:spacing w:val="-4"/>
              </w:rPr>
              <w:footnoteReference w:id="104"/>
            </w:r>
            <w:r>
              <w:rPr>
                <w:spacing w:val="-4"/>
              </w:rPr>
              <w:t xml:space="preserve"> i fakt, že příjmy plynoucí ze současného víceletého rámce (2021–2027) vlivem jeho pomalejšího rozjezdu zatím vzrostly jen mírně (podobně jako příjmy na společnou zemědělskou politiku</w:t>
            </w:r>
            <w:r>
              <w:rPr>
                <w:rStyle w:val="Znakapoznpodarou"/>
                <w:spacing w:val="-4"/>
              </w:rPr>
              <w:footnoteReference w:id="105"/>
            </w:r>
            <w:r>
              <w:rPr>
                <w:spacing w:val="-4"/>
              </w:rPr>
              <w:t>).</w:t>
            </w:r>
          </w:p>
        </w:tc>
      </w:tr>
      <w:tr w:rsidR="00A04CEF" w:rsidRPr="003C07E6" w14:paraId="55FF24CB" w14:textId="77777777" w:rsidTr="00A04CEF">
        <w:trPr>
          <w:trHeight w:val="60"/>
        </w:trPr>
        <w:tc>
          <w:tcPr>
            <w:tcW w:w="1810" w:type="dxa"/>
            <w:shd w:val="clear" w:color="auto" w:fill="auto"/>
            <w:tcMar>
              <w:left w:w="0" w:type="dxa"/>
            </w:tcMar>
          </w:tcPr>
          <w:p w14:paraId="0353640B" w14:textId="77777777" w:rsidR="00A04CEF" w:rsidRDefault="00A04CEF" w:rsidP="00A04CEF">
            <w:pPr>
              <w:pStyle w:val="Marginlie"/>
            </w:pPr>
          </w:p>
        </w:tc>
        <w:tc>
          <w:tcPr>
            <w:tcW w:w="203" w:type="dxa"/>
            <w:shd w:val="clear" w:color="auto" w:fill="auto"/>
            <w:tcMar>
              <w:left w:w="0" w:type="dxa"/>
            </w:tcMar>
          </w:tcPr>
          <w:p w14:paraId="31319BB7" w14:textId="77777777" w:rsidR="00A04CEF" w:rsidRDefault="00A04CEF" w:rsidP="00A04CEF">
            <w:pPr>
              <w:pStyle w:val="Textpoznpodarou"/>
              <w:jc w:val="both"/>
              <w:rPr>
                <w:spacing w:val="-4"/>
              </w:rPr>
            </w:pPr>
          </w:p>
        </w:tc>
        <w:tc>
          <w:tcPr>
            <w:tcW w:w="7656" w:type="dxa"/>
            <w:shd w:val="clear" w:color="auto" w:fill="auto"/>
            <w:tcMar>
              <w:left w:w="0" w:type="dxa"/>
            </w:tcMar>
          </w:tcPr>
          <w:p w14:paraId="572F8B48" w14:textId="77777777" w:rsidR="00A04CEF" w:rsidRPr="001B78B8" w:rsidRDefault="00A04CEF" w:rsidP="00A04CEF">
            <w:pPr>
              <w:spacing w:after="40"/>
              <w:rPr>
                <w:color w:val="0D0D0D" w:themeColor="text1" w:themeTint="F2"/>
                <w:spacing w:val="-4"/>
              </w:rPr>
            </w:pPr>
            <w:r w:rsidRPr="004457BD">
              <w:rPr>
                <w:rFonts w:cs="Arial"/>
                <w:b/>
                <w:bCs/>
                <w:color w:val="000000"/>
                <w:spacing w:val="-2"/>
                <w:szCs w:val="20"/>
              </w:rPr>
              <w:t xml:space="preserve">Graf č. 18 Příspěvek dílčích příjmů k meziročnímu růstu </w:t>
            </w:r>
            <w:r>
              <w:rPr>
                <w:rFonts w:cs="Arial"/>
                <w:b/>
                <w:bCs/>
                <w:color w:val="000000"/>
                <w:spacing w:val="-2"/>
                <w:szCs w:val="20"/>
              </w:rPr>
              <w:t xml:space="preserve">souhrnného </w:t>
            </w:r>
            <w:r w:rsidRPr="004457BD">
              <w:rPr>
                <w:rFonts w:cs="Arial"/>
                <w:b/>
                <w:bCs/>
                <w:color w:val="000000"/>
                <w:spacing w:val="-2"/>
                <w:szCs w:val="20"/>
              </w:rPr>
              <w:t xml:space="preserve">celostátního inkasa daňových příjmů </w:t>
            </w:r>
            <w:r>
              <w:rPr>
                <w:rFonts w:cs="Arial"/>
                <w:bCs/>
                <w:color w:val="000000"/>
                <w:spacing w:val="-2"/>
                <w:szCs w:val="20"/>
              </w:rPr>
              <w:t xml:space="preserve">(v </w:t>
            </w:r>
            <w:r w:rsidRPr="004457BD">
              <w:rPr>
                <w:rFonts w:cs="Arial"/>
                <w:bCs/>
                <w:color w:val="000000"/>
                <w:spacing w:val="-2"/>
                <w:szCs w:val="20"/>
              </w:rPr>
              <w:t xml:space="preserve">p. b.), </w:t>
            </w:r>
            <w:r w:rsidRPr="004457BD">
              <w:rPr>
                <w:rFonts w:cs="Arial"/>
                <w:b/>
                <w:bCs/>
                <w:color w:val="000000"/>
                <w:spacing w:val="-2"/>
                <w:szCs w:val="20"/>
              </w:rPr>
              <w:t>meziroční růst příjmů pojistného</w:t>
            </w:r>
            <w:r>
              <w:rPr>
                <w:rFonts w:cs="Arial"/>
                <w:b/>
                <w:bCs/>
                <w:color w:val="000000"/>
                <w:spacing w:val="-2"/>
                <w:szCs w:val="20"/>
              </w:rPr>
              <w:t xml:space="preserve"> na sociální</w:t>
            </w:r>
            <w:r w:rsidRPr="004457BD">
              <w:rPr>
                <w:rFonts w:cs="Arial"/>
                <w:b/>
                <w:bCs/>
                <w:color w:val="000000"/>
                <w:spacing w:val="-2"/>
                <w:szCs w:val="20"/>
              </w:rPr>
              <w:t xml:space="preserve"> zabezpečení</w:t>
            </w:r>
            <w:r w:rsidRPr="004457BD">
              <w:rPr>
                <w:rFonts w:cs="Arial"/>
                <w:bCs/>
                <w:color w:val="000000"/>
                <w:spacing w:val="-2"/>
                <w:szCs w:val="20"/>
              </w:rPr>
              <w:t xml:space="preserve"> (%) </w:t>
            </w:r>
            <w:r w:rsidRPr="004457BD">
              <w:rPr>
                <w:rFonts w:cs="Arial"/>
                <w:b/>
                <w:bCs/>
                <w:color w:val="000000"/>
                <w:spacing w:val="-2"/>
                <w:szCs w:val="20"/>
              </w:rPr>
              <w:t xml:space="preserve">a saldo státního rozpočtu </w:t>
            </w:r>
            <w:r w:rsidRPr="004457BD">
              <w:rPr>
                <w:rFonts w:cs="Arial"/>
                <w:bCs/>
                <w:color w:val="000000"/>
                <w:spacing w:val="-2"/>
                <w:szCs w:val="20"/>
              </w:rPr>
              <w:t>(v mld. korun)</w:t>
            </w:r>
            <w:r>
              <w:rPr>
                <w:rFonts w:cs="Arial"/>
                <w:bCs/>
                <w:color w:val="000000"/>
                <w:spacing w:val="-2"/>
                <w:szCs w:val="20"/>
              </w:rPr>
              <w:t xml:space="preserve"> v </w:t>
            </w:r>
            <w:r>
              <w:rPr>
                <w:rFonts w:cs="Arial"/>
                <w:b/>
                <w:bCs/>
              </w:rPr>
              <w:t>rámci 1. čtvrtletí</w:t>
            </w:r>
          </w:p>
        </w:tc>
      </w:tr>
      <w:tr w:rsidR="00A04CEF" w:rsidRPr="00F704D2" w14:paraId="2A2AE4E9" w14:textId="77777777" w:rsidTr="00A04CEF">
        <w:tblPrEx>
          <w:tblCellMar>
            <w:left w:w="70" w:type="dxa"/>
            <w:right w:w="70" w:type="dxa"/>
          </w:tblCellMar>
        </w:tblPrEx>
        <w:trPr>
          <w:trHeight w:val="170"/>
        </w:trPr>
        <w:tc>
          <w:tcPr>
            <w:tcW w:w="1810" w:type="dxa"/>
            <w:shd w:val="clear" w:color="auto" w:fill="auto"/>
          </w:tcPr>
          <w:p w14:paraId="38335F35" w14:textId="77777777" w:rsidR="00A04CEF" w:rsidRDefault="00A04CEF" w:rsidP="00A04CEF">
            <w:pPr>
              <w:pStyle w:val="Marginlie"/>
            </w:pPr>
          </w:p>
        </w:tc>
        <w:tc>
          <w:tcPr>
            <w:tcW w:w="203" w:type="dxa"/>
            <w:shd w:val="clear" w:color="auto" w:fill="auto"/>
          </w:tcPr>
          <w:p w14:paraId="25D83777" w14:textId="77777777" w:rsidR="00A04CEF" w:rsidRDefault="00A04CEF" w:rsidP="00A04CEF">
            <w:pPr>
              <w:pStyle w:val="Textpoznpodarou"/>
              <w:jc w:val="both"/>
              <w:rPr>
                <w:spacing w:val="-4"/>
              </w:rPr>
            </w:pPr>
          </w:p>
          <w:p w14:paraId="72D4A772" w14:textId="77777777" w:rsidR="00A04CEF" w:rsidRDefault="00A04CEF" w:rsidP="00A04CEF">
            <w:pPr>
              <w:pStyle w:val="Textpoznpodarou"/>
              <w:jc w:val="both"/>
              <w:rPr>
                <w:spacing w:val="-4"/>
              </w:rPr>
            </w:pPr>
          </w:p>
        </w:tc>
        <w:tc>
          <w:tcPr>
            <w:tcW w:w="7656" w:type="dxa"/>
            <w:shd w:val="clear" w:color="auto" w:fill="auto"/>
          </w:tcPr>
          <w:p w14:paraId="6328AABC" w14:textId="77777777" w:rsidR="00A04CEF" w:rsidRPr="004457BD" w:rsidRDefault="00A04CEF" w:rsidP="00A04CEF">
            <w:pPr>
              <w:spacing w:after="40"/>
              <w:rPr>
                <w:rFonts w:cs="Arial"/>
                <w:b/>
                <w:bCs/>
                <w:color w:val="000000"/>
                <w:spacing w:val="-2"/>
                <w:szCs w:val="20"/>
              </w:rPr>
            </w:pPr>
            <w:r>
              <w:rPr>
                <w:noProof/>
              </w:rPr>
              <w:drawing>
                <wp:inline distT="0" distB="0" distL="0" distR="0" wp14:anchorId="0F24650A" wp14:editId="0244F340">
                  <wp:extent cx="4772660" cy="3522428"/>
                  <wp:effectExtent l="0" t="0" r="8890" b="1905"/>
                  <wp:docPr id="923002696"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A04CEF" w:rsidRPr="007B3A78" w14:paraId="4738C7C0" w14:textId="77777777" w:rsidTr="00A04CEF">
        <w:trPr>
          <w:trHeight w:val="170"/>
        </w:trPr>
        <w:tc>
          <w:tcPr>
            <w:tcW w:w="1810" w:type="dxa"/>
            <w:shd w:val="clear" w:color="auto" w:fill="auto"/>
            <w:tcMar>
              <w:left w:w="0" w:type="dxa"/>
            </w:tcMar>
          </w:tcPr>
          <w:p w14:paraId="4A9C86BA" w14:textId="77777777" w:rsidR="00A04CEF" w:rsidRDefault="00A04CEF" w:rsidP="00A04CEF">
            <w:pPr>
              <w:pStyle w:val="Marginlie"/>
            </w:pPr>
          </w:p>
        </w:tc>
        <w:tc>
          <w:tcPr>
            <w:tcW w:w="203" w:type="dxa"/>
            <w:shd w:val="clear" w:color="auto" w:fill="auto"/>
            <w:tcMar>
              <w:left w:w="0" w:type="dxa"/>
            </w:tcMar>
          </w:tcPr>
          <w:p w14:paraId="71E95D5E" w14:textId="77777777" w:rsidR="00A04CEF" w:rsidRDefault="00A04CEF" w:rsidP="00A04CEF">
            <w:pPr>
              <w:pStyle w:val="Textpoznpodarou"/>
              <w:jc w:val="both"/>
              <w:rPr>
                <w:spacing w:val="-4"/>
              </w:rPr>
            </w:pPr>
          </w:p>
        </w:tc>
        <w:tc>
          <w:tcPr>
            <w:tcW w:w="7656" w:type="dxa"/>
            <w:shd w:val="clear" w:color="auto" w:fill="auto"/>
            <w:tcMar>
              <w:left w:w="0" w:type="dxa"/>
            </w:tcMar>
          </w:tcPr>
          <w:p w14:paraId="20AFCA26" w14:textId="77777777" w:rsidR="00A04CEF" w:rsidRDefault="00A04CEF" w:rsidP="00A04CEF">
            <w:pPr>
              <w:tabs>
                <w:tab w:val="right" w:pos="7683"/>
              </w:tabs>
              <w:spacing w:after="0" w:line="240" w:lineRule="auto"/>
              <w:jc w:val="left"/>
              <w:rPr>
                <w:spacing w:val="-2"/>
                <w:sz w:val="14"/>
                <w:szCs w:val="14"/>
              </w:rPr>
            </w:pPr>
            <w:r w:rsidRPr="004457BD">
              <w:rPr>
                <w:spacing w:val="-2"/>
                <w:sz w:val="14"/>
                <w:szCs w:val="14"/>
              </w:rPr>
              <w:t>*Zahrnují i příspěvky na státní politiku zaměstnanosti.</w:t>
            </w:r>
          </w:p>
          <w:p w14:paraId="12EAD5F8" w14:textId="77777777" w:rsidR="00A04CEF" w:rsidRDefault="00A04CEF" w:rsidP="00A04CEF">
            <w:pPr>
              <w:tabs>
                <w:tab w:val="right" w:pos="7683"/>
              </w:tabs>
              <w:spacing w:after="0" w:line="240" w:lineRule="auto"/>
              <w:jc w:val="left"/>
              <w:rPr>
                <w:spacing w:val="-2"/>
                <w:sz w:val="14"/>
                <w:szCs w:val="14"/>
              </w:rPr>
            </w:pPr>
            <w:r w:rsidRPr="004457BD">
              <w:rPr>
                <w:spacing w:val="-2"/>
                <w:sz w:val="14"/>
                <w:szCs w:val="14"/>
              </w:rPr>
              <w:t>**Saldo očištěné o prostředky na pro</w:t>
            </w:r>
            <w:r>
              <w:rPr>
                <w:spacing w:val="-2"/>
                <w:sz w:val="14"/>
                <w:szCs w:val="14"/>
              </w:rPr>
              <w:t>gramy/projekty z rozpočtu EU a f</w:t>
            </w:r>
            <w:r w:rsidRPr="004457BD">
              <w:rPr>
                <w:spacing w:val="-2"/>
                <w:sz w:val="14"/>
                <w:szCs w:val="14"/>
              </w:rPr>
              <w:t xml:space="preserve">inančních mechanismů, které byly předfinancovány ze SR a následně jsou propláceny z rozpočtu EU a FM. </w:t>
            </w:r>
            <w:r>
              <w:rPr>
                <w:spacing w:val="-2"/>
                <w:sz w:val="14"/>
                <w:szCs w:val="14"/>
              </w:rPr>
              <w:t xml:space="preserve">Celoroční údaje </w:t>
            </w:r>
            <w:r w:rsidRPr="004457BD">
              <w:rPr>
                <w:spacing w:val="-2"/>
                <w:sz w:val="14"/>
                <w:szCs w:val="14"/>
              </w:rPr>
              <w:t>jsou</w:t>
            </w:r>
            <w:r>
              <w:rPr>
                <w:spacing w:val="-2"/>
                <w:sz w:val="14"/>
                <w:szCs w:val="14"/>
              </w:rPr>
              <w:t xml:space="preserve"> k dispozici počínaje rokem 2013.</w:t>
            </w:r>
          </w:p>
          <w:p w14:paraId="561F4D7B" w14:textId="77777777" w:rsidR="00A04CEF" w:rsidRDefault="00A04CEF" w:rsidP="00A04CEF">
            <w:pPr>
              <w:tabs>
                <w:tab w:val="right" w:pos="7683"/>
              </w:tabs>
              <w:spacing w:after="0" w:line="240" w:lineRule="auto"/>
              <w:jc w:val="left"/>
              <w:rPr>
                <w:sz w:val="16"/>
                <w:szCs w:val="16"/>
              </w:rPr>
            </w:pPr>
            <w:r>
              <w:rPr>
                <w:spacing w:val="-2"/>
                <w:sz w:val="14"/>
                <w:szCs w:val="14"/>
              </w:rPr>
              <w:t>FO = fyzické soby, PO = právnické osoby. Ostatní daně z příjmů FO zahrnují daně placené</w:t>
            </w:r>
            <w:r w:rsidRPr="005B05AD">
              <w:rPr>
                <w:spacing w:val="-2"/>
                <w:sz w:val="14"/>
                <w:szCs w:val="14"/>
              </w:rPr>
              <w:t xml:space="preserve"> poplatníky</w:t>
            </w:r>
            <w:r>
              <w:rPr>
                <w:spacing w:val="-2"/>
                <w:sz w:val="14"/>
                <w:szCs w:val="14"/>
              </w:rPr>
              <w:t xml:space="preserve"> (zejména z drobného podnikání) a dále daně vybírané</w:t>
            </w:r>
            <w:r w:rsidRPr="005B05AD">
              <w:rPr>
                <w:spacing w:val="-2"/>
                <w:sz w:val="14"/>
                <w:szCs w:val="14"/>
              </w:rPr>
              <w:t xml:space="preserve"> srážkou</w:t>
            </w:r>
            <w:r>
              <w:rPr>
                <w:spacing w:val="-2"/>
                <w:sz w:val="14"/>
                <w:szCs w:val="14"/>
              </w:rPr>
              <w:t xml:space="preserve"> (např. bankovní vklady, pracovní dohody).</w:t>
            </w:r>
          </w:p>
          <w:p w14:paraId="09EC3EFB" w14:textId="77777777" w:rsidR="00A04CEF" w:rsidRDefault="00A04CEF" w:rsidP="00A04CEF">
            <w:pPr>
              <w:rPr>
                <w:spacing w:val="-4"/>
              </w:rPr>
            </w:pPr>
            <w:r>
              <w:rPr>
                <w:sz w:val="14"/>
                <w:szCs w:val="14"/>
              </w:rPr>
              <w:t>Ostatní daně a poplatky obsahují zejména daň z nemovitých věcí, d</w:t>
            </w:r>
            <w:r w:rsidRPr="001F4360">
              <w:rPr>
                <w:sz w:val="14"/>
                <w:szCs w:val="14"/>
              </w:rPr>
              <w:t>aň z hazardních her</w:t>
            </w:r>
            <w:r>
              <w:rPr>
                <w:sz w:val="14"/>
                <w:szCs w:val="14"/>
              </w:rPr>
              <w:t>, d</w:t>
            </w:r>
            <w:r w:rsidRPr="001F4360">
              <w:rPr>
                <w:sz w:val="14"/>
                <w:szCs w:val="14"/>
              </w:rPr>
              <w:t>álniční poplatek</w:t>
            </w:r>
            <w:r>
              <w:rPr>
                <w:sz w:val="14"/>
                <w:szCs w:val="14"/>
              </w:rPr>
              <w:t>, mýtné a od roku 2023 nově rovněž o</w:t>
            </w:r>
            <w:r w:rsidRPr="003C78E5">
              <w:rPr>
                <w:sz w:val="14"/>
                <w:szCs w:val="14"/>
              </w:rPr>
              <w:t>dvod z nadměrných příjmů</w:t>
            </w:r>
            <w:r>
              <w:rPr>
                <w:sz w:val="14"/>
                <w:szCs w:val="14"/>
              </w:rPr>
              <w:t xml:space="preserve"> a neočekávaných zisků.                                                            Zdroj: MF ČR</w:t>
            </w:r>
          </w:p>
        </w:tc>
      </w:tr>
      <w:tr w:rsidR="00A04CEF" w:rsidRPr="007B3A78" w14:paraId="7EB22350" w14:textId="77777777" w:rsidTr="00A04CEF">
        <w:trPr>
          <w:trHeight w:val="170"/>
        </w:trPr>
        <w:tc>
          <w:tcPr>
            <w:tcW w:w="1810" w:type="dxa"/>
            <w:shd w:val="clear" w:color="auto" w:fill="auto"/>
            <w:tcMar>
              <w:left w:w="0" w:type="dxa"/>
            </w:tcMar>
          </w:tcPr>
          <w:p w14:paraId="6853DCCD" w14:textId="77777777" w:rsidR="00A04CEF" w:rsidRDefault="00A04CEF" w:rsidP="00A04CEF">
            <w:pPr>
              <w:pStyle w:val="Marginlie"/>
            </w:pPr>
            <w:r>
              <w:t>Za mírným růstem výdajů stály zatím letos pouze běžné výdaje.</w:t>
            </w:r>
          </w:p>
        </w:tc>
        <w:tc>
          <w:tcPr>
            <w:tcW w:w="203" w:type="dxa"/>
            <w:shd w:val="clear" w:color="auto" w:fill="auto"/>
            <w:tcMar>
              <w:left w:w="0" w:type="dxa"/>
            </w:tcMar>
          </w:tcPr>
          <w:p w14:paraId="744A8C52" w14:textId="77777777" w:rsidR="00A04CEF" w:rsidRDefault="00A04CEF" w:rsidP="00A04CEF">
            <w:pPr>
              <w:pStyle w:val="Textpoznpodarou"/>
              <w:jc w:val="both"/>
              <w:rPr>
                <w:spacing w:val="-4"/>
              </w:rPr>
            </w:pPr>
          </w:p>
        </w:tc>
        <w:tc>
          <w:tcPr>
            <w:tcW w:w="7656" w:type="dxa"/>
            <w:shd w:val="clear" w:color="auto" w:fill="auto"/>
            <w:tcMar>
              <w:left w:w="0" w:type="dxa"/>
            </w:tcMar>
          </w:tcPr>
          <w:p w14:paraId="6AF61C8C" w14:textId="77777777" w:rsidR="00A04CEF" w:rsidRDefault="00A04CEF" w:rsidP="00A04CEF">
            <w:pPr>
              <w:spacing w:after="200"/>
              <w:rPr>
                <w:color w:val="0D0D0D" w:themeColor="text1" w:themeTint="F2"/>
                <w:spacing w:val="-4"/>
                <w:szCs w:val="20"/>
              </w:rPr>
            </w:pPr>
            <w:r>
              <w:rPr>
                <w:color w:val="0D0D0D" w:themeColor="text1" w:themeTint="F2"/>
                <w:spacing w:val="-4"/>
                <w:szCs w:val="20"/>
              </w:rPr>
              <w:t xml:space="preserve">Růst celkových výdajů SR činil letos v 1. čtvrtletí 2,4 % a toto tempo tak bylo zatím mírně nižší než celoroční rozpočtové očekávání. Ve srovnání s počátkem i celým loňským rokem však bylo tempo výdajů vyšší, což je dáno tím, že se v roce 2024 výrazně projevoval útlum podpory domácností i firem zasažených dříve vysokými cenami energií. Rovněž již loni došlo ke stabilizaci růstu spotřebitelských cen, což se brzy promítlo </w:t>
            </w:r>
            <w:r>
              <w:rPr>
                <w:color w:val="0D0D0D" w:themeColor="text1" w:themeTint="F2"/>
                <w:spacing w:val="-4"/>
              </w:rPr>
              <w:t>i v nižším tlaku na valorizaci širokého spektra sociálních dávek.</w:t>
            </w:r>
            <w:r>
              <w:rPr>
                <w:color w:val="0D0D0D" w:themeColor="text1" w:themeTint="F2"/>
                <w:spacing w:val="-4"/>
                <w:szCs w:val="20"/>
              </w:rPr>
              <w:t xml:space="preserve"> Za meziročním růstem celkových výdajů stály letos pouze běžné výdaje (+15,2 mld. korun). </w:t>
            </w:r>
          </w:p>
        </w:tc>
      </w:tr>
      <w:tr w:rsidR="00A04CEF" w:rsidRPr="007B3A78" w14:paraId="4DA64C67" w14:textId="77777777" w:rsidTr="00A04CEF">
        <w:trPr>
          <w:trHeight w:val="170"/>
        </w:trPr>
        <w:tc>
          <w:tcPr>
            <w:tcW w:w="1810" w:type="dxa"/>
            <w:shd w:val="clear" w:color="auto" w:fill="auto"/>
            <w:tcMar>
              <w:left w:w="0" w:type="dxa"/>
            </w:tcMar>
          </w:tcPr>
          <w:p w14:paraId="1301A907" w14:textId="77777777" w:rsidR="00A04CEF" w:rsidRDefault="00A04CEF" w:rsidP="00A04CEF">
            <w:pPr>
              <w:pStyle w:val="Marginlie"/>
            </w:pPr>
            <w:r>
              <w:t xml:space="preserve">Růst běžných transferů územních rozpočtů byl tažen vyššími výdaji na platy pracovníků </w:t>
            </w:r>
            <w:r>
              <w:lastRenderedPageBreak/>
              <w:t>regionálního školství a</w:t>
            </w:r>
            <w:r>
              <w:rPr>
                <w:spacing w:val="-5"/>
              </w:rPr>
              <w:t> </w:t>
            </w:r>
            <w:r>
              <w:t>na evropské projekty.</w:t>
            </w:r>
          </w:p>
        </w:tc>
        <w:tc>
          <w:tcPr>
            <w:tcW w:w="203" w:type="dxa"/>
            <w:shd w:val="clear" w:color="auto" w:fill="auto"/>
            <w:tcMar>
              <w:left w:w="0" w:type="dxa"/>
            </w:tcMar>
          </w:tcPr>
          <w:p w14:paraId="41BE39D9" w14:textId="77777777" w:rsidR="00A04CEF" w:rsidRDefault="00A04CEF" w:rsidP="00A04CEF">
            <w:pPr>
              <w:pStyle w:val="Textpoznpodarou"/>
              <w:jc w:val="both"/>
              <w:rPr>
                <w:spacing w:val="-4"/>
              </w:rPr>
            </w:pPr>
          </w:p>
        </w:tc>
        <w:tc>
          <w:tcPr>
            <w:tcW w:w="7656" w:type="dxa"/>
            <w:shd w:val="clear" w:color="auto" w:fill="auto"/>
            <w:tcMar>
              <w:left w:w="0" w:type="dxa"/>
            </w:tcMar>
          </w:tcPr>
          <w:p w14:paraId="39BE1E89" w14:textId="77777777" w:rsidR="00A04CEF" w:rsidRDefault="00A04CEF" w:rsidP="00A04CEF">
            <w:pPr>
              <w:spacing w:after="200"/>
              <w:rPr>
                <w:color w:val="0D0D0D" w:themeColor="text1" w:themeTint="F2"/>
                <w:spacing w:val="-4"/>
                <w:szCs w:val="20"/>
              </w:rPr>
            </w:pPr>
            <w:r>
              <w:rPr>
                <w:color w:val="0D0D0D" w:themeColor="text1" w:themeTint="F2"/>
                <w:spacing w:val="-4"/>
                <w:szCs w:val="20"/>
              </w:rPr>
              <w:t>Ve směru růstu celkových výdajů SR působily v 1. čtvrtletí nejvíce běžné transfery územním rozpočtům, které dosáhly 94,6 mld. korun (více než šestinu všech běžných výdajů) a</w:t>
            </w:r>
            <w:r>
              <w:rPr>
                <w:color w:val="0D0D0D" w:themeColor="text1" w:themeTint="F2"/>
                <w:spacing w:val="-4"/>
              </w:rPr>
              <w:t> </w:t>
            </w:r>
            <w:r>
              <w:rPr>
                <w:color w:val="0D0D0D" w:themeColor="text1" w:themeTint="F2"/>
                <w:spacing w:val="-4"/>
                <w:szCs w:val="20"/>
              </w:rPr>
              <w:t xml:space="preserve">meziročně posílily o 8,2 mld. (+9,5 %). Relativně vysoké procentní tempo výdajů je zčásti dáno jejich předfinancováním. Vyšší výdaje odráží zejména posílení prostředků na </w:t>
            </w:r>
            <w:r>
              <w:rPr>
                <w:color w:val="0D0D0D" w:themeColor="text1" w:themeTint="F2"/>
                <w:spacing w:val="-4"/>
                <w:szCs w:val="20"/>
              </w:rPr>
              <w:lastRenderedPageBreak/>
              <w:t>regionální školství, primárně na zvýšení platů pracovníků</w:t>
            </w:r>
            <w:r>
              <w:rPr>
                <w:rStyle w:val="Znakapoznpodarou"/>
                <w:color w:val="0D0D0D" w:themeColor="text1" w:themeTint="F2"/>
                <w:spacing w:val="-4"/>
                <w:szCs w:val="20"/>
              </w:rPr>
              <w:footnoteReference w:id="106"/>
            </w:r>
            <w:r>
              <w:rPr>
                <w:color w:val="0D0D0D" w:themeColor="text1" w:themeTint="F2"/>
                <w:spacing w:val="-4"/>
                <w:szCs w:val="20"/>
              </w:rPr>
              <w:t>, dále na spolufinancování nevýzkumných projektů podporovaných EU, další evropské projekty (podpora územního rozvoje v rámci IROP</w:t>
            </w:r>
            <w:r>
              <w:rPr>
                <w:rStyle w:val="Znakapoznpodarou"/>
                <w:color w:val="0D0D0D" w:themeColor="text1" w:themeTint="F2"/>
                <w:spacing w:val="-4"/>
                <w:szCs w:val="20"/>
              </w:rPr>
              <w:footnoteReference w:id="107"/>
            </w:r>
            <w:r>
              <w:rPr>
                <w:color w:val="0D0D0D" w:themeColor="text1" w:themeTint="F2"/>
                <w:spacing w:val="-4"/>
                <w:szCs w:val="20"/>
              </w:rPr>
              <w:t>) a v neposlední řadě na sociální služby. Naopak k poklesu financování došlo v oblasti voleb a také v integraci uprchlíků z Ukrajiny (k</w:t>
            </w:r>
            <w:r w:rsidRPr="002B77A8">
              <w:rPr>
                <w:color w:val="0D0D0D" w:themeColor="text1" w:themeTint="F2"/>
                <w:spacing w:val="-4"/>
                <w:szCs w:val="20"/>
              </w:rPr>
              <w:t>ompenzační příspěvek na ubytování, ukrajinští asistenti pedagogů).</w:t>
            </w:r>
          </w:p>
        </w:tc>
      </w:tr>
      <w:tr w:rsidR="00A04CEF" w:rsidRPr="007B3A78" w14:paraId="1D3C2386" w14:textId="77777777" w:rsidTr="00A04CEF">
        <w:trPr>
          <w:trHeight w:val="170"/>
        </w:trPr>
        <w:tc>
          <w:tcPr>
            <w:tcW w:w="1810" w:type="dxa"/>
            <w:shd w:val="clear" w:color="auto" w:fill="auto"/>
            <w:tcMar>
              <w:left w:w="0" w:type="dxa"/>
            </w:tcMar>
          </w:tcPr>
          <w:p w14:paraId="7FCDF510" w14:textId="77777777" w:rsidR="00A04CEF" w:rsidRDefault="00A04CEF" w:rsidP="00A04CEF">
            <w:pPr>
              <w:pStyle w:val="Marginlie"/>
            </w:pPr>
            <w:r>
              <w:lastRenderedPageBreak/>
              <w:t xml:space="preserve">Výdaje na obsluhu státního dluhu meziročně výrazně vzrostly. </w:t>
            </w:r>
          </w:p>
          <w:p w14:paraId="1B3F6B5D" w14:textId="77777777" w:rsidR="00A04CEF" w:rsidRDefault="00A04CEF" w:rsidP="00A04CEF">
            <w:pPr>
              <w:pStyle w:val="Marginlie"/>
            </w:pPr>
          </w:p>
          <w:p w14:paraId="6B068EB2" w14:textId="77777777" w:rsidR="00A04CEF" w:rsidRDefault="00A04CEF" w:rsidP="00A04CEF">
            <w:pPr>
              <w:pStyle w:val="Marginlie"/>
            </w:pPr>
          </w:p>
          <w:p w14:paraId="759D408A" w14:textId="77777777" w:rsidR="00A04CEF" w:rsidRDefault="00A04CEF" w:rsidP="00A04CEF">
            <w:pPr>
              <w:pStyle w:val="Marginlie"/>
            </w:pPr>
            <w:r>
              <w:t>Růst nominální výše státního dluhu zvolnil. Od počátku roku se navýšila pouze vnitřní zadluženost.</w:t>
            </w:r>
          </w:p>
        </w:tc>
        <w:tc>
          <w:tcPr>
            <w:tcW w:w="203" w:type="dxa"/>
            <w:shd w:val="clear" w:color="auto" w:fill="auto"/>
            <w:tcMar>
              <w:left w:w="0" w:type="dxa"/>
            </w:tcMar>
          </w:tcPr>
          <w:p w14:paraId="2CC1F455" w14:textId="77777777" w:rsidR="00A04CEF" w:rsidRDefault="00A04CEF" w:rsidP="00A04CEF">
            <w:pPr>
              <w:pStyle w:val="Textpoznpodarou"/>
              <w:jc w:val="both"/>
              <w:rPr>
                <w:spacing w:val="-4"/>
              </w:rPr>
            </w:pPr>
          </w:p>
        </w:tc>
        <w:tc>
          <w:tcPr>
            <w:tcW w:w="7656" w:type="dxa"/>
            <w:shd w:val="clear" w:color="auto" w:fill="auto"/>
            <w:tcMar>
              <w:left w:w="0" w:type="dxa"/>
            </w:tcMar>
          </w:tcPr>
          <w:p w14:paraId="27C720A5" w14:textId="77777777" w:rsidR="00A04CEF" w:rsidRPr="009124F8" w:rsidRDefault="00A04CEF" w:rsidP="00A04CEF">
            <w:pPr>
              <w:spacing w:after="200"/>
              <w:rPr>
                <w:color w:val="0D0D0D" w:themeColor="text1" w:themeTint="F2"/>
                <w:spacing w:val="-4"/>
                <w:szCs w:val="20"/>
              </w:rPr>
            </w:pPr>
            <w:r>
              <w:rPr>
                <w:color w:val="0D0D0D" w:themeColor="text1" w:themeTint="F2"/>
                <w:spacing w:val="-4"/>
                <w:szCs w:val="20"/>
              </w:rPr>
              <w:t>Letos významně vzrostly i čisté výdaje na obsluhu státního dluhu (zejména úroky), které v 1.</w:t>
            </w:r>
            <w:r>
              <w:rPr>
                <w:color w:val="0D0D0D" w:themeColor="text1" w:themeTint="F2"/>
                <w:spacing w:val="-4"/>
              </w:rPr>
              <w:t> </w:t>
            </w:r>
            <w:r>
              <w:rPr>
                <w:color w:val="0D0D0D" w:themeColor="text1" w:themeTint="F2"/>
                <w:spacing w:val="-4"/>
                <w:szCs w:val="20"/>
              </w:rPr>
              <w:t>čtvrtletí činily 16,4 mld. korun a meziročně posílily o 45 %</w:t>
            </w:r>
            <w:r>
              <w:rPr>
                <w:rStyle w:val="Znakapoznpodarou"/>
                <w:color w:val="0D0D0D" w:themeColor="text1" w:themeTint="F2"/>
                <w:spacing w:val="-4"/>
                <w:szCs w:val="20"/>
              </w:rPr>
              <w:footnoteReference w:id="108"/>
            </w:r>
            <w:r>
              <w:rPr>
                <w:color w:val="0D0D0D" w:themeColor="text1" w:themeTint="F2"/>
                <w:spacing w:val="-4"/>
                <w:szCs w:val="20"/>
              </w:rPr>
              <w:t xml:space="preserve">. Výše státního dluhu dosáhla na konci března 3 410 mld. korun a meziročně se zvyšovala </w:t>
            </w:r>
            <w:r>
              <w:rPr>
                <w:color w:val="0D0D0D" w:themeColor="text1" w:themeTint="F2"/>
                <w:spacing w:val="-5"/>
              </w:rPr>
              <w:t xml:space="preserve">již 23 </w:t>
            </w:r>
            <w:r w:rsidRPr="004143BE">
              <w:rPr>
                <w:color w:val="0D0D0D" w:themeColor="text1" w:themeTint="F2"/>
                <w:spacing w:val="-5"/>
              </w:rPr>
              <w:t>k</w:t>
            </w:r>
            <w:r>
              <w:rPr>
                <w:color w:val="0D0D0D" w:themeColor="text1" w:themeTint="F2"/>
                <w:spacing w:val="-5"/>
              </w:rPr>
              <w:t xml:space="preserve">vartálů </w:t>
            </w:r>
            <w:r>
              <w:rPr>
                <w:color w:val="0D0D0D" w:themeColor="text1" w:themeTint="F2"/>
                <w:spacing w:val="-8"/>
              </w:rPr>
              <w:t>v řadě.</w:t>
            </w:r>
            <w:r>
              <w:rPr>
                <w:color w:val="0D0D0D" w:themeColor="text1" w:themeTint="F2"/>
                <w:spacing w:val="-4"/>
                <w:szCs w:val="20"/>
              </w:rPr>
              <w:t xml:space="preserve"> Nicméně aktuální růst (+5,9 %) byl v rámci 1. čtvrtletí nejnižší za posledních pět let. Od počátku letošního roku dluh narostl o 1,3 % a také toto tempo bylo v kontextu vývoje v</w:t>
            </w:r>
            <w:r>
              <w:rPr>
                <w:color w:val="0D0D0D" w:themeColor="text1" w:themeTint="F2"/>
                <w:spacing w:val="-4"/>
              </w:rPr>
              <w:t> </w:t>
            </w:r>
            <w:r>
              <w:rPr>
                <w:color w:val="0D0D0D" w:themeColor="text1" w:themeTint="F2"/>
                <w:spacing w:val="-4"/>
                <w:szCs w:val="20"/>
              </w:rPr>
              <w:t>současné dekádě podprůměrné. Objem celkových výpůjčních operací státu</w:t>
            </w:r>
            <w:r>
              <w:rPr>
                <w:rStyle w:val="Znakapoznpodarou"/>
                <w:color w:val="0D0D0D" w:themeColor="text1" w:themeTint="F2"/>
                <w:spacing w:val="-4"/>
                <w:szCs w:val="20"/>
              </w:rPr>
              <w:footnoteReference w:id="109"/>
            </w:r>
            <w:r>
              <w:rPr>
                <w:color w:val="0D0D0D" w:themeColor="text1" w:themeTint="F2"/>
                <w:spacing w:val="-4"/>
                <w:szCs w:val="20"/>
              </w:rPr>
              <w:t xml:space="preserve"> byl sice letos vyšší než za 1. čtvrtletí 2024, současně však narostl i objem splátek. Během letošního roku se zatím zvýšila jen vnitřní zadluženost (+48 mld. korun), a to převážně vlivem krátkodobých dluhových nástrojů (primárně státních pokladničních poukázek), neboť stav středně- a</w:t>
            </w:r>
            <w:r>
              <w:rPr>
                <w:color w:val="0D0D0D" w:themeColor="text1" w:themeTint="F2"/>
                <w:spacing w:val="-4"/>
              </w:rPr>
              <w:t> </w:t>
            </w:r>
            <w:r>
              <w:rPr>
                <w:color w:val="0D0D0D" w:themeColor="text1" w:themeTint="F2"/>
                <w:spacing w:val="-4"/>
                <w:szCs w:val="20"/>
              </w:rPr>
              <w:t>dlouhodobých dluhopisů se během 1. kvartálu významně nezměnil. Korunová hodnota vnějšího státního dluhu totiž velmi mírně klesla (</w:t>
            </w:r>
            <w:r w:rsidRPr="008B3F65">
              <w:rPr>
                <w:spacing w:val="-6"/>
              </w:rPr>
              <w:t>–</w:t>
            </w:r>
            <w:r>
              <w:rPr>
                <w:color w:val="0D0D0D" w:themeColor="text1" w:themeTint="F2"/>
                <w:spacing w:val="-4"/>
                <w:szCs w:val="20"/>
              </w:rPr>
              <w:t>1,3 %, na 179,7 mld. korun). Při absenci výpůjčních operací se zde podobným dílem projevily menší splátky úvěrů (od Evropské investiční banky) i dopad kurzových vlivů (apreciace koruny vůči euru i dolaru).</w:t>
            </w:r>
          </w:p>
        </w:tc>
      </w:tr>
      <w:tr w:rsidR="00A04CEF" w:rsidRPr="007B3A78" w14:paraId="35F97DE8" w14:textId="77777777" w:rsidTr="00A04CEF">
        <w:trPr>
          <w:trHeight w:val="170"/>
        </w:trPr>
        <w:tc>
          <w:tcPr>
            <w:tcW w:w="1810" w:type="dxa"/>
            <w:shd w:val="clear" w:color="auto" w:fill="auto"/>
            <w:tcMar>
              <w:left w:w="0" w:type="dxa"/>
            </w:tcMar>
          </w:tcPr>
          <w:p w14:paraId="272B8D65" w14:textId="77777777" w:rsidR="00A04CEF" w:rsidRDefault="00A04CEF" w:rsidP="00A04CEF">
            <w:pPr>
              <w:pStyle w:val="Marginlie"/>
              <w:rPr>
                <w:spacing w:val="-5"/>
              </w:rPr>
            </w:pPr>
            <w:r>
              <w:t>Posílily d</w:t>
            </w:r>
            <w:r w:rsidRPr="00196FBA">
              <w:t>otace veřejným institucím na oblast</w:t>
            </w:r>
            <w:r>
              <w:t xml:space="preserve"> sportu i na vědu a </w:t>
            </w:r>
            <w:r w:rsidRPr="00196FBA">
              <w:t>výzkum</w:t>
            </w:r>
            <w:r>
              <w:t>.</w:t>
            </w:r>
          </w:p>
        </w:tc>
        <w:tc>
          <w:tcPr>
            <w:tcW w:w="203" w:type="dxa"/>
            <w:shd w:val="clear" w:color="auto" w:fill="auto"/>
            <w:tcMar>
              <w:left w:w="0" w:type="dxa"/>
            </w:tcMar>
          </w:tcPr>
          <w:p w14:paraId="4CDC1AA1" w14:textId="77777777" w:rsidR="00A04CEF" w:rsidRDefault="00A04CEF" w:rsidP="00A04CEF">
            <w:pPr>
              <w:pStyle w:val="Textpoznpodarou"/>
              <w:jc w:val="both"/>
              <w:rPr>
                <w:spacing w:val="-4"/>
              </w:rPr>
            </w:pPr>
          </w:p>
        </w:tc>
        <w:tc>
          <w:tcPr>
            <w:tcW w:w="7656" w:type="dxa"/>
            <w:shd w:val="clear" w:color="auto" w:fill="auto"/>
            <w:tcMar>
              <w:left w:w="0" w:type="dxa"/>
            </w:tcMar>
          </w:tcPr>
          <w:p w14:paraId="32F68282" w14:textId="77777777" w:rsidR="00A04CEF" w:rsidRDefault="00A04CEF" w:rsidP="00A04CEF">
            <w:pPr>
              <w:spacing w:after="200"/>
              <w:rPr>
                <w:color w:val="0D0D0D" w:themeColor="text1" w:themeTint="F2"/>
                <w:spacing w:val="-4"/>
              </w:rPr>
            </w:pPr>
            <w:r>
              <w:rPr>
                <w:color w:val="0D0D0D" w:themeColor="text1" w:themeTint="F2"/>
                <w:spacing w:val="-4"/>
              </w:rPr>
              <w:t xml:space="preserve">Běžné transfery neziskovým a podobným organizacím převýšily letos úroveň 1. čtvrtletí 2024 o dvě třetiny (+4,5 mld. korun), hlavně vlivem vyšší podpory sportovních reprezentací </w:t>
            </w:r>
            <w:r w:rsidRPr="0017455C">
              <w:rPr>
                <w:color w:val="0D0D0D" w:themeColor="text1" w:themeTint="F2"/>
                <w:spacing w:val="-4"/>
              </w:rPr>
              <w:t>a významných sportovních akcí</w:t>
            </w:r>
            <w:r>
              <w:rPr>
                <w:color w:val="0D0D0D" w:themeColor="text1" w:themeTint="F2"/>
                <w:spacing w:val="-4"/>
              </w:rPr>
              <w:t xml:space="preserve"> i dalších výdajů v oblasti sportu. Posílily zde i výdaje na sociální péči a pomoc rodinám i na evropské projekty v oblasti zaměstnanosti. O desetinu meziročně více vydal SR v oblasti běžných výdajů příspěvkovým</w:t>
            </w:r>
            <w:r w:rsidRPr="00490F1A">
              <w:rPr>
                <w:color w:val="0D0D0D" w:themeColor="text1" w:themeTint="F2"/>
                <w:spacing w:val="-4"/>
              </w:rPr>
              <w:t xml:space="preserve"> </w:t>
            </w:r>
            <w:r>
              <w:rPr>
                <w:color w:val="0D0D0D" w:themeColor="text1" w:themeTint="F2"/>
                <w:spacing w:val="-4"/>
              </w:rPr>
              <w:t xml:space="preserve">a podobným </w:t>
            </w:r>
            <w:r w:rsidRPr="00490F1A">
              <w:rPr>
                <w:color w:val="0D0D0D" w:themeColor="text1" w:themeTint="F2"/>
                <w:spacing w:val="-4"/>
              </w:rPr>
              <w:t xml:space="preserve">organizacím </w:t>
            </w:r>
            <w:r>
              <w:rPr>
                <w:color w:val="0D0D0D" w:themeColor="text1" w:themeTint="F2"/>
                <w:spacing w:val="-4"/>
              </w:rPr>
              <w:t xml:space="preserve">(+3,6 mld. korun). To souvisí s posílením výdajů na činnost veřejných vysokých škol a na vědu a výzkum v dalších veřejných institucích. </w:t>
            </w:r>
          </w:p>
        </w:tc>
      </w:tr>
      <w:tr w:rsidR="00A04CEF" w:rsidRPr="007B3A78" w14:paraId="7183867C" w14:textId="77777777" w:rsidTr="00A04CEF">
        <w:trPr>
          <w:trHeight w:val="170"/>
        </w:trPr>
        <w:tc>
          <w:tcPr>
            <w:tcW w:w="1810" w:type="dxa"/>
            <w:shd w:val="clear" w:color="auto" w:fill="auto"/>
            <w:tcMar>
              <w:left w:w="0" w:type="dxa"/>
            </w:tcMar>
          </w:tcPr>
          <w:p w14:paraId="3F600E77" w14:textId="77777777" w:rsidR="00A04CEF" w:rsidRDefault="00A04CEF" w:rsidP="00A04CEF">
            <w:pPr>
              <w:pStyle w:val="Marginlie"/>
              <w:rPr>
                <w:spacing w:val="-5"/>
              </w:rPr>
            </w:pPr>
            <w:r>
              <w:rPr>
                <w:spacing w:val="-5"/>
              </w:rPr>
              <w:t>Výdaje na důchody klesly poprvé za posledních jedenáct let. Projevil se vliv mírné valorizace i dalšího zpřísnění podmínek pro přiznání předčasných penzí.</w:t>
            </w:r>
          </w:p>
          <w:p w14:paraId="6317B542" w14:textId="77777777" w:rsidR="00A04CEF" w:rsidRDefault="00A04CEF" w:rsidP="00A04CEF">
            <w:pPr>
              <w:pStyle w:val="Marginlie"/>
              <w:rPr>
                <w:spacing w:val="-5"/>
              </w:rPr>
            </w:pPr>
          </w:p>
          <w:p w14:paraId="1F919080" w14:textId="77777777" w:rsidR="00A04CEF" w:rsidRDefault="00A04CEF" w:rsidP="00A04CEF">
            <w:pPr>
              <w:pStyle w:val="Marginlie"/>
              <w:rPr>
                <w:spacing w:val="-5"/>
              </w:rPr>
            </w:pPr>
          </w:p>
          <w:p w14:paraId="2E614B14" w14:textId="77777777" w:rsidR="00A04CEF" w:rsidRDefault="00A04CEF" w:rsidP="00A04CEF">
            <w:pPr>
              <w:pStyle w:val="Marginlie"/>
              <w:rPr>
                <w:spacing w:val="-5"/>
              </w:rPr>
            </w:pPr>
          </w:p>
          <w:p w14:paraId="658A0A2B" w14:textId="77777777" w:rsidR="00A04CEF" w:rsidRDefault="00A04CEF" w:rsidP="00A04CEF">
            <w:pPr>
              <w:pStyle w:val="Marginlie"/>
              <w:rPr>
                <w:spacing w:val="-5"/>
              </w:rPr>
            </w:pPr>
            <w:r>
              <w:rPr>
                <w:spacing w:val="-5"/>
              </w:rPr>
              <w:t>Deficit systému důchodového pojištění meziročně klesl o polovinu.</w:t>
            </w:r>
          </w:p>
        </w:tc>
        <w:tc>
          <w:tcPr>
            <w:tcW w:w="203" w:type="dxa"/>
            <w:shd w:val="clear" w:color="auto" w:fill="auto"/>
            <w:tcMar>
              <w:left w:w="0" w:type="dxa"/>
            </w:tcMar>
          </w:tcPr>
          <w:p w14:paraId="7BB4ED88" w14:textId="77777777" w:rsidR="00A04CEF" w:rsidRDefault="00A04CEF" w:rsidP="00A04CEF">
            <w:pPr>
              <w:pStyle w:val="Textpoznpodarou"/>
              <w:jc w:val="both"/>
              <w:rPr>
                <w:spacing w:val="-4"/>
              </w:rPr>
            </w:pPr>
          </w:p>
        </w:tc>
        <w:tc>
          <w:tcPr>
            <w:tcW w:w="7656" w:type="dxa"/>
            <w:shd w:val="clear" w:color="auto" w:fill="auto"/>
            <w:tcMar>
              <w:left w:w="0" w:type="dxa"/>
            </w:tcMar>
          </w:tcPr>
          <w:p w14:paraId="67097968" w14:textId="77777777" w:rsidR="00A04CEF" w:rsidRDefault="00A04CEF" w:rsidP="00A04CEF">
            <w:pPr>
              <w:spacing w:after="200"/>
              <w:rPr>
                <w:color w:val="0D0D0D" w:themeColor="text1" w:themeTint="F2"/>
                <w:spacing w:val="-4"/>
              </w:rPr>
            </w:pPr>
            <w:r>
              <w:rPr>
                <w:color w:val="0D0D0D" w:themeColor="text1" w:themeTint="F2"/>
                <w:spacing w:val="-4"/>
              </w:rPr>
              <w:t xml:space="preserve">Výdaje na sociální dávky, tvořící dlouhodobě okolo 40 % celkových výdajů SR, se v 1. čtvrtletí v souladu s rozpočtovým očekáváním meziročně zvýšily jen velmi mírně (+1,4 mld. </w:t>
            </w:r>
            <w:r w:rsidRPr="00196FBA">
              <w:rPr>
                <w:color w:val="0D0D0D" w:themeColor="text1" w:themeTint="F2"/>
                <w:spacing w:val="-6"/>
              </w:rPr>
              <w:t>korun, +0,6 %). Více než tři čtvrtiny těchto výdajů připad</w:t>
            </w:r>
            <w:r>
              <w:rPr>
                <w:color w:val="0D0D0D" w:themeColor="text1" w:themeTint="F2"/>
                <w:spacing w:val="-6"/>
              </w:rPr>
              <w:t>ají</w:t>
            </w:r>
            <w:r w:rsidRPr="00196FBA">
              <w:rPr>
                <w:color w:val="0D0D0D" w:themeColor="text1" w:themeTint="F2"/>
                <w:spacing w:val="-6"/>
              </w:rPr>
              <w:t xml:space="preserve"> dlouhodobě na dávky důchodového</w:t>
            </w:r>
            <w:r>
              <w:rPr>
                <w:color w:val="0D0D0D" w:themeColor="text1" w:themeTint="F2"/>
                <w:spacing w:val="-4"/>
              </w:rPr>
              <w:t xml:space="preserve"> pojištění. Na důchody vydal SR letos meziročně o 1,1 % méně. Po roce 2020 nastal v rámci 1. čtvrtletí dosud pokles těchto výdajů jen letech 2013 a 2014. Zklidnění vývoje spotřebitelských cen se aktuálně odrazilo v relativně nevýznamné valorizaci důchodů</w:t>
            </w:r>
            <w:r>
              <w:rPr>
                <w:rStyle w:val="Znakapoznpodarou"/>
                <w:color w:val="0D0D0D" w:themeColor="text1" w:themeTint="F2"/>
                <w:spacing w:val="-4"/>
              </w:rPr>
              <w:footnoteReference w:id="110"/>
            </w:r>
            <w:r>
              <w:rPr>
                <w:color w:val="0D0D0D" w:themeColor="text1" w:themeTint="F2"/>
                <w:spacing w:val="-4"/>
              </w:rPr>
              <w:t xml:space="preserve">, počet jejich příjemců se navíc mírně snížil (celkově o 0,3 %, z toho starobních důchodů o 0,6 %), což souviselo se </w:t>
            </w:r>
            <w:r w:rsidRPr="00D90BD9">
              <w:rPr>
                <w:color w:val="0D0D0D" w:themeColor="text1" w:themeTint="F2"/>
                <w:spacing w:val="-4"/>
              </w:rPr>
              <w:t>zpřísněnými pravidly pro odchod do předčasného důchodu</w:t>
            </w:r>
            <w:r>
              <w:rPr>
                <w:rStyle w:val="Znakapoznpodarou"/>
                <w:color w:val="0D0D0D" w:themeColor="text1" w:themeTint="F2"/>
                <w:spacing w:val="-4"/>
              </w:rPr>
              <w:footnoteReference w:id="111"/>
            </w:r>
            <w:r>
              <w:rPr>
                <w:color w:val="0D0D0D" w:themeColor="text1" w:themeTint="F2"/>
                <w:spacing w:val="-4"/>
              </w:rPr>
              <w:t>. Těch meziročně přibylo o 2,1 % (nejméně za posledních tři a půl roku) a ve srovnání s prosincem 2024 byl počet předčasných penzí letos v březnu dokonce o 0,1 % nižší (šlo o první pokles v dostupné řadě po roce 2000)</w:t>
            </w:r>
            <w:r>
              <w:rPr>
                <w:rStyle w:val="Znakapoznpodarou"/>
                <w:color w:val="0D0D0D" w:themeColor="text1" w:themeTint="F2"/>
                <w:spacing w:val="-4"/>
              </w:rPr>
              <w:footnoteReference w:id="112"/>
            </w:r>
            <w:r>
              <w:rPr>
                <w:color w:val="0D0D0D" w:themeColor="text1" w:themeTint="F2"/>
                <w:spacing w:val="-4"/>
              </w:rPr>
              <w:t xml:space="preserve">. Přestože meziroční růst zvolnil </w:t>
            </w:r>
            <w:r>
              <w:rPr>
                <w:color w:val="0D0D0D" w:themeColor="text1" w:themeTint="F2"/>
                <w:spacing w:val="-4"/>
              </w:rPr>
              <w:lastRenderedPageBreak/>
              <w:t>výběr pojistného na důchody v 1. čtvrtletí 2025 podruhé v řadě (na +5,6 %), d</w:t>
            </w:r>
            <w:r w:rsidRPr="008828D3">
              <w:rPr>
                <w:color w:val="0D0D0D" w:themeColor="text1" w:themeTint="F2"/>
                <w:spacing w:val="-4"/>
              </w:rPr>
              <w:t>eficit</w:t>
            </w:r>
            <w:r w:rsidRPr="008828D3">
              <w:rPr>
                <w:rFonts w:cs="Arial"/>
                <w:color w:val="0D0D0D" w:themeColor="text1" w:themeTint="F2"/>
                <w:spacing w:val="-4"/>
              </w:rPr>
              <w:t xml:space="preserve"> systému důchodového pojištění</w:t>
            </w:r>
            <w:r>
              <w:rPr>
                <w:rStyle w:val="Znakapoznpodarou"/>
                <w:color w:val="0D0D0D" w:themeColor="text1" w:themeTint="F2"/>
                <w:spacing w:val="-4"/>
              </w:rPr>
              <w:footnoteReference w:id="113"/>
            </w:r>
            <w:r>
              <w:rPr>
                <w:rFonts w:cs="Arial"/>
                <w:color w:val="0D0D0D" w:themeColor="text1" w:themeTint="F2"/>
                <w:spacing w:val="-4"/>
              </w:rPr>
              <w:t xml:space="preserve"> se snížil o celou polovinu (na −11,7 mld. korun) a byl tak nejnižší za poslední tři roky.</w:t>
            </w:r>
          </w:p>
        </w:tc>
      </w:tr>
      <w:tr w:rsidR="00A04CEF" w:rsidRPr="007B3A78" w14:paraId="783016CE" w14:textId="77777777" w:rsidTr="00A04CEF">
        <w:trPr>
          <w:trHeight w:val="170"/>
        </w:trPr>
        <w:tc>
          <w:tcPr>
            <w:tcW w:w="1810" w:type="dxa"/>
            <w:shd w:val="clear" w:color="auto" w:fill="auto"/>
            <w:tcMar>
              <w:left w:w="0" w:type="dxa"/>
            </w:tcMar>
          </w:tcPr>
          <w:p w14:paraId="5DCB3EFA" w14:textId="77777777" w:rsidR="00A04CEF" w:rsidRDefault="00A04CEF" w:rsidP="00A04CEF">
            <w:pPr>
              <w:pStyle w:val="Marginlie"/>
              <w:rPr>
                <w:spacing w:val="-5"/>
              </w:rPr>
            </w:pPr>
            <w:r>
              <w:rPr>
                <w:spacing w:val="-5"/>
              </w:rPr>
              <w:lastRenderedPageBreak/>
              <w:t>Růst výdajů na nedůchodové sociální dávky zrychlil především vlivem svižně rostoucích příspěvků na péči.</w:t>
            </w:r>
          </w:p>
          <w:p w14:paraId="593BE771" w14:textId="77777777" w:rsidR="00A04CEF" w:rsidRDefault="00A04CEF" w:rsidP="00A04CEF">
            <w:pPr>
              <w:pStyle w:val="Marginlie"/>
              <w:rPr>
                <w:spacing w:val="-5"/>
              </w:rPr>
            </w:pPr>
          </w:p>
          <w:p w14:paraId="6A2AC618" w14:textId="77777777" w:rsidR="00A04CEF" w:rsidRDefault="00A04CEF" w:rsidP="00A04CEF">
            <w:pPr>
              <w:pStyle w:val="Marginlie"/>
              <w:rPr>
                <w:spacing w:val="-5"/>
              </w:rPr>
            </w:pPr>
          </w:p>
          <w:p w14:paraId="05FE8414" w14:textId="77777777" w:rsidR="00A04CEF" w:rsidRDefault="00A04CEF" w:rsidP="00A04CEF">
            <w:pPr>
              <w:pStyle w:val="Marginlie"/>
              <w:rPr>
                <w:spacing w:val="-5"/>
              </w:rPr>
            </w:pPr>
          </w:p>
          <w:p w14:paraId="101DA253" w14:textId="77777777" w:rsidR="00A04CEF" w:rsidRDefault="00A04CEF" w:rsidP="00A04CEF">
            <w:pPr>
              <w:pStyle w:val="Marginlie"/>
              <w:rPr>
                <w:spacing w:val="-5"/>
              </w:rPr>
            </w:pPr>
          </w:p>
          <w:p w14:paraId="5BE90053" w14:textId="77777777" w:rsidR="00A04CEF" w:rsidRDefault="00A04CEF" w:rsidP="00A04CEF">
            <w:pPr>
              <w:pStyle w:val="Marginlie"/>
              <w:rPr>
                <w:spacing w:val="-5"/>
              </w:rPr>
            </w:pPr>
          </w:p>
          <w:p w14:paraId="14BE5682" w14:textId="77777777" w:rsidR="00A04CEF" w:rsidRDefault="00A04CEF" w:rsidP="00A04CEF">
            <w:pPr>
              <w:pStyle w:val="Marginlie"/>
              <w:rPr>
                <w:spacing w:val="-5"/>
              </w:rPr>
            </w:pPr>
          </w:p>
          <w:p w14:paraId="65097159" w14:textId="77777777" w:rsidR="00A04CEF" w:rsidRDefault="00A04CEF" w:rsidP="00A04CEF">
            <w:pPr>
              <w:pStyle w:val="Marginlie"/>
              <w:rPr>
                <w:spacing w:val="-5"/>
              </w:rPr>
            </w:pPr>
          </w:p>
          <w:p w14:paraId="364E3F0C" w14:textId="77777777" w:rsidR="00A04CEF" w:rsidRDefault="00A04CEF" w:rsidP="00A04CEF">
            <w:pPr>
              <w:pStyle w:val="Marginlie"/>
              <w:rPr>
                <w:spacing w:val="-5"/>
              </w:rPr>
            </w:pPr>
          </w:p>
          <w:p w14:paraId="72D56F6C" w14:textId="77777777" w:rsidR="00A04CEF" w:rsidRDefault="00A04CEF" w:rsidP="00A04CEF">
            <w:pPr>
              <w:pStyle w:val="Marginlie"/>
              <w:rPr>
                <w:spacing w:val="-5"/>
              </w:rPr>
            </w:pPr>
          </w:p>
          <w:p w14:paraId="012067B1" w14:textId="77777777" w:rsidR="00A04CEF" w:rsidRDefault="00A04CEF" w:rsidP="00A04CEF">
            <w:pPr>
              <w:pStyle w:val="Marginlie"/>
              <w:rPr>
                <w:spacing w:val="-5"/>
              </w:rPr>
            </w:pPr>
          </w:p>
          <w:p w14:paraId="5336A2AD" w14:textId="77777777" w:rsidR="00A04CEF" w:rsidRDefault="00A04CEF" w:rsidP="00A04CEF">
            <w:pPr>
              <w:pStyle w:val="Marginlie"/>
              <w:rPr>
                <w:spacing w:val="-5"/>
              </w:rPr>
            </w:pPr>
          </w:p>
          <w:p w14:paraId="720BBB96" w14:textId="77777777" w:rsidR="00A04CEF" w:rsidRDefault="00A04CEF" w:rsidP="00A04CEF">
            <w:pPr>
              <w:pStyle w:val="Marginlie"/>
              <w:rPr>
                <w:spacing w:val="-5"/>
              </w:rPr>
            </w:pPr>
          </w:p>
          <w:p w14:paraId="47284EA5" w14:textId="77777777" w:rsidR="00A04CEF" w:rsidRDefault="00A04CEF" w:rsidP="00A04CEF">
            <w:pPr>
              <w:pStyle w:val="Marginlie"/>
            </w:pPr>
            <w:r>
              <w:rPr>
                <w:spacing w:val="-5"/>
              </w:rPr>
              <w:t>Pouze na menšinu dávek vydal SR meziročně méně. Šlo hlavně o přídavky na děti, rodičovské příspěvky, porodné a peněžitou pomoc v mateřství.</w:t>
            </w:r>
          </w:p>
        </w:tc>
        <w:tc>
          <w:tcPr>
            <w:tcW w:w="203" w:type="dxa"/>
            <w:shd w:val="clear" w:color="auto" w:fill="auto"/>
            <w:tcMar>
              <w:left w:w="0" w:type="dxa"/>
            </w:tcMar>
          </w:tcPr>
          <w:p w14:paraId="705DF22B" w14:textId="77777777" w:rsidR="00A04CEF" w:rsidRDefault="00A04CEF" w:rsidP="00A04CEF">
            <w:pPr>
              <w:pStyle w:val="Textpoznpodarou"/>
              <w:jc w:val="both"/>
              <w:rPr>
                <w:spacing w:val="-4"/>
              </w:rPr>
            </w:pPr>
          </w:p>
        </w:tc>
        <w:tc>
          <w:tcPr>
            <w:tcW w:w="7656" w:type="dxa"/>
            <w:shd w:val="clear" w:color="auto" w:fill="auto"/>
            <w:tcMar>
              <w:left w:w="0" w:type="dxa"/>
            </w:tcMar>
          </w:tcPr>
          <w:p w14:paraId="5F2060D8" w14:textId="77777777" w:rsidR="00A04CEF" w:rsidRPr="008B5ED6" w:rsidRDefault="00A04CEF" w:rsidP="00A04CEF">
            <w:pPr>
              <w:spacing w:after="200"/>
              <w:rPr>
                <w:color w:val="0D0D0D" w:themeColor="text1" w:themeTint="F2"/>
                <w:spacing w:val="-6"/>
              </w:rPr>
            </w:pPr>
            <w:r>
              <w:rPr>
                <w:color w:val="0D0D0D" w:themeColor="text1" w:themeTint="F2"/>
                <w:spacing w:val="-6"/>
              </w:rPr>
              <w:t xml:space="preserve">Růst </w:t>
            </w:r>
            <w:r w:rsidRPr="00225187">
              <w:rPr>
                <w:color w:val="0D0D0D" w:themeColor="text1" w:themeTint="F2"/>
                <w:spacing w:val="-6"/>
              </w:rPr>
              <w:t xml:space="preserve">výdajů na ostatní </w:t>
            </w:r>
            <w:r>
              <w:rPr>
                <w:color w:val="0D0D0D" w:themeColor="text1" w:themeTint="F2"/>
                <w:spacing w:val="-6"/>
              </w:rPr>
              <w:t xml:space="preserve">(nedůchodové) </w:t>
            </w:r>
            <w:r w:rsidRPr="00225187">
              <w:rPr>
                <w:color w:val="0D0D0D" w:themeColor="text1" w:themeTint="F2"/>
                <w:spacing w:val="-6"/>
              </w:rPr>
              <w:t>sociální</w:t>
            </w:r>
            <w:r>
              <w:rPr>
                <w:color w:val="0D0D0D" w:themeColor="text1" w:themeTint="F2"/>
                <w:spacing w:val="-6"/>
              </w:rPr>
              <w:t xml:space="preserve"> dávky ve srovnání s tempem z počátku loňského roku letos zrychlil (na +6,9 %), SR tak na tuto oblast vydal meziročně </w:t>
            </w:r>
            <w:r>
              <w:rPr>
                <w:color w:val="0D0D0D" w:themeColor="text1" w:themeTint="F2"/>
                <w:spacing w:val="-6"/>
              </w:rPr>
              <w:br/>
              <w:t>o 3,3 mld. korun více. Ačkoli k růstu výdajů došlo téměř u všech důležitých druhů dávek, klíčovou roli mělo navýšení objemově významných příspěvků na péči pro dlouhodobě nemocné (+2,2</w:t>
            </w:r>
            <w:r>
              <w:rPr>
                <w:spacing w:val="-4"/>
              </w:rPr>
              <w:t> </w:t>
            </w:r>
            <w:r>
              <w:rPr>
                <w:color w:val="0D0D0D" w:themeColor="text1" w:themeTint="F2"/>
                <w:spacing w:val="-6"/>
              </w:rPr>
              <w:t>mld. korun, +24 %)</w:t>
            </w:r>
            <w:r>
              <w:rPr>
                <w:rStyle w:val="Znakapoznpodarou"/>
                <w:color w:val="0D0D0D" w:themeColor="text1" w:themeTint="F2"/>
                <w:spacing w:val="-6"/>
              </w:rPr>
              <w:footnoteReference w:id="114"/>
            </w:r>
            <w:r>
              <w:rPr>
                <w:color w:val="0D0D0D" w:themeColor="text1" w:themeTint="F2"/>
                <w:spacing w:val="-6"/>
              </w:rPr>
              <w:t>. Řádově menší vliv měly dávky pomoci v hmotné nouzi (+0,6 mld. korun, +17,5 %) tažené vyššími výplatami humanitárních dávek ukrajinským uprchlíkům</w:t>
            </w:r>
            <w:r>
              <w:rPr>
                <w:rStyle w:val="Znakapoznpodarou"/>
                <w:color w:val="0D0D0D" w:themeColor="text1" w:themeTint="F2"/>
                <w:spacing w:val="-6"/>
              </w:rPr>
              <w:footnoteReference w:id="115"/>
            </w:r>
            <w:r>
              <w:rPr>
                <w:color w:val="0D0D0D" w:themeColor="text1" w:themeTint="F2"/>
                <w:spacing w:val="-6"/>
              </w:rPr>
              <w:t xml:space="preserve">. Rychleji než předpokládá SR schválený na letošní rok, vzrostly v 1. čtvrtletí také výdaje na podpory nezaměstnaným (+13,5 %, +0,5 mld. korun). Podíl nezaměstnaných na populaci v produktivním věku sice proti březnu 2024 mírně vzrostl, avšak počet lidí s nárokem na podporu se téměř nezměnil a těsně přesáhl 90 tis. Na dávky nemocenského pojištění, jež jsou z pohledu počtu příjemců jedním z nejvýznamnějších druhů dávek, letos směřovalo 13,2 mld. korun, meziročně o 3,5 % více. K růstu přispěly dávky nemocenské a ošetřovné, naopak objem peněžité pomoci v mateřství se vlivem klesající porodnosti snižoval čtvrtým rokem v řadě. Výdaje na státní sociální podporu (vč. dávek pěstounské péče), tvořící po důchodech objemově nejvýznamnější položku sociálních dávek, meziročně posílily o 1,4 %, převážně vlivem rostoucích příspěvků na bydlení (+11 %, +0,6 mld. korun). Vlivem navýšení částek normativních nákladů na bydlení počet příjemců této dávky dále mírně rostl (v březnu až na 300 tis., skoro dvakrát více než na počátku roku 2022). </w:t>
            </w:r>
            <w:r>
              <w:rPr>
                <w:spacing w:val="-4"/>
              </w:rPr>
              <w:t xml:space="preserve">Výdaje jiné příjmově testované dávky – přídavky na děti – se naopak snížily (−6 %). Podobně klesl i objem </w:t>
            </w:r>
            <w:r>
              <w:rPr>
                <w:color w:val="0D0D0D" w:themeColor="text1" w:themeTint="F2"/>
                <w:spacing w:val="-6"/>
              </w:rPr>
              <w:t>rodičovských příspěvků</w:t>
            </w:r>
            <w:r w:rsidRPr="0001347E">
              <w:rPr>
                <w:color w:val="0D0D0D" w:themeColor="text1" w:themeTint="F2"/>
                <w:spacing w:val="-6"/>
              </w:rPr>
              <w:t xml:space="preserve">, </w:t>
            </w:r>
            <w:r>
              <w:rPr>
                <w:color w:val="0D0D0D" w:themeColor="text1" w:themeTint="F2"/>
                <w:spacing w:val="-6"/>
              </w:rPr>
              <w:t>kde jde však o dlouhodobější trend úzce související s </w:t>
            </w:r>
            <w:r w:rsidRPr="0001347E">
              <w:rPr>
                <w:color w:val="0D0D0D" w:themeColor="text1" w:themeTint="F2"/>
                <w:spacing w:val="-6"/>
              </w:rPr>
              <w:t>nepřízniv</w:t>
            </w:r>
            <w:r>
              <w:rPr>
                <w:color w:val="0D0D0D" w:themeColor="text1" w:themeTint="F2"/>
                <w:spacing w:val="-6"/>
              </w:rPr>
              <w:t xml:space="preserve">ým </w:t>
            </w:r>
            <w:r w:rsidRPr="0001347E">
              <w:rPr>
                <w:color w:val="0D0D0D" w:themeColor="text1" w:themeTint="F2"/>
                <w:spacing w:val="-6"/>
              </w:rPr>
              <w:t>demografick</w:t>
            </w:r>
            <w:r>
              <w:rPr>
                <w:color w:val="0D0D0D" w:themeColor="text1" w:themeTint="F2"/>
                <w:spacing w:val="-6"/>
              </w:rPr>
              <w:t>ým</w:t>
            </w:r>
            <w:r>
              <w:rPr>
                <w:color w:val="0D0D0D" w:themeColor="text1" w:themeTint="F2"/>
                <w:spacing w:val="-4"/>
              </w:rPr>
              <w:t xml:space="preserve"> vývojem.</w:t>
            </w:r>
          </w:p>
        </w:tc>
      </w:tr>
      <w:tr w:rsidR="00A04CEF" w:rsidRPr="007B3A78" w14:paraId="12A18718" w14:textId="77777777" w:rsidTr="00A04CEF">
        <w:trPr>
          <w:trHeight w:val="170"/>
        </w:trPr>
        <w:tc>
          <w:tcPr>
            <w:tcW w:w="1810" w:type="dxa"/>
            <w:shd w:val="clear" w:color="auto" w:fill="auto"/>
            <w:tcMar>
              <w:left w:w="0" w:type="dxa"/>
            </w:tcMar>
          </w:tcPr>
          <w:p w14:paraId="67E7E2F5" w14:textId="77777777" w:rsidR="00A04CEF" w:rsidRDefault="00A04CEF" w:rsidP="00A04CEF">
            <w:pPr>
              <w:pStyle w:val="Marginlie"/>
              <w:rPr>
                <w:color w:val="0D0D0D" w:themeColor="text1" w:themeTint="F2"/>
              </w:rPr>
            </w:pPr>
            <w:r>
              <w:rPr>
                <w:color w:val="0D0D0D" w:themeColor="text1" w:themeTint="F2"/>
              </w:rPr>
              <w:t>Výdaje na platy v organizačních složkách státu po loňské stagnaci vzrostly.</w:t>
            </w:r>
          </w:p>
          <w:p w14:paraId="45FAB03D" w14:textId="77777777" w:rsidR="00A04CEF" w:rsidRDefault="00A04CEF" w:rsidP="00A04CEF">
            <w:pPr>
              <w:pStyle w:val="Marginlie"/>
              <w:rPr>
                <w:color w:val="0D0D0D" w:themeColor="text1" w:themeTint="F2"/>
              </w:rPr>
            </w:pPr>
          </w:p>
          <w:p w14:paraId="3D47E8D4" w14:textId="77777777" w:rsidR="00A04CEF" w:rsidRDefault="00A04CEF" w:rsidP="00A04CEF">
            <w:pPr>
              <w:pStyle w:val="Marginlie"/>
              <w:rPr>
                <w:color w:val="0D0D0D" w:themeColor="text1" w:themeTint="F2"/>
              </w:rPr>
            </w:pPr>
          </w:p>
          <w:p w14:paraId="0ABBF099" w14:textId="77777777" w:rsidR="00A04CEF" w:rsidRDefault="00A04CEF" w:rsidP="00A04CEF">
            <w:pPr>
              <w:pStyle w:val="Marginlie"/>
              <w:rPr>
                <w:color w:val="0D0D0D" w:themeColor="text1" w:themeTint="F2"/>
              </w:rPr>
            </w:pPr>
          </w:p>
          <w:p w14:paraId="6709E06A" w14:textId="77777777" w:rsidR="00A04CEF" w:rsidRDefault="00A04CEF" w:rsidP="00A04CEF">
            <w:pPr>
              <w:pStyle w:val="Marginlie"/>
              <w:rPr>
                <w:color w:val="0D0D0D" w:themeColor="text1" w:themeTint="F2"/>
              </w:rPr>
            </w:pPr>
          </w:p>
          <w:p w14:paraId="00F3439D" w14:textId="77777777" w:rsidR="00A04CEF" w:rsidRPr="00C57B1B" w:rsidRDefault="00A04CEF" w:rsidP="00A04CEF">
            <w:pPr>
              <w:pStyle w:val="Marginlie"/>
              <w:rPr>
                <w:color w:val="0D0D0D" w:themeColor="text1" w:themeTint="F2"/>
              </w:rPr>
            </w:pPr>
            <w:r>
              <w:rPr>
                <w:color w:val="0D0D0D" w:themeColor="text1" w:themeTint="F2"/>
              </w:rPr>
              <w:t>Bilance nemocenského pojištění skončila díky posílení jeho příjmové stránky druhý rok v řadě v mírném přebytku.</w:t>
            </w:r>
          </w:p>
        </w:tc>
        <w:tc>
          <w:tcPr>
            <w:tcW w:w="203" w:type="dxa"/>
            <w:shd w:val="clear" w:color="auto" w:fill="auto"/>
            <w:tcMar>
              <w:left w:w="0" w:type="dxa"/>
            </w:tcMar>
          </w:tcPr>
          <w:p w14:paraId="0F75903E" w14:textId="77777777" w:rsidR="00A04CEF" w:rsidRPr="00C57B1B" w:rsidRDefault="00A04CEF" w:rsidP="00A04CEF">
            <w:pPr>
              <w:pStyle w:val="Textpoznpodarou"/>
              <w:jc w:val="both"/>
              <w:rPr>
                <w:color w:val="0D0D0D" w:themeColor="text1" w:themeTint="F2"/>
                <w:spacing w:val="-4"/>
              </w:rPr>
            </w:pPr>
          </w:p>
        </w:tc>
        <w:tc>
          <w:tcPr>
            <w:tcW w:w="7656" w:type="dxa"/>
            <w:shd w:val="clear" w:color="auto" w:fill="auto"/>
            <w:tcMar>
              <w:left w:w="0" w:type="dxa"/>
            </w:tcMar>
          </w:tcPr>
          <w:p w14:paraId="2C2B4277" w14:textId="77777777" w:rsidR="00A04CEF" w:rsidRPr="00105AAC" w:rsidRDefault="00A04CEF" w:rsidP="00A04CEF">
            <w:pPr>
              <w:spacing w:after="0"/>
              <w:rPr>
                <w:spacing w:val="-6"/>
              </w:rPr>
            </w:pPr>
            <w:r>
              <w:rPr>
                <w:color w:val="0D0D0D" w:themeColor="text1" w:themeTint="F2"/>
                <w:spacing w:val="-6"/>
              </w:rPr>
              <w:t>Výdaje</w:t>
            </w:r>
            <w:r w:rsidRPr="00EF55C3">
              <w:rPr>
                <w:color w:val="0D0D0D" w:themeColor="text1" w:themeTint="F2"/>
                <w:spacing w:val="-6"/>
              </w:rPr>
              <w:t xml:space="preserve"> na platy v organizačních složkách státu</w:t>
            </w:r>
            <w:r>
              <w:rPr>
                <w:color w:val="0D0D0D" w:themeColor="text1" w:themeTint="F2"/>
                <w:spacing w:val="-6"/>
              </w:rPr>
              <w:t xml:space="preserve"> po loňské faktické stagnaci v 1. čtvrtletí 2025 meziročně vzrostly o 4,8 %</w:t>
            </w:r>
            <w:r>
              <w:rPr>
                <w:rStyle w:val="Znakapoznpodarou"/>
                <w:color w:val="0D0D0D" w:themeColor="text1" w:themeTint="F2"/>
                <w:spacing w:val="-6"/>
              </w:rPr>
              <w:footnoteReference w:id="116"/>
            </w:r>
            <w:r>
              <w:rPr>
                <w:color w:val="0D0D0D" w:themeColor="text1" w:themeTint="F2"/>
                <w:spacing w:val="-6"/>
              </w:rPr>
              <w:t xml:space="preserve"> (mírně pomaleji než celoroční rozpočtované tempo). Podobně jako platy letos absolutně posílily také </w:t>
            </w:r>
            <w:r w:rsidRPr="00C96AA7">
              <w:rPr>
                <w:color w:val="0D0D0D" w:themeColor="text1" w:themeTint="F2"/>
                <w:spacing w:val="-5"/>
              </w:rPr>
              <w:t>odvody vlastníc</w:t>
            </w:r>
            <w:r>
              <w:rPr>
                <w:color w:val="0D0D0D" w:themeColor="text1" w:themeTint="F2"/>
                <w:spacing w:val="-5"/>
              </w:rPr>
              <w:t xml:space="preserve">h zdrojů Česka do </w:t>
            </w:r>
            <w:r w:rsidRPr="00DD36B1">
              <w:rPr>
                <w:color w:val="0D0D0D" w:themeColor="text1" w:themeTint="F2"/>
                <w:spacing w:val="-7"/>
              </w:rPr>
              <w:t>rozpočtu EU</w:t>
            </w:r>
            <w:r>
              <w:rPr>
                <w:color w:val="0D0D0D" w:themeColor="text1" w:themeTint="F2"/>
                <w:spacing w:val="-7"/>
              </w:rPr>
              <w:t xml:space="preserve"> (+1,4</w:t>
            </w:r>
            <w:r>
              <w:rPr>
                <w:color w:val="0D0D0D" w:themeColor="text1" w:themeTint="F2"/>
                <w:spacing w:val="-6"/>
              </w:rPr>
              <w:t> </w:t>
            </w:r>
            <w:r>
              <w:rPr>
                <w:color w:val="0D0D0D" w:themeColor="text1" w:themeTint="F2"/>
                <w:spacing w:val="-7"/>
              </w:rPr>
              <w:t xml:space="preserve">mld. korun). Vlivem zklidnění cenové hladiny v ekonomice došlo jen k mírnému zvýšení </w:t>
            </w:r>
            <w:r w:rsidRPr="00EF55C3">
              <w:rPr>
                <w:color w:val="0D0D0D" w:themeColor="text1" w:themeTint="F2"/>
                <w:spacing w:val="-6"/>
              </w:rPr>
              <w:t>výdaj</w:t>
            </w:r>
            <w:r>
              <w:rPr>
                <w:color w:val="0D0D0D" w:themeColor="text1" w:themeTint="F2"/>
                <w:spacing w:val="-6"/>
              </w:rPr>
              <w:t>ů</w:t>
            </w:r>
            <w:r w:rsidRPr="00EF55C3">
              <w:rPr>
                <w:color w:val="0D0D0D" w:themeColor="text1" w:themeTint="F2"/>
                <w:spacing w:val="-6"/>
              </w:rPr>
              <w:t xml:space="preserve"> </w:t>
            </w:r>
            <w:r>
              <w:rPr>
                <w:color w:val="0D0D0D" w:themeColor="text1" w:themeTint="F2"/>
                <w:spacing w:val="-6"/>
              </w:rPr>
              <w:t>SR z</w:t>
            </w:r>
            <w:r w:rsidRPr="00EF55C3">
              <w:rPr>
                <w:color w:val="0D0D0D" w:themeColor="text1" w:themeTint="F2"/>
                <w:spacing w:val="-6"/>
              </w:rPr>
              <w:t>a platby veřejného zdravotního pojiš</w:t>
            </w:r>
            <w:r>
              <w:rPr>
                <w:color w:val="0D0D0D" w:themeColor="text1" w:themeTint="F2"/>
                <w:spacing w:val="-6"/>
              </w:rPr>
              <w:t>tění za tzv. státní pojištěnce (+1,1 %)</w:t>
            </w:r>
            <w:r>
              <w:rPr>
                <w:rStyle w:val="Znakapoznpodarou"/>
                <w:color w:val="0D0D0D" w:themeColor="text1" w:themeTint="F2"/>
                <w:spacing w:val="-6"/>
              </w:rPr>
              <w:footnoteReference w:id="117"/>
            </w:r>
            <w:r>
              <w:rPr>
                <w:color w:val="0D0D0D" w:themeColor="text1" w:themeTint="F2"/>
                <w:spacing w:val="-6"/>
              </w:rPr>
              <w:t>.</w:t>
            </w:r>
            <w:r>
              <w:rPr>
                <w:color w:val="0D0D0D" w:themeColor="text1" w:themeTint="F2"/>
                <w:spacing w:val="-7"/>
              </w:rPr>
              <w:t xml:space="preserve"> Příjmy z pojistného placeného zaměstnanými osobami se zvyšovaly dvojcifernými tempy druhým rokem v řadě (letos o 15 %), a to především z důvodu zákonné úpravy ve vazbě na konsolidační balíček</w:t>
            </w:r>
            <w:r>
              <w:rPr>
                <w:rStyle w:val="Znakapoznpodarou"/>
                <w:color w:val="0D0D0D" w:themeColor="text1" w:themeTint="F2"/>
                <w:spacing w:val="-7"/>
              </w:rPr>
              <w:footnoteReference w:id="118"/>
            </w:r>
            <w:r>
              <w:rPr>
                <w:color w:val="0D0D0D" w:themeColor="text1" w:themeTint="F2"/>
                <w:spacing w:val="-7"/>
              </w:rPr>
              <w:t xml:space="preserve">. </w:t>
            </w:r>
            <w:r>
              <w:rPr>
                <w:color w:val="0D0D0D" w:themeColor="text1" w:themeTint="F2"/>
                <w:spacing w:val="-6"/>
              </w:rPr>
              <w:t xml:space="preserve">Díky tomuto posílení se loni celková </w:t>
            </w:r>
            <w:r>
              <w:rPr>
                <w:rFonts w:cs="Arial"/>
                <w:color w:val="0D0D0D" w:themeColor="text1" w:themeTint="F2"/>
                <w:spacing w:val="-5"/>
              </w:rPr>
              <w:t>bilance nemocenského pojištění</w:t>
            </w:r>
            <w:r>
              <w:rPr>
                <w:rStyle w:val="Znakapoznpodarou"/>
                <w:color w:val="0D0D0D" w:themeColor="text1" w:themeTint="F2"/>
                <w:spacing w:val="-5"/>
              </w:rPr>
              <w:footnoteReference w:id="119"/>
            </w:r>
            <w:r>
              <w:rPr>
                <w:rFonts w:cs="Arial"/>
                <w:color w:val="0D0D0D" w:themeColor="text1" w:themeTint="F2"/>
                <w:spacing w:val="-5"/>
              </w:rPr>
              <w:t xml:space="preserve"> dostala poprvé po roce 2018 do nepatrného přebytku, který se v 1. čtvrtletí velmi mírně zvýšil a čítal 1,7</w:t>
            </w:r>
            <w:r>
              <w:rPr>
                <w:color w:val="0D0D0D" w:themeColor="text1" w:themeTint="F2"/>
                <w:spacing w:val="-4"/>
              </w:rPr>
              <w:t> </w:t>
            </w:r>
            <w:r>
              <w:rPr>
                <w:rFonts w:cs="Arial"/>
                <w:color w:val="0D0D0D" w:themeColor="text1" w:themeTint="F2"/>
                <w:spacing w:val="-5"/>
              </w:rPr>
              <w:t xml:space="preserve">mld. korun. </w:t>
            </w:r>
            <w:r>
              <w:rPr>
                <w:color w:val="0D0D0D" w:themeColor="text1" w:themeTint="F2"/>
                <w:spacing w:val="-6"/>
              </w:rPr>
              <w:t xml:space="preserve">Výdaje na ostatní </w:t>
            </w:r>
            <w:r w:rsidRPr="00EF55C3">
              <w:rPr>
                <w:color w:val="0D0D0D" w:themeColor="text1" w:themeTint="F2"/>
                <w:spacing w:val="-6"/>
              </w:rPr>
              <w:t>neinvestiční nákupy a související výdaje</w:t>
            </w:r>
            <w:r>
              <w:rPr>
                <w:color w:val="0D0D0D" w:themeColor="text1" w:themeTint="F2"/>
                <w:spacing w:val="-6"/>
              </w:rPr>
              <w:t xml:space="preserve"> (bez obsluhy státního dluhu), jež loni poprvé překonaly úroveň z vrcholu pandemie, letos v 1. čtvrtletí meziročně fakticky jen stagnovaly (+0,1 %, na 19,2 mld. korun)</w:t>
            </w:r>
            <w:r>
              <w:rPr>
                <w:rStyle w:val="Znakapoznpodarou"/>
                <w:color w:val="0D0D0D" w:themeColor="text1" w:themeTint="F2"/>
                <w:spacing w:val="-6"/>
              </w:rPr>
              <w:footnoteReference w:id="120"/>
            </w:r>
            <w:r>
              <w:rPr>
                <w:color w:val="0D0D0D" w:themeColor="text1" w:themeTint="F2"/>
                <w:spacing w:val="-6"/>
              </w:rPr>
              <w:t>. Vliv úspor ve výdajích za nákup vody, paliv, energie, údržby a také za nákup služeb</w:t>
            </w:r>
            <w:r>
              <w:rPr>
                <w:rStyle w:val="Znakapoznpodarou"/>
                <w:color w:val="0D0D0D" w:themeColor="text1" w:themeTint="F2"/>
                <w:spacing w:val="-6"/>
              </w:rPr>
              <w:footnoteReference w:id="121"/>
            </w:r>
            <w:r>
              <w:rPr>
                <w:color w:val="0D0D0D" w:themeColor="text1" w:themeTint="F2"/>
                <w:spacing w:val="-6"/>
              </w:rPr>
              <w:t xml:space="preserve"> byl totiž tlumen kompenzační platbou v oblasti telekomunikací</w:t>
            </w:r>
            <w:r>
              <w:rPr>
                <w:rStyle w:val="Znakapoznpodarou"/>
                <w:color w:val="0D0D0D" w:themeColor="text1" w:themeTint="F2"/>
                <w:spacing w:val="-6"/>
              </w:rPr>
              <w:footnoteReference w:id="122"/>
            </w:r>
            <w:r>
              <w:rPr>
                <w:color w:val="0D0D0D" w:themeColor="text1" w:themeTint="F2"/>
                <w:spacing w:val="-6"/>
              </w:rPr>
              <w:t>.</w:t>
            </w:r>
          </w:p>
        </w:tc>
      </w:tr>
      <w:tr w:rsidR="00A04CEF" w:rsidRPr="007B3A78" w14:paraId="59E61945" w14:textId="77777777" w:rsidTr="00A04CEF">
        <w:trPr>
          <w:trHeight w:val="170"/>
        </w:trPr>
        <w:tc>
          <w:tcPr>
            <w:tcW w:w="1810" w:type="dxa"/>
            <w:shd w:val="clear" w:color="auto" w:fill="auto"/>
            <w:tcMar>
              <w:left w:w="0" w:type="dxa"/>
            </w:tcMar>
          </w:tcPr>
          <w:p w14:paraId="59C853DC" w14:textId="77777777" w:rsidR="00A04CEF" w:rsidRDefault="00A04CEF" w:rsidP="00A04CEF">
            <w:pPr>
              <w:pStyle w:val="Marginlie"/>
            </w:pPr>
            <w:r>
              <w:lastRenderedPageBreak/>
              <w:t>Hluboký pokles transferů podnikatelům úzce souvisel s ukončením většiny podpůrných dotací v energetice.</w:t>
            </w:r>
          </w:p>
          <w:p w14:paraId="75460097" w14:textId="77777777" w:rsidR="00A04CEF" w:rsidRDefault="00A04CEF" w:rsidP="00A04CEF">
            <w:pPr>
              <w:pStyle w:val="Marginlie"/>
            </w:pPr>
          </w:p>
          <w:p w14:paraId="199184F6" w14:textId="77777777" w:rsidR="00A04CEF" w:rsidRDefault="00A04CEF" w:rsidP="00A04CEF">
            <w:pPr>
              <w:pStyle w:val="Marginlie"/>
            </w:pPr>
          </w:p>
          <w:p w14:paraId="7EA69E9D" w14:textId="77777777" w:rsidR="00A04CEF" w:rsidRDefault="00A04CEF" w:rsidP="00A04CEF">
            <w:pPr>
              <w:pStyle w:val="Marginlie"/>
            </w:pPr>
          </w:p>
          <w:p w14:paraId="591FF7A7" w14:textId="77777777" w:rsidR="00A04CEF" w:rsidRDefault="00A04CEF" w:rsidP="00A04CEF">
            <w:pPr>
              <w:pStyle w:val="Marginlie"/>
            </w:pPr>
          </w:p>
          <w:p w14:paraId="3A6C9D02" w14:textId="77777777" w:rsidR="00A04CEF" w:rsidRDefault="00A04CEF" w:rsidP="00A04CEF">
            <w:pPr>
              <w:pStyle w:val="Marginlie"/>
            </w:pPr>
            <w:r>
              <w:t>Pokles provozních dotací státním fondům zasáhl oblast dopravy.</w:t>
            </w:r>
          </w:p>
        </w:tc>
        <w:tc>
          <w:tcPr>
            <w:tcW w:w="203" w:type="dxa"/>
            <w:shd w:val="clear" w:color="auto" w:fill="auto"/>
            <w:tcMar>
              <w:left w:w="0" w:type="dxa"/>
            </w:tcMar>
          </w:tcPr>
          <w:p w14:paraId="73D0194F" w14:textId="77777777" w:rsidR="00A04CEF" w:rsidRDefault="00A04CEF" w:rsidP="00A04CEF">
            <w:pPr>
              <w:pStyle w:val="Textpoznpodarou"/>
              <w:jc w:val="both"/>
              <w:rPr>
                <w:spacing w:val="-4"/>
              </w:rPr>
            </w:pPr>
          </w:p>
        </w:tc>
        <w:tc>
          <w:tcPr>
            <w:tcW w:w="7656" w:type="dxa"/>
            <w:shd w:val="clear" w:color="auto" w:fill="auto"/>
            <w:tcMar>
              <w:left w:w="0" w:type="dxa"/>
            </w:tcMar>
          </w:tcPr>
          <w:p w14:paraId="1167E5C3" w14:textId="78785F88" w:rsidR="00A04CEF" w:rsidRPr="00712CAA" w:rsidRDefault="00A04CEF" w:rsidP="004F2C1B">
            <w:pPr>
              <w:spacing w:after="220"/>
              <w:rPr>
                <w:color w:val="0D0D0D" w:themeColor="text1" w:themeTint="F2"/>
                <w:spacing w:val="-6"/>
              </w:rPr>
            </w:pPr>
            <w:r>
              <w:rPr>
                <w:color w:val="0D0D0D" w:themeColor="text1" w:themeTint="F2"/>
                <w:spacing w:val="-6"/>
              </w:rPr>
              <w:t xml:space="preserve">Vývoj výdajové strany SR v 1. čtvrtletí 2025 (stejně jako po celý loňský rok) nejvíce ovlivnily </w:t>
            </w:r>
            <w:r>
              <w:rPr>
                <w:color w:val="0D0D0D" w:themeColor="text1" w:themeTint="F2"/>
                <w:spacing w:val="-5"/>
              </w:rPr>
              <w:t>běžné</w:t>
            </w:r>
            <w:r w:rsidRPr="0001033F">
              <w:rPr>
                <w:color w:val="0D0D0D" w:themeColor="text1" w:themeTint="F2"/>
                <w:spacing w:val="-5"/>
              </w:rPr>
              <w:t xml:space="preserve"> </w:t>
            </w:r>
            <w:r w:rsidRPr="007B02D6">
              <w:rPr>
                <w:color w:val="0D0D0D" w:themeColor="text1" w:themeTint="F2"/>
                <w:spacing w:val="-5"/>
              </w:rPr>
              <w:t>transfery podnikatelům</w:t>
            </w:r>
            <w:r>
              <w:rPr>
                <w:color w:val="0D0D0D" w:themeColor="text1" w:themeTint="F2"/>
                <w:spacing w:val="-5"/>
              </w:rPr>
              <w:t>. Ty se meziročně propadly o 41 % (</w:t>
            </w:r>
            <w:r>
              <w:rPr>
                <w:spacing w:val="-6"/>
              </w:rPr>
              <w:t>−</w:t>
            </w:r>
            <w:r>
              <w:rPr>
                <w:color w:val="0D0D0D" w:themeColor="text1" w:themeTint="F2"/>
                <w:spacing w:val="-5"/>
              </w:rPr>
              <w:t>11,5 mld. korun) a jejich vyplacená výše se vrátila do „normálu“ naposledy patrného na sklonku minulé dekády. Letošní propad úzce souvisí s postupným očekávaným útlumem většiny dotací v energetice. Ty, včetně podpory obnovitelných zdrojů energie (OZE), letos dosáhly jen 3,7 mld. korun (o</w:t>
            </w:r>
            <w:r>
              <w:rPr>
                <w:color w:val="0D0D0D" w:themeColor="text1" w:themeTint="F2"/>
                <w:spacing w:val="-6"/>
              </w:rPr>
              <w:t> </w:t>
            </w:r>
            <w:r>
              <w:rPr>
                <w:color w:val="0D0D0D" w:themeColor="text1" w:themeTint="F2"/>
                <w:spacing w:val="-5"/>
              </w:rPr>
              <w:t xml:space="preserve">rok dříve ještě 16,2 mld.). Řádově menší vliv měl dočasný pokles podpory </w:t>
            </w:r>
            <w:r w:rsidRPr="00AF2C45">
              <w:rPr>
                <w:color w:val="0D0D0D" w:themeColor="text1" w:themeTint="F2"/>
                <w:spacing w:val="-5"/>
              </w:rPr>
              <w:t>výzku</w:t>
            </w:r>
            <w:r>
              <w:rPr>
                <w:color w:val="0D0D0D" w:themeColor="text1" w:themeTint="F2"/>
                <w:spacing w:val="-5"/>
              </w:rPr>
              <w:t>mu, vývoje a inovací poskytované</w:t>
            </w:r>
            <w:r w:rsidRPr="00AF2C45">
              <w:rPr>
                <w:color w:val="0D0D0D" w:themeColor="text1" w:themeTint="F2"/>
                <w:spacing w:val="-5"/>
              </w:rPr>
              <w:t xml:space="preserve"> firmám</w:t>
            </w:r>
            <w:r>
              <w:rPr>
                <w:color w:val="0D0D0D" w:themeColor="text1" w:themeTint="F2"/>
                <w:spacing w:val="-5"/>
              </w:rPr>
              <w:t>. Růst výdajů SR byl tlumen také poklesem běžných transferů státním fondům (SF). Ten v 1. čtvrtletí dosáhl meziročně (3 mld. korun, resp</w:t>
            </w:r>
            <w:r w:rsidR="004F2C1B">
              <w:rPr>
                <w:color w:val="0D0D0D" w:themeColor="text1" w:themeTint="F2"/>
                <w:spacing w:val="-5"/>
              </w:rPr>
              <w:t xml:space="preserve">. </w:t>
            </w:r>
            <w:r>
              <w:rPr>
                <w:color w:val="0D0D0D" w:themeColor="text1" w:themeTint="F2"/>
                <w:spacing w:val="-5"/>
              </w:rPr>
              <w:t>15 %), což souviselo s hlavně s očekávaným nižším financováním SF dopravní infrastruktury (na krytí jeho deficitu), v menší míře i s dočasným poklesem transferů SF životního prostředí (na evropské projekty) a do oblasti zemědělství (na přímé platby zemědělcům).</w:t>
            </w:r>
          </w:p>
        </w:tc>
      </w:tr>
      <w:tr w:rsidR="00A04CEF" w:rsidRPr="007B3A78" w14:paraId="1FB346C6" w14:textId="77777777" w:rsidTr="00A04CEF">
        <w:trPr>
          <w:trHeight w:val="170"/>
        </w:trPr>
        <w:tc>
          <w:tcPr>
            <w:tcW w:w="1810" w:type="dxa"/>
            <w:shd w:val="clear" w:color="auto" w:fill="auto"/>
            <w:tcMar>
              <w:left w:w="0" w:type="dxa"/>
            </w:tcMar>
          </w:tcPr>
          <w:p w14:paraId="6B644514" w14:textId="77777777" w:rsidR="00A04CEF" w:rsidRDefault="00A04CEF" w:rsidP="00A04CEF">
            <w:pPr>
              <w:pStyle w:val="Marginlie"/>
            </w:pPr>
          </w:p>
        </w:tc>
        <w:tc>
          <w:tcPr>
            <w:tcW w:w="203" w:type="dxa"/>
            <w:shd w:val="clear" w:color="auto" w:fill="auto"/>
            <w:tcMar>
              <w:left w:w="0" w:type="dxa"/>
            </w:tcMar>
          </w:tcPr>
          <w:p w14:paraId="00BB0861" w14:textId="77777777" w:rsidR="00A04CEF" w:rsidRDefault="00A04CEF" w:rsidP="00A04CEF">
            <w:pPr>
              <w:pStyle w:val="Textpoznpodarou"/>
              <w:jc w:val="both"/>
              <w:rPr>
                <w:spacing w:val="-4"/>
              </w:rPr>
            </w:pPr>
          </w:p>
        </w:tc>
        <w:tc>
          <w:tcPr>
            <w:tcW w:w="7656" w:type="dxa"/>
            <w:shd w:val="clear" w:color="auto" w:fill="auto"/>
            <w:tcMar>
              <w:left w:w="0" w:type="dxa"/>
            </w:tcMar>
          </w:tcPr>
          <w:p w14:paraId="223D2B4F" w14:textId="77777777" w:rsidR="00A04CEF" w:rsidRPr="008526E0" w:rsidRDefault="00A04CEF" w:rsidP="00A04CEF">
            <w:pPr>
              <w:spacing w:after="0"/>
              <w:rPr>
                <w:color w:val="0D0D0D" w:themeColor="text1" w:themeTint="F2"/>
                <w:spacing w:val="-3"/>
              </w:rPr>
            </w:pPr>
            <w:r w:rsidRPr="00E63A41">
              <w:rPr>
                <w:b/>
              </w:rPr>
              <w:t xml:space="preserve">Graf č. 19 </w:t>
            </w:r>
            <w:r w:rsidRPr="00E63A41">
              <w:rPr>
                <w:rFonts w:cs="Arial"/>
                <w:b/>
                <w:bCs/>
              </w:rPr>
              <w:t xml:space="preserve">Vybrané výdaje státního rozpočtu </w:t>
            </w:r>
            <w:r>
              <w:rPr>
                <w:rFonts w:cs="Arial"/>
                <w:b/>
                <w:bCs/>
              </w:rPr>
              <w:t xml:space="preserve">v rámci 1. čtvrtletí </w:t>
            </w:r>
            <w:r w:rsidRPr="008C1DA3">
              <w:rPr>
                <w:rFonts w:cs="Arial"/>
              </w:rPr>
              <w:t>(v mld. korun)</w:t>
            </w:r>
          </w:p>
        </w:tc>
      </w:tr>
      <w:tr w:rsidR="00A04CEF" w:rsidRPr="007B3A78" w14:paraId="7FB6FD60" w14:textId="77777777" w:rsidTr="00A04CEF">
        <w:tblPrEx>
          <w:tblCellMar>
            <w:left w:w="70" w:type="dxa"/>
            <w:right w:w="70" w:type="dxa"/>
          </w:tblCellMar>
        </w:tblPrEx>
        <w:trPr>
          <w:trHeight w:val="170"/>
        </w:trPr>
        <w:tc>
          <w:tcPr>
            <w:tcW w:w="1810" w:type="dxa"/>
            <w:shd w:val="clear" w:color="auto" w:fill="auto"/>
          </w:tcPr>
          <w:p w14:paraId="3BAEED70" w14:textId="77777777" w:rsidR="00A04CEF" w:rsidRDefault="00A04CEF" w:rsidP="00A04CEF">
            <w:pPr>
              <w:pStyle w:val="Marginlie"/>
            </w:pPr>
          </w:p>
        </w:tc>
        <w:tc>
          <w:tcPr>
            <w:tcW w:w="203" w:type="dxa"/>
            <w:shd w:val="clear" w:color="auto" w:fill="auto"/>
          </w:tcPr>
          <w:p w14:paraId="40D7B92B" w14:textId="77777777" w:rsidR="00A04CEF" w:rsidRDefault="00A04CEF" w:rsidP="00A04CEF">
            <w:pPr>
              <w:pStyle w:val="Textpoznpodarou"/>
              <w:jc w:val="both"/>
              <w:rPr>
                <w:spacing w:val="-4"/>
              </w:rPr>
            </w:pPr>
          </w:p>
        </w:tc>
        <w:tc>
          <w:tcPr>
            <w:tcW w:w="7656" w:type="dxa"/>
            <w:shd w:val="clear" w:color="auto" w:fill="auto"/>
          </w:tcPr>
          <w:p w14:paraId="2EE76FC1" w14:textId="77777777" w:rsidR="00A04CEF" w:rsidRPr="008526E0" w:rsidRDefault="00A04CEF" w:rsidP="00A04CEF">
            <w:pPr>
              <w:spacing w:after="0"/>
              <w:rPr>
                <w:color w:val="0D0D0D" w:themeColor="text1" w:themeTint="F2"/>
                <w:spacing w:val="-3"/>
              </w:rPr>
            </w:pPr>
            <w:r>
              <w:rPr>
                <w:noProof/>
              </w:rPr>
              <w:drawing>
                <wp:inline distT="0" distB="0" distL="0" distR="0" wp14:anchorId="2A347DB9" wp14:editId="3AC7E0C6">
                  <wp:extent cx="4772660" cy="3586038"/>
                  <wp:effectExtent l="0" t="0" r="8890" b="0"/>
                  <wp:docPr id="1796943800"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04CEF" w:rsidRPr="007B3A78" w14:paraId="66B56087" w14:textId="77777777" w:rsidTr="00A04CEF">
        <w:trPr>
          <w:trHeight w:val="170"/>
        </w:trPr>
        <w:tc>
          <w:tcPr>
            <w:tcW w:w="1810" w:type="dxa"/>
            <w:shd w:val="clear" w:color="auto" w:fill="auto"/>
            <w:tcMar>
              <w:left w:w="0" w:type="dxa"/>
            </w:tcMar>
          </w:tcPr>
          <w:p w14:paraId="2A2349E8" w14:textId="77777777" w:rsidR="00A04CEF" w:rsidRDefault="00A04CEF" w:rsidP="00A04CEF">
            <w:pPr>
              <w:pStyle w:val="Marginlie"/>
            </w:pPr>
          </w:p>
        </w:tc>
        <w:tc>
          <w:tcPr>
            <w:tcW w:w="203" w:type="dxa"/>
            <w:shd w:val="clear" w:color="auto" w:fill="auto"/>
            <w:tcMar>
              <w:left w:w="0" w:type="dxa"/>
            </w:tcMar>
          </w:tcPr>
          <w:p w14:paraId="26D710D7" w14:textId="77777777" w:rsidR="00A04CEF" w:rsidRDefault="00A04CEF" w:rsidP="00A04CEF">
            <w:pPr>
              <w:pStyle w:val="Textpoznpodarou"/>
              <w:jc w:val="both"/>
              <w:rPr>
                <w:spacing w:val="-4"/>
              </w:rPr>
            </w:pPr>
          </w:p>
        </w:tc>
        <w:tc>
          <w:tcPr>
            <w:tcW w:w="7656" w:type="dxa"/>
            <w:shd w:val="clear" w:color="auto" w:fill="auto"/>
            <w:tcMar>
              <w:left w:w="0" w:type="dxa"/>
            </w:tcMar>
          </w:tcPr>
          <w:p w14:paraId="23ADCD7E" w14:textId="77777777" w:rsidR="00A04CEF" w:rsidRPr="008F2BE2" w:rsidRDefault="00A04CEF" w:rsidP="00A04CEF">
            <w:pPr>
              <w:pStyle w:val="Textpoznpodarou"/>
              <w:rPr>
                <w:spacing w:val="-4"/>
                <w:sz w:val="14"/>
                <w:szCs w:val="14"/>
              </w:rPr>
            </w:pPr>
            <w:r w:rsidRPr="008F2BE2">
              <w:rPr>
                <w:spacing w:val="-4"/>
                <w:sz w:val="14"/>
                <w:szCs w:val="14"/>
              </w:rPr>
              <w:t>*</w:t>
            </w:r>
            <w:r>
              <w:rPr>
                <w:spacing w:val="-4"/>
                <w:sz w:val="14"/>
                <w:szCs w:val="14"/>
              </w:rPr>
              <w:t xml:space="preserve"> </w:t>
            </w:r>
            <w:r w:rsidRPr="008F2BE2">
              <w:rPr>
                <w:spacing w:val="-4"/>
                <w:sz w:val="14"/>
                <w:szCs w:val="14"/>
              </w:rPr>
              <w:t>Pokrývají výdaje na platy v organizačních složkách státu. Nezahrnují například mzdové výdaje na regionální školství.</w:t>
            </w:r>
          </w:p>
          <w:p w14:paraId="5DB115E4" w14:textId="77777777" w:rsidR="00A04CEF" w:rsidRDefault="00A04CEF" w:rsidP="00A04CEF">
            <w:pPr>
              <w:pStyle w:val="Textpoznpodarou"/>
              <w:rPr>
                <w:spacing w:val="-4"/>
                <w:sz w:val="14"/>
                <w:szCs w:val="14"/>
              </w:rPr>
            </w:pPr>
            <w:r>
              <w:rPr>
                <w:spacing w:val="-4"/>
                <w:sz w:val="14"/>
                <w:szCs w:val="14"/>
              </w:rPr>
              <w:t xml:space="preserve">** Obsahuje také </w:t>
            </w:r>
            <w:r w:rsidRPr="008F2BE2">
              <w:rPr>
                <w:spacing w:val="-4"/>
                <w:sz w:val="14"/>
                <w:szCs w:val="14"/>
              </w:rPr>
              <w:t>dávky pěstounské péče.</w:t>
            </w:r>
          </w:p>
          <w:p w14:paraId="6DA1B1BA" w14:textId="77777777" w:rsidR="00A04CEF" w:rsidRPr="008F2BE2" w:rsidRDefault="00A04CEF" w:rsidP="00A04CEF">
            <w:pPr>
              <w:pStyle w:val="Textpoznpodarou"/>
              <w:rPr>
                <w:spacing w:val="-4"/>
                <w:sz w:val="14"/>
                <w:szCs w:val="14"/>
              </w:rPr>
            </w:pPr>
            <w:r>
              <w:rPr>
                <w:spacing w:val="-4"/>
                <w:sz w:val="14"/>
                <w:szCs w:val="14"/>
              </w:rPr>
              <w:t>*** Z</w:t>
            </w:r>
            <w:r w:rsidRPr="008F2BE2">
              <w:rPr>
                <w:spacing w:val="-4"/>
                <w:sz w:val="14"/>
                <w:szCs w:val="14"/>
              </w:rPr>
              <w:t>ahrnují dávky pomoci v hmotné nouzi, dávky osobám se zdravotním postižením, příspěvek na péči dle zákona o soc. službách.</w:t>
            </w:r>
            <w:r>
              <w:rPr>
                <w:spacing w:val="-4"/>
                <w:sz w:val="14"/>
                <w:szCs w:val="14"/>
              </w:rPr>
              <w:t xml:space="preserve"> Jsou zde obsaženy i dávky </w:t>
            </w:r>
            <w:r w:rsidRPr="00FB6649">
              <w:rPr>
                <w:spacing w:val="-4"/>
                <w:sz w:val="14"/>
                <w:szCs w:val="14"/>
              </w:rPr>
              <w:t>humanitární pomoc</w:t>
            </w:r>
            <w:r>
              <w:rPr>
                <w:spacing w:val="-4"/>
                <w:sz w:val="14"/>
                <w:szCs w:val="14"/>
              </w:rPr>
              <w:t>i poskytnuté občanům Ukrajiny.</w:t>
            </w:r>
          </w:p>
          <w:p w14:paraId="6F2C2DF8" w14:textId="77777777" w:rsidR="00A04CEF" w:rsidRDefault="00A04CEF" w:rsidP="00A04CEF">
            <w:pPr>
              <w:pStyle w:val="Textpoznpodarou"/>
              <w:rPr>
                <w:spacing w:val="-4"/>
                <w:sz w:val="14"/>
                <w:szCs w:val="14"/>
              </w:rPr>
            </w:pPr>
            <w:r>
              <w:rPr>
                <w:spacing w:val="-4"/>
                <w:sz w:val="14"/>
                <w:szCs w:val="14"/>
              </w:rPr>
              <w:t>**** O</w:t>
            </w:r>
            <w:r w:rsidRPr="008F2BE2">
              <w:rPr>
                <w:spacing w:val="-4"/>
                <w:sz w:val="14"/>
                <w:szCs w:val="14"/>
              </w:rPr>
              <w:t>bsahují zejména výdaje na nákup služeb, materiálu, energií či ostatních služeb (například výdaje na opravy a udržování).</w:t>
            </w:r>
          </w:p>
          <w:p w14:paraId="0CEC779C" w14:textId="77777777" w:rsidR="00A04CEF" w:rsidRPr="00257D9C" w:rsidRDefault="00A04CEF" w:rsidP="00A04CEF">
            <w:pPr>
              <w:pStyle w:val="Textpoznpodarou"/>
              <w:spacing w:after="220"/>
              <w:rPr>
                <w:spacing w:val="-4"/>
                <w:sz w:val="14"/>
                <w:szCs w:val="14"/>
              </w:rPr>
            </w:pPr>
            <w:r>
              <w:rPr>
                <w:spacing w:val="-4"/>
                <w:sz w:val="14"/>
                <w:szCs w:val="14"/>
              </w:rPr>
              <w:t>*****</w:t>
            </w:r>
            <w:r w:rsidRPr="00257D9C">
              <w:rPr>
                <w:spacing w:val="-4"/>
                <w:sz w:val="14"/>
                <w:szCs w:val="14"/>
              </w:rPr>
              <w:t xml:space="preserve"> Čisté výdaje odpovídají saldu rozpočtové kapitoly Státní dluh (č. 396).</w:t>
            </w:r>
            <w:r>
              <w:rPr>
                <w:spacing w:val="-4"/>
                <w:sz w:val="14"/>
                <w:szCs w:val="14"/>
              </w:rPr>
              <w:t xml:space="preserve">                                                                       Zdroj: MF ČR</w:t>
            </w:r>
          </w:p>
        </w:tc>
      </w:tr>
      <w:tr w:rsidR="00A04CEF" w14:paraId="76B56453" w14:textId="77777777" w:rsidTr="00A04CEF">
        <w:trPr>
          <w:trHeight w:val="170"/>
        </w:trPr>
        <w:tc>
          <w:tcPr>
            <w:tcW w:w="1810" w:type="dxa"/>
            <w:shd w:val="clear" w:color="auto" w:fill="auto"/>
            <w:tcMar>
              <w:left w:w="0" w:type="dxa"/>
            </w:tcMar>
          </w:tcPr>
          <w:p w14:paraId="57451879" w14:textId="77777777" w:rsidR="00A04CEF" w:rsidRDefault="00A04CEF" w:rsidP="00A04CEF">
            <w:pPr>
              <w:pStyle w:val="Marginlie"/>
            </w:pPr>
            <w:r>
              <w:t>Čerpání investic na počátku roku bylo tradičně nízké. K jejich meziročnímu poklesu přispěly nižší výdaje na společné programy ČR a EU.</w:t>
            </w:r>
          </w:p>
        </w:tc>
        <w:tc>
          <w:tcPr>
            <w:tcW w:w="203" w:type="dxa"/>
            <w:shd w:val="clear" w:color="auto" w:fill="auto"/>
            <w:tcMar>
              <w:left w:w="0" w:type="dxa"/>
            </w:tcMar>
          </w:tcPr>
          <w:p w14:paraId="10C8B659" w14:textId="77777777" w:rsidR="00A04CEF" w:rsidRDefault="00A04CEF" w:rsidP="00A04CEF">
            <w:pPr>
              <w:pStyle w:val="Textpoznpodarou"/>
              <w:jc w:val="both"/>
              <w:rPr>
                <w:spacing w:val="-4"/>
              </w:rPr>
            </w:pPr>
          </w:p>
        </w:tc>
        <w:tc>
          <w:tcPr>
            <w:tcW w:w="7656" w:type="dxa"/>
            <w:shd w:val="clear" w:color="auto" w:fill="auto"/>
            <w:tcMar>
              <w:left w:w="0" w:type="dxa"/>
            </w:tcMar>
          </w:tcPr>
          <w:p w14:paraId="7F082661" w14:textId="77777777" w:rsidR="00A04CEF" w:rsidRPr="00246D96" w:rsidRDefault="00A04CEF" w:rsidP="00A04CEF">
            <w:pPr>
              <w:spacing w:after="200"/>
              <w:rPr>
                <w:color w:val="0D0D0D" w:themeColor="text1" w:themeTint="F2"/>
                <w:spacing w:val="-3"/>
              </w:rPr>
            </w:pPr>
            <w:r w:rsidRPr="00246D96">
              <w:rPr>
                <w:color w:val="0D0D0D" w:themeColor="text1" w:themeTint="F2"/>
                <w:spacing w:val="-3"/>
              </w:rPr>
              <w:t>Kapitálové výdaje SR dosáhly letos v 1. čtvrtletí 31,9 mld. korun a meziročně se snížily podruhé v řadě (aktuálně o 4,9 %). Schválený SR přitom počítá s rekordním celoročním objemem investic (250 mld. korun), oproti uskutečněným investicím meziročně o pětinu vyšším. Nízké čerpání investic na počátku roku je běžný jev a letos (a ve větší míře i loni) souvisel hlavně s pomalejším náběhem investic na společné projekty ČR a EU. Tyto investice byly letos zatím nízké zejména v oblasti průmyslu, energetiky, životního prostředí či územního rozvoje. Naopak investice, u nichž se nepředpokládá budoucí doplacení ze zdrojů EU, vzrostly meziročně skoro o třetinu (na 17,1 mld. korun), pouze zásluhou vyšších dotací SF dopravní infrastruktury (+8 mld.). Naopak prozatím nižší byly investice do oblasti obrany. Celkové investice SR tvořily v 1. čtvrtletí 5,6 % všech rozpočtových výdajů (o rok dříve 6,1 %). V dlouhodobém kontextu (za poslední dvě dekády) jde o mírně průměrný podíl.</w:t>
            </w:r>
          </w:p>
        </w:tc>
      </w:tr>
      <w:tr w:rsidR="00A04CEF" w14:paraId="24D296AA" w14:textId="77777777" w:rsidTr="00A04CEF">
        <w:trPr>
          <w:trHeight w:val="170"/>
        </w:trPr>
        <w:tc>
          <w:tcPr>
            <w:tcW w:w="1810" w:type="dxa"/>
            <w:shd w:val="clear" w:color="auto" w:fill="auto"/>
            <w:tcMar>
              <w:left w:w="0" w:type="dxa"/>
            </w:tcMar>
          </w:tcPr>
          <w:p w14:paraId="27D6C58E" w14:textId="77777777" w:rsidR="00A04CEF" w:rsidRDefault="00A04CEF" w:rsidP="00A04CEF">
            <w:pPr>
              <w:pStyle w:val="Marginlie"/>
            </w:pPr>
            <w:r>
              <w:lastRenderedPageBreak/>
              <w:t>Deficit hospodaření sektoru vládních institucí v Česku klesl ve 4. čtvrtletí 2024 meziročně o třetinu.</w:t>
            </w:r>
          </w:p>
        </w:tc>
        <w:tc>
          <w:tcPr>
            <w:tcW w:w="203" w:type="dxa"/>
            <w:shd w:val="clear" w:color="auto" w:fill="auto"/>
            <w:tcMar>
              <w:left w:w="0" w:type="dxa"/>
            </w:tcMar>
          </w:tcPr>
          <w:p w14:paraId="7565A6BC" w14:textId="77777777" w:rsidR="00A04CEF" w:rsidRDefault="00A04CEF" w:rsidP="00A04CEF">
            <w:pPr>
              <w:pStyle w:val="Textpoznpodarou"/>
              <w:jc w:val="both"/>
              <w:rPr>
                <w:spacing w:val="-4"/>
              </w:rPr>
            </w:pPr>
          </w:p>
        </w:tc>
        <w:tc>
          <w:tcPr>
            <w:tcW w:w="7656" w:type="dxa"/>
            <w:shd w:val="clear" w:color="auto" w:fill="auto"/>
            <w:tcMar>
              <w:left w:w="0" w:type="dxa"/>
            </w:tcMar>
          </w:tcPr>
          <w:p w14:paraId="57BA6571" w14:textId="77777777" w:rsidR="00A04CEF" w:rsidRPr="00617558" w:rsidRDefault="00A04CEF" w:rsidP="00A04CEF">
            <w:pPr>
              <w:spacing w:after="220"/>
              <w:rPr>
                <w:color w:val="0D0D0D" w:themeColor="text1" w:themeTint="F2"/>
                <w:spacing w:val="-7"/>
              </w:rPr>
            </w:pPr>
            <w:r w:rsidRPr="000E2A7E">
              <w:rPr>
                <w:color w:val="0D0D0D" w:themeColor="text1" w:themeTint="F2"/>
                <w:spacing w:val="-3"/>
              </w:rPr>
              <w:t xml:space="preserve">Sektor vládních institucí (VI) v Česku hospodařil </w:t>
            </w:r>
            <w:r>
              <w:rPr>
                <w:color w:val="0D0D0D" w:themeColor="text1" w:themeTint="F2"/>
                <w:spacing w:val="-3"/>
              </w:rPr>
              <w:t>dle aktuálních údajů ve 4. čtvrtletí 2024</w:t>
            </w:r>
            <w:r w:rsidRPr="008526E0">
              <w:rPr>
                <w:rStyle w:val="Znakapoznpodarou"/>
                <w:color w:val="0D0D0D" w:themeColor="text1" w:themeTint="F2"/>
                <w:spacing w:val="-3"/>
              </w:rPr>
              <w:footnoteReference w:id="123"/>
            </w:r>
            <w:r>
              <w:rPr>
                <w:color w:val="0D0D0D" w:themeColor="text1" w:themeTint="F2"/>
                <w:spacing w:val="-3"/>
              </w:rPr>
              <w:t xml:space="preserve"> s deficitem 78</w:t>
            </w:r>
            <w:r>
              <w:rPr>
                <w:color w:val="0D0D0D" w:themeColor="text1" w:themeTint="F2"/>
                <w:spacing w:val="-5"/>
              </w:rPr>
              <w:t> </w:t>
            </w:r>
            <w:r w:rsidRPr="008526E0">
              <w:rPr>
                <w:color w:val="0D0D0D" w:themeColor="text1" w:themeTint="F2"/>
                <w:spacing w:val="-3"/>
              </w:rPr>
              <w:t>mld. korun</w:t>
            </w:r>
            <w:r w:rsidRPr="008526E0">
              <w:rPr>
                <w:rStyle w:val="Znakapoznpodarou"/>
                <w:color w:val="0D0D0D" w:themeColor="text1" w:themeTint="F2"/>
                <w:spacing w:val="-3"/>
              </w:rPr>
              <w:footnoteReference w:id="124"/>
            </w:r>
            <w:r w:rsidRPr="008526E0">
              <w:rPr>
                <w:color w:val="0D0D0D" w:themeColor="text1" w:themeTint="F2"/>
                <w:spacing w:val="-3"/>
              </w:rPr>
              <w:t>,</w:t>
            </w:r>
            <w:r>
              <w:rPr>
                <w:color w:val="0D0D0D" w:themeColor="text1" w:themeTint="F2"/>
                <w:spacing w:val="-3"/>
              </w:rPr>
              <w:t xml:space="preserve"> jenž meziročně klesl skoro o třetinu (</w:t>
            </w:r>
            <w:r>
              <w:rPr>
                <w:color w:val="0D0D0D" w:themeColor="text1" w:themeTint="F2"/>
                <w:spacing w:val="-5"/>
              </w:rPr>
              <w:t xml:space="preserve">o </w:t>
            </w:r>
            <w:r>
              <w:rPr>
                <w:color w:val="0D0D0D" w:themeColor="text1" w:themeTint="F2"/>
                <w:spacing w:val="-3"/>
              </w:rPr>
              <w:t>37 mld.). Za meziročním zmírněním schodku stálo primárně razantní zvolnění růstu celkových výdajů (na 1,5 %, o</w:t>
            </w:r>
            <w:r>
              <w:rPr>
                <w:color w:val="0D0D0D" w:themeColor="text1" w:themeTint="F2"/>
              </w:rPr>
              <w:t> </w:t>
            </w:r>
            <w:r>
              <w:rPr>
                <w:color w:val="0D0D0D" w:themeColor="text1" w:themeTint="F2"/>
                <w:spacing w:val="-3"/>
              </w:rPr>
              <w:t xml:space="preserve">rok dříve 10,0 %). Projevil se zde očekávaný pokles vyplacených dotací (24. mld. korun, </w:t>
            </w:r>
            <w:r>
              <w:rPr>
                <w:spacing w:val="-6"/>
              </w:rPr>
              <w:t>−</w:t>
            </w:r>
            <w:r>
              <w:rPr>
                <w:color w:val="0D0D0D" w:themeColor="text1" w:themeTint="F2"/>
                <w:spacing w:val="-3"/>
              </w:rPr>
              <w:t>40 %), zvolnění růstu výdajů na sociální dávky</w:t>
            </w:r>
            <w:r>
              <w:rPr>
                <w:rStyle w:val="Znakapoznpodarou"/>
                <w:color w:val="0D0D0D" w:themeColor="text1" w:themeTint="F2"/>
                <w:spacing w:val="-3"/>
              </w:rPr>
              <w:footnoteReference w:id="125"/>
            </w:r>
            <w:r>
              <w:rPr>
                <w:color w:val="0D0D0D" w:themeColor="text1" w:themeTint="F2"/>
                <w:spacing w:val="-3"/>
              </w:rPr>
              <w:t xml:space="preserve"> (z 11,2 % na 4,2 %) i snížení výdajů na investice. Ve srovnání s koncem roku 2023 zmírnil ve 4. čtvrtletí 2024 i meziroční růst celkových příjmů (z 6,3 % na 9,2 %). Zpomalení tempa odráželo zejména zvolnění dynamiky příjmů z běžných daní z důchodů a </w:t>
            </w:r>
            <w:r w:rsidRPr="00947880">
              <w:rPr>
                <w:color w:val="0D0D0D" w:themeColor="text1" w:themeTint="F2"/>
                <w:spacing w:val="-3"/>
              </w:rPr>
              <w:t>jmění</w:t>
            </w:r>
            <w:r>
              <w:rPr>
                <w:color w:val="0D0D0D" w:themeColor="text1" w:themeTint="F2"/>
                <w:spacing w:val="-3"/>
              </w:rPr>
              <w:t xml:space="preserve"> – ty byly na konci loňského roku meziročně vyšší o 9 mld. korun, kdežto ve 4. čtvrtletí 2023 dokonce o 23 mld.</w:t>
            </w:r>
          </w:p>
        </w:tc>
      </w:tr>
      <w:tr w:rsidR="00A04CEF" w14:paraId="5EF79B88" w14:textId="77777777" w:rsidTr="00A04CEF">
        <w:trPr>
          <w:trHeight w:val="170"/>
        </w:trPr>
        <w:tc>
          <w:tcPr>
            <w:tcW w:w="1810" w:type="dxa"/>
            <w:shd w:val="clear" w:color="auto" w:fill="auto"/>
            <w:tcMar>
              <w:left w:w="0" w:type="dxa"/>
            </w:tcMar>
          </w:tcPr>
          <w:p w14:paraId="3DEABFD7" w14:textId="77777777" w:rsidR="00A04CEF" w:rsidRDefault="00A04CEF" w:rsidP="00A04CEF">
            <w:pPr>
              <w:pStyle w:val="Marginlie"/>
            </w:pPr>
          </w:p>
        </w:tc>
        <w:tc>
          <w:tcPr>
            <w:tcW w:w="203" w:type="dxa"/>
            <w:shd w:val="clear" w:color="auto" w:fill="auto"/>
            <w:tcMar>
              <w:left w:w="0" w:type="dxa"/>
            </w:tcMar>
          </w:tcPr>
          <w:p w14:paraId="71CE6AE7" w14:textId="77777777" w:rsidR="00A04CEF" w:rsidRDefault="00A04CEF" w:rsidP="00A04CEF">
            <w:pPr>
              <w:pStyle w:val="Textpoznpodarou"/>
              <w:jc w:val="both"/>
              <w:rPr>
                <w:spacing w:val="-4"/>
              </w:rPr>
            </w:pPr>
          </w:p>
        </w:tc>
        <w:tc>
          <w:tcPr>
            <w:tcW w:w="7656" w:type="dxa"/>
            <w:shd w:val="clear" w:color="auto" w:fill="auto"/>
            <w:tcMar>
              <w:left w:w="0" w:type="dxa"/>
            </w:tcMar>
          </w:tcPr>
          <w:p w14:paraId="16E80AEB" w14:textId="77777777" w:rsidR="00A04CEF" w:rsidRPr="0040616A" w:rsidRDefault="00A04CEF" w:rsidP="00A04CEF">
            <w:pPr>
              <w:spacing w:after="0"/>
              <w:rPr>
                <w:color w:val="0D0D0D" w:themeColor="text1" w:themeTint="F2"/>
                <w:spacing w:val="-6"/>
              </w:rPr>
            </w:pPr>
            <w:r>
              <w:rPr>
                <w:b/>
              </w:rPr>
              <w:t>Graf č. 20</w:t>
            </w:r>
            <w:r w:rsidRPr="00E63A41">
              <w:rPr>
                <w:b/>
              </w:rPr>
              <w:t xml:space="preserve"> </w:t>
            </w:r>
            <w:r>
              <w:rPr>
                <w:rFonts w:cs="Arial"/>
                <w:b/>
                <w:bCs/>
              </w:rPr>
              <w:t xml:space="preserve">Saldo hospodaření sektoru vládních institucí ve vybraných státech EU </w:t>
            </w:r>
            <w:r w:rsidRPr="00583F76">
              <w:rPr>
                <w:rFonts w:cs="Arial"/>
                <w:bCs/>
              </w:rPr>
              <w:t>(</w:t>
            </w:r>
            <w:r>
              <w:rPr>
                <w:rFonts w:cs="Arial"/>
                <w:bCs/>
              </w:rPr>
              <w:t xml:space="preserve">roční kumulace, </w:t>
            </w:r>
            <w:r w:rsidRPr="00583F76">
              <w:rPr>
                <w:rFonts w:cs="Arial"/>
                <w:bCs/>
              </w:rPr>
              <w:t>v % HDP)</w:t>
            </w:r>
          </w:p>
        </w:tc>
      </w:tr>
      <w:tr w:rsidR="00A04CEF" w14:paraId="34DE7F2F" w14:textId="77777777" w:rsidTr="00A04CEF">
        <w:tblPrEx>
          <w:tblCellMar>
            <w:left w:w="70" w:type="dxa"/>
            <w:right w:w="70" w:type="dxa"/>
          </w:tblCellMar>
        </w:tblPrEx>
        <w:trPr>
          <w:trHeight w:val="170"/>
        </w:trPr>
        <w:tc>
          <w:tcPr>
            <w:tcW w:w="1810" w:type="dxa"/>
            <w:shd w:val="clear" w:color="auto" w:fill="auto"/>
          </w:tcPr>
          <w:p w14:paraId="5C169928" w14:textId="77777777" w:rsidR="00A04CEF" w:rsidRDefault="00A04CEF" w:rsidP="00A04CEF">
            <w:pPr>
              <w:pStyle w:val="Marginlie"/>
            </w:pPr>
          </w:p>
        </w:tc>
        <w:tc>
          <w:tcPr>
            <w:tcW w:w="203" w:type="dxa"/>
            <w:shd w:val="clear" w:color="auto" w:fill="auto"/>
          </w:tcPr>
          <w:p w14:paraId="69FE6AD2" w14:textId="77777777" w:rsidR="00A04CEF" w:rsidRDefault="00A04CEF" w:rsidP="00A04CEF">
            <w:pPr>
              <w:pStyle w:val="Textpoznpodarou"/>
              <w:jc w:val="both"/>
              <w:rPr>
                <w:spacing w:val="-4"/>
              </w:rPr>
            </w:pPr>
          </w:p>
        </w:tc>
        <w:tc>
          <w:tcPr>
            <w:tcW w:w="7656" w:type="dxa"/>
            <w:shd w:val="clear" w:color="auto" w:fill="auto"/>
          </w:tcPr>
          <w:p w14:paraId="6054EB94" w14:textId="77777777" w:rsidR="00A04CEF" w:rsidRPr="0040616A" w:rsidRDefault="00A04CEF" w:rsidP="00A04CEF">
            <w:pPr>
              <w:spacing w:after="0"/>
              <w:rPr>
                <w:color w:val="0D0D0D" w:themeColor="text1" w:themeTint="F2"/>
                <w:spacing w:val="-6"/>
              </w:rPr>
            </w:pPr>
            <w:r>
              <w:rPr>
                <w:noProof/>
              </w:rPr>
              <w:drawing>
                <wp:inline distT="0" distB="0" distL="0" distR="0" wp14:anchorId="2106F01C" wp14:editId="22363665">
                  <wp:extent cx="4765675" cy="3252084"/>
                  <wp:effectExtent l="0" t="0" r="0" b="5715"/>
                  <wp:docPr id="1240086744" name="Graf 1">
                    <a:extLst xmlns:a="http://schemas.openxmlformats.org/drawingml/2006/main">
                      <a:ext uri="{FF2B5EF4-FFF2-40B4-BE49-F238E27FC236}">
                        <a16:creationId xmlns:a16="http://schemas.microsoft.com/office/drawing/2014/main" id="{8D8D8C31-A283-44FB-9926-E3D296696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A04CEF" w14:paraId="6C226145" w14:textId="77777777" w:rsidTr="00A04CEF">
        <w:trPr>
          <w:trHeight w:val="170"/>
        </w:trPr>
        <w:tc>
          <w:tcPr>
            <w:tcW w:w="1810" w:type="dxa"/>
            <w:shd w:val="clear" w:color="auto" w:fill="auto"/>
            <w:tcMar>
              <w:left w:w="0" w:type="dxa"/>
            </w:tcMar>
          </w:tcPr>
          <w:p w14:paraId="56C1EF8F" w14:textId="77777777" w:rsidR="00A04CEF" w:rsidRDefault="00A04CEF" w:rsidP="00A04CEF">
            <w:pPr>
              <w:pStyle w:val="Marginlie"/>
              <w:rPr>
                <w:color w:val="0D0D0D" w:themeColor="text1" w:themeTint="F2"/>
              </w:rPr>
            </w:pPr>
          </w:p>
        </w:tc>
        <w:tc>
          <w:tcPr>
            <w:tcW w:w="203" w:type="dxa"/>
            <w:shd w:val="clear" w:color="auto" w:fill="auto"/>
            <w:tcMar>
              <w:left w:w="0" w:type="dxa"/>
            </w:tcMar>
          </w:tcPr>
          <w:p w14:paraId="691037B5" w14:textId="77777777" w:rsidR="00A04CEF" w:rsidRDefault="00A04CEF" w:rsidP="00A04CEF">
            <w:pPr>
              <w:pStyle w:val="Textpoznpodarou"/>
              <w:jc w:val="both"/>
              <w:rPr>
                <w:spacing w:val="-4"/>
              </w:rPr>
            </w:pPr>
          </w:p>
        </w:tc>
        <w:tc>
          <w:tcPr>
            <w:tcW w:w="7656" w:type="dxa"/>
            <w:shd w:val="clear" w:color="auto" w:fill="auto"/>
            <w:tcMar>
              <w:left w:w="0" w:type="dxa"/>
            </w:tcMar>
          </w:tcPr>
          <w:p w14:paraId="2E361723" w14:textId="77777777" w:rsidR="00A04CEF" w:rsidRPr="003D0B27" w:rsidRDefault="00A04CEF" w:rsidP="00A04CEF">
            <w:pPr>
              <w:spacing w:after="220"/>
              <w:jc w:val="right"/>
              <w:rPr>
                <w:color w:val="0D0D0D" w:themeColor="text1" w:themeTint="F2"/>
                <w:spacing w:val="-3"/>
                <w:sz w:val="14"/>
                <w:szCs w:val="14"/>
              </w:rPr>
            </w:pPr>
            <w:r w:rsidRPr="003D0B27">
              <w:rPr>
                <w:color w:val="0D0D0D" w:themeColor="text1" w:themeTint="F2"/>
                <w:spacing w:val="-3"/>
                <w:sz w:val="14"/>
                <w:szCs w:val="14"/>
              </w:rPr>
              <w:t>Zdroj: Eurostat</w:t>
            </w:r>
          </w:p>
        </w:tc>
      </w:tr>
      <w:tr w:rsidR="00A04CEF" w14:paraId="27A2DCD8" w14:textId="77777777" w:rsidTr="00A04CEF">
        <w:trPr>
          <w:trHeight w:val="170"/>
        </w:trPr>
        <w:tc>
          <w:tcPr>
            <w:tcW w:w="1810" w:type="dxa"/>
            <w:shd w:val="clear" w:color="auto" w:fill="auto"/>
            <w:tcMar>
              <w:left w:w="0" w:type="dxa"/>
            </w:tcMar>
          </w:tcPr>
          <w:p w14:paraId="7DFA7FCF" w14:textId="77777777" w:rsidR="00A04CEF" w:rsidRDefault="00A04CEF" w:rsidP="00A04CEF">
            <w:pPr>
              <w:pStyle w:val="Marginlie"/>
              <w:rPr>
                <w:color w:val="0D0D0D" w:themeColor="text1" w:themeTint="F2"/>
              </w:rPr>
            </w:pPr>
            <w:r>
              <w:rPr>
                <w:color w:val="0D0D0D" w:themeColor="text1" w:themeTint="F2"/>
              </w:rPr>
              <w:t xml:space="preserve">Za celý loňský rok činil schodek sektoru vládních institucí v Česku 177 mld. korun, resp. 2,2 % HDP. Jde o nejnižší deficit za poslední pětiletí. </w:t>
            </w:r>
          </w:p>
          <w:p w14:paraId="0E063033" w14:textId="77777777" w:rsidR="00A04CEF" w:rsidRDefault="00A04CEF" w:rsidP="00A04CEF">
            <w:pPr>
              <w:pStyle w:val="Marginlie"/>
              <w:rPr>
                <w:color w:val="0D0D0D" w:themeColor="text1" w:themeTint="F2"/>
              </w:rPr>
            </w:pPr>
          </w:p>
          <w:p w14:paraId="1E73BBB8" w14:textId="77777777" w:rsidR="00A04CEF" w:rsidRDefault="00A04CEF" w:rsidP="00A04CEF">
            <w:pPr>
              <w:pStyle w:val="Marginlie"/>
              <w:rPr>
                <w:color w:val="0D0D0D" w:themeColor="text1" w:themeTint="F2"/>
              </w:rPr>
            </w:pPr>
          </w:p>
          <w:p w14:paraId="58F5353E" w14:textId="77777777" w:rsidR="00A04CEF" w:rsidRDefault="00A04CEF" w:rsidP="00A04CEF">
            <w:pPr>
              <w:pStyle w:val="Marginlie"/>
              <w:rPr>
                <w:color w:val="0D0D0D" w:themeColor="text1" w:themeTint="F2"/>
              </w:rPr>
            </w:pPr>
          </w:p>
          <w:p w14:paraId="52087C97" w14:textId="77777777" w:rsidR="00A04CEF" w:rsidRDefault="00A04CEF" w:rsidP="00A04CEF">
            <w:pPr>
              <w:pStyle w:val="Marginlie"/>
              <w:rPr>
                <w:color w:val="0D0D0D" w:themeColor="text1" w:themeTint="F2"/>
              </w:rPr>
            </w:pPr>
          </w:p>
          <w:p w14:paraId="2AA08A5E" w14:textId="77777777" w:rsidR="00A04CEF" w:rsidRDefault="00A04CEF" w:rsidP="00A04CEF">
            <w:pPr>
              <w:pStyle w:val="Marginlie"/>
              <w:rPr>
                <w:color w:val="0D0D0D" w:themeColor="text1" w:themeTint="F2"/>
              </w:rPr>
            </w:pPr>
            <w:r>
              <w:rPr>
                <w:color w:val="0D0D0D" w:themeColor="text1" w:themeTint="F2"/>
              </w:rPr>
              <w:t>Růst výdajů loni zmírnil razantněji než růst příjmů. Vyšší příjmy byly taženy hlavně sociálními příspěvky zaměstnanců i zaměstnavatelů, vyšší výdaje pak hlavně sociálními dávkami.</w:t>
            </w:r>
          </w:p>
          <w:p w14:paraId="6BE905FF" w14:textId="77777777" w:rsidR="00A04CEF" w:rsidRDefault="00A04CEF" w:rsidP="00A04CEF">
            <w:pPr>
              <w:pStyle w:val="Marginlie"/>
            </w:pPr>
          </w:p>
        </w:tc>
        <w:tc>
          <w:tcPr>
            <w:tcW w:w="203" w:type="dxa"/>
            <w:shd w:val="clear" w:color="auto" w:fill="auto"/>
            <w:tcMar>
              <w:left w:w="0" w:type="dxa"/>
            </w:tcMar>
          </w:tcPr>
          <w:p w14:paraId="6597FD46" w14:textId="77777777" w:rsidR="00A04CEF" w:rsidRDefault="00A04CEF" w:rsidP="00A04CEF">
            <w:pPr>
              <w:pStyle w:val="Textpoznpodarou"/>
              <w:jc w:val="both"/>
              <w:rPr>
                <w:spacing w:val="-4"/>
              </w:rPr>
            </w:pPr>
          </w:p>
        </w:tc>
        <w:tc>
          <w:tcPr>
            <w:tcW w:w="7656" w:type="dxa"/>
            <w:shd w:val="clear" w:color="auto" w:fill="auto"/>
            <w:tcMar>
              <w:left w:w="0" w:type="dxa"/>
            </w:tcMar>
          </w:tcPr>
          <w:p w14:paraId="12DC472A" w14:textId="77777777" w:rsidR="00A04CEF" w:rsidRPr="00246D96" w:rsidRDefault="00A04CEF" w:rsidP="00A04CEF">
            <w:pPr>
              <w:spacing w:after="190"/>
              <w:rPr>
                <w:color w:val="0D0D0D" w:themeColor="text1" w:themeTint="F2"/>
                <w:spacing w:val="-4"/>
              </w:rPr>
            </w:pPr>
            <w:r w:rsidRPr="00DE60D9">
              <w:rPr>
                <w:color w:val="0D0D0D" w:themeColor="text1" w:themeTint="F2"/>
                <w:spacing w:val="-4"/>
              </w:rPr>
              <w:t xml:space="preserve">Za celý loňský rok dosáhl schodek hospodaření sektoru VI </w:t>
            </w:r>
            <w:r>
              <w:rPr>
                <w:color w:val="0D0D0D" w:themeColor="text1" w:themeTint="F2"/>
                <w:spacing w:val="-4"/>
              </w:rPr>
              <w:t xml:space="preserve">v Česku </w:t>
            </w:r>
            <w:r w:rsidRPr="00DE60D9">
              <w:rPr>
                <w:color w:val="0D0D0D" w:themeColor="text1" w:themeTint="F2"/>
                <w:spacing w:val="-4"/>
              </w:rPr>
              <w:t xml:space="preserve">177 mld. korun (2,2 % HDP), </w:t>
            </w:r>
            <w:r>
              <w:rPr>
                <w:color w:val="0D0D0D" w:themeColor="text1" w:themeTint="F2"/>
                <w:spacing w:val="-4"/>
              </w:rPr>
              <w:t xml:space="preserve">což je </w:t>
            </w:r>
            <w:r w:rsidRPr="00DE60D9">
              <w:rPr>
                <w:color w:val="0D0D0D" w:themeColor="text1" w:themeTint="F2"/>
                <w:spacing w:val="-4"/>
              </w:rPr>
              <w:t>meziročně o 109 mld. méně (resp. o 1,6 p. b.)</w:t>
            </w:r>
            <w:r>
              <w:rPr>
                <w:color w:val="0D0D0D" w:themeColor="text1" w:themeTint="F2"/>
                <w:spacing w:val="-4"/>
              </w:rPr>
              <w:t>. Vykázaný deficit představuje zároveň</w:t>
            </w:r>
            <w:r w:rsidRPr="00DE60D9">
              <w:rPr>
                <w:color w:val="0D0D0D" w:themeColor="text1" w:themeTint="F2"/>
                <w:spacing w:val="-4"/>
              </w:rPr>
              <w:t xml:space="preserve"> </w:t>
            </w:r>
            <w:r>
              <w:rPr>
                <w:color w:val="0D0D0D" w:themeColor="text1" w:themeTint="F2"/>
                <w:spacing w:val="-4"/>
              </w:rPr>
              <w:t xml:space="preserve">minimum </w:t>
            </w:r>
            <w:r w:rsidRPr="00DE60D9">
              <w:rPr>
                <w:color w:val="0D0D0D" w:themeColor="text1" w:themeTint="F2"/>
                <w:spacing w:val="-4"/>
              </w:rPr>
              <w:t>za poslední pětiletí. Za jeho me</w:t>
            </w:r>
            <w:r>
              <w:rPr>
                <w:color w:val="0D0D0D" w:themeColor="text1" w:themeTint="F2"/>
                <w:spacing w:val="-4"/>
              </w:rPr>
              <w:t>ziročním poklesem stálo pouze</w:t>
            </w:r>
            <w:r w:rsidRPr="00DE60D9">
              <w:rPr>
                <w:color w:val="0D0D0D" w:themeColor="text1" w:themeTint="F2"/>
                <w:spacing w:val="-4"/>
              </w:rPr>
              <w:t xml:space="preserve"> zmírnění schodku hospodaření klíčového subsektoru ústředních vládních institucí, neboť deficit zdravotních pojišťoven se prohloubil o 16 mld. korun (na </w:t>
            </w:r>
            <w:r>
              <w:rPr>
                <w:color w:val="0D0D0D" w:themeColor="text1" w:themeTint="F2"/>
                <w:spacing w:val="-4"/>
              </w:rPr>
              <w:t>−</w:t>
            </w:r>
            <w:r w:rsidRPr="00DE60D9">
              <w:rPr>
                <w:color w:val="0D0D0D" w:themeColor="text1" w:themeTint="F2"/>
                <w:spacing w:val="-4"/>
              </w:rPr>
              <w:t>20 mld.) a přebytek místních vládních institucí klesl o 9 mld. (na +55 mld.)</w:t>
            </w:r>
            <w:r w:rsidRPr="00DE60D9">
              <w:rPr>
                <w:rStyle w:val="Znakapoznpodarou"/>
                <w:color w:val="0D0D0D" w:themeColor="text1" w:themeTint="F2"/>
                <w:spacing w:val="-4"/>
              </w:rPr>
              <w:footnoteReference w:id="126"/>
            </w:r>
            <w:r w:rsidRPr="00DE60D9">
              <w:rPr>
                <w:color w:val="0D0D0D" w:themeColor="text1" w:themeTint="F2"/>
                <w:spacing w:val="-4"/>
              </w:rPr>
              <w:t xml:space="preserve">. Souhrnné příjmy celého sektoru VI se sice v roce 2024 zvýšily relativně svižně (+6,8 %), šlo ovšem o nejnižší tempo </w:t>
            </w:r>
            <w:r>
              <w:rPr>
                <w:color w:val="0D0D0D" w:themeColor="text1" w:themeTint="F2"/>
                <w:spacing w:val="-4"/>
              </w:rPr>
              <w:t xml:space="preserve">za </w:t>
            </w:r>
            <w:r w:rsidRPr="00DE60D9">
              <w:rPr>
                <w:color w:val="0D0D0D" w:themeColor="text1" w:themeTint="F2"/>
                <w:spacing w:val="-4"/>
              </w:rPr>
              <w:t>poslední čtyři roky. K loňskému navýšení nejvíce přispěly čisté sociální příspěvky, jejichž růst i vlivem vyšších plateb domácností na nemocenské pojištění mírně z</w:t>
            </w:r>
            <w:r>
              <w:rPr>
                <w:color w:val="0D0D0D" w:themeColor="text1" w:themeTint="F2"/>
                <w:spacing w:val="-4"/>
              </w:rPr>
              <w:t>rychlil podruhé v řadě (na +8,6</w:t>
            </w:r>
            <w:r w:rsidRPr="00DE60D9">
              <w:rPr>
                <w:color w:val="0D0D0D" w:themeColor="text1" w:themeTint="F2"/>
                <w:spacing w:val="-4"/>
              </w:rPr>
              <w:t> %). Naopak opět zvolnil růst výběru běžných daní z důchodů a jmění (na +8,9 %) či příjem z ostatní</w:t>
            </w:r>
            <w:r>
              <w:rPr>
                <w:color w:val="0D0D0D" w:themeColor="text1" w:themeTint="F2"/>
                <w:spacing w:val="-4"/>
              </w:rPr>
              <w:t>ch běžných</w:t>
            </w:r>
            <w:r w:rsidRPr="00DE60D9">
              <w:rPr>
                <w:color w:val="0D0D0D" w:themeColor="text1" w:themeTint="F2"/>
                <w:spacing w:val="-4"/>
              </w:rPr>
              <w:t xml:space="preserve"> transferů a některých nepřímých daní (např. DPH). Objem přijatých vlastnických důchodů meziročně poklesl o 12 % – jak vlivem nižších příjmů z úroků, tak kvůli slabšímu přítoku dividend. Souhrnné výdaje sektoru VI vloni vzrostly </w:t>
            </w:r>
            <w:r>
              <w:rPr>
                <w:color w:val="0D0D0D" w:themeColor="text1" w:themeTint="F2"/>
                <w:spacing w:val="-4"/>
              </w:rPr>
              <w:br/>
            </w:r>
            <w:r w:rsidRPr="00DE60D9">
              <w:rPr>
                <w:color w:val="0D0D0D" w:themeColor="text1" w:themeTint="F2"/>
                <w:spacing w:val="-4"/>
              </w:rPr>
              <w:t xml:space="preserve">o 98 mld. korun, resp. 2,9 %, což je </w:t>
            </w:r>
            <w:r>
              <w:rPr>
                <w:color w:val="0D0D0D" w:themeColor="text1" w:themeTint="F2"/>
                <w:spacing w:val="-4"/>
              </w:rPr>
              <w:t>nejméně od roku</w:t>
            </w:r>
            <w:r w:rsidRPr="00DE60D9">
              <w:rPr>
                <w:color w:val="0D0D0D" w:themeColor="text1" w:themeTint="F2"/>
                <w:spacing w:val="-4"/>
              </w:rPr>
              <w:t xml:space="preserve"> 2016</w:t>
            </w:r>
            <w:r w:rsidRPr="00DE60D9">
              <w:rPr>
                <w:rStyle w:val="Znakapoznpodarou"/>
                <w:color w:val="0D0D0D" w:themeColor="text1" w:themeTint="F2"/>
                <w:spacing w:val="-4"/>
              </w:rPr>
              <w:footnoteReference w:id="127"/>
            </w:r>
            <w:r w:rsidRPr="00DE60D9">
              <w:rPr>
                <w:color w:val="0D0D0D" w:themeColor="text1" w:themeTint="F2"/>
                <w:spacing w:val="-4"/>
              </w:rPr>
              <w:t xml:space="preserve">. K jejich navýšení nejvíce přispěly sociální dávky (+46 mld. korun), přestože tempo jejich růstu bylo nejslabší za </w:t>
            </w:r>
            <w:r w:rsidRPr="00DE60D9">
              <w:rPr>
                <w:color w:val="0D0D0D" w:themeColor="text1" w:themeTint="F2"/>
                <w:spacing w:val="-4"/>
              </w:rPr>
              <w:lastRenderedPageBreak/>
              <w:t>posledních sedm let (+</w:t>
            </w:r>
            <w:r>
              <w:rPr>
                <w:color w:val="0D0D0D" w:themeColor="text1" w:themeTint="F2"/>
                <w:spacing w:val="-4"/>
              </w:rPr>
              <w:t>4,4 %). Jen mírně nižší roli hrál</w:t>
            </w:r>
            <w:r w:rsidRPr="00DE60D9">
              <w:rPr>
                <w:color w:val="0D0D0D" w:themeColor="text1" w:themeTint="F2"/>
                <w:spacing w:val="-4"/>
              </w:rPr>
              <w:t>y také svižně rostoucí natu</w:t>
            </w:r>
            <w:r>
              <w:rPr>
                <w:color w:val="0D0D0D" w:themeColor="text1" w:themeTint="F2"/>
                <w:spacing w:val="-4"/>
              </w:rPr>
              <w:t>rální sociální transfery (+11,9</w:t>
            </w:r>
            <w:r w:rsidRPr="00DE60D9">
              <w:rPr>
                <w:color w:val="0D0D0D" w:themeColor="text1" w:themeTint="F2"/>
                <w:spacing w:val="-4"/>
              </w:rPr>
              <w:t> %), růst mezispotřeby (+8,7 %) a také náhrady placené zaměstnancům (+4,9 %). Fiskální expanzi naopak tlumily hlavně nižš</w:t>
            </w:r>
            <w:r>
              <w:rPr>
                <w:color w:val="0D0D0D" w:themeColor="text1" w:themeTint="F2"/>
                <w:spacing w:val="-4"/>
              </w:rPr>
              <w:t>í dotace (−</w:t>
            </w:r>
            <w:r w:rsidRPr="00DE60D9">
              <w:rPr>
                <w:color w:val="0D0D0D" w:themeColor="text1" w:themeTint="F2"/>
                <w:spacing w:val="-4"/>
              </w:rPr>
              <w:t>25 %), jejichž výše se vrátila na úroveň roku 2023. Řádově menší vliv měl pokles ostatní</w:t>
            </w:r>
            <w:r>
              <w:rPr>
                <w:color w:val="0D0D0D" w:themeColor="text1" w:themeTint="F2"/>
                <w:spacing w:val="-4"/>
              </w:rPr>
              <w:t>ch</w:t>
            </w:r>
            <w:r w:rsidRPr="00DE60D9">
              <w:rPr>
                <w:color w:val="0D0D0D" w:themeColor="text1" w:themeTint="F2"/>
                <w:spacing w:val="-4"/>
              </w:rPr>
              <w:t xml:space="preserve"> běžných transferů. Růst výdajů na tvorbu fixních investic razantně zvolnil </w:t>
            </w:r>
            <w:r>
              <w:rPr>
                <w:color w:val="0D0D0D" w:themeColor="text1" w:themeTint="F2"/>
                <w:spacing w:val="-4"/>
              </w:rPr>
              <w:t xml:space="preserve">na </w:t>
            </w:r>
            <w:r w:rsidRPr="00DE60D9">
              <w:rPr>
                <w:color w:val="0D0D0D" w:themeColor="text1" w:themeTint="F2"/>
                <w:spacing w:val="-4"/>
              </w:rPr>
              <w:t>nejslabší tempo za posledních osm let</w:t>
            </w:r>
            <w:r>
              <w:rPr>
                <w:color w:val="0D0D0D" w:themeColor="text1" w:themeTint="F2"/>
                <w:spacing w:val="-4"/>
              </w:rPr>
              <w:t xml:space="preserve"> (1,5 %)</w:t>
            </w:r>
            <w:r w:rsidRPr="00DE60D9">
              <w:rPr>
                <w:color w:val="0D0D0D" w:themeColor="text1" w:themeTint="F2"/>
                <w:spacing w:val="-4"/>
              </w:rPr>
              <w:t>.</w:t>
            </w:r>
            <w:r>
              <w:rPr>
                <w:color w:val="0D0D0D" w:themeColor="text1" w:themeTint="F2"/>
                <w:spacing w:val="-4"/>
              </w:rPr>
              <w:t xml:space="preserve"> Z toho v subsektoru místních vládních institucí</w:t>
            </w:r>
            <w:r w:rsidRPr="00DE60D9">
              <w:rPr>
                <w:color w:val="0D0D0D" w:themeColor="text1" w:themeTint="F2"/>
                <w:spacing w:val="-4"/>
              </w:rPr>
              <w:t xml:space="preserve"> investice po svižném růstu v letech 2022 i 2023 loni </w:t>
            </w:r>
            <w:r>
              <w:rPr>
                <w:color w:val="0D0D0D" w:themeColor="text1" w:themeTint="F2"/>
                <w:spacing w:val="-4"/>
              </w:rPr>
              <w:t xml:space="preserve">dokonce </w:t>
            </w:r>
            <w:r w:rsidRPr="00DE60D9">
              <w:rPr>
                <w:color w:val="0D0D0D" w:themeColor="text1" w:themeTint="F2"/>
                <w:spacing w:val="-4"/>
              </w:rPr>
              <w:t>klesly (o 4 %)</w:t>
            </w:r>
            <w:r>
              <w:rPr>
                <w:color w:val="0D0D0D" w:themeColor="text1" w:themeTint="F2"/>
                <w:spacing w:val="-4"/>
              </w:rPr>
              <w:t>.</w:t>
            </w:r>
          </w:p>
        </w:tc>
      </w:tr>
      <w:tr w:rsidR="00A04CEF" w14:paraId="4B1C2C47" w14:textId="77777777" w:rsidTr="00A04CEF">
        <w:trPr>
          <w:trHeight w:val="170"/>
        </w:trPr>
        <w:tc>
          <w:tcPr>
            <w:tcW w:w="1810" w:type="dxa"/>
            <w:shd w:val="clear" w:color="auto" w:fill="auto"/>
            <w:tcMar>
              <w:left w:w="0" w:type="dxa"/>
            </w:tcMar>
          </w:tcPr>
          <w:p w14:paraId="2DFF01FE" w14:textId="77777777" w:rsidR="00A04CEF" w:rsidRDefault="00A04CEF" w:rsidP="00A04CEF">
            <w:pPr>
              <w:pStyle w:val="Marginlie"/>
              <w:rPr>
                <w:color w:val="0D0D0D" w:themeColor="text1" w:themeTint="F2"/>
              </w:rPr>
            </w:pPr>
            <w:r>
              <w:rPr>
                <w:color w:val="0D0D0D" w:themeColor="text1" w:themeTint="F2"/>
              </w:rPr>
              <w:lastRenderedPageBreak/>
              <w:t>Schodek hospodaření sektoru VI v EU zůstává v poslední době stabilní. V Česku se na rozdíl od většiny sousedních států meziroční schodek snížil a jeho výše byla v rámci středoevropského regionu nejnižší.</w:t>
            </w:r>
          </w:p>
        </w:tc>
        <w:tc>
          <w:tcPr>
            <w:tcW w:w="203" w:type="dxa"/>
            <w:shd w:val="clear" w:color="auto" w:fill="auto"/>
            <w:tcMar>
              <w:left w:w="0" w:type="dxa"/>
            </w:tcMar>
          </w:tcPr>
          <w:p w14:paraId="2AFC379B" w14:textId="77777777" w:rsidR="00A04CEF" w:rsidRDefault="00A04CEF" w:rsidP="00A04CEF">
            <w:pPr>
              <w:pStyle w:val="Textpoznpodarou"/>
              <w:jc w:val="both"/>
              <w:rPr>
                <w:spacing w:val="-4"/>
              </w:rPr>
            </w:pPr>
          </w:p>
        </w:tc>
        <w:tc>
          <w:tcPr>
            <w:tcW w:w="7656" w:type="dxa"/>
            <w:shd w:val="clear" w:color="auto" w:fill="auto"/>
            <w:tcMar>
              <w:left w:w="0" w:type="dxa"/>
            </w:tcMar>
          </w:tcPr>
          <w:p w14:paraId="28EDEFFB" w14:textId="77777777" w:rsidR="00A04CEF" w:rsidRDefault="00A04CEF" w:rsidP="00A04CEF">
            <w:pPr>
              <w:spacing w:after="170"/>
              <w:rPr>
                <w:color w:val="0D0D0D" w:themeColor="text1" w:themeTint="F2"/>
                <w:spacing w:val="-3"/>
              </w:rPr>
            </w:pPr>
            <w:r>
              <w:rPr>
                <w:color w:val="0D0D0D" w:themeColor="text1" w:themeTint="F2"/>
                <w:spacing w:val="-3"/>
              </w:rPr>
              <w:t>Za celý loňský rok dosáhl schodek hospodaření sektoru VI v EU 3,2 % HDP, podobný výsledek byl patrný i v předchozích dvou letech</w:t>
            </w:r>
            <w:r>
              <w:rPr>
                <w:rStyle w:val="Znakapoznpodarou"/>
                <w:color w:val="0D0D0D" w:themeColor="text1" w:themeTint="F2"/>
                <w:spacing w:val="-3"/>
              </w:rPr>
              <w:footnoteReference w:id="128"/>
            </w:r>
            <w:r>
              <w:rPr>
                <w:color w:val="0D0D0D" w:themeColor="text1" w:themeTint="F2"/>
                <w:spacing w:val="-3"/>
              </w:rPr>
              <w:t>. Tento deficit je sice o polovinu nižší než rekordní schodek v krizovém roce 2020, avšak ve srovnání s konjunkturním obdobím let 2017 až 2019 dosahuje více než trojnásobné výše. Slabý hospodářský růst v EU v letech 2023 i 2024 spolu s přetrvávající zvýšenou dynamikou cen v ekonomice se odráží v relativně vysoké úrovni výdajů sektoru VI (loni na 49,2 % HDP, o skoro 3 p. b. nad úrovní z konce minulé dekády). Schodek hospodaření převyšující 3 % HDP tak zaznamenala skoro polovina členských států EU (z toho 8 zemí eurozóny). Nejhlubší deficit postihl Rumunsko (</w:t>
            </w:r>
            <w:r>
              <w:rPr>
                <w:spacing w:val="-5"/>
              </w:rPr>
              <w:t>−</w:t>
            </w:r>
            <w:r>
              <w:rPr>
                <w:color w:val="0D0D0D" w:themeColor="text1" w:themeTint="F2"/>
                <w:spacing w:val="-3"/>
              </w:rPr>
              <w:t>9,3 % HDP), Polsko (</w:t>
            </w:r>
            <w:r>
              <w:rPr>
                <w:spacing w:val="-5"/>
              </w:rPr>
              <w:t>−</w:t>
            </w:r>
            <w:r>
              <w:rPr>
                <w:color w:val="0D0D0D" w:themeColor="text1" w:themeTint="F2"/>
                <w:spacing w:val="-3"/>
              </w:rPr>
              <w:t>6,6 %), Francii (</w:t>
            </w:r>
            <w:r>
              <w:rPr>
                <w:spacing w:val="-5"/>
              </w:rPr>
              <w:t>−</w:t>
            </w:r>
            <w:r>
              <w:rPr>
                <w:color w:val="0D0D0D" w:themeColor="text1" w:themeTint="F2"/>
                <w:spacing w:val="-3"/>
              </w:rPr>
              <w:t>5,8 %), Slovensko (</w:t>
            </w:r>
            <w:r>
              <w:rPr>
                <w:spacing w:val="-5"/>
              </w:rPr>
              <w:t>−</w:t>
            </w:r>
            <w:r>
              <w:rPr>
                <w:color w:val="0D0D0D" w:themeColor="text1" w:themeTint="F2"/>
                <w:spacing w:val="-3"/>
              </w:rPr>
              <w:t>5,3 %), Maďarsko (</w:t>
            </w:r>
            <w:r>
              <w:rPr>
                <w:spacing w:val="-5"/>
              </w:rPr>
              <w:t>−</w:t>
            </w:r>
            <w:r>
              <w:rPr>
                <w:color w:val="0D0D0D" w:themeColor="text1" w:themeTint="F2"/>
                <w:spacing w:val="-3"/>
              </w:rPr>
              <w:t>4,9 %) a Rakousko (</w:t>
            </w:r>
            <w:r>
              <w:rPr>
                <w:spacing w:val="-5"/>
              </w:rPr>
              <w:t>−</w:t>
            </w:r>
            <w:r>
              <w:rPr>
                <w:color w:val="0D0D0D" w:themeColor="text1" w:themeTint="F2"/>
                <w:spacing w:val="-3"/>
              </w:rPr>
              <w:t xml:space="preserve">4,7 %). Z klíčových ekonomik na tom bylo loni relativně nejlépe Německo, kde činilo saldo hospodaření „jen“ </w:t>
            </w:r>
            <w:r>
              <w:rPr>
                <w:spacing w:val="-5"/>
              </w:rPr>
              <w:t>−</w:t>
            </w:r>
            <w:r>
              <w:rPr>
                <w:color w:val="0D0D0D" w:themeColor="text1" w:themeTint="F2"/>
                <w:spacing w:val="-3"/>
              </w:rPr>
              <w:t>2,8 % HDP, avšak meziročně se podruhé v řadě mírně zhoršilo. Deficit Česka byl na rozdíl od roku 2023 příznivější než v Unii a zároveň po delší době i nejnižší mezi středoevropským státy</w:t>
            </w:r>
            <w:r>
              <w:rPr>
                <w:rStyle w:val="Znakapoznpodarou"/>
                <w:color w:val="0D0D0D" w:themeColor="text1" w:themeTint="F2"/>
                <w:spacing w:val="-3"/>
              </w:rPr>
              <w:footnoteReference w:id="129"/>
            </w:r>
            <w:r>
              <w:rPr>
                <w:color w:val="0D0D0D" w:themeColor="text1" w:themeTint="F2"/>
                <w:spacing w:val="-3"/>
              </w:rPr>
              <w:t xml:space="preserve">. K přebytku hospodaření se loni dopracovalo šest států Unie v čele s dlouhodobě rozpočtově odpovědným Dánskem (+4,5 % HDP), těsně následované Kyprem a Irskem. Snižovat nerovnováhu veřejných financí se v posledních letech daří také některým chronicky vysoce zadluženým členům jižního křídla eurozóny (Portugalsko, Řecko). Ve srovnání s rokem 2023 se loni schodek hospodaření nejvíce prohloubil v Rumunsku (o 2,7 p. b.) a Rakousku (o 2,1 p. b.), naopak k jeho redukci došlo zejména v Itálii (ze 7,2 % HDP na 3,4 % HDP) </w:t>
            </w:r>
            <w:r>
              <w:rPr>
                <w:color w:val="0D0D0D" w:themeColor="text1" w:themeTint="F2"/>
                <w:spacing w:val="-3"/>
              </w:rPr>
              <w:br/>
              <w:t>a přebytek narostl v Irsku a Kypru (o necelé 3 p. b.).</w:t>
            </w:r>
          </w:p>
        </w:tc>
      </w:tr>
      <w:tr w:rsidR="00A04CEF" w14:paraId="08013D44" w14:textId="77777777" w:rsidTr="00A04CEF">
        <w:trPr>
          <w:trHeight w:val="170"/>
        </w:trPr>
        <w:tc>
          <w:tcPr>
            <w:tcW w:w="1810" w:type="dxa"/>
            <w:shd w:val="clear" w:color="auto" w:fill="auto"/>
            <w:tcMar>
              <w:left w:w="0" w:type="dxa"/>
            </w:tcMar>
          </w:tcPr>
          <w:p w14:paraId="12DB6D32" w14:textId="77777777" w:rsidR="00A04CEF" w:rsidRDefault="00A04CEF" w:rsidP="00A04CEF">
            <w:pPr>
              <w:pStyle w:val="Marginlie"/>
              <w:rPr>
                <w:color w:val="0D0D0D" w:themeColor="text1" w:themeTint="F2"/>
              </w:rPr>
            </w:pPr>
            <w:r>
              <w:rPr>
                <w:color w:val="0D0D0D" w:themeColor="text1" w:themeTint="F2"/>
              </w:rPr>
              <w:t>Pokles míry zadlužení sektoru VI v EU se ve 2. pololetí 2024 po třech letech zastavil.</w:t>
            </w:r>
          </w:p>
          <w:p w14:paraId="06F8E2FF" w14:textId="77777777" w:rsidR="00A04CEF" w:rsidRDefault="00A04CEF" w:rsidP="00A04CEF">
            <w:pPr>
              <w:pStyle w:val="Marginlie"/>
              <w:rPr>
                <w:color w:val="0D0D0D" w:themeColor="text1" w:themeTint="F2"/>
              </w:rPr>
            </w:pPr>
          </w:p>
          <w:p w14:paraId="1528FD39" w14:textId="77777777" w:rsidR="00A04CEF" w:rsidRDefault="00A04CEF" w:rsidP="00A04CEF">
            <w:pPr>
              <w:pStyle w:val="Marginlie"/>
              <w:rPr>
                <w:color w:val="0D0D0D" w:themeColor="text1" w:themeTint="F2"/>
              </w:rPr>
            </w:pPr>
          </w:p>
          <w:p w14:paraId="60872A1A" w14:textId="77777777" w:rsidR="00A04CEF" w:rsidRDefault="00A04CEF" w:rsidP="00A04CEF">
            <w:pPr>
              <w:pStyle w:val="Marginlie"/>
              <w:rPr>
                <w:color w:val="0D0D0D" w:themeColor="text1" w:themeTint="F2"/>
              </w:rPr>
            </w:pPr>
          </w:p>
          <w:p w14:paraId="3C6722B4" w14:textId="77777777" w:rsidR="00A04CEF" w:rsidRDefault="00A04CEF" w:rsidP="00A04CEF">
            <w:pPr>
              <w:pStyle w:val="Marginlie"/>
              <w:rPr>
                <w:color w:val="0D0D0D" w:themeColor="text1" w:themeTint="F2"/>
              </w:rPr>
            </w:pPr>
          </w:p>
          <w:p w14:paraId="5BAB2583" w14:textId="77777777" w:rsidR="00A04CEF" w:rsidRDefault="00A04CEF" w:rsidP="00A04CEF">
            <w:pPr>
              <w:pStyle w:val="Marginlie"/>
              <w:rPr>
                <w:color w:val="0D0D0D" w:themeColor="text1" w:themeTint="F2"/>
              </w:rPr>
            </w:pPr>
          </w:p>
          <w:p w14:paraId="4FCAEF6D" w14:textId="77777777" w:rsidR="00A04CEF" w:rsidRDefault="00A04CEF" w:rsidP="00A04CEF">
            <w:pPr>
              <w:pStyle w:val="Marginlie"/>
              <w:rPr>
                <w:color w:val="0D0D0D" w:themeColor="text1" w:themeTint="F2"/>
              </w:rPr>
            </w:pPr>
            <w:r>
              <w:rPr>
                <w:color w:val="0D0D0D" w:themeColor="text1" w:themeTint="F2"/>
              </w:rPr>
              <w:t xml:space="preserve">Zadluženost v Česku se nadále zvyšovala jen mírně, její úroveň byla oproti eurozóně poloviční, avšak ve srovnání s nejméně zadluženými státy EU skoro dvojnásobná. </w:t>
            </w:r>
          </w:p>
          <w:p w14:paraId="37500476" w14:textId="77777777" w:rsidR="00A04CEF" w:rsidRDefault="00A04CEF" w:rsidP="00A04CEF">
            <w:pPr>
              <w:pStyle w:val="Marginlie"/>
              <w:rPr>
                <w:color w:val="0D0D0D" w:themeColor="text1" w:themeTint="F2"/>
              </w:rPr>
            </w:pPr>
          </w:p>
        </w:tc>
        <w:tc>
          <w:tcPr>
            <w:tcW w:w="203" w:type="dxa"/>
            <w:shd w:val="clear" w:color="auto" w:fill="auto"/>
            <w:tcMar>
              <w:left w:w="0" w:type="dxa"/>
            </w:tcMar>
          </w:tcPr>
          <w:p w14:paraId="13C7F0DF" w14:textId="77777777" w:rsidR="00A04CEF" w:rsidRDefault="00A04CEF" w:rsidP="00A04CEF">
            <w:pPr>
              <w:pStyle w:val="Textpoznpodarou"/>
              <w:jc w:val="both"/>
              <w:rPr>
                <w:spacing w:val="-4"/>
              </w:rPr>
            </w:pPr>
          </w:p>
        </w:tc>
        <w:tc>
          <w:tcPr>
            <w:tcW w:w="7656" w:type="dxa"/>
            <w:shd w:val="clear" w:color="auto" w:fill="auto"/>
            <w:tcMar>
              <w:left w:w="0" w:type="dxa"/>
            </w:tcMar>
          </w:tcPr>
          <w:p w14:paraId="787051DB" w14:textId="77777777" w:rsidR="00A04CEF" w:rsidRPr="00A36CC7" w:rsidRDefault="00A04CEF" w:rsidP="00A04CEF">
            <w:pPr>
              <w:spacing w:after="0"/>
              <w:rPr>
                <w:color w:val="0D0D0D" w:themeColor="text1" w:themeTint="F2"/>
                <w:spacing w:val="-6"/>
              </w:rPr>
            </w:pPr>
            <w:r>
              <w:rPr>
                <w:color w:val="0D0D0D" w:themeColor="text1" w:themeTint="F2"/>
                <w:spacing w:val="-6"/>
              </w:rPr>
              <w:t>Trend meziroč</w:t>
            </w:r>
            <w:r w:rsidRPr="0040616A">
              <w:rPr>
                <w:color w:val="0D0D0D" w:themeColor="text1" w:themeTint="F2"/>
                <w:spacing w:val="-6"/>
              </w:rPr>
              <w:t xml:space="preserve">ního </w:t>
            </w:r>
            <w:r w:rsidRPr="00DD45CA">
              <w:rPr>
                <w:color w:val="0D0D0D" w:themeColor="text1" w:themeTint="F2"/>
                <w:spacing w:val="-6"/>
              </w:rPr>
              <w:t>poklesu míry zadlužení sektoru VI</w:t>
            </w:r>
            <w:r>
              <w:rPr>
                <w:color w:val="0D0D0D" w:themeColor="text1" w:themeTint="F2"/>
                <w:spacing w:val="-6"/>
              </w:rPr>
              <w:t>, trvající</w:t>
            </w:r>
            <w:r w:rsidRPr="0040616A">
              <w:rPr>
                <w:color w:val="0D0D0D" w:themeColor="text1" w:themeTint="F2"/>
                <w:spacing w:val="-6"/>
              </w:rPr>
              <w:t xml:space="preserve"> </w:t>
            </w:r>
            <w:r>
              <w:rPr>
                <w:color w:val="0D0D0D" w:themeColor="text1" w:themeTint="F2"/>
                <w:spacing w:val="-6"/>
              </w:rPr>
              <w:t xml:space="preserve">v EU </w:t>
            </w:r>
            <w:r w:rsidRPr="00DD45CA">
              <w:rPr>
                <w:color w:val="0D0D0D" w:themeColor="text1" w:themeTint="F2"/>
                <w:spacing w:val="-6"/>
              </w:rPr>
              <w:t>i eurozóně</w:t>
            </w:r>
            <w:r>
              <w:rPr>
                <w:color w:val="0D0D0D" w:themeColor="text1" w:themeTint="F2"/>
                <w:spacing w:val="-6"/>
              </w:rPr>
              <w:t xml:space="preserve"> </w:t>
            </w:r>
            <w:r w:rsidRPr="0040616A">
              <w:rPr>
                <w:color w:val="0D0D0D" w:themeColor="text1" w:themeTint="F2"/>
                <w:spacing w:val="-6"/>
              </w:rPr>
              <w:t xml:space="preserve">tři roky, se </w:t>
            </w:r>
            <w:r>
              <w:rPr>
                <w:color w:val="0D0D0D" w:themeColor="text1" w:themeTint="F2"/>
                <w:spacing w:val="-6"/>
              </w:rPr>
              <w:t>ve 2. pololetí 2024 zastavil. Na konci 4. čtvrtletí 2024 činila zadluženost v Unii 81,0 % HDP (v</w:t>
            </w:r>
            <w:r>
              <w:rPr>
                <w:color w:val="0D0D0D" w:themeColor="text1" w:themeTint="F2"/>
                <w:spacing w:val="-3"/>
              </w:rPr>
              <w:t> </w:t>
            </w:r>
            <w:r>
              <w:rPr>
                <w:color w:val="0D0D0D" w:themeColor="text1" w:themeTint="F2"/>
                <w:spacing w:val="-6"/>
              </w:rPr>
              <w:t>eurozóně 87,5</w:t>
            </w:r>
            <w:r w:rsidRPr="00DD45CA">
              <w:rPr>
                <w:color w:val="0D0D0D" w:themeColor="text1" w:themeTint="F2"/>
                <w:spacing w:val="-6"/>
              </w:rPr>
              <w:t> </w:t>
            </w:r>
            <w:r w:rsidRPr="0040616A">
              <w:rPr>
                <w:color w:val="0D0D0D" w:themeColor="text1" w:themeTint="F2"/>
                <w:spacing w:val="-6"/>
              </w:rPr>
              <w:t>%</w:t>
            </w:r>
            <w:r>
              <w:rPr>
                <w:color w:val="0D0D0D" w:themeColor="text1" w:themeTint="F2"/>
                <w:spacing w:val="-6"/>
              </w:rPr>
              <w:t xml:space="preserve">) a oproti shodnému období předchozího roku se téměř nezměnila. Za </w:t>
            </w:r>
            <w:r w:rsidRPr="002E3AE2">
              <w:rPr>
                <w:color w:val="0D0D0D" w:themeColor="text1" w:themeTint="F2"/>
                <w:spacing w:val="-2"/>
              </w:rPr>
              <w:t xml:space="preserve">celý loňský rok narostla ve dvou třetinách členských států Unie – nejvíce v Rumunsku </w:t>
            </w:r>
            <w:r w:rsidRPr="002E3AE2">
              <w:rPr>
                <w:color w:val="0D0D0D" w:themeColor="text1" w:themeTint="F2"/>
                <w:spacing w:val="-6"/>
              </w:rPr>
              <w:t>(o 5,9 p. b., na 54,8 % HDP), Polsku (+5,8 p. b., na 55,3 %) a Finsku (+4,6 p. b., na 82,1 %)</w:t>
            </w:r>
            <w:r w:rsidRPr="002E3AE2">
              <w:rPr>
                <w:rStyle w:val="Znakapoznpodarou"/>
                <w:color w:val="0D0D0D" w:themeColor="text1" w:themeTint="F2"/>
                <w:spacing w:val="-6"/>
              </w:rPr>
              <w:footnoteReference w:id="130"/>
            </w:r>
            <w:r w:rsidRPr="002E3AE2">
              <w:rPr>
                <w:color w:val="0D0D0D" w:themeColor="text1" w:themeTint="F2"/>
                <w:spacing w:val="-6"/>
              </w:rPr>
              <w:t>.</w:t>
            </w:r>
            <w:r>
              <w:rPr>
                <w:color w:val="0D0D0D" w:themeColor="text1" w:themeTint="F2"/>
                <w:spacing w:val="-6"/>
              </w:rPr>
              <w:t xml:space="preserve"> Zadlužení rostlo i ve většině dalších severských a pobaltských států. Přestože v tuzemsku byl loni, stejně jako v předchozích dvou letech, růst zadlužení jen mírný (+1,1 p. b., na 43,6 % HDP), Česko pořadím zemí mírně propadlo a aktuálně je jeho výše dluhu v EU devátá nejnižší. Státy s nejlepším postavením mají oproti Česku zadluženost skoro o polovinu nižší (Estonsko, Bulharsko, Lucembursko). Na opačném pólu se stále nachází Řecko (154 % HDP), přestože pokles zadlužení zde patřil (spolu s Kyprem) v posledních čtyřech letech v rámci Unie k nejvýraznějším. Dlouhodobé dluhové problémy sužují rovněž Itálii (135 % HDP), Francii (113 %) a Belgii (105 %), navíc míra zadlužení v nich loni mírně vzrostla – nejvíce ve Francii (o 3 p. b.). Zadluženost pod 60 % HDP drželo na konci loňského roku </w:t>
            </w:r>
            <w:r>
              <w:rPr>
                <w:color w:val="0D0D0D" w:themeColor="text1" w:themeTint="F2"/>
                <w:spacing w:val="-6"/>
              </w:rPr>
              <w:br/>
              <w:t xml:space="preserve">15 států Unie (ale jen 9 z 20 členů eurozóny). Ve srovnání s minimální mírou zadluženosti z konjunkturního období 2015 až 2019 je aktuální dluh vyšší ve třech čtvrtinách členských států – nejvíce narostl v Rumunsku (+21 %), Finsku (+17 %), Francii (+16 %), Estonsku </w:t>
            </w:r>
            <w:r>
              <w:rPr>
                <w:color w:val="0D0D0D" w:themeColor="text1" w:themeTint="F2"/>
                <w:spacing w:val="-6"/>
              </w:rPr>
              <w:br/>
              <w:t xml:space="preserve">(+15 %), Česku (+14 %) a na Slovensku (+12 %). Naopak nižší dluh mají zejména Řecko, Portugalsko a Kypr (všechny zhruba o pětinu), ale i některé tradičně málo zadlužené státy (Dánsko, Švédsko, Nizozemsko). </w:t>
            </w:r>
          </w:p>
        </w:tc>
      </w:tr>
    </w:tbl>
    <w:p w14:paraId="2143296F" w14:textId="1754FC9B" w:rsidR="00A50D73" w:rsidRPr="00A04CEF" w:rsidRDefault="00A50D73" w:rsidP="003B7AFA">
      <w:pPr>
        <w:pStyle w:val="Nadpis1"/>
        <w:rPr>
          <w:sz w:val="2"/>
          <w:szCs w:val="2"/>
        </w:rPr>
      </w:pPr>
    </w:p>
    <w:sectPr w:rsidR="00A50D73" w:rsidRPr="00A04CEF" w:rsidSect="006F5416">
      <w:headerReference w:type="even" r:id="rId35"/>
      <w:headerReference w:type="default" r:id="rId36"/>
      <w:footerReference w:type="even" r:id="rId37"/>
      <w:footerReference w:type="default" r:id="rId38"/>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EF3C" w14:textId="77777777" w:rsidR="00A04CEF" w:rsidRDefault="00A04CEF" w:rsidP="00E71A58">
      <w:r>
        <w:separator/>
      </w:r>
    </w:p>
  </w:endnote>
  <w:endnote w:type="continuationSeparator" w:id="0">
    <w:p w14:paraId="70B7E2B6" w14:textId="77777777" w:rsidR="00A04CEF" w:rsidRDefault="00A04CE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A04CEF" w14:paraId="7190CBD2" w14:textId="77777777" w:rsidTr="7BDB84E4">
      <w:trPr>
        <w:trHeight w:val="300"/>
      </w:trPr>
      <w:tc>
        <w:tcPr>
          <w:tcW w:w="3210" w:type="dxa"/>
        </w:tcPr>
        <w:p w14:paraId="2103B00D" w14:textId="05992450" w:rsidR="00A04CEF" w:rsidRDefault="00A04CEF" w:rsidP="7BDB84E4">
          <w:pPr>
            <w:pStyle w:val="Zhlav"/>
            <w:ind w:left="-115"/>
          </w:pPr>
        </w:p>
      </w:tc>
      <w:tc>
        <w:tcPr>
          <w:tcW w:w="3210" w:type="dxa"/>
        </w:tcPr>
        <w:p w14:paraId="7E4EC8CC" w14:textId="060F96F9" w:rsidR="00A04CEF" w:rsidRDefault="00A04CEF" w:rsidP="7BDB84E4">
          <w:pPr>
            <w:pStyle w:val="Zhlav"/>
            <w:jc w:val="center"/>
          </w:pPr>
        </w:p>
      </w:tc>
      <w:tc>
        <w:tcPr>
          <w:tcW w:w="3210" w:type="dxa"/>
        </w:tcPr>
        <w:p w14:paraId="16BBC583" w14:textId="6855A288" w:rsidR="00A04CEF" w:rsidRDefault="00A04CEF" w:rsidP="7BDB84E4">
          <w:pPr>
            <w:pStyle w:val="Zhlav"/>
            <w:ind w:right="-115"/>
            <w:jc w:val="right"/>
          </w:pPr>
        </w:p>
      </w:tc>
    </w:tr>
  </w:tbl>
  <w:p w14:paraId="6C27F8FA" w14:textId="20C55B48" w:rsidR="00A04CEF" w:rsidRDefault="00A04CEF" w:rsidP="7BDB84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A04CEF" w14:paraId="18EA34D8" w14:textId="77777777" w:rsidTr="7BDB84E4">
      <w:trPr>
        <w:trHeight w:val="300"/>
      </w:trPr>
      <w:tc>
        <w:tcPr>
          <w:tcW w:w="3210" w:type="dxa"/>
        </w:tcPr>
        <w:p w14:paraId="181DBAB7" w14:textId="02D77831" w:rsidR="00A04CEF" w:rsidRDefault="00A04CEF" w:rsidP="7BDB84E4">
          <w:pPr>
            <w:pStyle w:val="Zhlav"/>
            <w:ind w:left="-115"/>
          </w:pPr>
        </w:p>
      </w:tc>
      <w:tc>
        <w:tcPr>
          <w:tcW w:w="3210" w:type="dxa"/>
        </w:tcPr>
        <w:p w14:paraId="5B9D9AD1" w14:textId="74FB0172" w:rsidR="00A04CEF" w:rsidRDefault="00A04CEF" w:rsidP="7BDB84E4">
          <w:pPr>
            <w:pStyle w:val="Zhlav"/>
            <w:jc w:val="center"/>
          </w:pPr>
        </w:p>
      </w:tc>
      <w:tc>
        <w:tcPr>
          <w:tcW w:w="3210" w:type="dxa"/>
        </w:tcPr>
        <w:p w14:paraId="641FB2DE" w14:textId="73F7F7F2" w:rsidR="00A04CEF" w:rsidRDefault="00A04CEF" w:rsidP="7BDB84E4">
          <w:pPr>
            <w:pStyle w:val="Zhlav"/>
            <w:ind w:right="-115"/>
            <w:jc w:val="right"/>
          </w:pPr>
        </w:p>
      </w:tc>
    </w:tr>
  </w:tbl>
  <w:p w14:paraId="72D422D1" w14:textId="17FE3811" w:rsidR="00A04CEF" w:rsidRDefault="00A04CEF" w:rsidP="7BDB84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62E7" w14:textId="2A4F6B19" w:rsidR="00A04CEF" w:rsidRPr="00932443" w:rsidRDefault="00A04CE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F3E4F">
      <w:rPr>
        <w:szCs w:val="16"/>
      </w:rPr>
      <w:t>32</w:t>
    </w:r>
    <w:r w:rsidRPr="00932443">
      <w:rPr>
        <w:szCs w:val="16"/>
      </w:rPr>
      <w:fldChar w:fldCharType="end"/>
    </w:r>
    <w:r w:rsidRPr="00932443">
      <w:rPr>
        <w:szCs w:val="16"/>
      </w:rPr>
      <w:tab/>
    </w:r>
    <w:r>
      <w:rPr>
        <w:szCs w:val="16"/>
      </w:rPr>
      <w:t>1. čtvrtletí 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1B24E4FD" w:rsidR="00A04CEF" w:rsidRPr="00932443" w:rsidRDefault="00A04CE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1. čtvrtletí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F3E4F">
      <w:rPr>
        <w:rStyle w:val="ZpatChar"/>
        <w:szCs w:val="16"/>
      </w:rPr>
      <w:t>31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0D8F6" w14:textId="77777777" w:rsidR="00A04CEF" w:rsidRDefault="00A04CEF" w:rsidP="00EA4302">
      <w:pPr>
        <w:spacing w:after="0"/>
      </w:pPr>
      <w:r>
        <w:separator/>
      </w:r>
    </w:p>
  </w:footnote>
  <w:footnote w:type="continuationSeparator" w:id="0">
    <w:p w14:paraId="70CDBF0C" w14:textId="77777777" w:rsidR="00A04CEF" w:rsidRDefault="00A04CEF" w:rsidP="00E71A58">
      <w:r>
        <w:continuationSeparator/>
      </w:r>
    </w:p>
  </w:footnote>
  <w:footnote w:id="1">
    <w:p w14:paraId="71C3FA46" w14:textId="77777777" w:rsidR="00A04CEF" w:rsidRDefault="00A04CEF" w:rsidP="00343182">
      <w:pPr>
        <w:pStyle w:val="Textpoznpodarou"/>
        <w:rPr>
          <w:spacing w:val="-2"/>
          <w:sz w:val="16"/>
          <w:szCs w:val="16"/>
        </w:rPr>
      </w:pPr>
      <w:r>
        <w:rPr>
          <w:rStyle w:val="Znakapoznpodarou"/>
          <w:spacing w:val="-2"/>
          <w:sz w:val="16"/>
          <w:szCs w:val="16"/>
        </w:rPr>
        <w:footnoteRef/>
      </w:r>
      <w:r>
        <w:rPr>
          <w:spacing w:val="-2"/>
          <w:sz w:val="16"/>
          <w:szCs w:val="16"/>
        </w:rPr>
        <w:t xml:space="preserve"> Data o HDP, hrubé přidané hodnotě a jejích složkách jsou vyjádřena ve stálých cenách a v očištění o sezónní a kalendářní vlivy.</w:t>
      </w:r>
    </w:p>
  </w:footnote>
  <w:footnote w:id="2">
    <w:p w14:paraId="06653A95" w14:textId="77777777" w:rsidR="00A04CEF" w:rsidRDefault="00A04CEF" w:rsidP="00343182">
      <w:pPr>
        <w:pStyle w:val="Textpoznpodarou"/>
        <w:rPr>
          <w:sz w:val="16"/>
          <w:szCs w:val="16"/>
        </w:rPr>
      </w:pPr>
      <w:r>
        <w:rPr>
          <w:rStyle w:val="Znakapoznpodarou"/>
          <w:sz w:val="16"/>
          <w:szCs w:val="16"/>
        </w:rPr>
        <w:footnoteRef/>
      </w:r>
      <w:r>
        <w:rPr>
          <w:sz w:val="16"/>
          <w:szCs w:val="16"/>
        </w:rPr>
        <w:t xml:space="preserve"> Podle metodiky čtvrtletních národních účtů (vývoz a dovoz v ocenění FOB/FOB).</w:t>
      </w:r>
    </w:p>
  </w:footnote>
  <w:footnote w:id="3">
    <w:p w14:paraId="74851003" w14:textId="77777777" w:rsidR="00A04CEF" w:rsidRDefault="00A04CEF" w:rsidP="00343182">
      <w:pPr>
        <w:pStyle w:val="Textpoznpodarou"/>
        <w:jc w:val="both"/>
        <w:rPr>
          <w:sz w:val="16"/>
          <w:szCs w:val="16"/>
        </w:rPr>
      </w:pPr>
      <w:r>
        <w:rPr>
          <w:rStyle w:val="Znakapoznpodarou"/>
          <w:spacing w:val="-2"/>
          <w:sz w:val="16"/>
          <w:szCs w:val="16"/>
        </w:rPr>
        <w:footnoteRef/>
      </w:r>
      <w:r>
        <w:rPr>
          <w:spacing w:val="-2"/>
          <w:sz w:val="16"/>
          <w:szCs w:val="16"/>
        </w:rPr>
        <w:t xml:space="preserve"> Údaje o zaměstnanosti jsou uvedeny v pojetí národních účtů a očištěny o sezónní vlivy.</w:t>
      </w:r>
    </w:p>
  </w:footnote>
  <w:footnote w:id="4">
    <w:p w14:paraId="41916448" w14:textId="77777777" w:rsidR="00A04CEF" w:rsidRPr="003879FE" w:rsidRDefault="00A04CEF" w:rsidP="003B7AFA">
      <w:pPr>
        <w:pStyle w:val="Textpoznpodarou"/>
        <w:rPr>
          <w:sz w:val="16"/>
          <w:szCs w:val="16"/>
        </w:rPr>
      </w:pPr>
      <w:r w:rsidRPr="000348AF">
        <w:rPr>
          <w:rStyle w:val="Znakapoznpodarou"/>
          <w:sz w:val="16"/>
          <w:szCs w:val="16"/>
        </w:rPr>
        <w:footnoteRef/>
      </w:r>
      <w:r w:rsidRPr="000348AF">
        <w:rPr>
          <w:sz w:val="16"/>
          <w:szCs w:val="16"/>
        </w:rPr>
        <w:t xml:space="preserve"> Vývoj HDP, hrubé přidané hodnoty a jejich složek je vyjádřen prostřednictvím objemových indexů (tj. očištěn o vliv cen) a po očištění o sezónní a kalendářní vlivy. Údaje jsou platné k</w:t>
      </w:r>
      <w:r>
        <w:rPr>
          <w:sz w:val="16"/>
          <w:szCs w:val="16"/>
        </w:rPr>
        <w:t xml:space="preserve"> 30. 5. </w:t>
      </w:r>
      <w:r w:rsidRPr="000348AF">
        <w:rPr>
          <w:sz w:val="16"/>
          <w:szCs w:val="16"/>
        </w:rPr>
        <w:t>202</w:t>
      </w:r>
      <w:r>
        <w:rPr>
          <w:sz w:val="16"/>
          <w:szCs w:val="16"/>
        </w:rPr>
        <w:t>5</w:t>
      </w:r>
      <w:r w:rsidRPr="000348AF">
        <w:rPr>
          <w:sz w:val="16"/>
          <w:szCs w:val="16"/>
        </w:rPr>
        <w:t>.</w:t>
      </w:r>
    </w:p>
  </w:footnote>
  <w:footnote w:id="5">
    <w:p w14:paraId="01C0EB7D" w14:textId="77777777" w:rsidR="00A04CEF" w:rsidRPr="009C6EA8" w:rsidRDefault="00A04CEF" w:rsidP="003B7AFA">
      <w:pPr>
        <w:pStyle w:val="Textpoznpodarou"/>
        <w:rPr>
          <w:sz w:val="16"/>
          <w:szCs w:val="16"/>
        </w:rPr>
      </w:pPr>
      <w:r w:rsidRPr="009C6EA8">
        <w:rPr>
          <w:rStyle w:val="Znakapoznpodarou"/>
          <w:sz w:val="16"/>
          <w:szCs w:val="16"/>
        </w:rPr>
        <w:footnoteRef/>
      </w:r>
      <w:r w:rsidRPr="009C6EA8">
        <w:rPr>
          <w:sz w:val="16"/>
          <w:szCs w:val="16"/>
        </w:rPr>
        <w:t xml:space="preserve"> Příspěvky ke změně HDP po vyloučení dovozu pro konečné užití.</w:t>
      </w:r>
    </w:p>
  </w:footnote>
  <w:footnote w:id="6">
    <w:p w14:paraId="3FC0735A" w14:textId="77777777" w:rsidR="00A04CEF" w:rsidRDefault="00A04CEF" w:rsidP="003B7AFA">
      <w:pPr>
        <w:pStyle w:val="Textpoznpodarou"/>
      </w:pPr>
      <w:r w:rsidRPr="009C6EA8">
        <w:rPr>
          <w:rStyle w:val="Znakapoznpodarou"/>
          <w:sz w:val="16"/>
          <w:szCs w:val="16"/>
        </w:rPr>
        <w:footnoteRef/>
      </w:r>
      <w:r w:rsidRPr="009C6EA8">
        <w:rPr>
          <w:sz w:val="16"/>
          <w:szCs w:val="16"/>
        </w:rPr>
        <w:t xml:space="preserve"> </w:t>
      </w:r>
      <w:r>
        <w:rPr>
          <w:sz w:val="16"/>
          <w:szCs w:val="16"/>
        </w:rPr>
        <w:t>Zaměstnanost v</w:t>
      </w:r>
      <w:r w:rsidRPr="009C6EA8">
        <w:rPr>
          <w:sz w:val="16"/>
          <w:szCs w:val="16"/>
        </w:rPr>
        <w:t> pojetí národních účtů</w:t>
      </w:r>
      <w:r>
        <w:rPr>
          <w:sz w:val="16"/>
          <w:szCs w:val="16"/>
        </w:rPr>
        <w:t xml:space="preserve"> (osoby)</w:t>
      </w:r>
      <w:r w:rsidRPr="009C6EA8">
        <w:rPr>
          <w:sz w:val="16"/>
          <w:szCs w:val="16"/>
        </w:rPr>
        <w:t xml:space="preserve">, </w:t>
      </w:r>
      <w:r>
        <w:rPr>
          <w:sz w:val="16"/>
          <w:szCs w:val="16"/>
        </w:rPr>
        <w:t xml:space="preserve">údaj je </w:t>
      </w:r>
      <w:r w:rsidRPr="009C6EA8">
        <w:rPr>
          <w:sz w:val="16"/>
          <w:szCs w:val="16"/>
        </w:rPr>
        <w:t>sezónně očištěn</w:t>
      </w:r>
      <w:r w:rsidRPr="00004BA8">
        <w:rPr>
          <w:sz w:val="16"/>
        </w:rPr>
        <w:t>.</w:t>
      </w:r>
    </w:p>
  </w:footnote>
  <w:footnote w:id="7">
    <w:p w14:paraId="551610B8" w14:textId="77777777" w:rsidR="00A04CEF" w:rsidRPr="005F75B1" w:rsidRDefault="00A04CEF" w:rsidP="003B7AFA">
      <w:pPr>
        <w:pStyle w:val="Textpoznpodarou"/>
        <w:rPr>
          <w:sz w:val="16"/>
          <w:szCs w:val="16"/>
        </w:rPr>
      </w:pPr>
      <w:r w:rsidRPr="005F75B1">
        <w:rPr>
          <w:rStyle w:val="Znakapoznpodarou"/>
          <w:sz w:val="16"/>
          <w:szCs w:val="16"/>
        </w:rPr>
        <w:footnoteRef/>
      </w:r>
      <w:r w:rsidRPr="005F75B1">
        <w:rPr>
          <w:sz w:val="16"/>
          <w:szCs w:val="16"/>
        </w:rPr>
        <w:t xml:space="preserve"> Do reálného vyjádření převedeno s pomocí deflátoru spotřeby domácností.</w:t>
      </w:r>
    </w:p>
  </w:footnote>
  <w:footnote w:id="8">
    <w:p w14:paraId="4A8C588E" w14:textId="77777777" w:rsidR="00A04CEF" w:rsidRPr="0053191D" w:rsidRDefault="00A04CEF" w:rsidP="003B7AFA">
      <w:pPr>
        <w:pStyle w:val="Textpoznpodarou"/>
        <w:rPr>
          <w:sz w:val="16"/>
          <w:szCs w:val="16"/>
        </w:rPr>
      </w:pPr>
      <w:r w:rsidRPr="0053191D">
        <w:rPr>
          <w:rStyle w:val="Znakapoznpodarou"/>
          <w:sz w:val="16"/>
          <w:szCs w:val="16"/>
        </w:rPr>
        <w:footnoteRef/>
      </w:r>
      <w:r w:rsidRPr="0053191D">
        <w:rPr>
          <w:sz w:val="16"/>
          <w:szCs w:val="16"/>
        </w:rPr>
        <w:t xml:space="preserve"> Tato sekce zahrnuje činnosti organizací sdružujících osoby za účelem prosazování společných zájmů, opravy počítačů a výrobků pro osobní potřebu a převážně pro domácnost a řadu jiných osobních služeb</w:t>
      </w:r>
      <w:r>
        <w:rPr>
          <w:sz w:val="16"/>
          <w:szCs w:val="16"/>
        </w:rPr>
        <w:t xml:space="preserve"> (kosmetické, kadeřnické apod.).</w:t>
      </w:r>
    </w:p>
  </w:footnote>
  <w:footnote w:id="9">
    <w:p w14:paraId="052E2724" w14:textId="77777777" w:rsidR="00A04CEF" w:rsidRPr="00954992" w:rsidRDefault="00A04CEF" w:rsidP="003B7AFA">
      <w:pPr>
        <w:pStyle w:val="Textpoznpodarou"/>
        <w:rPr>
          <w:sz w:val="16"/>
          <w:szCs w:val="16"/>
        </w:rPr>
      </w:pPr>
      <w:r w:rsidRPr="00954992">
        <w:rPr>
          <w:rStyle w:val="Znakapoznpodarou"/>
          <w:sz w:val="16"/>
          <w:szCs w:val="16"/>
        </w:rPr>
        <w:footnoteRef/>
      </w:r>
      <w:r w:rsidRPr="00954992">
        <w:rPr>
          <w:sz w:val="16"/>
          <w:szCs w:val="16"/>
        </w:rPr>
        <w:t xml:space="preserve"> Údaje o</w:t>
      </w:r>
      <w:r>
        <w:rPr>
          <w:sz w:val="16"/>
          <w:szCs w:val="16"/>
        </w:rPr>
        <w:t> </w:t>
      </w:r>
      <w:r w:rsidRPr="00954992">
        <w:rPr>
          <w:sz w:val="16"/>
          <w:szCs w:val="16"/>
        </w:rPr>
        <w:t>spotřebě dle trvanlivosti jsou v domácím pojetí</w:t>
      </w:r>
      <w:r>
        <w:rPr>
          <w:sz w:val="16"/>
          <w:szCs w:val="16"/>
        </w:rPr>
        <w:t>.</w:t>
      </w:r>
    </w:p>
  </w:footnote>
  <w:footnote w:id="10">
    <w:p w14:paraId="56A0449A" w14:textId="77777777" w:rsidR="00A04CEF" w:rsidRPr="004831F6" w:rsidRDefault="00A04CEF" w:rsidP="003B7AFA">
      <w:pPr>
        <w:pStyle w:val="Textpoznpodarou"/>
        <w:rPr>
          <w:sz w:val="16"/>
          <w:szCs w:val="16"/>
        </w:rPr>
      </w:pPr>
      <w:r w:rsidRPr="004831F6">
        <w:rPr>
          <w:rStyle w:val="Znakapoznpodarou"/>
          <w:sz w:val="16"/>
          <w:szCs w:val="16"/>
        </w:rPr>
        <w:footnoteRef/>
      </w:r>
      <w:r w:rsidRPr="004831F6">
        <w:rPr>
          <w:sz w:val="16"/>
          <w:szCs w:val="16"/>
        </w:rPr>
        <w:t xml:space="preserve"> Změna zásob</w:t>
      </w:r>
      <w:r>
        <w:rPr>
          <w:sz w:val="16"/>
          <w:szCs w:val="16"/>
        </w:rPr>
        <w:t xml:space="preserve"> (v běžných cenách a sezónně neočištěná)</w:t>
      </w:r>
      <w:r w:rsidRPr="004831F6">
        <w:rPr>
          <w:sz w:val="16"/>
          <w:szCs w:val="16"/>
        </w:rPr>
        <w:t xml:space="preserve"> </w:t>
      </w:r>
      <w:r>
        <w:rPr>
          <w:sz w:val="16"/>
          <w:szCs w:val="16"/>
        </w:rPr>
        <w:t xml:space="preserve">v 1. čtvrtletí 2025 činila −4,6 mld. korun. Ačkoli šlo o úbytek, oproti stejnému období roku 2024 (−18,2 mld.) i konci roku (−76,2 mld.) měl výsledek příznivý efekt na vývoj HDP. </w:t>
      </w:r>
    </w:p>
  </w:footnote>
  <w:footnote w:id="11">
    <w:p w14:paraId="5D74AE72" w14:textId="77777777" w:rsidR="00A04CEF" w:rsidRPr="00167B30" w:rsidRDefault="00A04CEF" w:rsidP="003B7AFA">
      <w:pPr>
        <w:pStyle w:val="Textpoznpodarou"/>
        <w:rPr>
          <w:sz w:val="16"/>
          <w:szCs w:val="16"/>
        </w:rPr>
      </w:pPr>
      <w:r w:rsidRPr="00167B30">
        <w:rPr>
          <w:rStyle w:val="Znakapoznpodarou"/>
          <w:sz w:val="16"/>
          <w:szCs w:val="16"/>
        </w:rPr>
        <w:footnoteRef/>
      </w:r>
      <w:r w:rsidRPr="00167B30">
        <w:rPr>
          <w:sz w:val="16"/>
          <w:szCs w:val="16"/>
        </w:rPr>
        <w:t xml:space="preserve"> Podle metodiky čtvrtletních národních účtů (vývoz a</w:t>
      </w:r>
      <w:r>
        <w:rPr>
          <w:sz w:val="16"/>
          <w:szCs w:val="16"/>
        </w:rPr>
        <w:t> </w:t>
      </w:r>
      <w:r w:rsidRPr="00167B30">
        <w:rPr>
          <w:sz w:val="16"/>
          <w:szCs w:val="16"/>
        </w:rPr>
        <w:t>dovoz v ocenění FOB/FOB)</w:t>
      </w:r>
      <w:r>
        <w:rPr>
          <w:sz w:val="16"/>
          <w:szCs w:val="16"/>
        </w:rPr>
        <w:t xml:space="preserve">. Bilance zahraničního obchodu v běžných cenách </w:t>
      </w:r>
      <w:r>
        <w:rPr>
          <w:sz w:val="16"/>
          <w:szCs w:val="16"/>
        </w:rPr>
        <w:br/>
        <w:t>a po sezónním očištění.</w:t>
      </w:r>
    </w:p>
  </w:footnote>
  <w:footnote w:id="12">
    <w:p w14:paraId="605537D5" w14:textId="77777777" w:rsidR="00A04CEF" w:rsidRPr="00146CFE" w:rsidRDefault="00A04CEF" w:rsidP="003B7AFA">
      <w:pPr>
        <w:pStyle w:val="Textpoznpodarou"/>
        <w:rPr>
          <w:sz w:val="16"/>
          <w:szCs w:val="16"/>
        </w:rPr>
      </w:pPr>
      <w:r w:rsidRPr="00146CFE">
        <w:rPr>
          <w:rStyle w:val="Znakapoznpodarou"/>
          <w:sz w:val="16"/>
          <w:szCs w:val="16"/>
        </w:rPr>
        <w:footnoteRef/>
      </w:r>
      <w:r w:rsidRPr="00146CFE">
        <w:rPr>
          <w:sz w:val="16"/>
          <w:szCs w:val="16"/>
        </w:rPr>
        <w:t xml:space="preserve"> Stavebnictví od 3. čtvrtletí 2018 do 1. čtvrtletí 2024 zaznamenalo nepřetržitou sérii meziročních poklesů HPH.</w:t>
      </w:r>
    </w:p>
  </w:footnote>
  <w:footnote w:id="13">
    <w:p w14:paraId="0A63BF98" w14:textId="77777777" w:rsidR="000C004E" w:rsidRDefault="000C004E" w:rsidP="000C004E">
      <w:pPr>
        <w:pStyle w:val="Textpoznpodarou"/>
        <w:jc w:val="both"/>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Údaje o HPH jsou vyjádřeny ve stálých cenách a v očištění o sezónní a kalendářní vlivy.</w:t>
      </w:r>
    </w:p>
  </w:footnote>
  <w:footnote w:id="14">
    <w:p w14:paraId="2FB9D35B"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Tato skupení dlouhodobě vytváří skoro 40 % HPH celé tuzemské ekonomiky. </w:t>
      </w:r>
    </w:p>
  </w:footnote>
  <w:footnote w:id="15">
    <w:p w14:paraId="06EE1930"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informačních a komunikačních činnostech převýšila HPH předkrizovou úroveň o 32 %, v peněžnictví a pojišťovnictví o 22 % </w:t>
      </w:r>
      <w:r>
        <w:rPr>
          <w:sz w:val="16"/>
          <w:szCs w:val="16"/>
        </w:rPr>
        <w:br/>
        <w:t xml:space="preserve">a v podnikových službách (profesní, vědecké, technické a administrativní činnosti) o 8 %. Naopak výkon průmyslu za 4. čtvrtletím 2019 zaostával o 5 %, primárního sektoru ekonomiky o 8 % a stavebnictví o 13 %. </w:t>
      </w:r>
    </w:p>
  </w:footnote>
  <w:footnote w:id="16">
    <w:p w14:paraId="7748F2B8" w14:textId="77777777" w:rsidR="000C004E" w:rsidRDefault="000C004E" w:rsidP="000C004E">
      <w:pPr>
        <w:pStyle w:val="paragraph"/>
        <w:spacing w:before="0" w:beforeAutospacing="0" w:after="0" w:afterAutospacing="0"/>
        <w:jc w:val="both"/>
        <w:textAlignment w:val="baseline"/>
        <w:rPr>
          <w:rFonts w:ascii="Arial" w:eastAsia="Calibri" w:hAnsi="Arial"/>
          <w:sz w:val="16"/>
          <w:szCs w:val="16"/>
        </w:rPr>
      </w:pPr>
      <w:r>
        <w:rPr>
          <w:rStyle w:val="Znakapoznpodarou"/>
          <w:rFonts w:ascii="Arial" w:eastAsia="Calibri" w:hAnsi="Arial"/>
          <w:sz w:val="16"/>
          <w:szCs w:val="16"/>
        </w:rPr>
        <w:footnoteRef/>
      </w:r>
      <w:r>
        <w:rPr>
          <w:rStyle w:val="Znakapoznpodarou"/>
          <w:rFonts w:ascii="Arial" w:eastAsia="Calibri" w:hAnsi="Arial"/>
          <w:sz w:val="16"/>
          <w:szCs w:val="16"/>
        </w:rPr>
        <w:t xml:space="preserve"> </w:t>
      </w:r>
      <w:r>
        <w:rPr>
          <w:rFonts w:ascii="Arial" w:eastAsia="Calibri" w:hAnsi="Arial"/>
          <w:sz w:val="16"/>
          <w:szCs w:val="16"/>
        </w:rPr>
        <w:t>Z tuzemských chovů bylo na jatka v Česku či v zahraničí v 1. čtvrtletí 2025 dodáno meziročně větší množství jatečného skotu, prasat i</w:t>
      </w:r>
      <w:r>
        <w:rPr>
          <w:rFonts w:cs="Arial"/>
          <w:color w:val="0D0D0D" w:themeColor="text1" w:themeTint="F2"/>
          <w:spacing w:val="-2"/>
          <w:sz w:val="16"/>
          <w:szCs w:val="16"/>
        </w:rPr>
        <w:t> </w:t>
      </w:r>
      <w:r>
        <w:rPr>
          <w:rFonts w:ascii="Arial" w:eastAsia="Calibri" w:hAnsi="Arial"/>
          <w:sz w:val="16"/>
          <w:szCs w:val="16"/>
        </w:rPr>
        <w:t>drůbeže Hrubá tuzemská produkce (vyjádřená v jatečné hmotnosti masa) tak vzrostla u hovězího o 2,0 % (na 25 tis. tun), vepřového o</w:t>
      </w:r>
      <w:r>
        <w:rPr>
          <w:rFonts w:cs="Arial"/>
          <w:color w:val="0D0D0D" w:themeColor="text1" w:themeTint="F2"/>
          <w:spacing w:val="-2"/>
          <w:sz w:val="16"/>
          <w:szCs w:val="16"/>
        </w:rPr>
        <w:t> </w:t>
      </w:r>
      <w:r>
        <w:rPr>
          <w:rFonts w:ascii="Arial" w:eastAsia="Calibri" w:hAnsi="Arial"/>
          <w:sz w:val="16"/>
          <w:szCs w:val="16"/>
        </w:rPr>
        <w:t xml:space="preserve">3,7 % (60 tis. tun) a drůbežího o 8,1 % (53 tis. tun). Ve všech případech (vyjma vepřového masa) jde ve srovnání s tempem za celý rok 2024 o zrychlení růstu. Trend dlouhodobě mírně rostoucí výroby mléka se zastavil, což je v meziročním srovnání patrné již od poloviny loňského roku. Přímý nákup mléka od tuzemských producentů (prvními kupujícími) činil letos v 1. čtvrtletí 806 mil. litrů, téměř stejně jako o rok dříve. Z toho nákup mlékárnami dosáhl 684 mil. litrů a meziročně klesl o 2 % (nejvíce za posledních pět a půl roku). </w:t>
      </w:r>
    </w:p>
    <w:p w14:paraId="44946418" w14:textId="77777777" w:rsidR="000C004E" w:rsidRDefault="000C004E" w:rsidP="000C004E">
      <w:pPr>
        <w:pStyle w:val="paragraph"/>
        <w:spacing w:before="0" w:beforeAutospacing="0" w:after="0" w:afterAutospacing="0"/>
        <w:jc w:val="both"/>
        <w:textAlignment w:val="baseline"/>
        <w:rPr>
          <w:rFonts w:ascii="Arial" w:eastAsia="Calibri" w:hAnsi="Arial"/>
          <w:sz w:val="16"/>
          <w:szCs w:val="16"/>
        </w:rPr>
      </w:pPr>
      <w:r>
        <w:rPr>
          <w:rFonts w:ascii="Arial" w:eastAsia="Calibri" w:hAnsi="Arial"/>
          <w:sz w:val="16"/>
          <w:szCs w:val="16"/>
        </w:rPr>
        <w:t>Tradičně kladná bilance Česka u zahraničního obchodu s živými zvířaty u drůbeže i skotu díky vyšším vývozům meziročně vzrostla (vyvezla se celá čtvrtina v Česku vykrmeného skotu, hlavně do Rakouska), u prasat se snížila (vývoz klesal rychleji než dovoz).  Dlouhodobý schodek Česka v obchodu s masem se významně nezměnil, a to přesto, že dovoz hovězího (v tunách) se meziročně snížil o pětinu (plošný pokles, hlavně z Německa) a u vepřového a drůbežího zhruba stagnoval. Hovězí maso se do Česka dováží hlavně z Polska a Nizozemska, vepřové z Německa a Španělska a drůbeží z Polska (až 2/3 importu). U všech tří druhů mas převládal v exportu směr na Slovensko. Po započítání bilance dovozu a vývozu masa se předběžně kalkulovaná spotřeba masa v ČR v 1. čtvrtletí 2025 meziročně propadla u hovězího (−8 %, po stagnaci v roce 2024), naopak u vepřového a drůbežího mírně rostla (shodně o 3 %) a navázala na trend z loňského roku. Spotřebu masa ovlivňují dlouhodobé preference tuzemských konzumentů i krátkodobější výkyvy dané např. reakcí domácností na vývoj spotřebitelských cen masa. </w:t>
      </w:r>
    </w:p>
  </w:footnote>
  <w:footnote w:id="17">
    <w:p w14:paraId="0BD0D240" w14:textId="77777777" w:rsidR="000C004E" w:rsidRDefault="000C004E" w:rsidP="000C004E">
      <w:pPr>
        <w:spacing w:after="0" w:line="240" w:lineRule="auto"/>
        <w:rPr>
          <w:rFonts w:cs="Arial"/>
          <w:color w:val="0D0D0D" w:themeColor="text1" w:themeTint="F2"/>
          <w:spacing w:val="-4"/>
          <w:sz w:val="16"/>
          <w:szCs w:val="16"/>
        </w:rPr>
      </w:pPr>
      <w:r>
        <w:rPr>
          <w:rStyle w:val="Znakapoznpodarou"/>
          <w:spacing w:val="-4"/>
          <w:sz w:val="16"/>
          <w:szCs w:val="16"/>
        </w:rPr>
        <w:footnoteRef/>
      </w:r>
      <w:r>
        <w:rPr>
          <w:spacing w:val="-4"/>
          <w:sz w:val="16"/>
          <w:szCs w:val="16"/>
        </w:rPr>
        <w:t xml:space="preserve"> </w:t>
      </w:r>
      <w:r>
        <w:rPr>
          <w:rFonts w:cs="Arial"/>
          <w:color w:val="0D0D0D" w:themeColor="text1" w:themeTint="F2"/>
          <w:spacing w:val="-4"/>
          <w:sz w:val="16"/>
          <w:szCs w:val="16"/>
        </w:rPr>
        <w:t>Zahrnuje odvětví těžby a dobývání, zpracovatelského průmyslu a také energetiky (zde pojímané jako odvětví výroby a rozvodu elektřiny, plynu, tepla a klimatizovaného vzduchu). Všechna meziroční tempa produkce jsou očištěna o kalendářní vlivy, mezičtvrtletní tempa i o vliv sezónnosti.</w:t>
      </w:r>
    </w:p>
  </w:footnote>
  <w:footnote w:id="18">
    <w:p w14:paraId="651E9972" w14:textId="77777777" w:rsidR="000C004E" w:rsidRDefault="000C004E" w:rsidP="000C004E">
      <w:pPr>
        <w:pStyle w:val="Textpoznpodarou"/>
        <w:rPr>
          <w:color w:val="0D0D0D" w:themeColor="text1" w:themeTint="F2"/>
          <w:spacing w:val="-1"/>
          <w:sz w:val="16"/>
          <w:szCs w:val="16"/>
        </w:rPr>
      </w:pPr>
      <w:r>
        <w:rPr>
          <w:rStyle w:val="Znakapoznpodarou"/>
          <w:sz w:val="16"/>
          <w:szCs w:val="16"/>
        </w:rPr>
        <w:footnoteRef/>
      </w:r>
      <w:r>
        <w:rPr>
          <w:sz w:val="16"/>
          <w:szCs w:val="16"/>
        </w:rPr>
        <w:t xml:space="preserve"> </w:t>
      </w:r>
      <w:r>
        <w:rPr>
          <w:color w:val="0D0D0D" w:themeColor="text1" w:themeTint="F2"/>
          <w:spacing w:val="-1"/>
          <w:sz w:val="16"/>
          <w:szCs w:val="16"/>
        </w:rPr>
        <w:t>Za svým vrcholem z období let 2015 až 2019 letos v 1. čtvrtletí zaostávaly více než dvě třetiny hlavních průmyslových oborů – hlavně ty provázané s výrobou energií (</w:t>
      </w:r>
      <w:r>
        <w:rPr>
          <w:color w:val="0D0D0D" w:themeColor="text1" w:themeTint="F2"/>
          <w:spacing w:val="-4"/>
          <w:sz w:val="16"/>
          <w:szCs w:val="16"/>
        </w:rPr>
        <w:t>−</w:t>
      </w:r>
      <w:r>
        <w:rPr>
          <w:color w:val="0D0D0D" w:themeColor="text1" w:themeTint="F2"/>
          <w:spacing w:val="-1"/>
          <w:sz w:val="16"/>
          <w:szCs w:val="16"/>
        </w:rPr>
        <w:t>18 %) a ty zaměřené na produkci dlouhodobé spotřeby (</w:t>
      </w:r>
      <w:r>
        <w:rPr>
          <w:color w:val="0D0D0D" w:themeColor="text1" w:themeTint="F2"/>
          <w:spacing w:val="-4"/>
          <w:sz w:val="16"/>
          <w:szCs w:val="16"/>
        </w:rPr>
        <w:t>−</w:t>
      </w:r>
      <w:r>
        <w:rPr>
          <w:color w:val="0D0D0D" w:themeColor="text1" w:themeTint="F2"/>
          <w:spacing w:val="-1"/>
          <w:sz w:val="16"/>
          <w:szCs w:val="16"/>
        </w:rPr>
        <w:t>16 %). Na úrovni jednotlivých oborů šlo v prvé řadě o těžbu uhlí (</w:t>
      </w:r>
      <w:r>
        <w:rPr>
          <w:rFonts w:cs="Arial"/>
          <w:color w:val="0D0D0D" w:themeColor="text1" w:themeTint="F2"/>
          <w:spacing w:val="-1"/>
          <w:sz w:val="16"/>
          <w:szCs w:val="16"/>
        </w:rPr>
        <w:t>o </w:t>
      </w:r>
      <w:r>
        <w:rPr>
          <w:color w:val="0D0D0D" w:themeColor="text1" w:themeTint="F2"/>
          <w:spacing w:val="-1"/>
          <w:sz w:val="16"/>
          <w:szCs w:val="16"/>
        </w:rPr>
        <w:t>56</w:t>
      </w:r>
      <w:r>
        <w:rPr>
          <w:rFonts w:cs="Arial"/>
          <w:color w:val="0D0D0D" w:themeColor="text1" w:themeTint="F2"/>
          <w:spacing w:val="-1"/>
          <w:sz w:val="16"/>
          <w:szCs w:val="16"/>
        </w:rPr>
        <w:t> </w:t>
      </w:r>
      <w:r>
        <w:rPr>
          <w:color w:val="0D0D0D" w:themeColor="text1" w:themeTint="F2"/>
          <w:spacing w:val="-1"/>
          <w:sz w:val="16"/>
          <w:szCs w:val="16"/>
        </w:rPr>
        <w:t>%), výrobu kovů, hutnictví a slévárenství (−29 %), obuvnický a kožedělný průmysl (−28</w:t>
      </w:r>
      <w:r>
        <w:rPr>
          <w:rFonts w:cs="Arial"/>
          <w:color w:val="0D0D0D" w:themeColor="text1" w:themeTint="F2"/>
          <w:spacing w:val="-1"/>
          <w:sz w:val="16"/>
          <w:szCs w:val="16"/>
        </w:rPr>
        <w:t> </w:t>
      </w:r>
      <w:r>
        <w:rPr>
          <w:color w:val="0D0D0D" w:themeColor="text1" w:themeTint="F2"/>
          <w:spacing w:val="-1"/>
          <w:sz w:val="16"/>
          <w:szCs w:val="16"/>
        </w:rPr>
        <w:t>%), textilní průmysl (−24 %), tiskárenství (−23 %) a těžbu stavebních materiálů (−22 %). Z větších oborů šlo dále o chemický průmysl (−15 %), energetiku (−13</w:t>
      </w:r>
      <w:r>
        <w:rPr>
          <w:rFonts w:cs="Arial"/>
          <w:color w:val="0D0D0D" w:themeColor="text1" w:themeTint="F2"/>
          <w:spacing w:val="-1"/>
          <w:sz w:val="16"/>
          <w:szCs w:val="16"/>
        </w:rPr>
        <w:t> </w:t>
      </w:r>
      <w:r>
        <w:rPr>
          <w:color w:val="0D0D0D" w:themeColor="text1" w:themeTint="F2"/>
          <w:spacing w:val="-1"/>
          <w:sz w:val="16"/>
          <w:szCs w:val="16"/>
        </w:rPr>
        <w:t>%), strojírenský a elektronický průmysl (shodně −10 %), gumárenství a plastikářství (−7</w:t>
      </w:r>
      <w:r>
        <w:rPr>
          <w:rFonts w:cs="Arial"/>
          <w:color w:val="0D0D0D" w:themeColor="text1" w:themeTint="F2"/>
          <w:spacing w:val="-1"/>
          <w:sz w:val="16"/>
          <w:szCs w:val="16"/>
        </w:rPr>
        <w:t> </w:t>
      </w:r>
      <w:r>
        <w:rPr>
          <w:color w:val="0D0D0D" w:themeColor="text1" w:themeTint="F2"/>
          <w:spacing w:val="-1"/>
          <w:sz w:val="16"/>
          <w:szCs w:val="16"/>
        </w:rPr>
        <w:t>%) či kovodělný průmysl (−5 %). Naopak nad předkrizovou úrovní produkce se aktuálně nacházely obory vyrábějící investiční produkty a také ty s produkty krátkodobé spotřeby (shodně +7 %). Z jednotlivých oborů šlo především o farmacii (+16 %), ostatní zpracovatelský průmysl (+14 %), automobilový průmysl (+13 %), papírenství (+13 %), elektrotechniku (+12 %) a dále např. potravinářství (+7 %).</w:t>
      </w:r>
    </w:p>
  </w:footnote>
  <w:footnote w:id="19">
    <w:p w14:paraId="61F18D18" w14:textId="77777777" w:rsidR="000C004E" w:rsidRDefault="000C004E" w:rsidP="000C004E">
      <w:pPr>
        <w:pStyle w:val="Textpoznpodarou"/>
        <w:rPr>
          <w:spacing w:val="-2"/>
          <w:sz w:val="16"/>
          <w:szCs w:val="16"/>
        </w:rPr>
      </w:pPr>
      <w:r>
        <w:rPr>
          <w:rStyle w:val="Znakapoznpodarou"/>
          <w:sz w:val="16"/>
          <w:szCs w:val="16"/>
        </w:rPr>
        <w:footnoteRef/>
      </w:r>
      <w:r>
        <w:rPr>
          <w:sz w:val="16"/>
          <w:szCs w:val="16"/>
        </w:rPr>
        <w:t xml:space="preserve"> </w:t>
      </w:r>
      <w:r>
        <w:rPr>
          <w:spacing w:val="-2"/>
          <w:sz w:val="16"/>
          <w:szCs w:val="16"/>
        </w:rPr>
        <w:t>Celková čistá výroba elektřiny (tj. bez mezispotřeby, vč. ztrát při výrobě) dosáhla dle předběžných údajů Energetického regulačního úřadu v 1. čtvrtletí 2025 v Česku 20,7 TWh (nejvíce ve shodném období za poslední tři roky) a meziročně se zvýšila o 9,6 %. Zasloužil se o to zejména růst produkce z parních elektráren (</w:t>
      </w:r>
      <w:r>
        <w:rPr>
          <w:color w:val="0D0D0D" w:themeColor="text1" w:themeTint="F2"/>
          <w:spacing w:val="-2"/>
          <w:sz w:val="16"/>
          <w:szCs w:val="16"/>
        </w:rPr>
        <w:t>+</w:t>
      </w:r>
      <w:r>
        <w:rPr>
          <w:spacing w:val="-2"/>
          <w:sz w:val="16"/>
          <w:szCs w:val="16"/>
        </w:rPr>
        <w:t xml:space="preserve">23 %), řádově méně pak z paroplynových (+54 %) a fotovoltaických elektráren (+36 %). Vlivem nedostatku srážek naopak klesla výroba ve vodních (−44 %) a přečerpávacích elektrárnách (−4 %). Stagnovala produkce z jaderných zdrojů podílející se na celkové výrobě více než ze třetiny. Celkový instalovaný výkon výroben elektřiny v Česku činil 22,9 GW </w:t>
      </w:r>
      <w:r>
        <w:rPr>
          <w:spacing w:val="-2"/>
          <w:sz w:val="16"/>
          <w:szCs w:val="16"/>
        </w:rPr>
        <w:br/>
        <w:t>a meziročně vzrostl o 2,6 %, hlavně díky plynovým a spalovacím a také fotovoltaickým elektrárnám. Celková tuzemská čistá spotřeba elektřiny činila letos 16,4 TWh. Její meziroční pokles, trvající předchozí tři roky, se zastavil (+2,7 %). K tomu z drtivé části přispěla vyšší spotřeba domácností (+9,1 %), vzrostla však i poptávka od drobných podnikatelů (+2,3 %) i velkoodběratelů (+0,2 %). Oproti počátku roku 2019,</w:t>
      </w:r>
      <w:r>
        <w:rPr>
          <w:sz w:val="16"/>
          <w:szCs w:val="16"/>
        </w:rPr>
        <w:t xml:space="preserve"> kdy se celková čistá spotřeba nacházela blízko dlouhodobého maxima,</w:t>
      </w:r>
      <w:r>
        <w:rPr>
          <w:spacing w:val="-2"/>
          <w:sz w:val="16"/>
          <w:szCs w:val="16"/>
        </w:rPr>
        <w:t xml:space="preserve"> ale celková spotřeba elektřiny klesla (−4,7 %), zejména vlivem velkoodběratelů (−7,5 %) a drobných podnikatelů (−5,4 %), naopak domácnosti odebraly skoro o desetinu více. Rozdíl mezi tuzemskou výrobou a spotřebou elektřiny byl vyrovnán přeshraničními toky. Proto stále převažoval její export nad importem. Hodnota salda se navíc letos proti loňskému 1. čtvrtletí zvýšila z +1,7 TWh na +2,9 TWh, samotný export vzrostl o 36 % na 7,6 TWh.</w:t>
      </w:r>
    </w:p>
  </w:footnote>
  <w:footnote w:id="20">
    <w:p w14:paraId="0ABEB407" w14:textId="77777777" w:rsidR="000C004E" w:rsidRDefault="000C004E" w:rsidP="000C004E">
      <w:pPr>
        <w:pStyle w:val="Bezmezer"/>
      </w:pPr>
      <w:r>
        <w:rPr>
          <w:rStyle w:val="Znakapoznpodarou"/>
          <w:sz w:val="16"/>
          <w:szCs w:val="16"/>
        </w:rPr>
        <w:footnoteRef/>
      </w:r>
      <w:r>
        <w:rPr>
          <w:rStyle w:val="Znakapoznpodarou"/>
          <w:sz w:val="16"/>
          <w:szCs w:val="16"/>
        </w:rPr>
        <w:t xml:space="preserve"> </w:t>
      </w:r>
      <w:r>
        <w:rPr>
          <w:sz w:val="16"/>
          <w:szCs w:val="16"/>
        </w:rPr>
        <w:t xml:space="preserve">Spotřeba plynu vystoupala letos v 1. čtvrtletí na 2,8 mil. </w:t>
      </w:r>
      <w:r>
        <w:rPr>
          <w:rFonts w:cs="Arial"/>
          <w:spacing w:val="3"/>
          <w:sz w:val="16"/>
          <w:szCs w:val="16"/>
          <w:shd w:val="clear" w:color="auto" w:fill="FFFFFF"/>
        </w:rPr>
        <w:t>m</w:t>
      </w:r>
      <w:r>
        <w:rPr>
          <w:rFonts w:cs="Arial"/>
          <w:spacing w:val="3"/>
          <w:sz w:val="16"/>
          <w:szCs w:val="16"/>
          <w:shd w:val="clear" w:color="auto" w:fill="FFFFFF"/>
          <w:vertAlign w:val="superscript"/>
        </w:rPr>
        <w:t>3</w:t>
      </w:r>
      <w:r>
        <w:rPr>
          <w:sz w:val="16"/>
          <w:szCs w:val="16"/>
        </w:rPr>
        <w:t>, meziročně o 14,2 % (po přepočtení spotřeby na dlouhodobý teplotní normál byl růst menší: +3,5 %). Růst spotřeby nastal u všech kategorií odběratelů – u maloodběratelů z řad podnikatelů (+14,6</w:t>
      </w:r>
      <w:r>
        <w:rPr>
          <w:spacing w:val="-2"/>
          <w:sz w:val="16"/>
          <w:szCs w:val="16"/>
        </w:rPr>
        <w:t> </w:t>
      </w:r>
      <w:r>
        <w:rPr>
          <w:sz w:val="16"/>
          <w:szCs w:val="16"/>
        </w:rPr>
        <w:t>%), velkoodběratelů (+14 %), domácností (+13,8 %) i středních odběratelů (+12,3 %). Po přepočtu na teplotní normál je meziroční zvýšení celkové spotřeby zemního plynu patrné již od loňského září a trvá tak nepřetržitě devět měsíců (např. letos v květnu dosáhlo 12,6 %).</w:t>
      </w:r>
    </w:p>
  </w:footnote>
  <w:footnote w:id="21">
    <w:p w14:paraId="510D3002" w14:textId="77777777" w:rsidR="000C004E" w:rsidRDefault="000C004E" w:rsidP="000C004E">
      <w:pPr>
        <w:pStyle w:val="Textpoznpodarou"/>
      </w:pPr>
      <w:r>
        <w:rPr>
          <w:rStyle w:val="Znakapoznpodarou"/>
          <w:sz w:val="16"/>
          <w:szCs w:val="16"/>
        </w:rPr>
        <w:footnoteRef/>
      </w:r>
      <w:r>
        <w:rPr>
          <w:sz w:val="16"/>
          <w:szCs w:val="16"/>
        </w:rPr>
        <w:t xml:space="preserve"> </w:t>
      </w:r>
      <w:r>
        <w:rPr>
          <w:color w:val="0D0D0D" w:themeColor="text1" w:themeTint="F2"/>
          <w:sz w:val="16"/>
          <w:szCs w:val="16"/>
        </w:rPr>
        <w:t xml:space="preserve">Dle údajů </w:t>
      </w:r>
      <w:r>
        <w:rPr>
          <w:color w:val="0D0D0D" w:themeColor="text1" w:themeTint="F2"/>
          <w:spacing w:val="-3"/>
          <w:sz w:val="16"/>
          <w:szCs w:val="16"/>
        </w:rPr>
        <w:t>Sdružení</w:t>
      </w:r>
      <w:r>
        <w:rPr>
          <w:color w:val="0D0D0D" w:themeColor="text1" w:themeTint="F2"/>
          <w:sz w:val="16"/>
          <w:szCs w:val="16"/>
        </w:rPr>
        <w:t xml:space="preserve"> automobilového průmyslu se v 1. čtvrtletí 2025 v tuzemsku vyrobilo 367 tis. osobních automobilů, což bylo ve srovnání s rekordním výsledkem ze stejného období loňského roku o 7 % méně (v samotném březnu ale výroba již nezaostávala). </w:t>
      </w:r>
      <w:r>
        <w:rPr>
          <w:sz w:val="16"/>
          <w:szCs w:val="16"/>
        </w:rPr>
        <w:t xml:space="preserve">Po loňském poklesu ovšem výrazně ožil segment výroby </w:t>
      </w:r>
      <w:r>
        <w:rPr>
          <w:color w:val="0D0D0D" w:themeColor="text1" w:themeTint="F2"/>
          <w:spacing w:val="-3"/>
          <w:sz w:val="16"/>
          <w:szCs w:val="16"/>
        </w:rPr>
        <w:t>elektrických vozidel (vč. vozů s</w:t>
      </w:r>
      <w:r>
        <w:rPr>
          <w:sz w:val="16"/>
          <w:szCs w:val="16"/>
        </w:rPr>
        <w:t> </w:t>
      </w:r>
      <w:r>
        <w:rPr>
          <w:color w:val="0D0D0D" w:themeColor="text1" w:themeTint="F2"/>
          <w:spacing w:val="-3"/>
          <w:sz w:val="16"/>
          <w:szCs w:val="16"/>
        </w:rPr>
        <w:t xml:space="preserve">hybridním pohonem), který se letos na celkové produkci automobilů podílel celou šestinou. Vedle osobních aut zaznamenala letos pokles výroby i většina producentů ostatních druhů motorových vozidel. </w:t>
      </w:r>
    </w:p>
  </w:footnote>
  <w:footnote w:id="22">
    <w:p w14:paraId="01F790CD"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Ve srovnání s 2. čtvrtletím 2021 byla letošní produkce v tomto oboru o 26 % nižší.</w:t>
      </w:r>
    </w:p>
  </w:footnote>
  <w:footnote w:id="23">
    <w:p w14:paraId="117AB44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tomto oboru došlo v rámci 1. čtvrtletí k meziročnímu poklesu produkce naposledy v roce 2015.</w:t>
      </w:r>
    </w:p>
  </w:footnote>
  <w:footnote w:id="24">
    <w:p w14:paraId="2B63F825" w14:textId="77777777" w:rsidR="000C004E" w:rsidRDefault="000C004E" w:rsidP="000C004E">
      <w:pPr>
        <w:pStyle w:val="Textpoznpodarou"/>
        <w:jc w:val="both"/>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Zjišťování zakázek probíhá ve dvanácti zpracovatelských odvětvích vyrábějících převážně na zakázku, s dlouhodobějším výrobním cyklem a s většími zásobami zakázek. Meziroční tempa zakázek jsou očištěna o kalendářní vlivy, mezikvartální tempa také o vliv sezónnosti.</w:t>
      </w:r>
    </w:p>
  </w:footnote>
  <w:footnote w:id="25">
    <w:p w14:paraId="35336BD3"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Dle květnového šetření očekávalo v tříměsíčním horizontu růst výroby 14 % podniků, 8 % naopak útlum.</w:t>
      </w:r>
    </w:p>
  </w:footnote>
  <w:footnote w:id="26">
    <w:p w14:paraId="10BC42F7"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některých oborech (potravinářský, nápojový a kovodělný průmysl či subdodavatelská odvětví výroby motorových vozidel) se však stále jednalo o významnou bariéru, výjimečně šlo o dominantní růstové omezení (kožedělný průmysl, výroba ostatních dopravních prostředků, oprava a instalace strojů a zařízení).</w:t>
      </w:r>
    </w:p>
  </w:footnote>
  <w:footnote w:id="27">
    <w:p w14:paraId="2161B1E2"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Tato bariéra se v posledních měsících nejvíce projevovala v chemickém a petrochemickém průmyslu, s občasnými výpadky výrobních komponent se stále potýkali i výrobci motorových vozidel.</w:t>
      </w:r>
    </w:p>
  </w:footnote>
  <w:footnote w:id="28">
    <w:p w14:paraId="3BF1EEC3"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w:t>
      </w:r>
      <w:r>
        <w:rPr>
          <w:color w:val="0D0D0D" w:themeColor="text1" w:themeTint="F2"/>
          <w:spacing w:val="-3"/>
          <w:sz w:val="16"/>
          <w:szCs w:val="16"/>
        </w:rPr>
        <w:t>V krátkodobém horizontu předpokládalo zvyšování cen své produkce 15 % podniků, pokles pak 2 %.</w:t>
      </w:r>
    </w:p>
  </w:footnote>
  <w:footnote w:id="29">
    <w:p w14:paraId="4B618981"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Letos v květnu plánovalo v tříměsíčním horizontu propouštět pracovníky 17 % firem, nabírat pak pouze 7 % (nejméně z hlavních odvětví ekonomiky).</w:t>
      </w:r>
    </w:p>
  </w:footnote>
  <w:footnote w:id="30">
    <w:p w14:paraId="77E4EB75" w14:textId="77777777" w:rsidR="000C004E" w:rsidRDefault="000C004E" w:rsidP="000C004E">
      <w:pPr>
        <w:pStyle w:val="Textpoznpodarou"/>
        <w:jc w:val="both"/>
        <w:rPr>
          <w:sz w:val="16"/>
          <w:szCs w:val="16"/>
        </w:rPr>
      </w:pPr>
      <w:r>
        <w:rPr>
          <w:rStyle w:val="Znakapoznpodarou"/>
          <w:rFonts w:cs="Arial"/>
          <w:color w:val="0D0D0D" w:themeColor="text1" w:themeTint="F2"/>
          <w:sz w:val="16"/>
          <w:szCs w:val="16"/>
        </w:rPr>
        <w:footnoteRef/>
      </w:r>
      <w:r>
        <w:rPr>
          <w:rFonts w:cs="Arial"/>
          <w:color w:val="0D0D0D" w:themeColor="text1" w:themeTint="F2"/>
          <w:sz w:val="16"/>
          <w:szCs w:val="16"/>
        </w:rPr>
        <w:t xml:space="preserve"> Údaje o stavební produkci jsou ve stálých cenách, meziroční tempa jsou očištěna o kalendářní vlivy, mezičtvrtletní též o vliv sezónnosti.</w:t>
      </w:r>
    </w:p>
  </w:footnote>
  <w:footnote w:id="31">
    <w:p w14:paraId="2429E04A" w14:textId="77777777" w:rsidR="000C004E" w:rsidRDefault="000C004E" w:rsidP="000C004E">
      <w:pPr>
        <w:pStyle w:val="Textpoznpodarou"/>
      </w:pPr>
      <w:r>
        <w:rPr>
          <w:rStyle w:val="Znakapoznpodarou"/>
          <w:sz w:val="16"/>
          <w:szCs w:val="16"/>
        </w:rPr>
        <w:footnoteRef/>
      </w:r>
      <w:r>
        <w:rPr>
          <w:sz w:val="16"/>
          <w:szCs w:val="16"/>
        </w:rPr>
        <w:t xml:space="preserve"> Letos v květnu plánovalo v tříměsíčním horizontu nabírat pracovníky 16 % firem, propouštět pak 6 % (v obou případech jsou očekávání příznivější než ve stejném období loni). Nejvíce optimistické byly v tomto ohledu podniky v inženýrském stavitelství.</w:t>
      </w:r>
    </w:p>
  </w:footnote>
  <w:footnote w:id="32">
    <w:p w14:paraId="758E493A" w14:textId="77777777" w:rsidR="000C004E" w:rsidRDefault="000C004E" w:rsidP="000C004E">
      <w:pPr>
        <w:spacing w:after="0" w:line="240" w:lineRule="auto"/>
        <w:rPr>
          <w:spacing w:val="-2"/>
        </w:rPr>
      </w:pPr>
      <w:r>
        <w:rPr>
          <w:rStyle w:val="Znakapoznpodarou"/>
          <w:color w:val="0D0D0D" w:themeColor="text1" w:themeTint="F2"/>
          <w:spacing w:val="-2"/>
          <w:sz w:val="16"/>
          <w:szCs w:val="16"/>
        </w:rPr>
        <w:footnoteRef/>
      </w:r>
      <w:r>
        <w:rPr>
          <w:color w:val="0D0D0D" w:themeColor="text1" w:themeTint="F2"/>
          <w:spacing w:val="-2"/>
          <w:sz w:val="16"/>
          <w:szCs w:val="16"/>
        </w:rPr>
        <w:t xml:space="preserve"> Bez obchodu, peněžnictví, pojišťovnictví, vědy, výzkumu a veřejných služeb. Všechny údaje za tržby ve službách jsou ve stálých cenách, meziroční data jsou očištěna o kalendářní vlivy, mezičtvrtletní jsou očištěna o sezónní vlivy (včetně vlivu počtu pracovních dnů).</w:t>
      </w:r>
    </w:p>
  </w:footnote>
  <w:footnote w:id="33">
    <w:p w14:paraId="6E9C27C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Oproti 2. čtvrtletí 2019 byly celkové tržby na počátku letošního roku vyšší o 4,1 %. Z hlavních odvětví služeb překonaly úroveň z  2. čtvrtletí zejména informační a komunikační činnosti (+15,6 %) a profesní, vědecké a technické činnosti (+6,2 %). Naopak nejvíce stále zaostávalo ubytování, stravování a pohostinství (</w:t>
      </w:r>
      <w:r>
        <w:rPr>
          <w:color w:val="0D0D0D" w:themeColor="text1" w:themeTint="F2"/>
          <w:spacing w:val="-5"/>
          <w:sz w:val="16"/>
          <w:szCs w:val="16"/>
        </w:rPr>
        <w:t>−</w:t>
      </w:r>
      <w:r>
        <w:rPr>
          <w:sz w:val="16"/>
          <w:szCs w:val="16"/>
        </w:rPr>
        <w:t>14,6 %) a administrativní a podpůrné činnosti (</w:t>
      </w:r>
      <w:r>
        <w:rPr>
          <w:color w:val="0D0D0D" w:themeColor="text1" w:themeTint="F2"/>
          <w:spacing w:val="-5"/>
          <w:sz w:val="16"/>
          <w:szCs w:val="16"/>
        </w:rPr>
        <w:t>−</w:t>
      </w:r>
      <w:r>
        <w:rPr>
          <w:sz w:val="16"/>
          <w:szCs w:val="16"/>
        </w:rPr>
        <w:t>5,9 %).</w:t>
      </w:r>
    </w:p>
  </w:footnote>
  <w:footnote w:id="34">
    <w:p w14:paraId="77B02635" w14:textId="77777777" w:rsidR="000C004E" w:rsidRDefault="000C004E" w:rsidP="000C004E">
      <w:pPr>
        <w:pStyle w:val="Textpoznpodarou"/>
      </w:pPr>
      <w:r>
        <w:rPr>
          <w:rStyle w:val="Znakapoznpodarou"/>
          <w:sz w:val="16"/>
          <w:szCs w:val="16"/>
        </w:rPr>
        <w:footnoteRef/>
      </w:r>
      <w:r>
        <w:rPr>
          <w:sz w:val="16"/>
          <w:szCs w:val="16"/>
        </w:rPr>
        <w:t xml:space="preserve"> Jde především o činnosti webových portálů, zpravodajských tiskových kanceláří a agentur či zpracování dat a hosting.</w:t>
      </w:r>
    </w:p>
  </w:footnote>
  <w:footnote w:id="35">
    <w:p w14:paraId="3BB6C2C1"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Ty </w:t>
      </w:r>
      <w:r>
        <w:rPr>
          <w:color w:val="0D0D0D" w:themeColor="text1" w:themeTint="F2"/>
          <w:spacing w:val="-6"/>
          <w:sz w:val="16"/>
          <w:szCs w:val="16"/>
        </w:rPr>
        <w:t>zahrnují zejména programování, poradenství v oblasti informačních technologií či správu počítačového vybavení.</w:t>
      </w:r>
    </w:p>
  </w:footnote>
  <w:footnote w:id="36">
    <w:p w14:paraId="6D5A378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Loňský propad poptávky zde mohl souviset s dozvuky </w:t>
      </w:r>
      <w:r>
        <w:rPr>
          <w:rFonts w:cs="Arial"/>
          <w:color w:val="0D0D0D" w:themeColor="text1" w:themeTint="F2"/>
          <w:spacing w:val="-6"/>
          <w:sz w:val="16"/>
          <w:szCs w:val="16"/>
        </w:rPr>
        <w:t>delší stávky v Hollywoodu (z druhé poloviny roku 2023). Vývoj tržeb filmového hudebního průmyslu v tuzemsku je obecně dosti rozkolísaný, což souvisí s nepravidelnými fakturacemi.</w:t>
      </w:r>
    </w:p>
  </w:footnote>
  <w:footnote w:id="37">
    <w:p w14:paraId="391253CC"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Toto dílčí odvětví, v němž hrají významnou roli drobní podnikatelé, zahrnuje především zprostředkovatelské činnosti, návrhářské, překladatelské a fotografické služby nebo činnosti stavebního dozoru.</w:t>
      </w:r>
    </w:p>
  </w:footnote>
  <w:footnote w:id="38">
    <w:p w14:paraId="0F2593DA"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Ty zahrnují např. pořádání konferencí a výstav, inkasní činnosti, ověřování solventnosti zákazníka, ale také např. činnosti call center. </w:t>
      </w:r>
    </w:p>
  </w:footnote>
  <w:footnote w:id="39">
    <w:p w14:paraId="2FA5C466"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Meziročně se nejvíce zvyšovaly tržby za pronájem a leasing výrobků pro osobní potřebu a převážně pro domácnost, zahrnující např. </w:t>
      </w:r>
      <w:r>
        <w:rPr>
          <w:color w:val="0D0D0D" w:themeColor="text1" w:themeTint="F2"/>
          <w:spacing w:val="-4"/>
          <w:sz w:val="16"/>
          <w:szCs w:val="16"/>
        </w:rPr>
        <w:t>rekreační a sportovní potřeby</w:t>
      </w:r>
      <w:r>
        <w:rPr>
          <w:sz w:val="16"/>
          <w:szCs w:val="16"/>
        </w:rPr>
        <w:t xml:space="preserve"> (+9 %) o Pronájem a leasing ostatních strojů, zařízení a nákladních automobilů (+6 %). Oproti tomu pronájem a leasing automobilů letos, stejně jako v předešlých dvou letech, spíše stagnoval.</w:t>
      </w:r>
    </w:p>
  </w:footnote>
  <w:footnote w:id="40">
    <w:p w14:paraId="056C4B5C"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K poklesu tržeb zde došlo i při vysokém růstu počtu pracujících cizinců v ČR. Na něm se v posledních třech letech významně podíleli uprchlíci z Ukrajiny. Vzhledem ke statutu dočasné ochrany, který byl těmto osobám přiznán, je jejich zaměstnávání v tuzemsku administrativně jednodušší (oproti ostatním skupinám migrantů z tzv. třetích zemí) a ti tak mohou snáze nalézt práci „napřímo“ (bez zprostředkovatele). Kromě výše uvedeného se na poklesu tržeb může podílet i snížená poptávka pracovních agentur ze strany klíčových výrobních oborů průmyslu.</w:t>
      </w:r>
    </w:p>
  </w:footnote>
  <w:footnote w:id="41">
    <w:p w14:paraId="2693B4C8"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1. čtvrtletí 2025 se zvýšily ceny ubytovacích služeb meziročně o 8,5 % a stravovacích služeb o 4,9 %. Proti roku 2015 byly v letos březnu v úhrnu za oba segmenty vyšší o 95 %, kdežto ceny v celém spotřebitelském koši se za stejné období navýšily „jen“ o 54 %.</w:t>
      </w:r>
    </w:p>
  </w:footnote>
  <w:footnote w:id="42">
    <w:p w14:paraId="0B8B2484" w14:textId="77777777" w:rsidR="000C004E" w:rsidRDefault="000C004E" w:rsidP="000C004E">
      <w:pPr>
        <w:pStyle w:val="paragraph"/>
        <w:spacing w:before="0" w:beforeAutospacing="0" w:after="0" w:afterAutospacing="0"/>
        <w:jc w:val="both"/>
        <w:textAlignment w:val="baseline"/>
        <w:rPr>
          <w:rStyle w:val="normaltextrun"/>
          <w:rFonts w:ascii="Arial" w:hAnsi="Arial" w:cs="Arial"/>
        </w:rPr>
      </w:pPr>
      <w:r>
        <w:rPr>
          <w:rStyle w:val="Znakapoznpodarou"/>
          <w:rFonts w:ascii="Arial" w:hAnsi="Arial" w:cs="Arial"/>
          <w:sz w:val="16"/>
          <w:szCs w:val="16"/>
        </w:rPr>
        <w:footnoteRef/>
      </w:r>
      <w:r>
        <w:rPr>
          <w:rFonts w:ascii="Arial" w:hAnsi="Arial" w:cs="Arial"/>
          <w:sz w:val="16"/>
          <w:szCs w:val="16"/>
        </w:rPr>
        <w:t xml:space="preserve"> </w:t>
      </w:r>
      <w:r>
        <w:rPr>
          <w:rStyle w:val="normaltextrun"/>
          <w:rFonts w:eastAsia="MS Gothic" w:cs="Arial"/>
          <w:sz w:val="16"/>
          <w:szCs w:val="16"/>
        </w:rPr>
        <w:t>Cestovní ruch v Česku se v 1. čtvrtletí 2025 nadále rozvíjel, byť méně dynamicky než na konci loňského roku. Tuzemští poskytovatelé hromadného ubytování (HUZ) registrovali letos meziročně o 1,4 % ubytovaných hostů více (bez významného rozdílu tempa mezi domácí a zahraniční klientelou) a počet jejich přenocování se zvýšil o 0,6 %. Přijelo 4,1 mil. hostů, kteří v tuzemsku strávili 10,5 milionu nocí. Oproti shodnému období roku 2019 to bylo o 4 % hostů více, avšak o 1,6 % nocí méně. Poptávka samotných nerezidentů ale stále nedosáhla úrovně z roku 2019 (hosté: −1,8 %, přenocování: −5,4 %).</w:t>
      </w:r>
      <w:r>
        <w:rPr>
          <w:rFonts w:ascii="Arial" w:hAnsi="Arial" w:cs="Arial"/>
          <w:sz w:val="16"/>
          <w:szCs w:val="16"/>
        </w:rPr>
        <w:t xml:space="preserve"> </w:t>
      </w:r>
      <w:r>
        <w:rPr>
          <w:rStyle w:val="normaltextrun"/>
          <w:rFonts w:eastAsia="MS Gothic" w:cs="Arial"/>
          <w:sz w:val="16"/>
          <w:szCs w:val="16"/>
        </w:rPr>
        <w:t>Relativně skromný letošní růst návštěvnosti souvisí s posunutými Velikonocemi (ty loni začaly již na konci března, což spolu s nezvykle teplým počasím v tomto měsíci tehdy přilákalo více turistů). Vliv vyšší loňské základny je patrný na návštěvnosti hotelů – v březnu 2025 zde počet přenocování klesl meziročně o 7 %, ale v předchozích měsících poptávka hostů stabilně rostla (vyjma září 2024 – vliv povodní a dubna 2024 – efekt pozdějšího startu Velikonoc v roce 2023).</w:t>
      </w:r>
    </w:p>
    <w:p w14:paraId="740496D8" w14:textId="77777777" w:rsidR="000C004E" w:rsidRDefault="000C004E" w:rsidP="000C004E">
      <w:pPr>
        <w:pStyle w:val="paragraph"/>
        <w:spacing w:before="0" w:beforeAutospacing="0" w:after="0" w:afterAutospacing="0"/>
        <w:jc w:val="both"/>
        <w:textAlignment w:val="baseline"/>
        <w:rPr>
          <w:rStyle w:val="normaltextrun"/>
          <w:rFonts w:eastAsia="MS Gothic"/>
          <w:sz w:val="16"/>
          <w:szCs w:val="16"/>
        </w:rPr>
      </w:pPr>
      <w:r>
        <w:rPr>
          <w:rStyle w:val="normaltextrun"/>
          <w:rFonts w:eastAsia="MS Gothic" w:cs="Arial"/>
          <w:sz w:val="16"/>
          <w:szCs w:val="16"/>
        </w:rPr>
        <w:t>Počet hostů v HUZ klesl oproti 1. loňskému kvartálu jen ve čtyřech krajích (Středočeském, Jihočeském, Plzeňském a Jihomoravském, vždy v rozmezí 2–4 %), rostl naopak zejména v Pardubickém kraji (11 %) a také v dalších krajích s významnými horskými středisky (mezi 6–7 %). Na rozdíl od loňského roku letošní únor i březen umožnil hladký a přívětivý průběh zimní lyžařské sezóny. Počet přenocování hostů klesl v 1. čtvrtletí 2025 meziročně skoro v polovině krajů – nejvíce ve Středočeském (−6,5 %). Z toho poptávka domácích hostů celkově mírně klesla (−0,8 %), nejvíce v Jihomoravském kraji (−7 %) a rostla jen v pěti krajích – nejvíce v Ústeckém (+12 %).</w:t>
      </w:r>
      <w:r>
        <w:rPr>
          <w:rStyle w:val="normaltextrun"/>
          <w:rFonts w:eastAsia="MS Gothic"/>
          <w:sz w:val="16"/>
          <w:szCs w:val="16"/>
        </w:rPr>
        <w:t> </w:t>
      </w:r>
    </w:p>
    <w:p w14:paraId="6F1BD3D4" w14:textId="77777777" w:rsidR="000C004E" w:rsidRDefault="000C004E" w:rsidP="000C004E">
      <w:pPr>
        <w:pStyle w:val="Textpoznpodarou"/>
        <w:rPr>
          <w:rFonts w:cs="Arial"/>
        </w:rPr>
      </w:pPr>
      <w:r>
        <w:rPr>
          <w:rStyle w:val="normaltextrun"/>
          <w:rFonts w:eastAsia="MS Gothic" w:cs="Arial"/>
          <w:sz w:val="16"/>
          <w:szCs w:val="16"/>
        </w:rPr>
        <w:t xml:space="preserve">Zahraničních hostů se letos v HUZ ubytovalo meziročně o 1,9 % více (podobně rostl i počet jejich přenocování). Skoro polovina (43 %) ze všech nerezidentů i jejich přenocování realizovaných v Česku připadala v 1. čtvrtletí na občany ze sousedních států. Z této klíčové skupiny klientely ovšem vykázali růst poptávky jen Poláci, jejichž přenocování v Česku přibylo o 31 % (vedle Prahy rostl jejich zájem hlavně o regiony s horskými středisky). Relativně nejvíce se celkově zvýšila přenocování hostů z Izraele (+67 %, zčásti efektem nižší loňské základny kvůli válce), z významné klientely dále z Ukrajiny (+20 %) a Velké Británie, vč. S. Irska (+17 %). Z dříve důležité asijské klientely aktuálně svižně vzrostla přenocování jen Číňanům (+51 %), skromněji Japoncům (+12 %) a z J. Korey dokonce poptávka mírně klesla (−3 %). V Česku ale posilují nové dynamické vzdálené trhy </w:t>
      </w:r>
      <w:r>
        <w:rPr>
          <w:rStyle w:val="normaltextrun"/>
          <w:rFonts w:cs="Arial"/>
          <w:sz w:val="16"/>
          <w:szCs w:val="16"/>
        </w:rPr>
        <w:t>–</w:t>
      </w:r>
      <w:r>
        <w:rPr>
          <w:rStyle w:val="normaltextrun"/>
          <w:rFonts w:eastAsia="MS Gothic" w:cs="Arial"/>
          <w:sz w:val="16"/>
          <w:szCs w:val="16"/>
        </w:rPr>
        <w:t xml:space="preserve"> Saúdská Arábie (+33 %), SAE (+29 %), Thajsko (+25 %), Indie (+16 %) či Argentina (+26 %). Na druhou stranu u nerezidentů skoro z poloviny všech sledovaných států a uskupení počet přenocování meziročně klesl. Klíčový byl úbytek poptávky z Německa (−8 %, přitom za celý rok 2024 rostla jejich poptávka v Česku slabě +3 %, oproti +9 % za všechny nerezidenty), velmi podobně je na tom i poptávka ze Slovenska. Hlubší pokles přenocování nastal u Maďarů (</w:t>
      </w:r>
      <w:r>
        <w:rPr>
          <w:rStyle w:val="normaltextrun"/>
          <w:rFonts w:cs="Arial"/>
          <w:sz w:val="16"/>
          <w:szCs w:val="16"/>
        </w:rPr>
        <w:t>−</w:t>
      </w:r>
      <w:r>
        <w:rPr>
          <w:rStyle w:val="normaltextrun"/>
          <w:rFonts w:eastAsia="MS Gothic" w:cs="Arial"/>
          <w:sz w:val="16"/>
          <w:szCs w:val="16"/>
        </w:rPr>
        <w:t> 21 %), Švýcarů (</w:t>
      </w:r>
      <w:r>
        <w:rPr>
          <w:rStyle w:val="normaltextrun"/>
          <w:rFonts w:cs="Arial"/>
          <w:sz w:val="16"/>
          <w:szCs w:val="16"/>
        </w:rPr>
        <w:t>−</w:t>
      </w:r>
      <w:r>
        <w:rPr>
          <w:rStyle w:val="normaltextrun"/>
          <w:rFonts w:eastAsia="MS Gothic" w:cs="Arial"/>
          <w:sz w:val="16"/>
          <w:szCs w:val="16"/>
        </w:rPr>
        <w:t>17 %) či Rakušanů (</w:t>
      </w:r>
      <w:r>
        <w:rPr>
          <w:rStyle w:val="normaltextrun"/>
          <w:rFonts w:cs="Arial"/>
          <w:sz w:val="16"/>
          <w:szCs w:val="16"/>
        </w:rPr>
        <w:t>−</w:t>
      </w:r>
      <w:r>
        <w:rPr>
          <w:rStyle w:val="normaltextrun"/>
          <w:rFonts w:eastAsia="MS Gothic" w:cs="Arial"/>
          <w:sz w:val="16"/>
          <w:szCs w:val="16"/>
        </w:rPr>
        <w:t xml:space="preserve">11 %). Z předchozích let silný růst poptávky Španělů se na počátku roku 2025 zastavil. </w:t>
      </w:r>
      <w:r>
        <w:rPr>
          <w:rStyle w:val="normaltextrun"/>
          <w:rFonts w:cs="Arial"/>
          <w:sz w:val="16"/>
          <w:szCs w:val="16"/>
        </w:rPr>
        <w:t>Ve srovnání s počátkem roku 2019 byl aktuální počet přenocování v Česku vyšší skoro ve dvou třetinách sledovaných zdrojových států, např. z Polska, Velké Británie, Itálie či Španělska okolo 20 %, ze Slovenska o 14 %, Německa o 4 % a z USA o 2 %. Naopak chybí 96</w:t>
      </w:r>
      <w:r>
        <w:rPr>
          <w:rStyle w:val="normaltextrun"/>
          <w:rFonts w:eastAsia="MS Gothic" w:cs="Arial"/>
          <w:sz w:val="16"/>
          <w:szCs w:val="16"/>
        </w:rPr>
        <w:t> </w:t>
      </w:r>
      <w:r>
        <w:rPr>
          <w:rStyle w:val="normaltextrun"/>
          <w:rFonts w:cs="Arial"/>
          <w:sz w:val="16"/>
          <w:szCs w:val="16"/>
        </w:rPr>
        <w:t>% předkrizové poptávky z Ruska, 59 % z Číny, okolo 45 % z Japonska a J. Korey a dále stále vázne poptávka z celé Skandinávie (např. Švédsko −41 %), většiny států Beneluxu a dále také z Maďarska i Francie (shodně o necelých 10 %).</w:t>
      </w:r>
    </w:p>
  </w:footnote>
  <w:footnote w:id="43">
    <w:p w14:paraId="199A537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Saldo důvěry spotřebitelů tak dosáhlo </w:t>
      </w:r>
      <w:r>
        <w:rPr>
          <w:rStyle w:val="normaltextrun"/>
          <w:rFonts w:cs="Arial"/>
          <w:sz w:val="16"/>
          <w:szCs w:val="16"/>
        </w:rPr>
        <w:t>−</w:t>
      </w:r>
      <w:r>
        <w:rPr>
          <w:sz w:val="16"/>
          <w:szCs w:val="16"/>
        </w:rPr>
        <w:t>9,8 bodu, což bylo horší než v jakýkoli měsíc z období poslední konjunktury (2015 až 2019), ale současně lepší než za celé období let 2022 až 2023.</w:t>
      </w:r>
    </w:p>
  </w:footnote>
  <w:footnote w:id="44">
    <w:p w14:paraId="5081DCC4" w14:textId="77777777" w:rsidR="000C004E" w:rsidRDefault="000C004E" w:rsidP="000C004E">
      <w:pPr>
        <w:spacing w:after="0" w:line="240" w:lineRule="auto"/>
        <w:rPr>
          <w:spacing w:val="-2"/>
        </w:rPr>
      </w:pPr>
      <w:r>
        <w:rPr>
          <w:rStyle w:val="Znakapoznpodarou"/>
          <w:color w:val="0D0D0D" w:themeColor="text1" w:themeTint="F2"/>
          <w:spacing w:val="-2"/>
          <w:sz w:val="16"/>
          <w:szCs w:val="16"/>
        </w:rPr>
        <w:footnoteRef/>
      </w:r>
      <w:r>
        <w:rPr>
          <w:color w:val="0D0D0D" w:themeColor="text1" w:themeTint="F2"/>
          <w:spacing w:val="-2"/>
          <w:sz w:val="16"/>
          <w:szCs w:val="16"/>
        </w:rPr>
        <w:t xml:space="preserve"> Všechna meziroční tempa tržeb za maloobchod jsou uvedena ve stálých cenách a očištěna o kalendářní vlivy, mezičtvrtletní tempa jsou očištěna o sezónní vlivy (včetně vlivu počtu pracovních dnů). Maloobchod zahrnuje pouze odvětví CZ−NACE 47.</w:t>
      </w:r>
    </w:p>
  </w:footnote>
  <w:footnote w:id="45">
    <w:p w14:paraId="20FF3CCC"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Výjimkou byl maloobchod s ostatními výrobky převážně pro domácnost ve specializovaných prodejnách (</w:t>
      </w:r>
      <w:r>
        <w:rPr>
          <w:rStyle w:val="normaltextrun"/>
          <w:rFonts w:cs="Arial"/>
          <w:sz w:val="16"/>
          <w:szCs w:val="16"/>
        </w:rPr>
        <w:t>−</w:t>
      </w:r>
      <w:r>
        <w:rPr>
          <w:sz w:val="16"/>
          <w:szCs w:val="16"/>
        </w:rPr>
        <w:t xml:space="preserve">1,8 %). Ten zahrnuje hlavně </w:t>
      </w:r>
      <w:r>
        <w:rPr>
          <w:rStyle w:val="normaltextrun"/>
          <w:rFonts w:eastAsia="MS Gothic" w:cs="Arial"/>
          <w:spacing w:val="-3"/>
          <w:sz w:val="16"/>
          <w:szCs w:val="16"/>
        </w:rPr>
        <w:t>železářské zboží, stavebniny, barvy, sklo, potřeby pro kutily, elektrospotřebiče, elektroniku, nábytek,</w:t>
      </w:r>
      <w:r>
        <w:rPr>
          <w:rFonts w:cs="Arial"/>
          <w:color w:val="0D0D0D" w:themeColor="text1" w:themeTint="F2"/>
          <w:spacing w:val="-3"/>
          <w:sz w:val="16"/>
          <w:szCs w:val="16"/>
        </w:rPr>
        <w:t> </w:t>
      </w:r>
      <w:r>
        <w:rPr>
          <w:rStyle w:val="normaltextrun"/>
          <w:rFonts w:eastAsia="MS Gothic" w:cs="Arial"/>
          <w:spacing w:val="-3"/>
          <w:sz w:val="16"/>
          <w:szCs w:val="16"/>
        </w:rPr>
        <w:t xml:space="preserve">svítidla, </w:t>
      </w:r>
      <w:r>
        <w:rPr>
          <w:rFonts w:cs="Arial"/>
          <w:color w:val="0D0D0D" w:themeColor="text1" w:themeTint="F2"/>
          <w:sz w:val="16"/>
          <w:szCs w:val="16"/>
        </w:rPr>
        <w:t>koberce či bytový textil.</w:t>
      </w:r>
    </w:p>
  </w:footnote>
  <w:footnote w:id="46">
    <w:p w14:paraId="7ACC1FAB"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To souvisí primárně s propadem tržeb za potraviny (</w:t>
      </w:r>
      <w:r>
        <w:rPr>
          <w:color w:val="0D0D0D" w:themeColor="text1" w:themeTint="F2"/>
          <w:spacing w:val="-2"/>
          <w:sz w:val="16"/>
          <w:szCs w:val="16"/>
        </w:rPr>
        <w:t>−</w:t>
      </w:r>
      <w:r>
        <w:rPr>
          <w:sz w:val="16"/>
          <w:szCs w:val="16"/>
        </w:rPr>
        <w:t>8,9 %) a některých sortimentních skupin nepotravinářského zboží ve</w:t>
      </w:r>
      <w:r>
        <w:rPr>
          <w:color w:val="0D0D0D" w:themeColor="text1" w:themeTint="F2"/>
          <w:spacing w:val="-2"/>
          <w:sz w:val="16"/>
          <w:szCs w:val="16"/>
        </w:rPr>
        <w:t xml:space="preserve"> </w:t>
      </w:r>
      <w:r>
        <w:rPr>
          <w:sz w:val="16"/>
          <w:szCs w:val="16"/>
        </w:rPr>
        <w:t>specializovaných prodejnách: zejména s oděvy, obuví a koženým zbožím (</w:t>
      </w:r>
      <w:r>
        <w:rPr>
          <w:color w:val="0D0D0D" w:themeColor="text1" w:themeTint="F2"/>
          <w:spacing w:val="-2"/>
          <w:sz w:val="16"/>
          <w:szCs w:val="16"/>
        </w:rPr>
        <w:t>−</w:t>
      </w:r>
      <w:r>
        <w:rPr>
          <w:sz w:val="16"/>
          <w:szCs w:val="16"/>
        </w:rPr>
        <w:t>24,5 %), výrobky převážně pro domácnost (</w:t>
      </w:r>
      <w:r>
        <w:rPr>
          <w:color w:val="0D0D0D" w:themeColor="text1" w:themeTint="F2"/>
          <w:spacing w:val="-2"/>
          <w:sz w:val="16"/>
          <w:szCs w:val="16"/>
        </w:rPr>
        <w:t>−</w:t>
      </w:r>
      <w:r>
        <w:rPr>
          <w:sz w:val="16"/>
          <w:szCs w:val="16"/>
        </w:rPr>
        <w:t>15,2 %) a</w:t>
      </w:r>
      <w:r>
        <w:rPr>
          <w:color w:val="0D0D0D" w:themeColor="text1" w:themeTint="F2"/>
          <w:spacing w:val="-2"/>
          <w:sz w:val="16"/>
          <w:szCs w:val="16"/>
        </w:rPr>
        <w:t> </w:t>
      </w:r>
      <w:r>
        <w:rPr>
          <w:sz w:val="16"/>
          <w:szCs w:val="16"/>
        </w:rPr>
        <w:t>výrobky pro kulturu a rekreaci (</w:t>
      </w:r>
      <w:r>
        <w:rPr>
          <w:color w:val="0D0D0D" w:themeColor="text1" w:themeTint="F2"/>
          <w:spacing w:val="-2"/>
          <w:sz w:val="16"/>
          <w:szCs w:val="16"/>
        </w:rPr>
        <w:t>−</w:t>
      </w:r>
      <w:r>
        <w:rPr>
          <w:sz w:val="16"/>
          <w:szCs w:val="16"/>
        </w:rPr>
        <w:t>9,4 %). Naopak aktuální souhrnná poptávka po nepotravinářském zboží se nachází mírně nad úrovní 4.</w:t>
      </w:r>
      <w:r>
        <w:rPr>
          <w:color w:val="0D0D0D" w:themeColor="text1" w:themeTint="F2"/>
          <w:spacing w:val="-2"/>
          <w:sz w:val="16"/>
          <w:szCs w:val="16"/>
        </w:rPr>
        <w:t> </w:t>
      </w:r>
      <w:r>
        <w:rPr>
          <w:sz w:val="16"/>
          <w:szCs w:val="16"/>
        </w:rPr>
        <w:t>čtvrtletí 2019 (+4,1 %), hlavně zásluhou prodeje prostřednictvím internetu nebo zásilkové služby (+51,2 %) a specializovaných prodejen s kosmetickými a toaletními výrobky (+34,6 %) a farmaceutickým a zdravotnickým zbožím (+24,3 %). Vedle toho byl vyšší rovněž prodej pohonných hmot (+9,8 %).</w:t>
      </w:r>
    </w:p>
  </w:footnote>
  <w:footnote w:id="47">
    <w:p w14:paraId="03E7E0DB"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Vedle toho pokračoval čtvrtým rokem v řadě růst tržeb v okrajovém segmentu </w:t>
      </w:r>
      <w:r>
        <w:rPr>
          <w:rFonts w:cs="Arial"/>
          <w:color w:val="0D0D0D" w:themeColor="text1" w:themeTint="F2"/>
          <w:spacing w:val="-4"/>
          <w:sz w:val="16"/>
          <w:szCs w:val="16"/>
        </w:rPr>
        <w:t>nespecializovaných prodejen s převahou nepotravinářského zboží (v 1. čtvrtletí: +6,4 %). Ten se zaměřuje typicky na nabídku různorodého zboží za diskontní ceny.</w:t>
      </w:r>
    </w:p>
  </w:footnote>
  <w:footnote w:id="48">
    <w:p w14:paraId="71A9DD3D"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Tato sortimentní skupina vykazuje nejvyšší růst mezi specializovanými prodejnami již sedmý kvartál v řadě. </w:t>
      </w:r>
    </w:p>
  </w:footnote>
  <w:footnote w:id="49">
    <w:p w14:paraId="1C996965" w14:textId="77777777" w:rsidR="000C004E" w:rsidRDefault="000C004E" w:rsidP="000C004E">
      <w:pPr>
        <w:pStyle w:val="Textpoznpodarou"/>
      </w:pPr>
      <w:r>
        <w:rPr>
          <w:rStyle w:val="Znakapoznpodarou"/>
          <w:sz w:val="16"/>
          <w:szCs w:val="16"/>
        </w:rPr>
        <w:footnoteRef/>
      </w:r>
      <w:r>
        <w:rPr>
          <w:sz w:val="16"/>
          <w:szCs w:val="16"/>
        </w:rPr>
        <w:t xml:space="preserve"> Ty zahrnují např. masné výrobky, pečivo, cukrářské výrobky či nápoje. Největší váhu zde však mají prodejny s tabákovými výrobky. Celkové tržby zde letos vzrostly poprvé za posledních dvanáct čtvrtletí.</w:t>
      </w:r>
    </w:p>
  </w:footnote>
  <w:footnote w:id="50">
    <w:p w14:paraId="446D0176" w14:textId="77777777" w:rsidR="000C004E" w:rsidRDefault="000C004E" w:rsidP="000C004E">
      <w:pPr>
        <w:pStyle w:val="Textpoznpodarou"/>
        <w:rPr>
          <w:rFonts w:cs="Arial"/>
          <w:color w:val="0D0D0D" w:themeColor="text1" w:themeTint="F2"/>
          <w:sz w:val="16"/>
          <w:szCs w:val="16"/>
        </w:rPr>
      </w:pPr>
      <w:r>
        <w:rPr>
          <w:rStyle w:val="Znakapoznpodarou"/>
          <w:sz w:val="16"/>
          <w:szCs w:val="16"/>
        </w:rPr>
        <w:footnoteRef/>
      </w:r>
      <w:r>
        <w:rPr>
          <w:sz w:val="16"/>
          <w:szCs w:val="16"/>
        </w:rPr>
        <w:t xml:space="preserve"> </w:t>
      </w:r>
      <w:r>
        <w:rPr>
          <w:rFonts w:cs="Arial"/>
          <w:color w:val="0D0D0D" w:themeColor="text1" w:themeTint="F2"/>
          <w:sz w:val="16"/>
          <w:szCs w:val="16"/>
        </w:rPr>
        <w:t>Spotřebitelská cena nafty dosahovala letos v květnu</w:t>
      </w:r>
      <w:r>
        <w:rPr>
          <w:iCs/>
          <w:color w:val="0D0D0D" w:themeColor="text1" w:themeTint="F2"/>
          <w:sz w:val="16"/>
          <w:szCs w:val="16"/>
        </w:rPr>
        <w:t xml:space="preserve"> v průměru 32,70 korun/l a benzín Natural 95 se na čerpacích stanicích prodával přibližně za 33,90 korun/l. V případě nafty to byla nejnižší hodnota od června roku 2023 a u benzinu Natural 95 dokonce od září roku 2021.</w:t>
      </w:r>
      <w:r>
        <w:rPr>
          <w:rFonts w:cs="Arial"/>
          <w:color w:val="0D0D0D" w:themeColor="text1" w:themeTint="F2"/>
          <w:sz w:val="16"/>
          <w:szCs w:val="16"/>
        </w:rPr>
        <w:t xml:space="preserve"> Na tento vývoj kromě tuzemských domácností i firem patrně reagovali také zahraniční dopravci, již přes Česko realizují tranzitní dopravu.</w:t>
      </w:r>
    </w:p>
  </w:footnote>
  <w:footnote w:id="51">
    <w:p w14:paraId="24DDE76E"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Tržby v běžných cenách se ovšem v 1. čtvrtletí 2025 zvýšily pouze o 2,9 %.</w:t>
      </w:r>
    </w:p>
  </w:footnote>
  <w:footnote w:id="52">
    <w:p w14:paraId="273B7B20" w14:textId="77777777" w:rsidR="00A04CEF" w:rsidRPr="001F1881" w:rsidRDefault="00A04CEF" w:rsidP="003B7AFA">
      <w:pPr>
        <w:pStyle w:val="Textpoznpodarou"/>
        <w:rPr>
          <w:rFonts w:cs="Arial"/>
          <w:iCs/>
          <w:sz w:val="16"/>
          <w:szCs w:val="16"/>
        </w:rPr>
      </w:pPr>
      <w:r w:rsidRPr="00B6522D">
        <w:rPr>
          <w:rStyle w:val="Znakapoznpodarou"/>
          <w:rFonts w:cs="Arial"/>
          <w:i/>
          <w:sz w:val="16"/>
          <w:szCs w:val="16"/>
        </w:rPr>
        <w:footnoteRef/>
      </w:r>
      <w:r w:rsidRPr="00B6522D">
        <w:rPr>
          <w:rFonts w:cs="Arial"/>
          <w:i/>
          <w:iCs/>
          <w:sz w:val="16"/>
          <w:szCs w:val="16"/>
        </w:rPr>
        <w:t xml:space="preserve"> </w:t>
      </w:r>
      <w:r w:rsidRPr="00B6522D">
        <w:rPr>
          <w:rStyle w:val="Zdraznn"/>
          <w:rFonts w:cs="Arial"/>
          <w:i w:val="0"/>
          <w:sz w:val="16"/>
          <w:szCs w:val="16"/>
          <w:bdr w:val="none" w:sz="0" w:space="0" w:color="auto" w:frame="1"/>
          <w:shd w:val="clear" w:color="auto" w:fill="FFFFFF"/>
        </w:rPr>
        <w:t>Údaje za zahraniční obchod se zbožím jsou od roku 2020 přepočítávány aktualizovanou metodou založenou na vyšší míře detailu, viz </w:t>
      </w:r>
      <w:hyperlink r:id="rId1" w:history="1">
        <w:r w:rsidRPr="00B6522D">
          <w:rPr>
            <w:rStyle w:val="Hypertextovodkaz"/>
            <w:rFonts w:cs="Arial"/>
            <w:i/>
            <w:sz w:val="16"/>
            <w:szCs w:val="16"/>
            <w:bdr w:val="none" w:sz="0" w:space="0" w:color="auto" w:frame="1"/>
            <w:shd w:val="clear" w:color="auto" w:fill="FFFFFF"/>
          </w:rPr>
          <w:t>https://www.czso.cz/csu/czso/aktualizace-metody-propoctu-zahranicni-obchod-se-zbozim</w:t>
        </w:r>
      </w:hyperlink>
      <w:r w:rsidRPr="00B6522D">
        <w:rPr>
          <w:rStyle w:val="Hypertextovodkaz"/>
          <w:rFonts w:cs="Arial"/>
          <w:i/>
          <w:sz w:val="16"/>
          <w:szCs w:val="16"/>
          <w:bdr w:val="none" w:sz="0" w:space="0" w:color="auto" w:frame="1"/>
          <w:shd w:val="clear" w:color="auto" w:fill="FFFFFF"/>
        </w:rPr>
        <w:t xml:space="preserve">. </w:t>
      </w:r>
      <w:r w:rsidRPr="00B6522D">
        <w:rPr>
          <w:sz w:val="16"/>
          <w:szCs w:val="16"/>
        </w:rPr>
        <w:t>Není-li uvedeno jinak, jsou všechny údaje</w:t>
      </w:r>
      <w:r w:rsidRPr="001F1881">
        <w:rPr>
          <w:sz w:val="16"/>
          <w:szCs w:val="16"/>
        </w:rPr>
        <w:t xml:space="preserve"> sezónně neočištěné a v běžných cenách.</w:t>
      </w:r>
    </w:p>
  </w:footnote>
  <w:footnote w:id="53">
    <w:p w14:paraId="2FEF3C57" w14:textId="77777777" w:rsidR="00A04CEF" w:rsidRPr="007B30CA" w:rsidRDefault="00A04CEF" w:rsidP="003B7AFA">
      <w:pPr>
        <w:pStyle w:val="Textpoznpodarou"/>
        <w:rPr>
          <w:sz w:val="16"/>
          <w:szCs w:val="16"/>
        </w:rPr>
      </w:pPr>
      <w:r w:rsidRPr="000A5229">
        <w:rPr>
          <w:rStyle w:val="Znakapoznpodarou"/>
          <w:sz w:val="16"/>
          <w:szCs w:val="16"/>
        </w:rPr>
        <w:footnoteRef/>
      </w:r>
      <w:r w:rsidRPr="000A5229">
        <w:rPr>
          <w:sz w:val="16"/>
          <w:szCs w:val="16"/>
        </w:rPr>
        <w:t xml:space="preserve"> Ceny vývozu zboží</w:t>
      </w:r>
      <w:r>
        <w:rPr>
          <w:sz w:val="16"/>
          <w:szCs w:val="16"/>
        </w:rPr>
        <w:t xml:space="preserve"> za 1. čtvrtletí 2025 meziročně vzrostly o 2,3 % a mezičtvrtletně se nezměnily.</w:t>
      </w:r>
      <w:r w:rsidRPr="007B30CA">
        <w:rPr>
          <w:sz w:val="16"/>
          <w:szCs w:val="16"/>
        </w:rPr>
        <w:t xml:space="preserve"> </w:t>
      </w:r>
    </w:p>
  </w:footnote>
  <w:footnote w:id="54">
    <w:p w14:paraId="07EA948D" w14:textId="77777777" w:rsidR="00A04CEF" w:rsidRDefault="00A04CEF" w:rsidP="003B7AFA">
      <w:pPr>
        <w:pStyle w:val="Textpoznpodarou"/>
      </w:pPr>
      <w:r w:rsidRPr="007B30CA">
        <w:rPr>
          <w:rStyle w:val="Znakapoznpodarou"/>
          <w:sz w:val="16"/>
          <w:szCs w:val="16"/>
        </w:rPr>
        <w:footnoteRef/>
      </w:r>
      <w:r w:rsidRPr="007B30CA">
        <w:rPr>
          <w:sz w:val="16"/>
          <w:szCs w:val="16"/>
        </w:rPr>
        <w:t xml:space="preserve"> Zrychlení přírůstku v letošním 1. kvartálu bývá spojováno i se snahou o předzásobení v očekávání zavedení cel</w:t>
      </w:r>
      <w:r>
        <w:rPr>
          <w:sz w:val="16"/>
          <w:szCs w:val="16"/>
        </w:rPr>
        <w:t>, ale v</w:t>
      </w:r>
      <w:r w:rsidRPr="007B30CA">
        <w:rPr>
          <w:sz w:val="16"/>
          <w:szCs w:val="16"/>
        </w:rPr>
        <w:t>ývoz do USA značně posiloval po celý loňský rok.</w:t>
      </w:r>
    </w:p>
  </w:footnote>
  <w:footnote w:id="55">
    <w:p w14:paraId="4D518883" w14:textId="77777777" w:rsidR="00A04CEF" w:rsidRPr="000A5229" w:rsidRDefault="00A04CEF" w:rsidP="003B7AFA">
      <w:pPr>
        <w:pStyle w:val="Textpoznpodarou"/>
        <w:rPr>
          <w:sz w:val="16"/>
          <w:szCs w:val="16"/>
        </w:rPr>
      </w:pPr>
      <w:r w:rsidRPr="000A5229">
        <w:rPr>
          <w:rStyle w:val="Znakapoznpodarou"/>
          <w:sz w:val="16"/>
          <w:szCs w:val="16"/>
        </w:rPr>
        <w:footnoteRef/>
      </w:r>
      <w:r w:rsidRPr="000A5229">
        <w:rPr>
          <w:sz w:val="16"/>
          <w:szCs w:val="16"/>
        </w:rPr>
        <w:t xml:space="preserve"> Ceny dovozu </w:t>
      </w:r>
      <w:r>
        <w:rPr>
          <w:sz w:val="16"/>
          <w:szCs w:val="16"/>
        </w:rPr>
        <w:t>v 1</w:t>
      </w:r>
      <w:r w:rsidRPr="000A5229">
        <w:rPr>
          <w:sz w:val="16"/>
          <w:szCs w:val="16"/>
        </w:rPr>
        <w:t xml:space="preserve">. čtvrtletí meziročně </w:t>
      </w:r>
      <w:r>
        <w:rPr>
          <w:sz w:val="16"/>
          <w:szCs w:val="16"/>
        </w:rPr>
        <w:t>vzrostly o 2,2 % a mezičtvrtletně o 0,2 %.</w:t>
      </w:r>
    </w:p>
  </w:footnote>
  <w:footnote w:id="56">
    <w:p w14:paraId="4BEEF8A2" w14:textId="77777777" w:rsidR="00A04CEF" w:rsidRPr="00370717" w:rsidRDefault="00A04CEF" w:rsidP="003B7AFA">
      <w:pPr>
        <w:pStyle w:val="Textpoznpodarou"/>
        <w:rPr>
          <w:sz w:val="16"/>
          <w:szCs w:val="16"/>
        </w:rPr>
      </w:pPr>
      <w:r w:rsidRPr="00370717">
        <w:rPr>
          <w:rStyle w:val="Znakapoznpodarou"/>
          <w:sz w:val="16"/>
          <w:szCs w:val="16"/>
        </w:rPr>
        <w:footnoteRef/>
      </w:r>
      <w:r w:rsidRPr="00370717">
        <w:rPr>
          <w:sz w:val="16"/>
          <w:szCs w:val="16"/>
        </w:rPr>
        <w:t xml:space="preserve"> </w:t>
      </w:r>
      <w:r>
        <w:rPr>
          <w:sz w:val="16"/>
          <w:szCs w:val="16"/>
        </w:rPr>
        <w:t>Ve zvýšené míře se dovážely baterie, zejména do elektromobilů.</w:t>
      </w:r>
    </w:p>
  </w:footnote>
  <w:footnote w:id="57">
    <w:p w14:paraId="46F1FF2E" w14:textId="2D01DE5D" w:rsidR="00A04CEF" w:rsidRPr="00B7665A" w:rsidRDefault="00A04CEF">
      <w:pPr>
        <w:pStyle w:val="Textpoznpodarou"/>
        <w:rPr>
          <w:sz w:val="16"/>
          <w:szCs w:val="16"/>
        </w:rPr>
      </w:pPr>
      <w:r w:rsidRPr="00B7665A">
        <w:rPr>
          <w:rStyle w:val="Znakapoznpodarou"/>
          <w:sz w:val="16"/>
          <w:szCs w:val="16"/>
        </w:rPr>
        <w:footnoteRef/>
      </w:r>
      <w:r w:rsidRPr="00B7665A">
        <w:rPr>
          <w:sz w:val="16"/>
          <w:szCs w:val="16"/>
        </w:rPr>
        <w:t xml:space="preserve"> V loňském 1. čtvrtletí dosáhl přebytek rekordní úrovně.</w:t>
      </w:r>
    </w:p>
  </w:footnote>
  <w:footnote w:id="58">
    <w:p w14:paraId="352580A3" w14:textId="77777777" w:rsidR="00A04CEF" w:rsidRDefault="00A04CEF" w:rsidP="003B7AFA">
      <w:pPr>
        <w:pStyle w:val="Textpoznpodarou"/>
        <w:rPr>
          <w:sz w:val="16"/>
          <w:szCs w:val="16"/>
        </w:rPr>
      </w:pPr>
      <w:r>
        <w:rPr>
          <w:rStyle w:val="Znakapoznpodarou"/>
          <w:sz w:val="16"/>
          <w:szCs w:val="16"/>
        </w:rPr>
        <w:footnoteRef/>
      </w:r>
      <w:r>
        <w:rPr>
          <w:sz w:val="16"/>
          <w:szCs w:val="16"/>
        </w:rPr>
        <w:t xml:space="preserve"> Imputované nájemné vyjadřuje náklady vlastnického bydlení. Kromě samotných cen bydlení zahrnuje i náklady na výstavbu a renovace a další poplatky. Více na: </w:t>
      </w:r>
      <w:hyperlink r:id="rId2" w:history="1">
        <w:r>
          <w:rPr>
            <w:rStyle w:val="Hypertextovodkaz"/>
            <w:sz w:val="16"/>
            <w:szCs w:val="16"/>
          </w:rPr>
          <w:t>https://csu.gov.cz/metodicka-poznamka-k-indexu-spotrebitelskych-cen-imputovane-najemne</w:t>
        </w:r>
      </w:hyperlink>
      <w:r>
        <w:rPr>
          <w:rStyle w:val="Hypertextovodkaz"/>
          <w:sz w:val="16"/>
          <w:szCs w:val="16"/>
        </w:rPr>
        <w:t>.</w:t>
      </w:r>
    </w:p>
  </w:footnote>
  <w:footnote w:id="59">
    <w:p w14:paraId="7AC4CB79" w14:textId="77777777" w:rsidR="00A04CEF" w:rsidRDefault="00A04CEF" w:rsidP="003B7AFA">
      <w:pPr>
        <w:pStyle w:val="Textpoznpodarou"/>
        <w:rPr>
          <w:sz w:val="16"/>
          <w:szCs w:val="16"/>
        </w:rPr>
      </w:pPr>
      <w:r>
        <w:rPr>
          <w:rStyle w:val="Znakapoznpodarou"/>
          <w:sz w:val="16"/>
          <w:szCs w:val="16"/>
        </w:rPr>
        <w:footnoteRef/>
      </w:r>
      <w:r>
        <w:rPr>
          <w:sz w:val="16"/>
          <w:szCs w:val="16"/>
        </w:rPr>
        <w:t xml:space="preserve"> Zahrnuje služby osobní péče a osobní potřeby a doplňky, sociální péči, pojištění a další finanční služby apod.</w:t>
      </w:r>
    </w:p>
  </w:footnote>
  <w:footnote w:id="60">
    <w:p w14:paraId="6ABECE20" w14:textId="77777777" w:rsidR="00A04CEF" w:rsidRDefault="00A04CEF" w:rsidP="003B7AFA">
      <w:pPr>
        <w:pStyle w:val="Textpoznpodarou"/>
        <w:rPr>
          <w:sz w:val="16"/>
          <w:szCs w:val="16"/>
        </w:rPr>
      </w:pPr>
      <w:r>
        <w:rPr>
          <w:rStyle w:val="Znakapoznpodarou"/>
          <w:sz w:val="16"/>
          <w:szCs w:val="16"/>
        </w:rPr>
        <w:footnoteRef/>
      </w:r>
      <w:r>
        <w:rPr>
          <w:sz w:val="16"/>
          <w:szCs w:val="16"/>
        </w:rPr>
        <w:t xml:space="preserve"> Oproti indexu spotřebitelských cen, který ČSÚ pro českou ekonomiku sestavuje, HICP neobsahuje imputované nájemné, což bývá zdrojem rozdílů mezi HICP a Indexem spotřebitelských cen.</w:t>
      </w:r>
    </w:p>
  </w:footnote>
  <w:footnote w:id="61">
    <w:p w14:paraId="34F6947E" w14:textId="77777777" w:rsidR="00A04CEF" w:rsidRPr="00F12526" w:rsidRDefault="00A04CEF" w:rsidP="003B7AFA">
      <w:pPr>
        <w:pStyle w:val="Textpoznpodarou"/>
        <w:rPr>
          <w:sz w:val="16"/>
          <w:szCs w:val="16"/>
        </w:rPr>
      </w:pPr>
      <w:r w:rsidRPr="00F12526">
        <w:rPr>
          <w:rStyle w:val="Znakapoznpodarou"/>
          <w:sz w:val="16"/>
          <w:szCs w:val="16"/>
        </w:rPr>
        <w:footnoteRef/>
      </w:r>
      <w:r w:rsidRPr="00F12526">
        <w:rPr>
          <w:sz w:val="16"/>
          <w:szCs w:val="16"/>
        </w:rPr>
        <w:t xml:space="preserve"> Individuální data</w:t>
      </w:r>
    </w:p>
  </w:footnote>
  <w:footnote w:id="62">
    <w:p w14:paraId="72AB6AB4" w14:textId="77777777" w:rsidR="00A04CEF" w:rsidRDefault="00A04CEF" w:rsidP="003B7AFA">
      <w:pPr>
        <w:pStyle w:val="Textpoznpodarou"/>
        <w:rPr>
          <w:sz w:val="16"/>
          <w:szCs w:val="16"/>
        </w:rPr>
      </w:pPr>
      <w:r>
        <w:rPr>
          <w:rStyle w:val="Znakapoznpodarou"/>
          <w:sz w:val="16"/>
          <w:szCs w:val="16"/>
        </w:rPr>
        <w:footnoteRef/>
      </w:r>
      <w:r>
        <w:rPr>
          <w:sz w:val="16"/>
          <w:szCs w:val="16"/>
        </w:rPr>
        <w:t xml:space="preserve"> Bez cen zásobování vodou a služeb souvisejících s odpadními vodami.</w:t>
      </w:r>
    </w:p>
  </w:footnote>
  <w:footnote w:id="63">
    <w:p w14:paraId="35297FCA" w14:textId="6744138D" w:rsidR="00A04CEF" w:rsidRDefault="00A04CEF" w:rsidP="003B7AFA">
      <w:pPr>
        <w:pStyle w:val="Textpoznpodarou"/>
        <w:rPr>
          <w:sz w:val="16"/>
          <w:szCs w:val="16"/>
        </w:rPr>
      </w:pPr>
      <w:r>
        <w:rPr>
          <w:rStyle w:val="Znakapoznpodarou"/>
          <w:sz w:val="16"/>
          <w:szCs w:val="16"/>
        </w:rPr>
        <w:footnoteRef/>
      </w:r>
      <w:r>
        <w:rPr>
          <w:sz w:val="16"/>
          <w:szCs w:val="16"/>
        </w:rPr>
        <w:t xml:space="preserve"> Podle údajů ČNB byl v 1. čtvrtletí 2025 průměrný kurz koruny vůči euru 25,082 CZK/EUR. V 1. čtvrtletí 2024 to bylo </w:t>
      </w:r>
      <w:r>
        <w:rPr>
          <w:sz w:val="16"/>
          <w:szCs w:val="16"/>
        </w:rPr>
        <w:br/>
        <w:t>25,07 CZK/EUR a ve 4. čtvrtletí 2024 kurz dosáhl 25,249 CZK/EUR. Kurz vůči dolaru v 1. čtvrtletí 2025 v průměru činil 23,844 CZK/USD. Ve stejném období roku 2024 to bylo 23,</w:t>
      </w:r>
      <w:r w:rsidR="00E0465E">
        <w:rPr>
          <w:sz w:val="16"/>
          <w:szCs w:val="16"/>
        </w:rPr>
        <w:t>0</w:t>
      </w:r>
      <w:r>
        <w:rPr>
          <w:sz w:val="16"/>
          <w:szCs w:val="16"/>
        </w:rPr>
        <w:t xml:space="preserve">9 CZK/USD a na konci roku 2024 to bylo 23,640 CZK/USD. </w:t>
      </w:r>
    </w:p>
  </w:footnote>
  <w:footnote w:id="64">
    <w:p w14:paraId="2BC947C1" w14:textId="77777777" w:rsidR="000C004E" w:rsidRDefault="000C004E" w:rsidP="000C004E">
      <w:pPr>
        <w:pStyle w:val="Textpoznpodarou"/>
        <w:jc w:val="both"/>
        <w:rPr>
          <w:color w:val="0D0D0D" w:themeColor="text1" w:themeTint="F2"/>
          <w:spacing w:val="-2"/>
          <w:sz w:val="16"/>
          <w:szCs w:val="16"/>
        </w:rPr>
      </w:pPr>
      <w:r>
        <w:rPr>
          <w:rStyle w:val="Znakapoznpodarou"/>
          <w:color w:val="0D0D0D" w:themeColor="text1" w:themeTint="F2"/>
          <w:spacing w:val="-2"/>
        </w:rPr>
        <w:footnoteRef/>
      </w:r>
      <w:r>
        <w:rPr>
          <w:color w:val="0D0D0D" w:themeColor="text1" w:themeTint="F2"/>
          <w:spacing w:val="-2"/>
          <w:sz w:val="16"/>
          <w:szCs w:val="16"/>
        </w:rPr>
        <w:t xml:space="preserve"> Údaje o zaměstnanosti vycházejí z pojetí národních účtů. Jsou vyjádřeny ve fyzických osobách a očištěny o sezónní vlivy. Na rozdíl od údajů z podnikové statistiky či z </w:t>
      </w:r>
      <w:r>
        <w:rPr>
          <w:sz w:val="16"/>
          <w:szCs w:val="16"/>
        </w:rPr>
        <w:t>výběrového šetření pracovních sil (VŠPS) zahrnují např. i odhad vlivu šedé ekonomiky.</w:t>
      </w:r>
    </w:p>
  </w:footnote>
  <w:footnote w:id="65">
    <w:p w14:paraId="63D27A06" w14:textId="77777777" w:rsidR="000C004E" w:rsidRDefault="000C004E" w:rsidP="000C004E">
      <w:pPr>
        <w:pStyle w:val="Textpoznpodarou"/>
        <w:rPr>
          <w:spacing w:val="-3"/>
          <w:sz w:val="16"/>
          <w:szCs w:val="16"/>
        </w:rPr>
      </w:pPr>
      <w:r>
        <w:rPr>
          <w:rStyle w:val="Znakapoznpodarou"/>
        </w:rPr>
        <w:footnoteRef/>
      </w:r>
      <w:r>
        <w:rPr>
          <w:sz w:val="16"/>
          <w:szCs w:val="16"/>
        </w:rPr>
        <w:t xml:space="preserve"> V Unii (i eurozóně) na rozdíl od Česka aktuální tempo růstu zaměstnanosti zpomalilo. Podobně jako v tuzemsku zde dochází </w:t>
      </w:r>
      <w:r>
        <w:rPr>
          <w:sz w:val="16"/>
          <w:szCs w:val="16"/>
        </w:rPr>
        <w:br/>
        <w:t xml:space="preserve">k rozšiřování pracovních míst téměř výhradně jen ve službách, relativně nejvíce v oblasti nemovitostí (+3,7 %), peněžnictví </w:t>
      </w:r>
      <w:r>
        <w:rPr>
          <w:sz w:val="16"/>
          <w:szCs w:val="16"/>
        </w:rPr>
        <w:br/>
        <w:t>a pojišťovnictví (+1,7 %) a také v odvětvích s významnou rolí státu (+1,4 %). Pracovníků naopak ubývá ve zpracovatelském průmyslu (</w:t>
      </w:r>
      <w:r>
        <w:rPr>
          <w:spacing w:val="-3"/>
          <w:sz w:val="16"/>
          <w:szCs w:val="16"/>
        </w:rPr>
        <w:t xml:space="preserve">−1,1 %) a v primárním sektoru (−4,5 %). Z jednotlivých států vzrostl celkový počet pracovníků nejvíce na Maltě (+3,6 %), v Irsku (+3,3 %) </w:t>
      </w:r>
      <w:r>
        <w:rPr>
          <w:spacing w:val="-3"/>
          <w:sz w:val="16"/>
          <w:szCs w:val="16"/>
        </w:rPr>
        <w:br/>
        <w:t xml:space="preserve">a Chorvatsku (+2,8 %) a z významných ekonomik hlavně ve Španělsku (+2,2 %) a v Itálii (+1,5 %). K poklesu naopak došlo v deseti členských státech – především Rumunsku (−4,5 %), Lotyšsku (−1,5 %), Estonsku (−1,1 %) a Polsku (−0,8 %). Ve Francii zaměstnanost stagnovala, stejně jako v Německu, kde však v samotném zpracovatelském průmyslu došlo letos k úbytku o rovná 2 % (za celý loňský rok </w:t>
      </w:r>
      <w:r>
        <w:rPr>
          <w:spacing w:val="-3"/>
          <w:sz w:val="16"/>
          <w:szCs w:val="16"/>
        </w:rPr>
        <w:br/>
        <w:t>o 1 %).</w:t>
      </w:r>
    </w:p>
  </w:footnote>
  <w:footnote w:id="66">
    <w:p w14:paraId="1CA019E3" w14:textId="77777777" w:rsidR="000C004E" w:rsidRDefault="000C004E" w:rsidP="000C004E">
      <w:pPr>
        <w:pStyle w:val="Textpoznpodarou"/>
      </w:pPr>
      <w:r>
        <w:rPr>
          <w:rStyle w:val="Znakapoznpodarou"/>
        </w:rPr>
        <w:footnoteRef/>
      </w:r>
      <w:r>
        <w:rPr>
          <w:sz w:val="16"/>
          <w:szCs w:val="16"/>
        </w:rPr>
        <w:t xml:space="preserve"> Pro zjednodušení </w:t>
      </w:r>
      <w:r>
        <w:rPr>
          <w:spacing w:val="-2"/>
          <w:sz w:val="16"/>
          <w:szCs w:val="16"/>
        </w:rPr>
        <w:t>zahrnují odvětví Veřejná správa a obrana, Vzdělávání, Zdravotní a sociální péče.</w:t>
      </w:r>
    </w:p>
  </w:footnote>
  <w:footnote w:id="67">
    <w:p w14:paraId="450DEDE9" w14:textId="77777777" w:rsidR="000C004E" w:rsidRDefault="000C004E" w:rsidP="000C004E">
      <w:pPr>
        <w:pStyle w:val="Textpoznpodarou"/>
      </w:pPr>
      <w:r>
        <w:rPr>
          <w:rStyle w:val="Znakapoznpodarou"/>
        </w:rPr>
        <w:footnoteRef/>
      </w:r>
      <w:r>
        <w:rPr>
          <w:sz w:val="16"/>
          <w:szCs w:val="16"/>
        </w:rPr>
        <w:t xml:space="preserve"> Ty zahrnují vedle kulturních, zábavních a rekreačních činností např. různé služby pro domácnosti (opravy výrobků, kadeřnické </w:t>
      </w:r>
      <w:r>
        <w:rPr>
          <w:sz w:val="16"/>
          <w:szCs w:val="16"/>
        </w:rPr>
        <w:br/>
        <w:t xml:space="preserve">a kosmetické činnosti aj.). Zaměstnanost v této sekci (tvořená z více než třetiny drobnými podnikateli), citelně postižené v období protipandemických restrikcí, ovšem stále mírně zaostávala za úrovní z vrcholu poslední konjunktury. </w:t>
      </w:r>
    </w:p>
  </w:footnote>
  <w:footnote w:id="68">
    <w:p w14:paraId="426CD252" w14:textId="77777777" w:rsidR="000C004E" w:rsidRDefault="000C004E" w:rsidP="000C004E">
      <w:pPr>
        <w:pStyle w:val="Textpoznpodarou"/>
        <w:rPr>
          <w:sz w:val="16"/>
          <w:szCs w:val="16"/>
        </w:rPr>
      </w:pPr>
      <w:r>
        <w:rPr>
          <w:rStyle w:val="Znakapoznpodarou"/>
        </w:rPr>
        <w:footnoteRef/>
      </w:r>
      <w:r>
        <w:rPr>
          <w:sz w:val="16"/>
          <w:szCs w:val="16"/>
        </w:rPr>
        <w:t xml:space="preserve"> Oprávnění k zaměstnání (pracovní povolení, zaměstnanecké či modré karty) nepotřebovaly na konci 1. čtvrtletí 2025 skoro čtyři pětiny veškerých občanů Ukrajiny (resp. 68 % mužů a 89 % žen) působících v ČR v zaměstnaneckém postavení.</w:t>
      </w:r>
    </w:p>
  </w:footnote>
  <w:footnote w:id="69">
    <w:p w14:paraId="63CD62FD" w14:textId="77777777" w:rsidR="000C004E" w:rsidRDefault="000C004E" w:rsidP="000C004E">
      <w:pPr>
        <w:pStyle w:val="Textpoznpodarou"/>
        <w:rPr>
          <w:color w:val="0D0D0D" w:themeColor="text1" w:themeTint="F2"/>
          <w:sz w:val="16"/>
          <w:szCs w:val="16"/>
        </w:rPr>
      </w:pPr>
      <w:r>
        <w:rPr>
          <w:rStyle w:val="Znakapoznpodarou"/>
        </w:rPr>
        <w:footnoteRef/>
      </w:r>
      <w:r>
        <w:rPr>
          <w:sz w:val="16"/>
          <w:szCs w:val="16"/>
        </w:rPr>
        <w:t xml:space="preserve"> Od 1. července 2024 nově nepotřebují v Česku pracovní povolení ani zaměstnanecké karty cizinci z některých ekonomicky vyspělých </w:t>
      </w:r>
      <w:r>
        <w:rPr>
          <w:color w:val="0D0D0D" w:themeColor="text1" w:themeTint="F2"/>
          <w:sz w:val="16"/>
          <w:szCs w:val="16"/>
        </w:rPr>
        <w:t xml:space="preserve">zemí mimo EU (USA, Velká Británie, Kanada, Austrálie, Nový Zéland, Japonsko, Jižní Korea, Izrael a Singapur). Letos na konci března pracovalo z těchto zemí v Česku v zaměstnaneckém postavení 9,5 tis. osob.   </w:t>
      </w:r>
    </w:p>
  </w:footnote>
  <w:footnote w:id="70">
    <w:p w14:paraId="595B5D86" w14:textId="77777777" w:rsidR="000C004E" w:rsidRDefault="000C004E" w:rsidP="000C004E">
      <w:pPr>
        <w:pStyle w:val="Textpoznpodarou"/>
        <w:rPr>
          <w:sz w:val="16"/>
          <w:szCs w:val="16"/>
        </w:rPr>
      </w:pPr>
      <w:r>
        <w:rPr>
          <w:rStyle w:val="Znakapoznpodarou"/>
          <w:color w:val="0D0D0D" w:themeColor="text1" w:themeTint="F2"/>
        </w:rPr>
        <w:footnoteRef/>
      </w:r>
      <w:r>
        <w:rPr>
          <w:color w:val="0D0D0D" w:themeColor="text1" w:themeTint="F2"/>
          <w:sz w:val="16"/>
          <w:szCs w:val="16"/>
        </w:rPr>
        <w:t xml:space="preserve"> Vedle toho evidovalo MPO ve stejném </w:t>
      </w:r>
      <w:r>
        <w:rPr>
          <w:sz w:val="16"/>
          <w:szCs w:val="16"/>
        </w:rPr>
        <w:t xml:space="preserve">období 132 tis. </w:t>
      </w:r>
      <w:r>
        <w:rPr>
          <w:color w:val="0D0D0D" w:themeColor="text1" w:themeTint="F2"/>
          <w:sz w:val="16"/>
          <w:szCs w:val="16"/>
        </w:rPr>
        <w:t>cizích státních příslušníků s živnostenským oprávněním v Česku (meziročně o 11 % více). Na tomto růstu se skoro ze dvou třetin podíleli Ukrajinci, jichž v Česku podnikalo 43 tis., s odstupem následovali Slováci (26 tis.) a Vietnamci (21 tis.).</w:t>
      </w:r>
    </w:p>
  </w:footnote>
  <w:footnote w:id="71">
    <w:p w14:paraId="211FC0D0" w14:textId="77777777" w:rsidR="000C004E" w:rsidRDefault="000C004E" w:rsidP="000C004E">
      <w:pPr>
        <w:pStyle w:val="Textpoznpodarou"/>
        <w:rPr>
          <w:sz w:val="16"/>
          <w:szCs w:val="16"/>
        </w:rPr>
      </w:pPr>
      <w:r>
        <w:rPr>
          <w:rStyle w:val="Znakapoznpodarou"/>
          <w:color w:val="0D0D0D" w:themeColor="text1" w:themeTint="F2"/>
        </w:rPr>
        <w:footnoteRef/>
      </w:r>
      <w:r>
        <w:rPr>
          <w:color w:val="0D0D0D" w:themeColor="text1" w:themeTint="F2"/>
          <w:sz w:val="16"/>
          <w:szCs w:val="16"/>
        </w:rPr>
        <w:t xml:space="preserve"> Z pohledu krajů vzrostl meziročně počet cizinců nejvíce v Praze (+14,3 %) a Olomouckém kraji (+10,6 %), klesl naopak zejména v Karlovarském kraji (</w:t>
      </w:r>
      <w:r>
        <w:rPr>
          <w:sz w:val="16"/>
          <w:szCs w:val="16"/>
        </w:rPr>
        <w:t>−</w:t>
      </w:r>
      <w:r>
        <w:rPr>
          <w:color w:val="0D0D0D" w:themeColor="text1" w:themeTint="F2"/>
          <w:sz w:val="16"/>
          <w:szCs w:val="16"/>
        </w:rPr>
        <w:t>4,3 %). V dubnu 2025 tak připadla celá třetina všech v Česku zaměstnaných cizinců (v evidenci úřadů práce) na Prahu a spolu se Středočeským, Plzeňským a Jihomoravským krajem pak dokonce 70 %.</w:t>
      </w:r>
    </w:p>
  </w:footnote>
  <w:footnote w:id="72">
    <w:p w14:paraId="5A34AAF3" w14:textId="77777777" w:rsidR="000C004E" w:rsidRDefault="000C004E" w:rsidP="000C004E">
      <w:pPr>
        <w:pStyle w:val="Textpoznpodarou"/>
        <w:rPr>
          <w:sz w:val="16"/>
          <w:szCs w:val="16"/>
        </w:rPr>
      </w:pPr>
      <w:r>
        <w:rPr>
          <w:rStyle w:val="Znakapoznpodarou"/>
        </w:rPr>
        <w:footnoteRef/>
      </w:r>
      <w:r>
        <w:rPr>
          <w:sz w:val="16"/>
          <w:szCs w:val="16"/>
        </w:rPr>
        <w:t xml:space="preserve"> Jedná se o údaje v novém modelu sezónního očištění – pomocí trendcyklu. Inovovaný model očištění lépe odráží změny charakteru trhu práce a sezónnosti. Obdobně je očištěna i měsíční míra nezaměstnanosti.</w:t>
      </w:r>
    </w:p>
  </w:footnote>
  <w:footnote w:id="73">
    <w:p w14:paraId="318F1FBE" w14:textId="77777777" w:rsidR="000C004E" w:rsidRDefault="000C004E" w:rsidP="000C004E">
      <w:pPr>
        <w:pStyle w:val="Textpoznpodarou"/>
      </w:pPr>
      <w:r>
        <w:rPr>
          <w:rStyle w:val="Znakapoznpodarou"/>
        </w:rPr>
        <w:footnoteRef/>
      </w:r>
      <w:r>
        <w:rPr>
          <w:sz w:val="16"/>
          <w:szCs w:val="16"/>
        </w:rPr>
        <w:t xml:space="preserve"> </w:t>
      </w:r>
      <w:r>
        <w:rPr>
          <w:color w:val="0D0D0D" w:themeColor="text1" w:themeTint="F2"/>
          <w:sz w:val="16"/>
          <w:szCs w:val="16"/>
        </w:rPr>
        <w:t>Dle údajů z VŠPS pracovalo letos v 1. čtvrtletí v Česku na zkrácený úvazek 500 tis. osob, meziročně o 5,8 % více. K růstu přispěly hlavně ženy, z nichž tuto formu práce využívalo celkově již 14,6 % všech zaměstnaných (nejvíce pak ve věku 30 až 44 let). Mezi pracujícími muži ji ale preferovalo jen 5,2 % (většinou na sklonku pracovní kariéry). I přes aktuální navýšení zůstává zastoupení těchto úvazků na tuzemském pracovním trhu relativně nízké. Podíl takto zaměstnaných osob byl na konci roku 2024 v Česku (9,3 %) ve srovnání s hodnotou v EU pouze poloviční (podobné relace platí pro muže i ženy). Na druhou stranu v rámci států, jež do Unie vstoupily až po roce 2000, měly oproti Česku vyšší podíl jen Estonsko (15,2 %) a Malta (11,2 %). Ovšem v sousedním Německu i Rakousku využívala tyto úvazky skoro třetina všech pracovníků.</w:t>
      </w:r>
    </w:p>
  </w:footnote>
  <w:footnote w:id="74">
    <w:p w14:paraId="5AC19257" w14:textId="77777777" w:rsidR="000C004E" w:rsidRDefault="000C004E" w:rsidP="000C004E">
      <w:pPr>
        <w:pStyle w:val="Textpoznpodarou"/>
        <w:rPr>
          <w:sz w:val="16"/>
          <w:szCs w:val="16"/>
        </w:rPr>
      </w:pPr>
      <w:r>
        <w:rPr>
          <w:rStyle w:val="Znakapoznpodarou"/>
        </w:rPr>
        <w:footnoteRef/>
      </w:r>
      <w:r>
        <w:rPr>
          <w:sz w:val="16"/>
          <w:szCs w:val="16"/>
        </w:rPr>
        <w:t xml:space="preserve"> Není-li uvedeno jinak, jsou dále použity sezónně očištěné údaje.</w:t>
      </w:r>
    </w:p>
  </w:footnote>
  <w:footnote w:id="75">
    <w:p w14:paraId="4F17F709" w14:textId="77777777" w:rsidR="000C004E" w:rsidRDefault="000C004E" w:rsidP="000C004E">
      <w:pPr>
        <w:pStyle w:val="Textpoznpodarou"/>
        <w:rPr>
          <w:color w:val="0D0D0D" w:themeColor="text1" w:themeTint="F2"/>
          <w:spacing w:val="-2"/>
          <w:sz w:val="16"/>
          <w:szCs w:val="16"/>
        </w:rPr>
      </w:pPr>
      <w:r>
        <w:rPr>
          <w:rStyle w:val="Znakapoznpodarou"/>
          <w:color w:val="0D0D0D" w:themeColor="text1" w:themeTint="F2"/>
          <w:spacing w:val="-2"/>
        </w:rPr>
        <w:footnoteRef/>
      </w:r>
      <w:r>
        <w:rPr>
          <w:color w:val="0D0D0D" w:themeColor="text1" w:themeTint="F2"/>
          <w:spacing w:val="-2"/>
          <w:sz w:val="16"/>
          <w:szCs w:val="16"/>
        </w:rPr>
        <w:t xml:space="preserve"> Převažující negativní očekávání zaměstnanosti vyjádřily podniky v 60 % zpracovatelských průmyslových oborů. Nejhorší vyhlídky měly hutnictví a slévárenství a s odstupem také elektrotechnický, elektronický, kovodělný a strojírenský průmysl a také malé obory oděvnictví </w:t>
      </w:r>
      <w:r>
        <w:rPr>
          <w:color w:val="0D0D0D" w:themeColor="text1" w:themeTint="F2"/>
          <w:spacing w:val="-2"/>
          <w:sz w:val="16"/>
          <w:szCs w:val="16"/>
        </w:rPr>
        <w:br/>
        <w:t>a textilní výroby. Naopak pozitivní perspektivy přetrvávaly především ve výrobě kolejových dopravních prostředků, v menší míře v potravinářství, výrobě nápojů a farmacii.</w:t>
      </w:r>
    </w:p>
    <w:p w14:paraId="656CEF88" w14:textId="77777777" w:rsidR="000C004E" w:rsidRDefault="000C004E" w:rsidP="000C004E">
      <w:pPr>
        <w:pStyle w:val="Textpoznpodarou"/>
        <w:rPr>
          <w:color w:val="0D0D0D" w:themeColor="text1" w:themeTint="F2"/>
          <w:spacing w:val="-2"/>
          <w:sz w:val="16"/>
          <w:szCs w:val="16"/>
        </w:rPr>
      </w:pPr>
      <w:r>
        <w:rPr>
          <w:color w:val="0D0D0D" w:themeColor="text1" w:themeTint="F2"/>
          <w:spacing w:val="-2"/>
          <w:sz w:val="16"/>
          <w:szCs w:val="16"/>
        </w:rPr>
        <w:t xml:space="preserve">Ve službách převažovala negativní očekávání ve třetině dílčích odvětví. Nejvíce byla patrná v telekomunikacích, ve veterinárních činnostech, reklamě, vydavatelských činnostech, vodní dopravě, pojišťovnictví a některých administrativních a podpůrných činnostech. Naopak optimismus převládal v programování, informačních činnostech, vědě a výzkumu, pracovních agenturách, ubytování a také ve skladování a vedlejších činnostech v dopravě. </w:t>
      </w:r>
    </w:p>
  </w:footnote>
  <w:footnote w:id="76">
    <w:p w14:paraId="1F2E1764" w14:textId="77777777" w:rsidR="000C004E" w:rsidRDefault="000C004E" w:rsidP="000C004E">
      <w:pPr>
        <w:pStyle w:val="Textpoznpodarou"/>
        <w:rPr>
          <w:sz w:val="16"/>
          <w:szCs w:val="16"/>
        </w:rPr>
      </w:pPr>
      <w:r>
        <w:rPr>
          <w:rStyle w:val="Znakapoznpodarou"/>
          <w:color w:val="0D0D0D" w:themeColor="text1" w:themeTint="F2"/>
        </w:rPr>
        <w:footnoteRef/>
      </w:r>
      <w:r>
        <w:rPr>
          <w:color w:val="0D0D0D" w:themeColor="text1" w:themeTint="F2"/>
          <w:sz w:val="16"/>
          <w:szCs w:val="16"/>
        </w:rPr>
        <w:t xml:space="preserve"> Podniky mohly uvést více bariér současně.</w:t>
      </w:r>
    </w:p>
  </w:footnote>
  <w:footnote w:id="77">
    <w:p w14:paraId="464408C8" w14:textId="77777777" w:rsidR="000C004E" w:rsidRDefault="000C004E" w:rsidP="000C004E">
      <w:pPr>
        <w:pStyle w:val="Textpoznpodarou"/>
        <w:rPr>
          <w:spacing w:val="-3"/>
          <w:sz w:val="16"/>
          <w:szCs w:val="16"/>
        </w:rPr>
      </w:pPr>
      <w:r>
        <w:rPr>
          <w:rStyle w:val="Znakapoznpodarou"/>
          <w:spacing w:val="-3"/>
        </w:rPr>
        <w:footnoteRef/>
      </w:r>
      <w:r>
        <w:rPr>
          <w:spacing w:val="-3"/>
          <w:sz w:val="16"/>
          <w:szCs w:val="16"/>
        </w:rPr>
        <w:t xml:space="preserve"> Není-li uvedeno jinak, vycházejí všechny údaje o mírách nezaměstnanosti z VŠPS (dle metodiky ILO) a jsou očištěny o sezónní vlivy.</w:t>
      </w:r>
    </w:p>
  </w:footnote>
  <w:footnote w:id="78">
    <w:p w14:paraId="3B11B600" w14:textId="77777777" w:rsidR="000C004E" w:rsidRDefault="000C004E" w:rsidP="000C004E">
      <w:pPr>
        <w:pStyle w:val="paragraph"/>
        <w:spacing w:before="0" w:beforeAutospacing="0" w:after="0" w:afterAutospacing="0"/>
        <w:jc w:val="both"/>
        <w:textAlignment w:val="baseline"/>
        <w:rPr>
          <w:rFonts w:ascii="Arial" w:eastAsia="Calibri" w:hAnsi="Arial"/>
          <w:color w:val="0D0D0D" w:themeColor="text1" w:themeTint="F2"/>
          <w:spacing w:val="-2"/>
          <w:sz w:val="16"/>
          <w:szCs w:val="16"/>
        </w:rPr>
      </w:pPr>
      <w:r>
        <w:rPr>
          <w:rStyle w:val="Znakapoznpodarou"/>
          <w:color w:val="0D0D0D" w:themeColor="text1" w:themeTint="F2"/>
        </w:rPr>
        <w:footnoteRef/>
      </w:r>
      <w:r>
        <w:rPr>
          <w:color w:val="0D0D0D" w:themeColor="text1" w:themeTint="F2"/>
          <w:sz w:val="16"/>
          <w:szCs w:val="16"/>
        </w:rPr>
        <w:t xml:space="preserve"> </w:t>
      </w:r>
      <w:r>
        <w:rPr>
          <w:rFonts w:ascii="Arial" w:eastAsia="Calibri" w:hAnsi="Arial"/>
          <w:color w:val="0D0D0D" w:themeColor="text1" w:themeTint="F2"/>
          <w:spacing w:val="-3"/>
          <w:sz w:val="16"/>
          <w:szCs w:val="16"/>
        </w:rPr>
        <w:t xml:space="preserve">Nízká </w:t>
      </w:r>
      <w:r>
        <w:rPr>
          <w:rFonts w:ascii="Arial" w:eastAsia="Calibri" w:hAnsi="Arial"/>
          <w:color w:val="0D0D0D" w:themeColor="text1" w:themeTint="F2"/>
          <w:spacing w:val="-2"/>
          <w:sz w:val="16"/>
          <w:szCs w:val="16"/>
        </w:rPr>
        <w:t xml:space="preserve">nezaměstnanost přetrvává rovněž v EU – letos v dubnu dosáhla ve skupině 15 až 74letých 5,9 % (v eurozóně 6,2 %). Meziměsíčně ani meziročně se téměř nezměnila, k mírnému zlepšení ale došlo u žen (na 6,1 %). Celková nezaměstnanost v EU je v dostupné časové řadě od roku 2000 nejnižší a proti počátku roku 2008 je příznivější zhruba o 1 p. b. (v EU i eurozóně). Míra nezaměstnanosti v Česku byla nadále nepřetržitě již osm let nejnižší v Unii – aktuálně spolu s Maltou (2,7 %) a těsně před Polskem (3,3 %), Bulharskem (3,3 %) a Německem (3,6 %). Výsadní postavení mělo Česko tradičně díky mužům. Ale i u žen, kde nezaměstnanost tradičně více kolísá, dosáhla aktuálně lehce nižší úrovně než v tuzemsku jen Malta (2,7 %). Nejvyšší nezaměstnanost v Unii mělo i přes mírné meziroční snížení stále Španělsko (10,9 %) následované Finskem (9,1 %), Švédskem (8,5 %), Estonskem a Řeckem (shodně 8,3 %). Oproti dubnu 2024 byla aktuálně v rámci EU celková nezaměstnanost vyšší ve 12 členských státech. Největší zhoršení nastalo v Dánsku (+1,0 p. b.), Belgii, Lotyšsku a Finsku (shodně +0,8). Naopak k nejvýznamnějšímu poklesu došlo v Řecku (–2,5 p. b.), na Kypru (–1,4), v Litvě (–1,0), Bulharsku (–0,9), Itálii (–0,8) a také ve Španělsku (–0,7). </w:t>
      </w:r>
      <w:r>
        <w:rPr>
          <w:rFonts w:ascii="Arial" w:eastAsia="Calibri" w:hAnsi="Arial"/>
          <w:color w:val="0D0D0D" w:themeColor="text1" w:themeTint="F2"/>
          <w:spacing w:val="-3"/>
          <w:sz w:val="16"/>
          <w:szCs w:val="16"/>
        </w:rPr>
        <w:t>Příznivé postavení má Česko i v nezaměstnanosti mladých, neboť dlouhodobě patří do třetiny zemí Unie s nejnižší nezaměstnaností osob do 25 let. Ta letos v dubnu dosahovala 11 % (v EU 15 %). Nejlepší pozici drželo Německo (6,8 %) před Maltou, Nizozemskem, Bulharskem a Rakouskem. Naopak více než pětina pracovní síly mladých neměla zaměstnání ve Španělsku, Řecku, Rumunsku, ale i ve Švédsku, Finsku a Lucembursku. Meziročně se zlepšila pozice Slovenska (z 21 % na 15 %).</w:t>
      </w:r>
    </w:p>
  </w:footnote>
  <w:footnote w:id="79">
    <w:p w14:paraId="317FF392" w14:textId="77777777" w:rsidR="000C004E" w:rsidRDefault="000C004E" w:rsidP="000C004E">
      <w:pPr>
        <w:pStyle w:val="Textpoznpodarou"/>
        <w:rPr>
          <w:sz w:val="16"/>
          <w:szCs w:val="16"/>
        </w:rPr>
      </w:pPr>
      <w:r>
        <w:rPr>
          <w:rStyle w:val="Znakapoznpodarou"/>
        </w:rPr>
        <w:footnoteRef/>
      </w:r>
      <w:r>
        <w:rPr>
          <w:sz w:val="16"/>
          <w:szCs w:val="16"/>
        </w:rPr>
        <w:t xml:space="preserve"> Pouze sedmina z tohoto počtu byla ovšem schopna nastoupit bezprostředně do práce. Významnou část pracovních rezerv totiž tvoří studenti a ženy na rodičovské dovolené.</w:t>
      </w:r>
    </w:p>
  </w:footnote>
  <w:footnote w:id="80">
    <w:p w14:paraId="14AFEC27" w14:textId="77777777" w:rsidR="000C004E" w:rsidRDefault="000C004E" w:rsidP="000C004E">
      <w:pPr>
        <w:pStyle w:val="Textpoznpodarou"/>
        <w:rPr>
          <w:sz w:val="16"/>
          <w:szCs w:val="16"/>
        </w:rPr>
      </w:pPr>
      <w:r>
        <w:rPr>
          <w:rStyle w:val="Znakapoznpodarou"/>
        </w:rPr>
        <w:footnoteRef/>
      </w:r>
      <w:r>
        <w:rPr>
          <w:sz w:val="16"/>
          <w:szCs w:val="16"/>
        </w:rPr>
        <w:t xml:space="preserve"> </w:t>
      </w:r>
      <w:r>
        <w:rPr>
          <w:rStyle w:val="normaltextrun"/>
          <w:rFonts w:cs="Arial"/>
          <w:sz w:val="16"/>
          <w:szCs w:val="16"/>
        </w:rPr>
        <w:t xml:space="preserve">Muži trpěli nejvyšší nezaměstnaností v okresu Karviná (9,3 %), ženy na Mostecku (10,7 %). Více než 6% celkovou nezaměstnanost vykázalo dvanáct okresů (rozprostřených do </w:t>
      </w:r>
      <w:r>
        <w:rPr>
          <w:rStyle w:val="normaltextrun"/>
          <w:rFonts w:eastAsia="MS Gothic" w:cs="Arial"/>
          <w:color w:val="0D0D0D" w:themeColor="text1" w:themeTint="F2"/>
          <w:sz w:val="16"/>
          <w:szCs w:val="16"/>
        </w:rPr>
        <w:t>pěti různých krajů – Karlovarský, Ústecký, Jihomoravský, Olomoucký a Moravskoslezský).</w:t>
      </w:r>
    </w:p>
  </w:footnote>
  <w:footnote w:id="81">
    <w:p w14:paraId="3C034BEA" w14:textId="77777777" w:rsidR="000C004E" w:rsidRDefault="000C004E" w:rsidP="000C004E">
      <w:pPr>
        <w:pStyle w:val="Textpoznpodarou"/>
        <w:rPr>
          <w:rFonts w:cs="Arial"/>
          <w:sz w:val="16"/>
          <w:szCs w:val="16"/>
        </w:rPr>
      </w:pPr>
      <w:r>
        <w:rPr>
          <w:rStyle w:val="Znakapoznpodarou"/>
        </w:rPr>
        <w:footnoteRef/>
      </w:r>
      <w:r>
        <w:rPr>
          <w:sz w:val="16"/>
          <w:szCs w:val="16"/>
        </w:rPr>
        <w:t xml:space="preserve"> </w:t>
      </w:r>
      <w:r>
        <w:rPr>
          <w:rStyle w:val="eop"/>
          <w:rFonts w:cs="Arial"/>
          <w:sz w:val="16"/>
          <w:szCs w:val="16"/>
        </w:rPr>
        <w:t xml:space="preserve">Dle experimentální statistiky ČSÚ (šetření u podniků prováděná od roku 2020) byla v 1. čtvrtletí 2025 nabídka tuzemských firem odhadnuta na 103 tis. volných míst (jedná se jen o místa v pracovním poměru, nejde o přechodná zaměstnání, např. různé typy dohod). Počet míst se meziročně mírně snížil o 4 % (loni naopak rostl ve všech kvartálech). Na současném poklesu nabídky se podílely hlavně primární sektor ekonomiky, většina průmyslu, stavebnictví a také administrativní a podpůrné činnosti. V absolutním vyjádření naopak nejvíce rostla nabídka míst ve vzdělávání, profesních, vědeckých a technických činnostech a též v ubytování, stravování a pohostinství. I přes více než dva roky trvající pokles nabídky se aktuálně stále nejvíce volných pozic nacházelo v průmyslu (27 tis.), těsně následovaném odvětvími s významnou rolí státu (26 tis.) a dále obchodem (11 tis.). </w:t>
      </w:r>
    </w:p>
  </w:footnote>
  <w:footnote w:id="82">
    <w:p w14:paraId="65842F3D" w14:textId="77777777" w:rsidR="000C004E" w:rsidRDefault="000C004E" w:rsidP="000C004E">
      <w:pPr>
        <w:pStyle w:val="Textpoznpodarou"/>
        <w:rPr>
          <w:sz w:val="16"/>
          <w:szCs w:val="16"/>
        </w:rPr>
      </w:pPr>
      <w:r>
        <w:rPr>
          <w:rStyle w:val="Znakapoznpodarou"/>
        </w:rPr>
        <w:footnoteRef/>
      </w:r>
      <w:r>
        <w:rPr>
          <w:sz w:val="16"/>
          <w:szCs w:val="16"/>
        </w:rPr>
        <w:t xml:space="preserve"> Výjimku tvoří pracovní místa, na jejichž obsazení probíhá řízení o vydání zaměstnanecké karty, modré karty nebo povolení k</w:t>
      </w:r>
      <w:r>
        <w:rPr>
          <w:rStyle w:val="normaltextrun"/>
          <w:rFonts w:cs="Arial"/>
          <w:sz w:val="16"/>
          <w:szCs w:val="16"/>
        </w:rPr>
        <w:t> </w:t>
      </w:r>
      <w:r>
        <w:rPr>
          <w:sz w:val="16"/>
          <w:szCs w:val="16"/>
        </w:rPr>
        <w:t>zaměstnání cizince. V těchto případech setrvává pracovní místo v evidenci až do ukončení příslušného správního řízení.</w:t>
      </w:r>
    </w:p>
  </w:footnote>
  <w:footnote w:id="83">
    <w:p w14:paraId="1B153232" w14:textId="77777777" w:rsidR="000C004E" w:rsidRDefault="000C004E" w:rsidP="000C004E">
      <w:pPr>
        <w:pStyle w:val="Textpoznpodarou"/>
        <w:rPr>
          <w:sz w:val="16"/>
          <w:szCs w:val="16"/>
        </w:rPr>
      </w:pPr>
      <w:r>
        <w:rPr>
          <w:rStyle w:val="Znakapoznpodarou"/>
        </w:rPr>
        <w:footnoteRef/>
      </w:r>
      <w:r>
        <w:rPr>
          <w:sz w:val="16"/>
          <w:szCs w:val="16"/>
        </w:rPr>
        <w:t xml:space="preserve"> U </w:t>
      </w:r>
      <w:r>
        <w:rPr>
          <w:color w:val="0D0D0D" w:themeColor="text1" w:themeTint="F2"/>
          <w:spacing w:val="-6"/>
          <w:sz w:val="16"/>
          <w:szCs w:val="16"/>
        </w:rPr>
        <w:t>téměř tří čtvrtin volných pracovních míst postačovalo uchazečům pouze základní vzdělání. Naopak více než třetina všech registrovaných uchazečů o práci disponuje alespoň maturitním vzděláním.</w:t>
      </w:r>
    </w:p>
  </w:footnote>
  <w:footnote w:id="84">
    <w:p w14:paraId="17336562" w14:textId="77777777" w:rsidR="000C004E" w:rsidRDefault="000C004E" w:rsidP="000C004E">
      <w:pPr>
        <w:pStyle w:val="Textpoznpodarou"/>
      </w:pPr>
      <w:r>
        <w:rPr>
          <w:rStyle w:val="Znakapoznpodarou"/>
        </w:rPr>
        <w:footnoteRef/>
      </w:r>
      <w:r>
        <w:rPr>
          <w:sz w:val="16"/>
          <w:szCs w:val="16"/>
        </w:rPr>
        <w:t xml:space="preserve"> Minimální mzda byla loni stanovena novým mechanismem valorizace (počítá se s jejím postupným nárůstem až na cílovou úroveň 47 % průměrné mzdy, kterou by měla mít v roce 2029). Od ledna 2025 se tak tato mzda zvýšila o 10 % na 20 800 Kč. Na druhou stranu institut zaručených mezd byl zásadně zjednodušen a je nově využíván již pouze v platové sféře.</w:t>
      </w:r>
    </w:p>
  </w:footnote>
  <w:footnote w:id="85">
    <w:p w14:paraId="29C52370" w14:textId="77777777" w:rsidR="000C004E" w:rsidRDefault="000C004E" w:rsidP="000C004E">
      <w:pPr>
        <w:pStyle w:val="Textpoznpodarou"/>
        <w:rPr>
          <w:sz w:val="16"/>
          <w:szCs w:val="16"/>
        </w:rPr>
      </w:pPr>
      <w:r>
        <w:rPr>
          <w:rStyle w:val="Znakapoznpodarou"/>
        </w:rPr>
        <w:footnoteRef/>
      </w:r>
      <w:r>
        <w:rPr>
          <w:sz w:val="16"/>
          <w:szCs w:val="16"/>
        </w:rPr>
        <w:t xml:space="preserve"> Např. v roce 2023 působilo v Česku v nejkvalifikovanějších třídách zaměstnanosti (vedoucí a řídící pracovníci, specialisté, techničtí </w:t>
      </w:r>
      <w:r>
        <w:rPr>
          <w:sz w:val="16"/>
          <w:szCs w:val="16"/>
        </w:rPr>
        <w:br/>
        <w:t xml:space="preserve">a odborní pracovníci) pouze 13 % ze všech cizinců ze států mimo EU (resp. 9 % z Ukrajinců), 24 % ze všech cizinců ze zemí EU, ale </w:t>
      </w:r>
      <w:r>
        <w:rPr>
          <w:sz w:val="16"/>
          <w:szCs w:val="16"/>
        </w:rPr>
        <w:br/>
        <w:t>44 % z veškerých zaměstnanců s českým občanstvím.</w:t>
      </w:r>
    </w:p>
  </w:footnote>
  <w:footnote w:id="86">
    <w:p w14:paraId="0AED5A6E" w14:textId="77777777" w:rsidR="000C004E" w:rsidRDefault="000C004E" w:rsidP="000C004E">
      <w:pPr>
        <w:pStyle w:val="Textpoznpodarou"/>
        <w:rPr>
          <w:sz w:val="16"/>
          <w:szCs w:val="16"/>
        </w:rPr>
      </w:pPr>
      <w:r>
        <w:rPr>
          <w:rStyle w:val="Znakapoznpodarou"/>
        </w:rPr>
        <w:footnoteRef/>
      </w:r>
      <w:r>
        <w:rPr>
          <w:sz w:val="16"/>
          <w:szCs w:val="16"/>
        </w:rPr>
        <w:t xml:space="preserve"> Ty zahrnují Veřejnou správu, obranu a sociální zabezpečení, Vzdělávání, Zdravotní a sociální péči a Kulturní, zábavní a rekreační činnosti.</w:t>
      </w:r>
    </w:p>
  </w:footnote>
  <w:footnote w:id="87">
    <w:p w14:paraId="6EE6F507" w14:textId="77777777" w:rsidR="00A04CEF" w:rsidRDefault="00A04CEF" w:rsidP="003B7AFA">
      <w:pPr>
        <w:pStyle w:val="Textpoznpodarou"/>
        <w:rPr>
          <w:sz w:val="16"/>
          <w:szCs w:val="16"/>
        </w:rPr>
      </w:pPr>
      <w:r>
        <w:rPr>
          <w:rStyle w:val="Znakapoznpodarou"/>
          <w:sz w:val="16"/>
          <w:szCs w:val="16"/>
        </w:rPr>
        <w:footnoteRef/>
      </w:r>
      <w:r>
        <w:rPr>
          <w:sz w:val="16"/>
          <w:szCs w:val="16"/>
        </w:rPr>
        <w:t xml:space="preserve"> Zdrojem údajů v této kapitole je databáze ARAD České národní banky. Hodnoty směnných kurzů jsou rovněž převzaty od ČNB.</w:t>
      </w:r>
    </w:p>
  </w:footnote>
  <w:footnote w:id="88">
    <w:p w14:paraId="2D5311A5" w14:textId="77777777" w:rsidR="00A04CEF" w:rsidRPr="001F5F82" w:rsidRDefault="00A04CEF" w:rsidP="003B7AFA">
      <w:pPr>
        <w:pStyle w:val="Textpoznpodarou"/>
        <w:rPr>
          <w:sz w:val="16"/>
          <w:szCs w:val="16"/>
        </w:rPr>
      </w:pPr>
      <w:r w:rsidRPr="001F5F82">
        <w:rPr>
          <w:rStyle w:val="Znakapoznpodarou"/>
          <w:sz w:val="16"/>
          <w:szCs w:val="16"/>
        </w:rPr>
        <w:footnoteRef/>
      </w:r>
      <w:r w:rsidRPr="001F5F82">
        <w:rPr>
          <w:sz w:val="16"/>
          <w:szCs w:val="16"/>
        </w:rPr>
        <w:t xml:space="preserve"> Není</w:t>
      </w:r>
      <w:r>
        <w:rPr>
          <w:sz w:val="16"/>
          <w:szCs w:val="16"/>
        </w:rPr>
        <w:t>-</w:t>
      </w:r>
      <w:r w:rsidRPr="001F5F82">
        <w:rPr>
          <w:sz w:val="16"/>
          <w:szCs w:val="16"/>
        </w:rPr>
        <w:t>li uvedeno jinak, je změnou úrokových sazeb myšlen rozdíl mezi hodnotou ke dni 3</w:t>
      </w:r>
      <w:r>
        <w:rPr>
          <w:sz w:val="16"/>
          <w:szCs w:val="16"/>
        </w:rPr>
        <w:t>1. 3. 2025</w:t>
      </w:r>
      <w:r w:rsidRPr="001F5F82">
        <w:rPr>
          <w:sz w:val="16"/>
          <w:szCs w:val="16"/>
        </w:rPr>
        <w:t xml:space="preserve"> a</w:t>
      </w:r>
      <w:r>
        <w:rPr>
          <w:sz w:val="16"/>
          <w:szCs w:val="16"/>
        </w:rPr>
        <w:t> </w:t>
      </w:r>
      <w:r w:rsidRPr="001F5F82">
        <w:rPr>
          <w:sz w:val="16"/>
          <w:szCs w:val="16"/>
        </w:rPr>
        <w:t>3</w:t>
      </w:r>
      <w:r>
        <w:rPr>
          <w:sz w:val="16"/>
          <w:szCs w:val="16"/>
        </w:rPr>
        <w:t>1. 12</w:t>
      </w:r>
      <w:r w:rsidRPr="001F5F82">
        <w:rPr>
          <w:sz w:val="16"/>
          <w:szCs w:val="16"/>
        </w:rPr>
        <w:t>.</w:t>
      </w:r>
      <w:r>
        <w:rPr>
          <w:sz w:val="16"/>
          <w:szCs w:val="16"/>
        </w:rPr>
        <w:t xml:space="preserve"> 2024.</w:t>
      </w:r>
    </w:p>
  </w:footnote>
  <w:footnote w:id="89">
    <w:p w14:paraId="66D8A368" w14:textId="77777777" w:rsidR="00A04CEF" w:rsidRPr="00651A71" w:rsidRDefault="00A04CEF" w:rsidP="003B7AFA">
      <w:pPr>
        <w:pStyle w:val="Textpoznpodarou"/>
        <w:rPr>
          <w:sz w:val="16"/>
          <w:szCs w:val="16"/>
        </w:rPr>
      </w:pPr>
      <w:r w:rsidRPr="00651A71">
        <w:rPr>
          <w:rStyle w:val="Znakapoznpodarou"/>
          <w:sz w:val="16"/>
          <w:szCs w:val="16"/>
        </w:rPr>
        <w:footnoteRef/>
      </w:r>
      <w:r w:rsidRPr="00651A71">
        <w:rPr>
          <w:sz w:val="16"/>
          <w:szCs w:val="16"/>
        </w:rPr>
        <w:t xml:space="preserve"> O</w:t>
      </w:r>
      <w:r w:rsidRPr="00651A71">
        <w:rPr>
          <w:spacing w:val="-3"/>
          <w:sz w:val="16"/>
          <w:szCs w:val="16"/>
          <w:lang w:eastAsia="en-US"/>
        </w:rPr>
        <w:t>byvatelstvo</w:t>
      </w:r>
      <w:r>
        <w:rPr>
          <w:spacing w:val="-3"/>
          <w:sz w:val="16"/>
          <w:szCs w:val="16"/>
          <w:lang w:eastAsia="en-US"/>
        </w:rPr>
        <w:t xml:space="preserve"> včetně </w:t>
      </w:r>
      <w:r w:rsidRPr="00651A71">
        <w:rPr>
          <w:spacing w:val="-3"/>
          <w:sz w:val="16"/>
          <w:szCs w:val="16"/>
          <w:lang w:eastAsia="en-US"/>
        </w:rPr>
        <w:t>živnostníků.</w:t>
      </w:r>
    </w:p>
  </w:footnote>
  <w:footnote w:id="90">
    <w:p w14:paraId="2001BD07" w14:textId="77777777" w:rsidR="00A04CEF" w:rsidRPr="00284DA5" w:rsidRDefault="00A04CEF" w:rsidP="003B7AFA">
      <w:pPr>
        <w:pStyle w:val="Textpoznpodarou"/>
        <w:rPr>
          <w:sz w:val="16"/>
          <w:szCs w:val="16"/>
        </w:rPr>
      </w:pPr>
      <w:r w:rsidRPr="00284DA5">
        <w:rPr>
          <w:rStyle w:val="Znakapoznpodarou"/>
          <w:sz w:val="16"/>
          <w:szCs w:val="16"/>
        </w:rPr>
        <w:footnoteRef/>
      </w:r>
      <w:r w:rsidRPr="00284DA5">
        <w:rPr>
          <w:sz w:val="16"/>
          <w:szCs w:val="16"/>
        </w:rPr>
        <w:t xml:space="preserve"> V nových smlouvách jsou zahrnuty i</w:t>
      </w:r>
      <w:r>
        <w:rPr>
          <w:sz w:val="16"/>
          <w:szCs w:val="16"/>
        </w:rPr>
        <w:t> </w:t>
      </w:r>
      <w:r w:rsidRPr="00284DA5">
        <w:rPr>
          <w:sz w:val="16"/>
          <w:szCs w:val="16"/>
        </w:rPr>
        <w:t>refinancované úvěry a</w:t>
      </w:r>
      <w:r>
        <w:rPr>
          <w:sz w:val="16"/>
          <w:szCs w:val="16"/>
        </w:rPr>
        <w:t> </w:t>
      </w:r>
      <w:r w:rsidRPr="00284DA5">
        <w:rPr>
          <w:sz w:val="16"/>
          <w:szCs w:val="16"/>
        </w:rPr>
        <w:t>ostatní ujednání.</w:t>
      </w:r>
      <w:r>
        <w:rPr>
          <w:sz w:val="16"/>
          <w:szCs w:val="16"/>
        </w:rPr>
        <w:t xml:space="preserve"> Refinancované úvěry zahrnují stávající smlouvy sjednané nově u jiné banky, zatímco ostatní nová ujednání jsou stávající smlouvy sjednané s novými podmínkami u stejné banky.</w:t>
      </w:r>
    </w:p>
  </w:footnote>
  <w:footnote w:id="91">
    <w:p w14:paraId="14D17A77" w14:textId="77777777" w:rsidR="00A04CEF" w:rsidRPr="008332EA" w:rsidRDefault="00A04CEF" w:rsidP="00A04CEF">
      <w:pPr>
        <w:pStyle w:val="Textpoznpodarou"/>
        <w:jc w:val="both"/>
        <w:rPr>
          <w:spacing w:val="-2"/>
          <w:sz w:val="16"/>
          <w:szCs w:val="16"/>
        </w:rPr>
      </w:pPr>
      <w:r w:rsidRPr="008332EA">
        <w:rPr>
          <w:rStyle w:val="Znakapoznpodarou"/>
          <w:spacing w:val="-2"/>
          <w:sz w:val="16"/>
          <w:szCs w:val="16"/>
        </w:rPr>
        <w:footnoteRef/>
      </w:r>
      <w:r w:rsidRPr="008332EA">
        <w:rPr>
          <w:spacing w:val="-2"/>
          <w:sz w:val="16"/>
          <w:szCs w:val="16"/>
        </w:rPr>
        <w:t xml:space="preserve"> </w:t>
      </w:r>
      <w:r w:rsidRPr="008332EA">
        <w:rPr>
          <w:color w:val="0D0D0D" w:themeColor="text1" w:themeTint="F2"/>
          <w:spacing w:val="-2"/>
          <w:sz w:val="16"/>
          <w:szCs w:val="16"/>
        </w:rPr>
        <w:t xml:space="preserve">Pokud není uvedeno jinak, vycházejí všechny údaje týkající se státního rozpočtu </w:t>
      </w:r>
      <w:r w:rsidRPr="008332EA">
        <w:rPr>
          <w:rFonts w:cs="Arial"/>
          <w:color w:val="0D0D0D" w:themeColor="text1" w:themeTint="F2"/>
          <w:spacing w:val="-2"/>
          <w:sz w:val="16"/>
          <w:szCs w:val="16"/>
        </w:rPr>
        <w:t xml:space="preserve">z dat Ministerstva financí </w:t>
      </w:r>
      <w:r>
        <w:rPr>
          <w:rFonts w:cs="Arial"/>
          <w:color w:val="0D0D0D" w:themeColor="text1" w:themeTint="F2"/>
          <w:spacing w:val="-2"/>
          <w:sz w:val="16"/>
          <w:szCs w:val="16"/>
        </w:rPr>
        <w:t xml:space="preserve">(MF) </w:t>
      </w:r>
      <w:r w:rsidRPr="008332EA">
        <w:rPr>
          <w:rFonts w:cs="Arial"/>
          <w:color w:val="0D0D0D" w:themeColor="text1" w:themeTint="F2"/>
          <w:spacing w:val="-2"/>
          <w:sz w:val="16"/>
          <w:szCs w:val="16"/>
        </w:rPr>
        <w:t>ČR o pokladním plnění.</w:t>
      </w:r>
    </w:p>
  </w:footnote>
  <w:footnote w:id="92">
    <w:p w14:paraId="4353DC6E" w14:textId="77777777" w:rsidR="00A04CEF" w:rsidRPr="002B6735" w:rsidRDefault="00A04CEF" w:rsidP="00A04CEF">
      <w:pPr>
        <w:pStyle w:val="Textpoznpodarou"/>
        <w:rPr>
          <w:sz w:val="16"/>
          <w:szCs w:val="16"/>
        </w:rPr>
      </w:pPr>
      <w:r w:rsidRPr="002B6735">
        <w:rPr>
          <w:rStyle w:val="Znakapoznpodarou"/>
          <w:sz w:val="16"/>
          <w:szCs w:val="16"/>
        </w:rPr>
        <w:footnoteRef/>
      </w:r>
      <w:r w:rsidRPr="002B6735">
        <w:rPr>
          <w:sz w:val="16"/>
          <w:szCs w:val="16"/>
        </w:rPr>
        <w:t xml:space="preserve"> Zákon o státním rozpočtu na rok 2025 (vycházející z makroekonomické predikce MF ze srpna 2024 a schválený na počátku prosince 2024) počítá letos s celoročním schodkem 241 mld. korun, což je o 30 mld. nižší deficit než skutečně dosažený v roce 2024.</w:t>
      </w:r>
    </w:p>
  </w:footnote>
  <w:footnote w:id="93">
    <w:p w14:paraId="033C4075" w14:textId="77777777" w:rsidR="00A04CEF" w:rsidRDefault="00A04CEF" w:rsidP="00A04CEF">
      <w:pPr>
        <w:pStyle w:val="Textpoznpodarou"/>
      </w:pPr>
      <w:r w:rsidRPr="0010034F">
        <w:rPr>
          <w:rStyle w:val="Znakapoznpodarou"/>
          <w:sz w:val="16"/>
          <w:szCs w:val="16"/>
        </w:rPr>
        <w:footnoteRef/>
      </w:r>
      <w:r w:rsidRPr="0010034F">
        <w:rPr>
          <w:sz w:val="16"/>
          <w:szCs w:val="16"/>
        </w:rPr>
        <w:t xml:space="preserve"> Zejména v souvislosti s roční</w:t>
      </w:r>
      <w:r>
        <w:rPr>
          <w:sz w:val="16"/>
          <w:szCs w:val="16"/>
        </w:rPr>
        <w:t>m</w:t>
      </w:r>
      <w:r w:rsidRPr="0010034F">
        <w:rPr>
          <w:sz w:val="16"/>
          <w:szCs w:val="16"/>
        </w:rPr>
        <w:t xml:space="preserve"> zúčtováním daně z příjmů fyzických i právnickýc</w:t>
      </w:r>
      <w:r>
        <w:rPr>
          <w:sz w:val="16"/>
          <w:szCs w:val="16"/>
        </w:rPr>
        <w:t>h osob.</w:t>
      </w:r>
    </w:p>
  </w:footnote>
  <w:footnote w:id="94">
    <w:p w14:paraId="39816979" w14:textId="77777777" w:rsidR="00A04CEF" w:rsidRPr="00BA5C0E" w:rsidRDefault="00A04CEF" w:rsidP="00A04CEF">
      <w:pPr>
        <w:pStyle w:val="Textpoznpodarou"/>
        <w:rPr>
          <w:sz w:val="16"/>
          <w:szCs w:val="16"/>
        </w:rPr>
      </w:pPr>
      <w:r w:rsidRPr="00BA5C0E">
        <w:rPr>
          <w:rStyle w:val="Znakapoznpodarou"/>
          <w:sz w:val="16"/>
          <w:szCs w:val="16"/>
        </w:rPr>
        <w:footnoteRef/>
      </w:r>
      <w:r w:rsidRPr="00BA5C0E">
        <w:rPr>
          <w:sz w:val="16"/>
          <w:szCs w:val="16"/>
        </w:rPr>
        <w:t xml:space="preserve"> Tyto daně jsou od roku 2024 reprezentovány </w:t>
      </w:r>
      <w:r>
        <w:rPr>
          <w:sz w:val="16"/>
          <w:szCs w:val="16"/>
        </w:rPr>
        <w:t xml:space="preserve">již </w:t>
      </w:r>
      <w:r w:rsidRPr="00BA5C0E">
        <w:rPr>
          <w:sz w:val="16"/>
          <w:szCs w:val="16"/>
        </w:rPr>
        <w:t xml:space="preserve">pouze daní </w:t>
      </w:r>
      <w:r w:rsidRPr="00BA5C0E">
        <w:rPr>
          <w:spacing w:val="-5"/>
          <w:sz w:val="16"/>
          <w:szCs w:val="16"/>
        </w:rPr>
        <w:t xml:space="preserve">z neočekávaných zisků. </w:t>
      </w:r>
      <w:r w:rsidRPr="00BA5C0E">
        <w:rPr>
          <w:spacing w:val="-2"/>
          <w:sz w:val="16"/>
          <w:szCs w:val="16"/>
        </w:rPr>
        <w:t xml:space="preserve">Ta se týká energetických, petrochemických a těžebních firem (v oblasti fosilních paliv) a zahrnuje rovněž velké banky. Funguje jako 60% daňová přirážka aplikovaná na nadměrný zisk těchto firem stanovený jako rozdíl mezi základem daně v letech 2023 až 2025 a průměrem základů daně </w:t>
      </w:r>
      <w:r>
        <w:rPr>
          <w:spacing w:val="-2"/>
          <w:sz w:val="16"/>
          <w:szCs w:val="16"/>
        </w:rPr>
        <w:t xml:space="preserve">navýšeným o 20 procent </w:t>
      </w:r>
      <w:r w:rsidRPr="00BA5C0E">
        <w:rPr>
          <w:spacing w:val="-2"/>
          <w:sz w:val="16"/>
          <w:szCs w:val="16"/>
        </w:rPr>
        <w:t xml:space="preserve">za </w:t>
      </w:r>
      <w:r>
        <w:rPr>
          <w:spacing w:val="-2"/>
          <w:sz w:val="16"/>
          <w:szCs w:val="16"/>
        </w:rPr>
        <w:t>období let</w:t>
      </w:r>
      <w:r w:rsidRPr="00BA5C0E">
        <w:rPr>
          <w:spacing w:val="-2"/>
          <w:sz w:val="16"/>
          <w:szCs w:val="16"/>
        </w:rPr>
        <w:t xml:space="preserve"> 2018 až 2021. Drtivá většina inkasa této daně ovšem plynula do SR z odvětví energetiky.</w:t>
      </w:r>
    </w:p>
  </w:footnote>
  <w:footnote w:id="95">
    <w:p w14:paraId="34B81DCD" w14:textId="77777777" w:rsidR="00A04CEF" w:rsidRPr="008332EA" w:rsidRDefault="00A04CEF" w:rsidP="00A04CEF">
      <w:pPr>
        <w:pStyle w:val="Textpoznpodarou"/>
        <w:rPr>
          <w:spacing w:val="-2"/>
          <w:sz w:val="16"/>
          <w:szCs w:val="16"/>
        </w:rPr>
      </w:pPr>
      <w:r w:rsidRPr="008332EA">
        <w:rPr>
          <w:rStyle w:val="Znakapoznpodarou"/>
          <w:spacing w:val="-2"/>
          <w:sz w:val="16"/>
          <w:szCs w:val="16"/>
        </w:rPr>
        <w:footnoteRef/>
      </w:r>
      <w:r w:rsidRPr="008332EA">
        <w:rPr>
          <w:spacing w:val="-2"/>
          <w:sz w:val="16"/>
          <w:szCs w:val="16"/>
        </w:rPr>
        <w:t xml:space="preserve"> Reálné výdaje na konečnou spotřebu domácností </w:t>
      </w:r>
      <w:r>
        <w:rPr>
          <w:spacing w:val="-2"/>
          <w:sz w:val="16"/>
          <w:szCs w:val="16"/>
        </w:rPr>
        <w:t xml:space="preserve">v Česku se za celý loňský rok zvýšily o 2,0 %, </w:t>
      </w:r>
      <w:r>
        <w:rPr>
          <w:spacing w:val="-4"/>
          <w:sz w:val="16"/>
          <w:szCs w:val="16"/>
        </w:rPr>
        <w:t>ještě svižněji posílily</w:t>
      </w:r>
      <w:r w:rsidRPr="002636F0">
        <w:rPr>
          <w:spacing w:val="-4"/>
          <w:sz w:val="16"/>
          <w:szCs w:val="16"/>
        </w:rPr>
        <w:t xml:space="preserve"> výdaje na s</w:t>
      </w:r>
      <w:r>
        <w:rPr>
          <w:spacing w:val="-4"/>
          <w:sz w:val="16"/>
          <w:szCs w:val="16"/>
        </w:rPr>
        <w:t>potřebu vládních institucí (+3,3</w:t>
      </w:r>
      <w:r w:rsidRPr="002636F0">
        <w:rPr>
          <w:spacing w:val="-4"/>
          <w:sz w:val="16"/>
          <w:szCs w:val="16"/>
        </w:rPr>
        <w:t xml:space="preserve"> %).</w:t>
      </w:r>
      <w:r w:rsidRPr="0040193F">
        <w:rPr>
          <w:spacing w:val="-4"/>
          <w:sz w:val="16"/>
          <w:szCs w:val="16"/>
        </w:rPr>
        <w:t xml:space="preserve"> </w:t>
      </w:r>
      <w:r>
        <w:rPr>
          <w:spacing w:val="-4"/>
          <w:sz w:val="16"/>
          <w:szCs w:val="16"/>
        </w:rPr>
        <w:t>Dle prvního</w:t>
      </w:r>
      <w:r w:rsidRPr="002636F0">
        <w:rPr>
          <w:spacing w:val="-4"/>
          <w:sz w:val="16"/>
          <w:szCs w:val="16"/>
        </w:rPr>
        <w:t xml:space="preserve"> odhadu HDP </w:t>
      </w:r>
      <w:r>
        <w:rPr>
          <w:spacing w:val="-4"/>
          <w:sz w:val="16"/>
          <w:szCs w:val="16"/>
        </w:rPr>
        <w:t>pokračoval meziroční růst spotřeby domácností i vládního sektoru také v 1</w:t>
      </w:r>
      <w:r w:rsidRPr="002636F0">
        <w:rPr>
          <w:spacing w:val="-4"/>
          <w:sz w:val="16"/>
          <w:szCs w:val="16"/>
        </w:rPr>
        <w:t>. čtvrtletí</w:t>
      </w:r>
      <w:r>
        <w:rPr>
          <w:spacing w:val="-4"/>
          <w:sz w:val="16"/>
          <w:szCs w:val="16"/>
        </w:rPr>
        <w:t xml:space="preserve"> 2025</w:t>
      </w:r>
      <w:r w:rsidRPr="002636F0">
        <w:rPr>
          <w:spacing w:val="-4"/>
          <w:sz w:val="16"/>
          <w:szCs w:val="16"/>
        </w:rPr>
        <w:t>.</w:t>
      </w:r>
    </w:p>
  </w:footnote>
  <w:footnote w:id="96">
    <w:p w14:paraId="165C1FF6" w14:textId="77777777" w:rsidR="00A04CEF" w:rsidRPr="00171A39" w:rsidRDefault="00A04CEF" w:rsidP="00A04CEF">
      <w:pPr>
        <w:pStyle w:val="Textpoznpodarou"/>
        <w:rPr>
          <w:spacing w:val="-2"/>
        </w:rPr>
      </w:pPr>
      <w:r w:rsidRPr="00171A39">
        <w:rPr>
          <w:rStyle w:val="Znakapoznpodarou"/>
          <w:spacing w:val="-2"/>
          <w:sz w:val="16"/>
          <w:szCs w:val="16"/>
        </w:rPr>
        <w:footnoteRef/>
      </w:r>
      <w:r w:rsidRPr="00171A39">
        <w:rPr>
          <w:spacing w:val="-2"/>
          <w:sz w:val="16"/>
          <w:szCs w:val="16"/>
        </w:rPr>
        <w:t xml:space="preserve"> To se týká sjednocení dvou snížených sazeb (10 % a 15 %) do jedné ve výši 12 % (vyjma knih, jež jsou nově zcela osvobozeny</w:t>
      </w:r>
      <w:r>
        <w:rPr>
          <w:spacing w:val="-2"/>
          <w:sz w:val="16"/>
          <w:szCs w:val="16"/>
        </w:rPr>
        <w:t xml:space="preserve"> od DPH</w:t>
      </w:r>
      <w:r w:rsidRPr="00171A39">
        <w:rPr>
          <w:spacing w:val="-2"/>
          <w:sz w:val="16"/>
          <w:szCs w:val="16"/>
        </w:rPr>
        <w:t>). Řada zboží a služeb nově podléhá nižšímu zdanění (např. základní potraviny, léky, zdravotnické výrobky, stavební práce). Negat</w:t>
      </w:r>
      <w:r>
        <w:rPr>
          <w:spacing w:val="-2"/>
          <w:sz w:val="16"/>
          <w:szCs w:val="16"/>
        </w:rPr>
        <w:t>ivní rozpočtový dopad je</w:t>
      </w:r>
      <w:r w:rsidRPr="00171A39">
        <w:rPr>
          <w:spacing w:val="-2"/>
          <w:sz w:val="16"/>
          <w:szCs w:val="16"/>
        </w:rPr>
        <w:t xml:space="preserve"> tlumen hlavně přesunem některých položek bez prokazatelného sociálního či zdravotního významu do základní 21% sazby daně (pivo, nealkoholické nápoje, služby autorů a umělců, kadeřnické služby, palivové dřevo, komunální odpad, úklidové práce).</w:t>
      </w:r>
    </w:p>
  </w:footnote>
  <w:footnote w:id="97">
    <w:p w14:paraId="6742D5B7" w14:textId="77777777" w:rsidR="00A04CEF" w:rsidRPr="000625BD" w:rsidRDefault="00A04CEF" w:rsidP="00A04CEF">
      <w:pPr>
        <w:pStyle w:val="Textpoznpodarou"/>
        <w:rPr>
          <w:sz w:val="16"/>
          <w:szCs w:val="16"/>
        </w:rPr>
      </w:pPr>
      <w:r w:rsidRPr="000625BD">
        <w:rPr>
          <w:rStyle w:val="Znakapoznpodarou"/>
          <w:sz w:val="16"/>
          <w:szCs w:val="16"/>
        </w:rPr>
        <w:footnoteRef/>
      </w:r>
      <w:r w:rsidRPr="000625BD">
        <w:rPr>
          <w:sz w:val="16"/>
          <w:szCs w:val="16"/>
        </w:rPr>
        <w:t xml:space="preserve"> </w:t>
      </w:r>
      <w:r w:rsidRPr="001A20A4">
        <w:rPr>
          <w:spacing w:val="-8"/>
          <w:sz w:val="16"/>
          <w:szCs w:val="16"/>
        </w:rPr>
        <w:t>Ten se v hotovostním plnění SR poprvé promítl v únoru 2024 a má tak nyní vliv nejen na absolutní výši inkasa DPH, ale i na jeho meziroční tempo.</w:t>
      </w:r>
    </w:p>
  </w:footnote>
  <w:footnote w:id="98">
    <w:p w14:paraId="0A0DB3E9" w14:textId="77777777" w:rsidR="00A04CEF" w:rsidRPr="00B63945" w:rsidRDefault="00A04CEF" w:rsidP="00A04CEF">
      <w:pPr>
        <w:pStyle w:val="Textpoznpodarou"/>
        <w:rPr>
          <w:sz w:val="16"/>
          <w:szCs w:val="16"/>
        </w:rPr>
      </w:pPr>
      <w:r w:rsidRPr="00B63945">
        <w:rPr>
          <w:rStyle w:val="Znakapoznpodarou"/>
          <w:sz w:val="16"/>
          <w:szCs w:val="16"/>
        </w:rPr>
        <w:footnoteRef/>
      </w:r>
      <w:r w:rsidRPr="00B63945">
        <w:rPr>
          <w:sz w:val="16"/>
          <w:szCs w:val="16"/>
        </w:rPr>
        <w:t xml:space="preserve"> Dle odhadu MF by mělo zvýšení zdanění tabákových a souvisejících výrobků přivést za celý letošní rok do SR navíc 3,7 mld. korun.</w:t>
      </w:r>
    </w:p>
  </w:footnote>
  <w:footnote w:id="99">
    <w:p w14:paraId="4ABBB0BC" w14:textId="77777777" w:rsidR="00A04CEF" w:rsidRPr="00171A39" w:rsidRDefault="00A04CEF" w:rsidP="00A04CEF">
      <w:pPr>
        <w:pStyle w:val="Textpoznpodarou"/>
        <w:rPr>
          <w:spacing w:val="-2"/>
          <w:sz w:val="16"/>
          <w:szCs w:val="16"/>
        </w:rPr>
      </w:pPr>
      <w:r w:rsidRPr="00171A39">
        <w:rPr>
          <w:rStyle w:val="Znakapoznpodarou"/>
          <w:spacing w:val="-2"/>
          <w:sz w:val="16"/>
          <w:szCs w:val="16"/>
        </w:rPr>
        <w:footnoteRef/>
      </w:r>
      <w:r w:rsidRPr="00171A39">
        <w:rPr>
          <w:spacing w:val="-2"/>
          <w:sz w:val="16"/>
          <w:szCs w:val="16"/>
        </w:rPr>
        <w:t xml:space="preserve"> </w:t>
      </w:r>
      <w:r w:rsidRPr="005A4FCD">
        <w:rPr>
          <w:sz w:val="16"/>
          <w:szCs w:val="16"/>
        </w:rPr>
        <w:t xml:space="preserve">Dle údajů ČSÚ vzrostla od ledna do února 2025 spotřeba váhově nejvýznamnější položky – motorové nafty – meziročně o 2,4 %, motorového benzínu </w:t>
      </w:r>
      <w:r>
        <w:rPr>
          <w:sz w:val="16"/>
          <w:szCs w:val="16"/>
        </w:rPr>
        <w:t>o</w:t>
      </w:r>
      <w:r w:rsidRPr="005A4FCD">
        <w:rPr>
          <w:sz w:val="16"/>
          <w:szCs w:val="16"/>
        </w:rPr>
        <w:t xml:space="preserve"> 0,4 %. Letos v březnu dosahovala v Česku průměrná spotřebitelská cena </w:t>
      </w:r>
      <w:r w:rsidRPr="005A4FCD">
        <w:rPr>
          <w:iCs/>
          <w:sz w:val="16"/>
          <w:szCs w:val="16"/>
        </w:rPr>
        <w:t xml:space="preserve">benzínu Natural 95 </w:t>
      </w:r>
      <w:r>
        <w:rPr>
          <w:iCs/>
          <w:sz w:val="16"/>
          <w:szCs w:val="16"/>
        </w:rPr>
        <w:t xml:space="preserve">hodnoty </w:t>
      </w:r>
      <w:r>
        <w:rPr>
          <w:iCs/>
          <w:sz w:val="16"/>
          <w:szCs w:val="16"/>
        </w:rPr>
        <w:br/>
        <w:t>35,25 korun/litr (</w:t>
      </w:r>
      <w:r w:rsidRPr="005A4FCD">
        <w:rPr>
          <w:iCs/>
          <w:sz w:val="16"/>
          <w:szCs w:val="16"/>
        </w:rPr>
        <w:t>nejméně od září 2021</w:t>
      </w:r>
      <w:r>
        <w:rPr>
          <w:iCs/>
          <w:sz w:val="16"/>
          <w:szCs w:val="16"/>
        </w:rPr>
        <w:t>)</w:t>
      </w:r>
      <w:r w:rsidRPr="005A4FCD">
        <w:rPr>
          <w:iCs/>
          <w:sz w:val="16"/>
          <w:szCs w:val="16"/>
        </w:rPr>
        <w:t xml:space="preserve"> a </w:t>
      </w:r>
      <w:r w:rsidRPr="005A4FCD">
        <w:rPr>
          <w:sz w:val="16"/>
          <w:szCs w:val="16"/>
        </w:rPr>
        <w:t xml:space="preserve">motorové nafty </w:t>
      </w:r>
      <w:r>
        <w:rPr>
          <w:sz w:val="16"/>
          <w:szCs w:val="16"/>
        </w:rPr>
        <w:t>34,83 korun/litr (</w:t>
      </w:r>
      <w:r w:rsidRPr="005A4FCD">
        <w:rPr>
          <w:sz w:val="16"/>
          <w:szCs w:val="16"/>
        </w:rPr>
        <w:t>nejméně od listopadu 2024</w:t>
      </w:r>
      <w:r>
        <w:rPr>
          <w:sz w:val="16"/>
          <w:szCs w:val="16"/>
        </w:rPr>
        <w:t>)</w:t>
      </w:r>
      <w:r w:rsidRPr="005A4FCD">
        <w:rPr>
          <w:sz w:val="16"/>
          <w:szCs w:val="16"/>
        </w:rPr>
        <w:t>. K vyšší tuzemské spotřebě tak mohly přispět i přeshraniční nákupy, popř. silnější tranzitní doprava.</w:t>
      </w:r>
    </w:p>
  </w:footnote>
  <w:footnote w:id="100">
    <w:p w14:paraId="1D77F3E4" w14:textId="77777777" w:rsidR="00A04CEF" w:rsidRPr="00A14EA3" w:rsidRDefault="00A04CEF" w:rsidP="00A04CEF">
      <w:pPr>
        <w:pStyle w:val="Textpoznpodarou"/>
        <w:rPr>
          <w:sz w:val="16"/>
          <w:szCs w:val="16"/>
        </w:rPr>
      </w:pPr>
      <w:r w:rsidRPr="00A14EA3">
        <w:rPr>
          <w:rStyle w:val="Znakapoznpodarou"/>
          <w:sz w:val="16"/>
          <w:szCs w:val="16"/>
        </w:rPr>
        <w:footnoteRef/>
      </w:r>
      <w:r w:rsidRPr="00A14EA3">
        <w:rPr>
          <w:sz w:val="16"/>
          <w:szCs w:val="16"/>
        </w:rPr>
        <w:t xml:space="preserve"> Tyto změny začaly ovlivňovat výši inkasa daně poprvé v únoru 2024. Vliv dalších legislativních úprav (</w:t>
      </w:r>
      <w:r w:rsidRPr="00A14EA3">
        <w:rPr>
          <w:color w:val="0D0D0D" w:themeColor="text1" w:themeTint="F2"/>
          <w:spacing w:val="-4"/>
          <w:sz w:val="16"/>
          <w:szCs w:val="16"/>
        </w:rPr>
        <w:t xml:space="preserve">zrušení či omezení některých daňových slev) </w:t>
      </w:r>
      <w:r>
        <w:rPr>
          <w:color w:val="0D0D0D" w:themeColor="text1" w:themeTint="F2"/>
          <w:spacing w:val="-4"/>
          <w:sz w:val="16"/>
          <w:szCs w:val="16"/>
        </w:rPr>
        <w:t xml:space="preserve">se poprvé projevil až při ročním zúčtování daně (v dubnu 2025). Za první čtyři měsíce letošního roku vzrostl výběr DPFO od plátců do SR meziročně již o 13,5 %. </w:t>
      </w:r>
    </w:p>
  </w:footnote>
  <w:footnote w:id="101">
    <w:p w14:paraId="1DD43245" w14:textId="77777777" w:rsidR="00A04CEF" w:rsidRPr="00FB0E09" w:rsidRDefault="00A04CEF" w:rsidP="00A04CEF">
      <w:pPr>
        <w:pStyle w:val="Textpoznpodarou"/>
        <w:rPr>
          <w:sz w:val="16"/>
          <w:szCs w:val="16"/>
        </w:rPr>
      </w:pPr>
      <w:r w:rsidRPr="00FB0E09">
        <w:rPr>
          <w:rStyle w:val="Znakapoznpodarou"/>
          <w:sz w:val="16"/>
          <w:szCs w:val="16"/>
        </w:rPr>
        <w:footnoteRef/>
      </w:r>
      <w:r w:rsidRPr="00FB0E09">
        <w:rPr>
          <w:sz w:val="16"/>
          <w:szCs w:val="16"/>
        </w:rPr>
        <w:t xml:space="preserve"> Výběr této daně za období leden až duben 2025 (zahrnují i roční vyrovnání daně) byl meziročně vyšší o 2,1 mld. korun.</w:t>
      </w:r>
    </w:p>
  </w:footnote>
  <w:footnote w:id="102">
    <w:p w14:paraId="70993CA2" w14:textId="77777777" w:rsidR="00A04CEF" w:rsidRPr="00720081" w:rsidRDefault="00A04CEF" w:rsidP="00A04CEF">
      <w:pPr>
        <w:pStyle w:val="Textpoznpodarou"/>
        <w:rPr>
          <w:sz w:val="16"/>
          <w:szCs w:val="16"/>
        </w:rPr>
      </w:pPr>
      <w:r w:rsidRPr="00720081">
        <w:rPr>
          <w:rStyle w:val="Znakapoznpodarou"/>
          <w:sz w:val="16"/>
          <w:szCs w:val="16"/>
        </w:rPr>
        <w:footnoteRef/>
      </w:r>
      <w:r w:rsidRPr="00720081">
        <w:rPr>
          <w:sz w:val="16"/>
          <w:szCs w:val="16"/>
        </w:rPr>
        <w:t xml:space="preserve"> Dle experimentální statistiky ČSÚ klesl za loňský rok počet osob pracujících na dohody o 4 % a finanční odměny plynoucí z těchto dohod o 7 %.</w:t>
      </w:r>
    </w:p>
  </w:footnote>
  <w:footnote w:id="103">
    <w:p w14:paraId="41B7FC33" w14:textId="77777777" w:rsidR="00A04CEF" w:rsidRPr="00813E58" w:rsidRDefault="00A04CEF" w:rsidP="00A04CEF">
      <w:pPr>
        <w:pStyle w:val="Textpoznpodarou"/>
        <w:rPr>
          <w:sz w:val="16"/>
          <w:szCs w:val="16"/>
        </w:rPr>
      </w:pPr>
      <w:r w:rsidRPr="00813E58">
        <w:rPr>
          <w:rStyle w:val="Znakapoznpodarou"/>
          <w:sz w:val="16"/>
          <w:szCs w:val="16"/>
        </w:rPr>
        <w:footnoteRef/>
      </w:r>
      <w:r w:rsidRPr="00813E58">
        <w:rPr>
          <w:sz w:val="16"/>
          <w:szCs w:val="16"/>
        </w:rPr>
        <w:t xml:space="preserve"> Aktuálně nízkou</w:t>
      </w:r>
      <w:r>
        <w:rPr>
          <w:sz w:val="16"/>
          <w:szCs w:val="16"/>
        </w:rPr>
        <w:t xml:space="preserve"> váhu</w:t>
      </w:r>
      <w:r w:rsidRPr="00813E58">
        <w:rPr>
          <w:sz w:val="16"/>
          <w:szCs w:val="16"/>
        </w:rPr>
        <w:t xml:space="preserve"> těchto příjmů lze vysvětlit tím, že plánované </w:t>
      </w:r>
      <w:r w:rsidRPr="00813E58">
        <w:rPr>
          <w:spacing w:val="-4"/>
          <w:sz w:val="16"/>
          <w:szCs w:val="16"/>
        </w:rPr>
        <w:t>převody výnosů z dividend a</w:t>
      </w:r>
      <w:r w:rsidRPr="00813E58">
        <w:rPr>
          <w:color w:val="0D0D0D" w:themeColor="text1" w:themeTint="F2"/>
          <w:spacing w:val="-4"/>
          <w:sz w:val="16"/>
          <w:szCs w:val="16"/>
        </w:rPr>
        <w:t> </w:t>
      </w:r>
      <w:r w:rsidRPr="00813E58">
        <w:rPr>
          <w:spacing w:val="-4"/>
          <w:sz w:val="16"/>
          <w:szCs w:val="16"/>
        </w:rPr>
        <w:t>dalších majetkových účastí státu se uskuteční až ve druhé polovině letošního roku.</w:t>
      </w:r>
    </w:p>
  </w:footnote>
  <w:footnote w:id="104">
    <w:p w14:paraId="4A53195A" w14:textId="77777777" w:rsidR="00A04CEF" w:rsidRPr="00FD04A8" w:rsidRDefault="00A04CEF" w:rsidP="00A04CEF">
      <w:pPr>
        <w:pStyle w:val="Textpoznpodarou"/>
        <w:rPr>
          <w:sz w:val="16"/>
          <w:szCs w:val="16"/>
        </w:rPr>
      </w:pPr>
      <w:r w:rsidRPr="00FD04A8">
        <w:rPr>
          <w:rStyle w:val="Znakapoznpodarou"/>
          <w:sz w:val="16"/>
          <w:szCs w:val="16"/>
        </w:rPr>
        <w:footnoteRef/>
      </w:r>
      <w:r w:rsidRPr="00FD04A8">
        <w:rPr>
          <w:sz w:val="16"/>
          <w:szCs w:val="16"/>
        </w:rPr>
        <w:t xml:space="preserve"> V 1. čtvrtletí loňského roku ještě získal SR od EU z tohoto programového období dodatečné příjmy (na krytí již SR dříve předfinancovaných výdajů) ve výši 6,9 mld. korun.</w:t>
      </w:r>
    </w:p>
  </w:footnote>
  <w:footnote w:id="105">
    <w:p w14:paraId="71006FF4" w14:textId="77777777" w:rsidR="00A04CEF" w:rsidRPr="00FD04A8" w:rsidRDefault="00A04CEF" w:rsidP="00A04CEF">
      <w:pPr>
        <w:pStyle w:val="Textpoznpodarou"/>
        <w:rPr>
          <w:sz w:val="16"/>
          <w:szCs w:val="16"/>
        </w:rPr>
      </w:pPr>
      <w:r w:rsidRPr="00FD04A8">
        <w:rPr>
          <w:rStyle w:val="Znakapoznpodarou"/>
          <w:sz w:val="16"/>
          <w:szCs w:val="16"/>
        </w:rPr>
        <w:footnoteRef/>
      </w:r>
      <w:r w:rsidRPr="00FD04A8">
        <w:rPr>
          <w:sz w:val="16"/>
          <w:szCs w:val="16"/>
        </w:rPr>
        <w:t xml:space="preserve"> Ty zatím letos dosáhly 14,5 mld. korun, meziročně o 2,5 mld. více. Skoro 90 % z této části př</w:t>
      </w:r>
      <w:r>
        <w:rPr>
          <w:sz w:val="16"/>
          <w:szCs w:val="16"/>
        </w:rPr>
        <w:t>edstavovaly přímé platby zeměděl</w:t>
      </w:r>
      <w:r w:rsidRPr="00FD04A8">
        <w:rPr>
          <w:sz w:val="16"/>
          <w:szCs w:val="16"/>
        </w:rPr>
        <w:t xml:space="preserve">cům. </w:t>
      </w:r>
    </w:p>
  </w:footnote>
  <w:footnote w:id="106">
    <w:p w14:paraId="38D3D0D0" w14:textId="77777777" w:rsidR="00A04CEF" w:rsidRPr="00FF5A2E" w:rsidRDefault="00A04CEF" w:rsidP="00A04CEF">
      <w:pPr>
        <w:pStyle w:val="Textpoznpodarou"/>
        <w:rPr>
          <w:sz w:val="16"/>
          <w:szCs w:val="16"/>
        </w:rPr>
      </w:pPr>
      <w:r w:rsidRPr="00FF5A2E">
        <w:rPr>
          <w:rStyle w:val="Znakapoznpodarou"/>
          <w:sz w:val="16"/>
          <w:szCs w:val="16"/>
        </w:rPr>
        <w:footnoteRef/>
      </w:r>
      <w:r w:rsidRPr="00FF5A2E">
        <w:rPr>
          <w:sz w:val="16"/>
          <w:szCs w:val="16"/>
        </w:rPr>
        <w:t xml:space="preserve"> Výdaje na platy učitelů vzrostly od 1. 1. 2025 o 7 %, u ostatních pedagogických (vychovatelé, asistenti pedagoga) a neped</w:t>
      </w:r>
      <w:r>
        <w:rPr>
          <w:sz w:val="16"/>
          <w:szCs w:val="16"/>
        </w:rPr>
        <w:t xml:space="preserve">agogických </w:t>
      </w:r>
      <w:r w:rsidRPr="00420D40">
        <w:rPr>
          <w:spacing w:val="-2"/>
          <w:sz w:val="16"/>
          <w:szCs w:val="16"/>
        </w:rPr>
        <w:t>pracovníků vzrostly o 5 %. Zvýšení platových tarifů o 1 400 Kč se dotklo jen nepedagogických pracovníků. Meziroční růst výdajů zohledňuje</w:t>
      </w:r>
      <w:r w:rsidRPr="00FF5A2E">
        <w:rPr>
          <w:sz w:val="16"/>
          <w:szCs w:val="16"/>
        </w:rPr>
        <w:t xml:space="preserve"> i pokračující</w:t>
      </w:r>
      <w:r>
        <w:rPr>
          <w:sz w:val="16"/>
          <w:szCs w:val="16"/>
        </w:rPr>
        <w:t xml:space="preserve"> růst počtu</w:t>
      </w:r>
      <w:r w:rsidRPr="00FF5A2E">
        <w:rPr>
          <w:sz w:val="16"/>
          <w:szCs w:val="16"/>
        </w:rPr>
        <w:t xml:space="preserve"> dětí, žáků a studentů v regionálním školství a větší míry využití dělení hodin v rámci zvyšování kvality výuky</w:t>
      </w:r>
      <w:r>
        <w:rPr>
          <w:sz w:val="16"/>
          <w:szCs w:val="16"/>
        </w:rPr>
        <w:t>.</w:t>
      </w:r>
    </w:p>
  </w:footnote>
  <w:footnote w:id="107">
    <w:p w14:paraId="30FE8811" w14:textId="77777777" w:rsidR="00A04CEF" w:rsidRPr="002B77A8" w:rsidRDefault="00A04CEF" w:rsidP="00A04CEF">
      <w:pPr>
        <w:pStyle w:val="Textpoznpodarou"/>
        <w:rPr>
          <w:sz w:val="16"/>
          <w:szCs w:val="16"/>
        </w:rPr>
      </w:pPr>
      <w:r w:rsidRPr="002B77A8">
        <w:rPr>
          <w:rStyle w:val="Znakapoznpodarou"/>
          <w:sz w:val="16"/>
          <w:szCs w:val="16"/>
        </w:rPr>
        <w:footnoteRef/>
      </w:r>
      <w:r>
        <w:rPr>
          <w:sz w:val="16"/>
          <w:szCs w:val="16"/>
        </w:rPr>
        <w:t xml:space="preserve"> Jde o I</w:t>
      </w:r>
      <w:r w:rsidRPr="002B77A8">
        <w:rPr>
          <w:sz w:val="16"/>
          <w:szCs w:val="16"/>
        </w:rPr>
        <w:t>ntegrovaný regionální operační program.</w:t>
      </w:r>
    </w:p>
  </w:footnote>
  <w:footnote w:id="108">
    <w:p w14:paraId="2FB6B91C" w14:textId="77777777" w:rsidR="00A04CEF" w:rsidRPr="006B4D0D" w:rsidRDefault="00A04CEF" w:rsidP="00A04CEF">
      <w:pPr>
        <w:pStyle w:val="Textpoznpodarou"/>
        <w:rPr>
          <w:spacing w:val="-4"/>
          <w:sz w:val="16"/>
          <w:szCs w:val="16"/>
        </w:rPr>
      </w:pPr>
      <w:r w:rsidRPr="006B4D0D">
        <w:rPr>
          <w:rStyle w:val="Znakapoznpodarou"/>
          <w:spacing w:val="-4"/>
          <w:sz w:val="16"/>
          <w:szCs w:val="16"/>
        </w:rPr>
        <w:footnoteRef/>
      </w:r>
      <w:r w:rsidRPr="006B4D0D">
        <w:rPr>
          <w:spacing w:val="-4"/>
          <w:sz w:val="16"/>
          <w:szCs w:val="16"/>
        </w:rPr>
        <w:t xml:space="preserve"> Schválený SR počítá na celý letošní rok s růstem těchto výdajů o 11,5 % a jejich výše by poprvé v historii měla dosáhnout 100 mld. korun. </w:t>
      </w:r>
    </w:p>
  </w:footnote>
  <w:footnote w:id="109">
    <w:p w14:paraId="0FE84536" w14:textId="77777777" w:rsidR="00A04CEF" w:rsidRPr="000575AE" w:rsidRDefault="00A04CEF" w:rsidP="00A04CEF">
      <w:pPr>
        <w:pStyle w:val="Textpoznpodarou"/>
        <w:rPr>
          <w:sz w:val="16"/>
          <w:szCs w:val="16"/>
        </w:rPr>
      </w:pPr>
      <w:r w:rsidRPr="00A27E33">
        <w:rPr>
          <w:rStyle w:val="Znakapoznpodarou"/>
          <w:sz w:val="16"/>
          <w:szCs w:val="16"/>
        </w:rPr>
        <w:footnoteRef/>
      </w:r>
      <w:r w:rsidRPr="00A27E33">
        <w:rPr>
          <w:sz w:val="16"/>
          <w:szCs w:val="16"/>
        </w:rPr>
        <w:t xml:space="preserve"> Emisní činnost státu, a to zejména za účelem financování splátek státního dluhu a průběžného krytí aktuálního schodku státního rozpočtu, probíhala ve standardním režimu a dosáhla</w:t>
      </w:r>
      <w:r w:rsidRPr="000575AE">
        <w:rPr>
          <w:sz w:val="16"/>
          <w:szCs w:val="16"/>
        </w:rPr>
        <w:t xml:space="preserve"> </w:t>
      </w:r>
      <w:r>
        <w:rPr>
          <w:sz w:val="16"/>
          <w:szCs w:val="16"/>
        </w:rPr>
        <w:t xml:space="preserve">letos za 1. </w:t>
      </w:r>
      <w:r w:rsidRPr="000575AE">
        <w:rPr>
          <w:sz w:val="16"/>
          <w:szCs w:val="16"/>
        </w:rPr>
        <w:t xml:space="preserve">čtvrtletí 198 mld. korun (o polovinu více než o rok dříve). Rozhodující část výpůjček tvořily </w:t>
      </w:r>
      <w:r w:rsidRPr="000575AE">
        <w:rPr>
          <w:rFonts w:cs="Verdana"/>
          <w:color w:val="000000"/>
          <w:sz w:val="16"/>
          <w:szCs w:val="16"/>
        </w:rPr>
        <w:t>emise korunových střednědobých a dlouhodobých státních dluhopisů prodaných na domácím trhu</w:t>
      </w:r>
      <w:r>
        <w:rPr>
          <w:rFonts w:cs="Verdana"/>
          <w:color w:val="000000"/>
          <w:sz w:val="16"/>
          <w:szCs w:val="16"/>
        </w:rPr>
        <w:t>, které činily</w:t>
      </w:r>
      <w:r w:rsidRPr="000575AE">
        <w:rPr>
          <w:rFonts w:cs="Verdana"/>
          <w:color w:val="000000"/>
          <w:sz w:val="16"/>
          <w:szCs w:val="16"/>
        </w:rPr>
        <w:t xml:space="preserve"> 109,2 mld. korun (při průměrné zbytkové dob</w:t>
      </w:r>
      <w:r>
        <w:rPr>
          <w:rFonts w:cs="Verdana"/>
          <w:color w:val="000000"/>
          <w:sz w:val="16"/>
          <w:szCs w:val="16"/>
        </w:rPr>
        <w:t>ě</w:t>
      </w:r>
      <w:r w:rsidRPr="000575AE">
        <w:rPr>
          <w:rFonts w:cs="Verdana"/>
          <w:color w:val="000000"/>
          <w:sz w:val="16"/>
          <w:szCs w:val="16"/>
        </w:rPr>
        <w:t xml:space="preserve"> do splatnosti 9,1 roku a průměrném ročním výnosu fixně úročených dluhopisů</w:t>
      </w:r>
      <w:r>
        <w:rPr>
          <w:rFonts w:cs="Verdana"/>
          <w:color w:val="000000"/>
          <w:sz w:val="16"/>
          <w:szCs w:val="16"/>
        </w:rPr>
        <w:t xml:space="preserve"> 4,0</w:t>
      </w:r>
      <w:r w:rsidRPr="00FF5A2E">
        <w:rPr>
          <w:sz w:val="16"/>
          <w:szCs w:val="16"/>
        </w:rPr>
        <w:t> </w:t>
      </w:r>
      <w:r w:rsidRPr="000575AE">
        <w:rPr>
          <w:rFonts w:cs="Verdana"/>
          <w:color w:val="000000"/>
          <w:sz w:val="16"/>
          <w:szCs w:val="16"/>
        </w:rPr>
        <w:t>%).</w:t>
      </w:r>
      <w:r>
        <w:rPr>
          <w:rFonts w:cs="Verdana"/>
          <w:color w:val="000000"/>
          <w:sz w:val="16"/>
          <w:szCs w:val="16"/>
        </w:rPr>
        <w:t xml:space="preserve"> Letos i na počátku předchozího roku měly výpůjční operace státu dopad pouze na oblast vnitřního dluhu.</w:t>
      </w:r>
    </w:p>
  </w:footnote>
  <w:footnote w:id="110">
    <w:p w14:paraId="5CB3DA85" w14:textId="77777777" w:rsidR="00A04CEF" w:rsidRPr="00DE4F27" w:rsidRDefault="00A04CEF" w:rsidP="00A04CEF">
      <w:pPr>
        <w:spacing w:after="0" w:line="240" w:lineRule="auto"/>
        <w:jc w:val="left"/>
        <w:rPr>
          <w:rFonts w:eastAsia="Calibri" w:cs="Verdana"/>
          <w:color w:val="000000"/>
          <w:sz w:val="16"/>
          <w:szCs w:val="16"/>
        </w:rPr>
      </w:pPr>
      <w:r w:rsidRPr="00DE4F27">
        <w:rPr>
          <w:rFonts w:eastAsia="Calibri" w:cs="Verdana"/>
          <w:color w:val="000000"/>
          <w:sz w:val="16"/>
          <w:szCs w:val="16"/>
          <w:vertAlign w:val="superscript"/>
        </w:rPr>
        <w:footnoteRef/>
      </w:r>
      <w:r w:rsidRPr="00DE4F27">
        <w:rPr>
          <w:rFonts w:eastAsia="Calibri" w:cs="Verdana"/>
          <w:color w:val="000000"/>
          <w:sz w:val="16"/>
          <w:szCs w:val="16"/>
        </w:rPr>
        <w:t xml:space="preserve"> Základní výše výměry důchodu se zvýšila na 4 660 Kč (+260 korun); procentní výměra se zvýšila o 0,6 % a důchodcům, kteří dosáhnou v lednu 2025 věku 85 let, bude procentní výměra navýšena ještě o 1 000 korun. Průměrný měsíční starobní důchod se tak v lednu zvýšil o 358 korun (+1,7 %). </w:t>
      </w:r>
      <w:r w:rsidRPr="00592FF3">
        <w:rPr>
          <w:spacing w:val="-2"/>
          <w:sz w:val="16"/>
          <w:szCs w:val="16"/>
        </w:rPr>
        <w:t xml:space="preserve">Průměrný </w:t>
      </w:r>
      <w:r>
        <w:rPr>
          <w:spacing w:val="-2"/>
          <w:sz w:val="16"/>
          <w:szCs w:val="16"/>
        </w:rPr>
        <w:t xml:space="preserve">měsíční </w:t>
      </w:r>
      <w:r w:rsidRPr="00592FF3">
        <w:rPr>
          <w:spacing w:val="-2"/>
          <w:sz w:val="16"/>
          <w:szCs w:val="16"/>
        </w:rPr>
        <w:t>s</w:t>
      </w:r>
      <w:r>
        <w:rPr>
          <w:spacing w:val="-2"/>
          <w:sz w:val="16"/>
          <w:szCs w:val="16"/>
        </w:rPr>
        <w:t xml:space="preserve">tarobní důchod </w:t>
      </w:r>
      <w:r w:rsidRPr="00592FF3">
        <w:rPr>
          <w:spacing w:val="-2"/>
          <w:sz w:val="16"/>
          <w:szCs w:val="16"/>
        </w:rPr>
        <w:t xml:space="preserve">(bez souběhu s ostatními důchody) </w:t>
      </w:r>
      <w:r>
        <w:rPr>
          <w:spacing w:val="-2"/>
          <w:sz w:val="16"/>
          <w:szCs w:val="16"/>
        </w:rPr>
        <w:t>byl v březnu</w:t>
      </w:r>
      <w:r w:rsidRPr="00592FF3">
        <w:rPr>
          <w:spacing w:val="-2"/>
          <w:sz w:val="16"/>
          <w:szCs w:val="16"/>
        </w:rPr>
        <w:t xml:space="preserve"> </w:t>
      </w:r>
      <w:r>
        <w:rPr>
          <w:spacing w:val="-2"/>
          <w:sz w:val="16"/>
          <w:szCs w:val="16"/>
        </w:rPr>
        <w:t>2025 meziročně vyšší o 2,1 %, když dosáhl u mužů 22,3</w:t>
      </w:r>
      <w:r w:rsidRPr="00592FF3">
        <w:rPr>
          <w:spacing w:val="-2"/>
          <w:sz w:val="16"/>
          <w:szCs w:val="16"/>
        </w:rPr>
        <w:t xml:space="preserve"> tis. korun</w:t>
      </w:r>
      <w:r>
        <w:rPr>
          <w:spacing w:val="-2"/>
          <w:sz w:val="16"/>
          <w:szCs w:val="16"/>
        </w:rPr>
        <w:t xml:space="preserve">, u žen 19,9 </w:t>
      </w:r>
      <w:r w:rsidRPr="00592FF3">
        <w:rPr>
          <w:spacing w:val="-2"/>
          <w:sz w:val="16"/>
          <w:szCs w:val="16"/>
        </w:rPr>
        <w:t>tis. korun.</w:t>
      </w:r>
    </w:p>
  </w:footnote>
  <w:footnote w:id="111">
    <w:p w14:paraId="7AD2F91A" w14:textId="77777777" w:rsidR="00A04CEF" w:rsidRPr="00DE4F27" w:rsidRDefault="00A04CEF" w:rsidP="00A04CEF">
      <w:pPr>
        <w:spacing w:after="0" w:line="240" w:lineRule="auto"/>
        <w:jc w:val="left"/>
        <w:rPr>
          <w:rFonts w:eastAsia="Calibri" w:cs="Verdana"/>
          <w:color w:val="000000"/>
          <w:sz w:val="16"/>
          <w:szCs w:val="16"/>
        </w:rPr>
      </w:pPr>
      <w:r w:rsidRPr="00DE4F27">
        <w:rPr>
          <w:rStyle w:val="Znakapoznpodarou"/>
          <w:sz w:val="16"/>
          <w:szCs w:val="16"/>
        </w:rPr>
        <w:footnoteRef/>
      </w:r>
      <w:r w:rsidRPr="00DE4F27">
        <w:rPr>
          <w:sz w:val="16"/>
          <w:szCs w:val="16"/>
        </w:rPr>
        <w:t xml:space="preserve"> </w:t>
      </w:r>
      <w:r>
        <w:rPr>
          <w:rFonts w:eastAsia="Calibri" w:cs="Verdana"/>
          <w:color w:val="000000"/>
          <w:sz w:val="16"/>
          <w:szCs w:val="16"/>
        </w:rPr>
        <w:t xml:space="preserve">Od října 2024 se potřebná doba pojištění </w:t>
      </w:r>
      <w:r w:rsidRPr="00DE4F27">
        <w:rPr>
          <w:rFonts w:eastAsia="Calibri" w:cs="Verdana"/>
          <w:color w:val="000000"/>
          <w:sz w:val="16"/>
          <w:szCs w:val="16"/>
        </w:rPr>
        <w:t xml:space="preserve">zvýšila z 35 na 40 let. Již dříve došlo k dalším zpřísněním: maximální doba předčasnosti se zkrátila z 5 let </w:t>
      </w:r>
      <w:r>
        <w:rPr>
          <w:rFonts w:eastAsia="Calibri" w:cs="Verdana"/>
          <w:color w:val="000000"/>
          <w:sz w:val="16"/>
          <w:szCs w:val="16"/>
        </w:rPr>
        <w:t>na 3 roky, zrušila se valorizace</w:t>
      </w:r>
      <w:r w:rsidRPr="00DE4F27">
        <w:rPr>
          <w:rFonts w:eastAsia="Calibri" w:cs="Verdana"/>
          <w:color w:val="000000"/>
          <w:sz w:val="16"/>
          <w:szCs w:val="16"/>
        </w:rPr>
        <w:t xml:space="preserve"> procentní výměry předčasného důchodu až do d</w:t>
      </w:r>
      <w:r>
        <w:rPr>
          <w:rFonts w:eastAsia="Calibri" w:cs="Verdana"/>
          <w:color w:val="000000"/>
          <w:sz w:val="16"/>
          <w:szCs w:val="16"/>
        </w:rPr>
        <w:t>oby dosažení důchodového věku a</w:t>
      </w:r>
      <w:r w:rsidRPr="00DE4F27">
        <w:rPr>
          <w:rFonts w:eastAsia="Calibri" w:cs="Verdana"/>
          <w:color w:val="000000"/>
          <w:sz w:val="16"/>
          <w:szCs w:val="16"/>
        </w:rPr>
        <w:t> výrazně vzrostlo krácení výše důchodu pro předčasnost.</w:t>
      </w:r>
    </w:p>
  </w:footnote>
  <w:footnote w:id="112">
    <w:p w14:paraId="0AAB6404" w14:textId="77777777" w:rsidR="00A04CEF" w:rsidRPr="0021442D" w:rsidRDefault="00A04CEF" w:rsidP="00A04CEF">
      <w:pPr>
        <w:pStyle w:val="Textpoznpodarou"/>
        <w:rPr>
          <w:sz w:val="16"/>
          <w:szCs w:val="16"/>
        </w:rPr>
      </w:pPr>
      <w:r w:rsidRPr="0021442D">
        <w:rPr>
          <w:rStyle w:val="Znakapoznpodarou"/>
          <w:sz w:val="16"/>
          <w:szCs w:val="16"/>
        </w:rPr>
        <w:footnoteRef/>
      </w:r>
      <w:r w:rsidRPr="0021442D">
        <w:rPr>
          <w:sz w:val="16"/>
          <w:szCs w:val="16"/>
        </w:rPr>
        <w:t xml:space="preserve"> I přes aktuální vývoj je celkový počet osob pobírajících předčasný, resp. trvale krácený starobní důchod</w:t>
      </w:r>
      <w:r>
        <w:rPr>
          <w:sz w:val="16"/>
          <w:szCs w:val="16"/>
        </w:rPr>
        <w:t xml:space="preserve"> vysoký.</w:t>
      </w:r>
      <w:r w:rsidRPr="0021442D">
        <w:rPr>
          <w:sz w:val="16"/>
          <w:szCs w:val="16"/>
        </w:rPr>
        <w:t xml:space="preserve"> </w:t>
      </w:r>
      <w:r>
        <w:rPr>
          <w:sz w:val="16"/>
          <w:szCs w:val="16"/>
        </w:rPr>
        <w:t>L</w:t>
      </w:r>
      <w:r w:rsidRPr="0021442D">
        <w:rPr>
          <w:sz w:val="16"/>
          <w:szCs w:val="16"/>
        </w:rPr>
        <w:t>etos v b</w:t>
      </w:r>
      <w:r>
        <w:rPr>
          <w:sz w:val="16"/>
          <w:szCs w:val="16"/>
        </w:rPr>
        <w:t xml:space="preserve">řeznu šlo </w:t>
      </w:r>
      <w:r w:rsidRPr="002E3AE2">
        <w:rPr>
          <w:spacing w:val="-2"/>
          <w:sz w:val="16"/>
          <w:szCs w:val="16"/>
        </w:rPr>
        <w:t>o 762 tis., tj. 32,4 % všech osob se starobním důchodem a v některých regionech se pohybuje až okolo 40 % (kraje: Vysočina, Pardubický</w:t>
      </w:r>
      <w:r>
        <w:rPr>
          <w:sz w:val="16"/>
          <w:szCs w:val="16"/>
        </w:rPr>
        <w:t>, Olomoucký, Moravskoslezský).</w:t>
      </w:r>
    </w:p>
  </w:footnote>
  <w:footnote w:id="113">
    <w:p w14:paraId="6C28B3CF" w14:textId="77777777" w:rsidR="00A04CEF" w:rsidRDefault="00A04CEF" w:rsidP="00A04CEF">
      <w:pPr>
        <w:spacing w:after="0" w:line="240" w:lineRule="auto"/>
      </w:pPr>
      <w:r w:rsidRPr="00BF5E5C">
        <w:rPr>
          <w:rStyle w:val="Znakapoznpodarou"/>
          <w:rFonts w:eastAsia="Calibri"/>
          <w:sz w:val="16"/>
          <w:szCs w:val="16"/>
        </w:rPr>
        <w:footnoteRef/>
      </w:r>
      <w:r w:rsidRPr="00BF5E5C">
        <w:rPr>
          <w:rStyle w:val="Znakapoznpodarou"/>
          <w:rFonts w:eastAsia="Calibri"/>
          <w:sz w:val="16"/>
          <w:szCs w:val="16"/>
        </w:rPr>
        <w:t xml:space="preserve"> </w:t>
      </w:r>
      <w:r w:rsidRPr="00BF5E5C">
        <w:rPr>
          <w:rFonts w:eastAsia="Calibri"/>
          <w:sz w:val="16"/>
          <w:szCs w:val="16"/>
        </w:rPr>
        <w:t xml:space="preserve">To vyjadřuje rozdíl mezi příjmy z pojistného na důchodové pojištění a součtem výdajů na </w:t>
      </w:r>
      <w:r>
        <w:rPr>
          <w:rFonts w:eastAsia="Calibri"/>
          <w:sz w:val="16"/>
          <w:szCs w:val="16"/>
        </w:rPr>
        <w:t xml:space="preserve">tyto </w:t>
      </w:r>
      <w:r w:rsidRPr="00BF5E5C">
        <w:rPr>
          <w:rFonts w:eastAsia="Calibri"/>
          <w:sz w:val="16"/>
          <w:szCs w:val="16"/>
        </w:rPr>
        <w:t xml:space="preserve">dávky </w:t>
      </w:r>
      <w:r>
        <w:rPr>
          <w:rFonts w:eastAsia="Calibri"/>
          <w:sz w:val="16"/>
          <w:szCs w:val="16"/>
        </w:rPr>
        <w:t xml:space="preserve">(vč. </w:t>
      </w:r>
      <w:r w:rsidRPr="00BF5E5C">
        <w:rPr>
          <w:rFonts w:eastAsia="Calibri"/>
          <w:sz w:val="16"/>
          <w:szCs w:val="16"/>
        </w:rPr>
        <w:t>výdajů na jejich správu</w:t>
      </w:r>
      <w:r>
        <w:rPr>
          <w:rFonts w:eastAsia="Calibri"/>
          <w:sz w:val="16"/>
          <w:szCs w:val="16"/>
        </w:rPr>
        <w:t xml:space="preserve">) </w:t>
      </w:r>
      <w:r>
        <w:rPr>
          <w:rFonts w:cs="Arial"/>
          <w:color w:val="000000" w:themeColor="text1"/>
          <w:spacing w:val="-4"/>
          <w:sz w:val="16"/>
          <w:szCs w:val="16"/>
        </w:rPr>
        <w:t>dle předběžné účetní bilance MF.</w:t>
      </w:r>
    </w:p>
  </w:footnote>
  <w:footnote w:id="114">
    <w:p w14:paraId="7086FB8A" w14:textId="77777777" w:rsidR="00A04CEF" w:rsidRPr="00310355" w:rsidRDefault="00A04CEF" w:rsidP="00A04CEF">
      <w:pPr>
        <w:pStyle w:val="Textpoznpodarou"/>
        <w:rPr>
          <w:sz w:val="16"/>
          <w:szCs w:val="16"/>
        </w:rPr>
      </w:pPr>
      <w:r w:rsidRPr="00310355">
        <w:rPr>
          <w:rStyle w:val="Znakapoznpodarou"/>
          <w:sz w:val="16"/>
          <w:szCs w:val="16"/>
        </w:rPr>
        <w:footnoteRef/>
      </w:r>
      <w:r w:rsidRPr="00310355">
        <w:rPr>
          <w:sz w:val="16"/>
          <w:szCs w:val="16"/>
        </w:rPr>
        <w:t xml:space="preserve"> </w:t>
      </w:r>
      <w:r>
        <w:rPr>
          <w:sz w:val="16"/>
          <w:szCs w:val="16"/>
        </w:rPr>
        <w:t xml:space="preserve">To úzce souviselo se </w:t>
      </w:r>
      <w:r>
        <w:rPr>
          <w:color w:val="0D0D0D" w:themeColor="text1" w:themeTint="F2"/>
          <w:spacing w:val="-6"/>
          <w:sz w:val="16"/>
          <w:szCs w:val="16"/>
        </w:rPr>
        <w:t>zákonným</w:t>
      </w:r>
      <w:r w:rsidRPr="00310355">
        <w:rPr>
          <w:color w:val="0D0D0D" w:themeColor="text1" w:themeTint="F2"/>
          <w:spacing w:val="-6"/>
          <w:sz w:val="16"/>
          <w:szCs w:val="16"/>
        </w:rPr>
        <w:t xml:space="preserve"> navýšení</w:t>
      </w:r>
      <w:r>
        <w:rPr>
          <w:color w:val="0D0D0D" w:themeColor="text1" w:themeTint="F2"/>
          <w:spacing w:val="-6"/>
          <w:sz w:val="16"/>
          <w:szCs w:val="16"/>
        </w:rPr>
        <w:t>m</w:t>
      </w:r>
      <w:r w:rsidRPr="00310355">
        <w:rPr>
          <w:color w:val="0D0D0D" w:themeColor="text1" w:themeTint="F2"/>
          <w:spacing w:val="-6"/>
          <w:sz w:val="16"/>
          <w:szCs w:val="16"/>
        </w:rPr>
        <w:t xml:space="preserve"> částek pro osoby ve 2. až 4. stupni závislosti </w:t>
      </w:r>
      <w:r>
        <w:rPr>
          <w:color w:val="0D0D0D" w:themeColor="text1" w:themeTint="F2"/>
          <w:spacing w:val="-6"/>
          <w:sz w:val="16"/>
          <w:szCs w:val="16"/>
        </w:rPr>
        <w:t>u dětí i dospělých (</w:t>
      </w:r>
      <w:r w:rsidRPr="00310355">
        <w:rPr>
          <w:color w:val="0D0D0D" w:themeColor="text1" w:themeTint="F2"/>
          <w:spacing w:val="-6"/>
          <w:sz w:val="16"/>
          <w:szCs w:val="16"/>
        </w:rPr>
        <w:t>od července 2024</w:t>
      </w:r>
      <w:r>
        <w:rPr>
          <w:color w:val="0D0D0D" w:themeColor="text1" w:themeTint="F2"/>
          <w:spacing w:val="-6"/>
          <w:sz w:val="16"/>
          <w:szCs w:val="16"/>
        </w:rPr>
        <w:t>)</w:t>
      </w:r>
      <w:r w:rsidRPr="00310355">
        <w:rPr>
          <w:color w:val="0D0D0D" w:themeColor="text1" w:themeTint="F2"/>
          <w:spacing w:val="-6"/>
          <w:sz w:val="16"/>
          <w:szCs w:val="16"/>
        </w:rPr>
        <w:t>.</w:t>
      </w:r>
      <w:r>
        <w:rPr>
          <w:color w:val="0D0D0D" w:themeColor="text1" w:themeTint="F2"/>
          <w:spacing w:val="-6"/>
          <w:sz w:val="16"/>
          <w:szCs w:val="16"/>
        </w:rPr>
        <w:t xml:space="preserve"> Letos v březnu pobíralo celkově příspěvky na péči 380 tis. osob (meziročně o 2,5 % více).</w:t>
      </w:r>
    </w:p>
  </w:footnote>
  <w:footnote w:id="115">
    <w:p w14:paraId="056CDA58" w14:textId="77777777" w:rsidR="00A04CEF" w:rsidRPr="00C747F1" w:rsidRDefault="00A04CEF" w:rsidP="00A04CEF">
      <w:pPr>
        <w:pStyle w:val="Textpoznpodarou"/>
        <w:rPr>
          <w:color w:val="0D0D0D" w:themeColor="text1" w:themeTint="F2"/>
          <w:spacing w:val="-6"/>
          <w:sz w:val="16"/>
          <w:szCs w:val="16"/>
        </w:rPr>
      </w:pPr>
      <w:r w:rsidRPr="00C747F1">
        <w:rPr>
          <w:rStyle w:val="Znakapoznpodarou"/>
          <w:sz w:val="16"/>
          <w:szCs w:val="16"/>
        </w:rPr>
        <w:footnoteRef/>
      </w:r>
      <w:r w:rsidRPr="00C747F1">
        <w:rPr>
          <w:sz w:val="16"/>
          <w:szCs w:val="16"/>
        </w:rPr>
        <w:t xml:space="preserve"> </w:t>
      </w:r>
      <w:r w:rsidRPr="00C747F1">
        <w:rPr>
          <w:color w:val="0D0D0D" w:themeColor="text1" w:themeTint="F2"/>
          <w:spacing w:val="-6"/>
          <w:sz w:val="16"/>
          <w:szCs w:val="16"/>
        </w:rPr>
        <w:t xml:space="preserve">Výdaje na tyto dávky </w:t>
      </w:r>
      <w:r>
        <w:rPr>
          <w:color w:val="0D0D0D" w:themeColor="text1" w:themeTint="F2"/>
          <w:spacing w:val="-6"/>
          <w:sz w:val="16"/>
          <w:szCs w:val="16"/>
        </w:rPr>
        <w:t>dosáhly 2,4 mld. korun a vz</w:t>
      </w:r>
      <w:r w:rsidRPr="00C747F1">
        <w:rPr>
          <w:color w:val="0D0D0D" w:themeColor="text1" w:themeTint="F2"/>
          <w:spacing w:val="-6"/>
          <w:sz w:val="16"/>
          <w:szCs w:val="16"/>
        </w:rPr>
        <w:t xml:space="preserve">rostly vlivem navýšení započitatelných nákladů na bydlení a ubytování pro účely stanovení </w:t>
      </w:r>
      <w:r>
        <w:rPr>
          <w:color w:val="0D0D0D" w:themeColor="text1" w:themeTint="F2"/>
          <w:spacing w:val="-6"/>
          <w:sz w:val="16"/>
          <w:szCs w:val="16"/>
        </w:rPr>
        <w:t>n</w:t>
      </w:r>
      <w:r w:rsidRPr="00C747F1">
        <w:rPr>
          <w:color w:val="0D0D0D" w:themeColor="text1" w:themeTint="F2"/>
          <w:spacing w:val="-6"/>
          <w:sz w:val="16"/>
          <w:szCs w:val="16"/>
        </w:rPr>
        <w:t>ároku na humanitární dávku.</w:t>
      </w:r>
      <w:r>
        <w:rPr>
          <w:color w:val="0D0D0D" w:themeColor="text1" w:themeTint="F2"/>
          <w:spacing w:val="-6"/>
          <w:sz w:val="16"/>
          <w:szCs w:val="16"/>
        </w:rPr>
        <w:t xml:space="preserve"> Počet jejich příjemců se meziročně snížil o 6 % (na 52 tis.), proti březnu 2023 byl dokonce nižší o 50 %.</w:t>
      </w:r>
    </w:p>
  </w:footnote>
  <w:footnote w:id="116">
    <w:p w14:paraId="3C01032A" w14:textId="77777777" w:rsidR="00A04CEF" w:rsidRPr="00C12CF2" w:rsidRDefault="00A04CEF" w:rsidP="00A04CEF">
      <w:pPr>
        <w:pStyle w:val="Textpoznpodarou"/>
        <w:rPr>
          <w:sz w:val="16"/>
          <w:szCs w:val="16"/>
        </w:rPr>
      </w:pPr>
      <w:r w:rsidRPr="00C12CF2">
        <w:rPr>
          <w:rStyle w:val="Znakapoznpodarou"/>
          <w:sz w:val="16"/>
          <w:szCs w:val="16"/>
        </w:rPr>
        <w:footnoteRef/>
      </w:r>
      <w:r w:rsidRPr="00C12CF2">
        <w:rPr>
          <w:sz w:val="16"/>
          <w:szCs w:val="16"/>
        </w:rPr>
        <w:t xml:space="preserve"> Toto navýšení se odráží zejména v plošném zvýšení platových tarifů pro příslušníky bezpečnostních </w:t>
      </w:r>
      <w:r>
        <w:rPr>
          <w:sz w:val="16"/>
          <w:szCs w:val="16"/>
        </w:rPr>
        <w:t>sborů a vojáků (o 1500 korun) a</w:t>
      </w:r>
      <w:r w:rsidRPr="00207E1F">
        <w:rPr>
          <w:sz w:val="16"/>
          <w:szCs w:val="16"/>
        </w:rPr>
        <w:t> </w:t>
      </w:r>
      <w:r w:rsidRPr="00C12CF2">
        <w:rPr>
          <w:sz w:val="16"/>
          <w:szCs w:val="16"/>
        </w:rPr>
        <w:t>většiny ostatních státních zaměstnanců (o 1400 korun).</w:t>
      </w:r>
    </w:p>
  </w:footnote>
  <w:footnote w:id="117">
    <w:p w14:paraId="0DE327A5" w14:textId="77777777" w:rsidR="00A04CEF" w:rsidRPr="001D5ABD" w:rsidRDefault="00A04CEF" w:rsidP="00A04CEF">
      <w:pPr>
        <w:pStyle w:val="Textpoznpodarou"/>
        <w:rPr>
          <w:sz w:val="16"/>
          <w:szCs w:val="16"/>
        </w:rPr>
      </w:pPr>
      <w:r w:rsidRPr="001D5ABD">
        <w:rPr>
          <w:rStyle w:val="Znakapoznpodarou"/>
          <w:sz w:val="16"/>
          <w:szCs w:val="16"/>
        </w:rPr>
        <w:footnoteRef/>
      </w:r>
      <w:r w:rsidRPr="001D5ABD">
        <w:rPr>
          <w:rStyle w:val="Znakapoznpodarou"/>
        </w:rPr>
        <w:t xml:space="preserve"> </w:t>
      </w:r>
      <w:r w:rsidRPr="001A20A4">
        <w:rPr>
          <w:color w:val="0D0D0D" w:themeColor="text1" w:themeTint="F2"/>
          <w:sz w:val="16"/>
          <w:szCs w:val="16"/>
        </w:rPr>
        <w:t>Projevi</w:t>
      </w:r>
      <w:r w:rsidRPr="001A20A4">
        <w:rPr>
          <w:sz w:val="16"/>
          <w:szCs w:val="16"/>
        </w:rPr>
        <w:t>l se vliv nově zavedené automatické valorizace, jež od ledna 2024 upravuje vyměřovací základ platby o součet růstu spotřebitelských cen a poloviny růstu reálných mezd. V důsledku toho se od ledna 2025 zvýšila měsíční platba za osobu z 2085 korun na 2127 korun.</w:t>
      </w:r>
    </w:p>
  </w:footnote>
  <w:footnote w:id="118">
    <w:p w14:paraId="5E74A00F" w14:textId="77777777" w:rsidR="00A04CEF" w:rsidRDefault="00A04CEF" w:rsidP="00A04CEF">
      <w:pPr>
        <w:pStyle w:val="Textpoznpodarou"/>
      </w:pPr>
      <w:r w:rsidRPr="00C91E49">
        <w:rPr>
          <w:rStyle w:val="Znakapoznpodarou"/>
          <w:sz w:val="16"/>
          <w:szCs w:val="16"/>
        </w:rPr>
        <w:footnoteRef/>
      </w:r>
      <w:r w:rsidRPr="00C91E49">
        <w:rPr>
          <w:rStyle w:val="Znakapoznpodarou"/>
          <w:sz w:val="16"/>
          <w:szCs w:val="16"/>
        </w:rPr>
        <w:t xml:space="preserve"> </w:t>
      </w:r>
      <w:r w:rsidRPr="00C91E49">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119">
    <w:p w14:paraId="3B2D455A" w14:textId="77777777" w:rsidR="00A04CEF" w:rsidRPr="00C70FDA" w:rsidRDefault="00A04CEF" w:rsidP="00A04CEF">
      <w:pPr>
        <w:pStyle w:val="Textpoznpodarou"/>
        <w:rPr>
          <w:sz w:val="16"/>
          <w:szCs w:val="16"/>
        </w:rPr>
      </w:pPr>
      <w:r w:rsidRPr="00C70FDA">
        <w:rPr>
          <w:rStyle w:val="Znakapoznpodarou"/>
          <w:sz w:val="16"/>
          <w:szCs w:val="16"/>
        </w:rPr>
        <w:footnoteRef/>
      </w:r>
      <w:r w:rsidRPr="00C70FDA">
        <w:rPr>
          <w:sz w:val="16"/>
          <w:szCs w:val="16"/>
        </w:rPr>
        <w:t xml:space="preserve"> </w:t>
      </w:r>
      <w:r w:rsidRPr="00C70FDA">
        <w:rPr>
          <w:spacing w:val="-4"/>
          <w:sz w:val="16"/>
          <w:szCs w:val="16"/>
        </w:rPr>
        <w:t>To vyjadřuje r</w:t>
      </w:r>
      <w:r w:rsidRPr="00C70FDA">
        <w:rPr>
          <w:rFonts w:cs="Arial"/>
          <w:color w:val="000000" w:themeColor="text1"/>
          <w:spacing w:val="-4"/>
          <w:sz w:val="16"/>
          <w:szCs w:val="16"/>
        </w:rPr>
        <w:t>ozdíl mezi příjmy z pojistného na nemocenské pojištění</w:t>
      </w:r>
      <w:r w:rsidRPr="00C70FDA">
        <w:rPr>
          <w:rFonts w:ascii="Segoe UI" w:eastAsia="Times New Roman" w:hAnsi="Segoe UI" w:cs="Segoe UI"/>
          <w:b/>
          <w:bCs/>
          <w:color w:val="000000"/>
          <w:spacing w:val="-4"/>
          <w:sz w:val="16"/>
          <w:szCs w:val="16"/>
        </w:rPr>
        <w:t xml:space="preserve"> </w:t>
      </w:r>
      <w:r w:rsidRPr="00C70FDA">
        <w:rPr>
          <w:rFonts w:cs="Arial"/>
          <w:color w:val="000000" w:themeColor="text1"/>
          <w:spacing w:val="-4"/>
          <w:sz w:val="16"/>
          <w:szCs w:val="16"/>
        </w:rPr>
        <w:t xml:space="preserve">a výdaji na dávky z tohoto </w:t>
      </w:r>
      <w:r w:rsidRPr="00C70FDA">
        <w:rPr>
          <w:rFonts w:cs="Arial"/>
          <w:color w:val="0D0D0D" w:themeColor="text1" w:themeTint="F2"/>
          <w:spacing w:val="-4"/>
          <w:sz w:val="16"/>
          <w:szCs w:val="16"/>
        </w:rPr>
        <w:t>pojištění</w:t>
      </w:r>
      <w:r w:rsidRPr="00C70FDA">
        <w:rPr>
          <w:rFonts w:cs="Arial"/>
          <w:color w:val="000000" w:themeColor="text1"/>
          <w:spacing w:val="-4"/>
          <w:sz w:val="16"/>
          <w:szCs w:val="16"/>
        </w:rPr>
        <w:t xml:space="preserve"> dle účetní bilance ČSSZ.</w:t>
      </w:r>
    </w:p>
  </w:footnote>
  <w:footnote w:id="120">
    <w:p w14:paraId="52CA68BB" w14:textId="77777777" w:rsidR="00A04CEF" w:rsidRDefault="00A04CEF" w:rsidP="00A04CEF">
      <w:pPr>
        <w:pStyle w:val="Textpoznpodarou"/>
      </w:pPr>
      <w:r w:rsidRPr="00207E1F">
        <w:rPr>
          <w:rStyle w:val="Znakapoznpodarou"/>
          <w:sz w:val="16"/>
          <w:szCs w:val="16"/>
        </w:rPr>
        <w:footnoteRef/>
      </w:r>
      <w:r w:rsidRPr="00207E1F">
        <w:rPr>
          <w:sz w:val="16"/>
          <w:szCs w:val="16"/>
        </w:rPr>
        <w:t xml:space="preserve"> Schválený SR </w:t>
      </w:r>
      <w:r>
        <w:rPr>
          <w:sz w:val="16"/>
          <w:szCs w:val="16"/>
        </w:rPr>
        <w:t xml:space="preserve">zde </w:t>
      </w:r>
      <w:r w:rsidRPr="00207E1F">
        <w:rPr>
          <w:sz w:val="16"/>
          <w:szCs w:val="16"/>
        </w:rPr>
        <w:t>počítá s celoročním růstem o 6 %, taženým z</w:t>
      </w:r>
      <w:r>
        <w:rPr>
          <w:sz w:val="16"/>
          <w:szCs w:val="16"/>
        </w:rPr>
        <w:t>ejména vyššími výdaji na obranu (nákupů služeb a</w:t>
      </w:r>
      <w:r w:rsidRPr="00207E1F">
        <w:rPr>
          <w:sz w:val="16"/>
          <w:szCs w:val="16"/>
        </w:rPr>
        <w:t> materiálu).</w:t>
      </w:r>
    </w:p>
  </w:footnote>
  <w:footnote w:id="121">
    <w:p w14:paraId="3A20C25F" w14:textId="77777777" w:rsidR="00A04CEF" w:rsidRDefault="00A04CEF" w:rsidP="00A04CEF">
      <w:pPr>
        <w:pStyle w:val="Textpoznpodarou"/>
      </w:pPr>
      <w:r w:rsidRPr="00207E1F">
        <w:rPr>
          <w:rStyle w:val="Znakapoznpodarou"/>
          <w:sz w:val="16"/>
          <w:szCs w:val="16"/>
        </w:rPr>
        <w:footnoteRef/>
      </w:r>
      <w:r>
        <w:t xml:space="preserve"> </w:t>
      </w:r>
      <w:r w:rsidRPr="00207E1F">
        <w:rPr>
          <w:sz w:val="16"/>
          <w:szCs w:val="16"/>
        </w:rPr>
        <w:t xml:space="preserve">Pokles výdajů na nákupy služeb </w:t>
      </w:r>
      <w:r>
        <w:rPr>
          <w:sz w:val="16"/>
          <w:szCs w:val="16"/>
        </w:rPr>
        <w:t xml:space="preserve">byl způsoben výhradně </w:t>
      </w:r>
      <w:r w:rsidRPr="00207E1F">
        <w:rPr>
          <w:sz w:val="16"/>
          <w:szCs w:val="16"/>
        </w:rPr>
        <w:t>vyšší loňskou základnou ovlivněnou únorovou platbou na pořízení víceúčelového nadzvukového letounu F-35 ve výši 3,2 mld. korun.</w:t>
      </w:r>
    </w:p>
  </w:footnote>
  <w:footnote w:id="122">
    <w:p w14:paraId="15CD9AB2" w14:textId="77777777" w:rsidR="00A04CEF" w:rsidRPr="002E1606" w:rsidRDefault="00A04CEF" w:rsidP="00A04CEF">
      <w:pPr>
        <w:pStyle w:val="Textpoznpodarou"/>
        <w:rPr>
          <w:sz w:val="16"/>
          <w:szCs w:val="16"/>
        </w:rPr>
      </w:pPr>
      <w:r w:rsidRPr="002E1606">
        <w:rPr>
          <w:rStyle w:val="Znakapoznpodarou"/>
          <w:sz w:val="16"/>
          <w:szCs w:val="16"/>
        </w:rPr>
        <w:footnoteRef/>
      </w:r>
      <w:r w:rsidRPr="002E1606">
        <w:rPr>
          <w:sz w:val="16"/>
          <w:szCs w:val="16"/>
        </w:rPr>
        <w:t xml:space="preserve"> </w:t>
      </w:r>
      <w:r>
        <w:rPr>
          <w:sz w:val="16"/>
          <w:szCs w:val="16"/>
        </w:rPr>
        <w:t>Jednalo se o úhradu</w:t>
      </w:r>
      <w:r w:rsidRPr="004573F3">
        <w:rPr>
          <w:sz w:val="16"/>
          <w:szCs w:val="16"/>
        </w:rPr>
        <w:t xml:space="preserve"> České poště</w:t>
      </w:r>
      <w:r>
        <w:rPr>
          <w:sz w:val="16"/>
          <w:szCs w:val="16"/>
        </w:rPr>
        <w:t xml:space="preserve"> (ve výši 2,3 mld. korun)</w:t>
      </w:r>
      <w:r w:rsidRPr="004573F3">
        <w:rPr>
          <w:sz w:val="16"/>
          <w:szCs w:val="16"/>
        </w:rPr>
        <w:t xml:space="preserve"> za poskytování univerzální poštovní služby.</w:t>
      </w:r>
    </w:p>
  </w:footnote>
  <w:footnote w:id="123">
    <w:p w14:paraId="0BB44C86" w14:textId="77777777" w:rsidR="00A04CEF" w:rsidRPr="00E74176" w:rsidRDefault="00A04CEF" w:rsidP="00A04CEF">
      <w:pPr>
        <w:pStyle w:val="Textpoznpodarou"/>
        <w:rPr>
          <w:spacing w:val="-4"/>
          <w:sz w:val="16"/>
          <w:szCs w:val="16"/>
        </w:rPr>
      </w:pPr>
      <w:r w:rsidRPr="00E74176">
        <w:rPr>
          <w:rStyle w:val="Znakapoznpodarou"/>
          <w:spacing w:val="-4"/>
          <w:sz w:val="16"/>
          <w:szCs w:val="16"/>
        </w:rPr>
        <w:footnoteRef/>
      </w:r>
      <w:r w:rsidRPr="00E74176">
        <w:rPr>
          <w:spacing w:val="-4"/>
          <w:sz w:val="16"/>
          <w:szCs w:val="16"/>
        </w:rPr>
        <w:t xml:space="preserve"> Údaje o hospodaření</w:t>
      </w:r>
      <w:r>
        <w:rPr>
          <w:spacing w:val="-4"/>
          <w:sz w:val="16"/>
          <w:szCs w:val="16"/>
        </w:rPr>
        <w:t xml:space="preserve"> sektoru vládních institucí v ČR za 1. čtvrtletí 2025 zveřejní ČSÚ 1. července 2025, Eurostat za členské státy Unie následovně 21. července</w:t>
      </w:r>
      <w:r w:rsidRPr="00E74176">
        <w:rPr>
          <w:spacing w:val="-4"/>
          <w:sz w:val="16"/>
          <w:szCs w:val="16"/>
        </w:rPr>
        <w:t>. Detailnější z</w:t>
      </w:r>
      <w:r>
        <w:rPr>
          <w:spacing w:val="-4"/>
          <w:sz w:val="16"/>
          <w:szCs w:val="16"/>
        </w:rPr>
        <w:t>hodnocení tuzemského vývoje za 4. čtvrtletí 2024 nabízí publikace</w:t>
      </w:r>
      <w:r w:rsidRPr="00E74176">
        <w:rPr>
          <w:spacing w:val="-4"/>
          <w:sz w:val="16"/>
          <w:szCs w:val="16"/>
        </w:rPr>
        <w:t xml:space="preserve"> </w:t>
      </w:r>
      <w:hyperlink r:id="rId3" w:history="1">
        <w:r w:rsidRPr="00B546EC">
          <w:rPr>
            <w:rStyle w:val="Hypertextovodkaz"/>
            <w:i/>
            <w:spacing w:val="-4"/>
            <w:sz w:val="16"/>
            <w:szCs w:val="16"/>
          </w:rPr>
          <w:t>Analýza sektorových účtů.</w:t>
        </w:r>
      </w:hyperlink>
    </w:p>
  </w:footnote>
  <w:footnote w:id="124">
    <w:p w14:paraId="1EE86A74" w14:textId="77777777" w:rsidR="00A04CEF" w:rsidRPr="00E74176" w:rsidRDefault="00A04CEF" w:rsidP="00A04CEF">
      <w:pPr>
        <w:pStyle w:val="Textpoznpodarou"/>
        <w:rPr>
          <w:spacing w:val="-4"/>
          <w:sz w:val="16"/>
          <w:szCs w:val="16"/>
        </w:rPr>
      </w:pPr>
      <w:r w:rsidRPr="00E74176">
        <w:rPr>
          <w:rStyle w:val="Znakapoznpodarou"/>
          <w:spacing w:val="-4"/>
          <w:sz w:val="16"/>
          <w:szCs w:val="16"/>
        </w:rPr>
        <w:footnoteRef/>
      </w:r>
      <w:r w:rsidRPr="00E74176">
        <w:rPr>
          <w:spacing w:val="-4"/>
          <w:sz w:val="16"/>
          <w:szCs w:val="16"/>
        </w:rPr>
        <w:t xml:space="preserve"> Není-li uvedeno jinak, jsou údaje o hospodaření sektoru VI v ČR vyjádřeny bez sezónního očištění.</w:t>
      </w:r>
    </w:p>
  </w:footnote>
  <w:footnote w:id="125">
    <w:p w14:paraId="55489957" w14:textId="77777777" w:rsidR="00A04CEF" w:rsidRPr="00D94F98" w:rsidRDefault="00A04CEF" w:rsidP="00A04CEF">
      <w:pPr>
        <w:pStyle w:val="Textpoznpodarou"/>
        <w:rPr>
          <w:sz w:val="16"/>
          <w:szCs w:val="16"/>
        </w:rPr>
      </w:pPr>
      <w:r w:rsidRPr="00D94F98">
        <w:rPr>
          <w:rStyle w:val="Znakapoznpodarou"/>
          <w:sz w:val="16"/>
          <w:szCs w:val="16"/>
        </w:rPr>
        <w:footnoteRef/>
      </w:r>
      <w:r w:rsidRPr="00D94F98">
        <w:rPr>
          <w:sz w:val="16"/>
          <w:szCs w:val="16"/>
        </w:rPr>
        <w:t xml:space="preserve"> </w:t>
      </w:r>
      <w:r>
        <w:rPr>
          <w:sz w:val="16"/>
          <w:szCs w:val="16"/>
        </w:rPr>
        <w:t>Ty nezahrnují naturální sociální transfery.</w:t>
      </w:r>
    </w:p>
  </w:footnote>
  <w:footnote w:id="126">
    <w:p w14:paraId="5D2F7718" w14:textId="77777777" w:rsidR="00A04CEF" w:rsidRPr="00806EB5" w:rsidRDefault="00A04CEF" w:rsidP="00A04CEF">
      <w:pPr>
        <w:pStyle w:val="Textpoznpodarou"/>
        <w:rPr>
          <w:sz w:val="16"/>
          <w:szCs w:val="16"/>
        </w:rPr>
      </w:pPr>
      <w:r w:rsidRPr="00806EB5">
        <w:rPr>
          <w:rStyle w:val="Znakapoznpodarou"/>
          <w:sz w:val="16"/>
          <w:szCs w:val="16"/>
        </w:rPr>
        <w:footnoteRef/>
      </w:r>
      <w:r>
        <w:rPr>
          <w:sz w:val="16"/>
          <w:szCs w:val="16"/>
        </w:rPr>
        <w:t xml:space="preserve"> I přesto zde kladné</w:t>
      </w:r>
      <w:r w:rsidRPr="00806EB5">
        <w:rPr>
          <w:sz w:val="16"/>
          <w:szCs w:val="16"/>
        </w:rPr>
        <w:t xml:space="preserve"> saldo hospodaření převyšovalo </w:t>
      </w:r>
      <w:r>
        <w:rPr>
          <w:sz w:val="16"/>
          <w:szCs w:val="16"/>
        </w:rPr>
        <w:t>hranici</w:t>
      </w:r>
      <w:r w:rsidRPr="00806EB5">
        <w:rPr>
          <w:sz w:val="16"/>
          <w:szCs w:val="16"/>
        </w:rPr>
        <w:t xml:space="preserve"> 50 mld. korun již čtvrtým rokem v řadě.</w:t>
      </w:r>
    </w:p>
  </w:footnote>
  <w:footnote w:id="127">
    <w:p w14:paraId="00F8C16B" w14:textId="77777777" w:rsidR="00A04CEF" w:rsidRPr="009224F5" w:rsidRDefault="00A04CEF" w:rsidP="00A04CEF">
      <w:pPr>
        <w:pStyle w:val="Textpoznpodarou"/>
        <w:rPr>
          <w:sz w:val="16"/>
          <w:szCs w:val="16"/>
        </w:rPr>
      </w:pPr>
      <w:r w:rsidRPr="009224F5">
        <w:rPr>
          <w:rStyle w:val="Znakapoznpodarou"/>
          <w:sz w:val="16"/>
          <w:szCs w:val="16"/>
        </w:rPr>
        <w:footnoteRef/>
      </w:r>
      <w:r w:rsidRPr="009224F5">
        <w:rPr>
          <w:sz w:val="16"/>
          <w:szCs w:val="16"/>
        </w:rPr>
        <w:t xml:space="preserve"> V roce 2016 celkové výdaje klesly o 1,7 %. Zásadní vliv zde měl pomalý náběh přípravy evropských </w:t>
      </w:r>
      <w:r>
        <w:rPr>
          <w:sz w:val="16"/>
          <w:szCs w:val="16"/>
        </w:rPr>
        <w:t xml:space="preserve">investičních </w:t>
      </w:r>
      <w:r w:rsidRPr="009224F5">
        <w:rPr>
          <w:sz w:val="16"/>
          <w:szCs w:val="16"/>
        </w:rPr>
        <w:t>projektů v novém programovém období EU, což se projevilo propadem tvorby hrubého fixního kapitálu (oproti roku 2015 o více než třetinu).</w:t>
      </w:r>
    </w:p>
  </w:footnote>
  <w:footnote w:id="128">
    <w:p w14:paraId="6220D659" w14:textId="77777777" w:rsidR="00A04CEF" w:rsidRPr="00632790" w:rsidRDefault="00A04CEF" w:rsidP="00A04CEF">
      <w:pPr>
        <w:pStyle w:val="Textpoznpodarou"/>
        <w:rPr>
          <w:sz w:val="16"/>
          <w:szCs w:val="16"/>
        </w:rPr>
      </w:pPr>
      <w:r w:rsidRPr="00632790">
        <w:rPr>
          <w:rStyle w:val="Znakapoznpodarou"/>
          <w:sz w:val="16"/>
          <w:szCs w:val="16"/>
        </w:rPr>
        <w:footnoteRef/>
      </w:r>
      <w:r w:rsidRPr="00632790">
        <w:rPr>
          <w:sz w:val="16"/>
          <w:szCs w:val="16"/>
        </w:rPr>
        <w:t xml:space="preserve"> Rovněž sezónně očištěné čtvrtletní údaje naznačují, že ani v průběhu loňského roku nebyla zřejmá změna trendu a hloubka deficitu </w:t>
      </w:r>
      <w:r>
        <w:rPr>
          <w:sz w:val="16"/>
          <w:szCs w:val="16"/>
        </w:rPr>
        <w:t xml:space="preserve">hospodaření zůstávala během tohoto </w:t>
      </w:r>
      <w:r w:rsidRPr="00632790">
        <w:rPr>
          <w:sz w:val="16"/>
          <w:szCs w:val="16"/>
        </w:rPr>
        <w:t>roku v EU i eurozóně bez významných změn.</w:t>
      </w:r>
    </w:p>
  </w:footnote>
  <w:footnote w:id="129">
    <w:p w14:paraId="20CC022E" w14:textId="77777777" w:rsidR="00A04CEF" w:rsidRDefault="00A04CEF" w:rsidP="00A04CEF">
      <w:pPr>
        <w:pStyle w:val="Textpoznpodarou"/>
      </w:pPr>
      <w:r w:rsidRPr="00632790">
        <w:rPr>
          <w:rStyle w:val="Znakapoznpodarou"/>
          <w:sz w:val="16"/>
          <w:szCs w:val="16"/>
        </w:rPr>
        <w:footnoteRef/>
      </w:r>
      <w:r w:rsidRPr="00632790">
        <w:rPr>
          <w:sz w:val="16"/>
          <w:szCs w:val="16"/>
        </w:rPr>
        <w:t xml:space="preserve"> Za období svého členství v EU dosáhlo Česko v rámci středoevropského regionu nejpříznivějšího salda hospodaření sektoru VI dosud jen v letech 2010 a 2017.</w:t>
      </w:r>
    </w:p>
  </w:footnote>
  <w:footnote w:id="130">
    <w:p w14:paraId="4D7C6897" w14:textId="77777777" w:rsidR="00A04CEF" w:rsidRPr="00A36CC7" w:rsidRDefault="00A04CEF" w:rsidP="00A04CEF">
      <w:pPr>
        <w:pStyle w:val="Textpoznpodarou"/>
        <w:rPr>
          <w:sz w:val="16"/>
          <w:szCs w:val="16"/>
        </w:rPr>
      </w:pPr>
      <w:r w:rsidRPr="00A36CC7">
        <w:rPr>
          <w:rStyle w:val="Znakapoznpodarou"/>
          <w:sz w:val="16"/>
          <w:szCs w:val="16"/>
        </w:rPr>
        <w:footnoteRef/>
      </w:r>
      <w:r w:rsidRPr="00A36CC7">
        <w:rPr>
          <w:sz w:val="16"/>
          <w:szCs w:val="16"/>
        </w:rPr>
        <w:t xml:space="preserve"> V Rumunsk</w:t>
      </w:r>
      <w:r>
        <w:rPr>
          <w:sz w:val="16"/>
          <w:szCs w:val="16"/>
        </w:rPr>
        <w:t>u</w:t>
      </w:r>
      <w:r w:rsidRPr="00A36CC7">
        <w:rPr>
          <w:sz w:val="16"/>
          <w:szCs w:val="16"/>
        </w:rPr>
        <w:t xml:space="preserve"> a Finsku, jako v jediný</w:t>
      </w:r>
      <w:r>
        <w:rPr>
          <w:sz w:val="16"/>
          <w:szCs w:val="16"/>
        </w:rPr>
        <w:t>ch</w:t>
      </w:r>
      <w:r w:rsidRPr="00A36CC7">
        <w:rPr>
          <w:sz w:val="16"/>
          <w:szCs w:val="16"/>
        </w:rPr>
        <w:t xml:space="preserve"> státech současné EU, dosáhla aktuální míra zadlužení nejvyšší úrovně v dostupné řadě (počínaje rokem 2000). Překonala tak v těchto zemích </w:t>
      </w:r>
      <w:r>
        <w:rPr>
          <w:sz w:val="16"/>
          <w:szCs w:val="16"/>
        </w:rPr>
        <w:t xml:space="preserve">např. </w:t>
      </w:r>
      <w:r w:rsidRPr="00A36CC7">
        <w:rPr>
          <w:sz w:val="16"/>
          <w:szCs w:val="16"/>
        </w:rPr>
        <w:t>i krizové roky 2010 či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A04CEF" w14:paraId="63EB0BA1" w14:textId="77777777" w:rsidTr="7BDB84E4">
      <w:trPr>
        <w:trHeight w:val="300"/>
      </w:trPr>
      <w:tc>
        <w:tcPr>
          <w:tcW w:w="3210" w:type="dxa"/>
        </w:tcPr>
        <w:p w14:paraId="357BF5F4" w14:textId="22EABFF2" w:rsidR="00A04CEF" w:rsidRDefault="00A04CEF" w:rsidP="7BDB84E4">
          <w:pPr>
            <w:pStyle w:val="Zhlav"/>
            <w:ind w:left="-115"/>
          </w:pPr>
        </w:p>
      </w:tc>
      <w:tc>
        <w:tcPr>
          <w:tcW w:w="3210" w:type="dxa"/>
        </w:tcPr>
        <w:p w14:paraId="2B8B2F90" w14:textId="25F76AAE" w:rsidR="00A04CEF" w:rsidRDefault="00A04CEF" w:rsidP="7BDB84E4">
          <w:pPr>
            <w:pStyle w:val="Zhlav"/>
            <w:jc w:val="center"/>
          </w:pPr>
        </w:p>
      </w:tc>
      <w:tc>
        <w:tcPr>
          <w:tcW w:w="3210" w:type="dxa"/>
        </w:tcPr>
        <w:p w14:paraId="63170252" w14:textId="0C92FE13" w:rsidR="00A04CEF" w:rsidRDefault="00A04CEF" w:rsidP="7BDB84E4">
          <w:pPr>
            <w:pStyle w:val="Zhlav"/>
            <w:ind w:right="-115"/>
            <w:jc w:val="right"/>
          </w:pPr>
        </w:p>
      </w:tc>
    </w:tr>
  </w:tbl>
  <w:p w14:paraId="7C250868" w14:textId="2D1B868B" w:rsidR="00A04CEF" w:rsidRDefault="00A04CEF" w:rsidP="7BDB84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A04CEF" w14:paraId="3353788A" w14:textId="77777777" w:rsidTr="7BDB84E4">
      <w:trPr>
        <w:trHeight w:val="300"/>
      </w:trPr>
      <w:tc>
        <w:tcPr>
          <w:tcW w:w="3210" w:type="dxa"/>
        </w:tcPr>
        <w:p w14:paraId="1FBBBEEE" w14:textId="678CCEA8" w:rsidR="00A04CEF" w:rsidRDefault="00A04CEF" w:rsidP="7BDB84E4">
          <w:pPr>
            <w:pStyle w:val="Zhlav"/>
            <w:ind w:left="-115"/>
          </w:pPr>
        </w:p>
      </w:tc>
      <w:tc>
        <w:tcPr>
          <w:tcW w:w="3210" w:type="dxa"/>
        </w:tcPr>
        <w:p w14:paraId="0386F6B5" w14:textId="59E86013" w:rsidR="00A04CEF" w:rsidRDefault="00A04CEF" w:rsidP="7BDB84E4">
          <w:pPr>
            <w:pStyle w:val="Zhlav"/>
            <w:jc w:val="center"/>
          </w:pPr>
        </w:p>
      </w:tc>
      <w:tc>
        <w:tcPr>
          <w:tcW w:w="3210" w:type="dxa"/>
        </w:tcPr>
        <w:p w14:paraId="55DF6978" w14:textId="7A91F53E" w:rsidR="00A04CEF" w:rsidRDefault="00A04CEF" w:rsidP="7BDB84E4">
          <w:pPr>
            <w:pStyle w:val="Zhlav"/>
            <w:ind w:right="-115"/>
            <w:jc w:val="right"/>
          </w:pPr>
        </w:p>
      </w:tc>
    </w:tr>
  </w:tbl>
  <w:p w14:paraId="07352E89" w14:textId="3FA50847" w:rsidR="00A04CEF" w:rsidRDefault="00A04CEF" w:rsidP="7BDB84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C11EE3B" w:rsidR="00A04CEF" w:rsidRPr="00C27E4F" w:rsidRDefault="00A04CEF" w:rsidP="00C27E4F">
    <w:pPr>
      <w:pStyle w:val="Zhlav"/>
    </w:pPr>
    <w:r>
      <w:t>Vývoj ekonomiky České republiky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4F78F164" w:rsidR="00A04CEF" w:rsidRPr="006F5416" w:rsidRDefault="00A04CE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14329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6"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9"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651B2D"/>
    <w:multiLevelType w:val="hybridMultilevel"/>
    <w:tmpl w:val="E4A2DC0E"/>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33"/>
  </w:num>
  <w:num w:numId="14">
    <w:abstractNumId w:val="15"/>
  </w:num>
  <w:num w:numId="15">
    <w:abstractNumId w:val="23"/>
  </w:num>
  <w:num w:numId="16">
    <w:abstractNumId w:val="18"/>
  </w:num>
  <w:num w:numId="17">
    <w:abstractNumId w:val="34"/>
  </w:num>
  <w:num w:numId="18">
    <w:abstractNumId w:val="24"/>
  </w:num>
  <w:num w:numId="19">
    <w:abstractNumId w:val="37"/>
  </w:num>
  <w:num w:numId="20">
    <w:abstractNumId w:val="42"/>
  </w:num>
  <w:num w:numId="21">
    <w:abstractNumId w:val="32"/>
  </w:num>
  <w:num w:numId="22">
    <w:abstractNumId w:val="22"/>
  </w:num>
  <w:num w:numId="23">
    <w:abstractNumId w:val="20"/>
  </w:num>
  <w:num w:numId="24">
    <w:abstractNumId w:val="21"/>
  </w:num>
  <w:num w:numId="25">
    <w:abstractNumId w:val="40"/>
  </w:num>
  <w:num w:numId="26">
    <w:abstractNumId w:val="41"/>
  </w:num>
  <w:num w:numId="27">
    <w:abstractNumId w:val="42"/>
  </w:num>
  <w:num w:numId="28">
    <w:abstractNumId w:val="13"/>
  </w:num>
  <w:num w:numId="29">
    <w:abstractNumId w:val="26"/>
  </w:num>
  <w:num w:numId="30">
    <w:abstractNumId w:val="25"/>
  </w:num>
  <w:num w:numId="31">
    <w:abstractNumId w:val="10"/>
  </w:num>
  <w:num w:numId="32">
    <w:abstractNumId w:val="27"/>
  </w:num>
  <w:num w:numId="33">
    <w:abstractNumId w:val="12"/>
  </w:num>
  <w:num w:numId="34">
    <w:abstractNumId w:val="44"/>
  </w:num>
  <w:num w:numId="35">
    <w:abstractNumId w:val="11"/>
  </w:num>
  <w:num w:numId="36">
    <w:abstractNumId w:val="36"/>
  </w:num>
  <w:num w:numId="37">
    <w:abstractNumId w:val="29"/>
  </w:num>
  <w:num w:numId="38">
    <w:abstractNumId w:val="28"/>
  </w:num>
  <w:num w:numId="39">
    <w:abstractNumId w:val="38"/>
  </w:num>
  <w:num w:numId="40">
    <w:abstractNumId w:val="43"/>
  </w:num>
  <w:num w:numId="41">
    <w:abstractNumId w:val="39"/>
  </w:num>
  <w:num w:numId="42">
    <w:abstractNumId w:val="31"/>
  </w:num>
  <w:num w:numId="43">
    <w:abstractNumId w:val="19"/>
  </w:num>
  <w:num w:numId="44">
    <w:abstractNumId w:val="14"/>
  </w:num>
  <w:num w:numId="45">
    <w:abstractNumId w:val="35"/>
  </w:num>
  <w:num w:numId="46">
    <w:abstractNumId w:val="16"/>
  </w:num>
  <w:num w:numId="47">
    <w:abstractNumId w:val="42"/>
  </w:num>
  <w:num w:numId="4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8673">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610E1"/>
    <w:rsid w:val="00062EC5"/>
    <w:rsid w:val="00062F22"/>
    <w:rsid w:val="000712B3"/>
    <w:rsid w:val="0008263E"/>
    <w:rsid w:val="00082C19"/>
    <w:rsid w:val="00085395"/>
    <w:rsid w:val="00087634"/>
    <w:rsid w:val="00087F2B"/>
    <w:rsid w:val="000912CC"/>
    <w:rsid w:val="00095135"/>
    <w:rsid w:val="000974D1"/>
    <w:rsid w:val="0009799E"/>
    <w:rsid w:val="000A1183"/>
    <w:rsid w:val="000A256D"/>
    <w:rsid w:val="000A3A2C"/>
    <w:rsid w:val="000A5265"/>
    <w:rsid w:val="000A57D4"/>
    <w:rsid w:val="000B7C8D"/>
    <w:rsid w:val="000C004E"/>
    <w:rsid w:val="000C3408"/>
    <w:rsid w:val="000C6AFD"/>
    <w:rsid w:val="000D5637"/>
    <w:rsid w:val="000E6FBD"/>
    <w:rsid w:val="00100F5C"/>
    <w:rsid w:val="00101CDA"/>
    <w:rsid w:val="00102C41"/>
    <w:rsid w:val="00104C4C"/>
    <w:rsid w:val="00117623"/>
    <w:rsid w:val="0012192F"/>
    <w:rsid w:val="001224E5"/>
    <w:rsid w:val="00124940"/>
    <w:rsid w:val="00125D69"/>
    <w:rsid w:val="001405FA"/>
    <w:rsid w:val="001425C3"/>
    <w:rsid w:val="001476BD"/>
    <w:rsid w:val="001612F4"/>
    <w:rsid w:val="0016256B"/>
    <w:rsid w:val="00163793"/>
    <w:rsid w:val="001706D6"/>
    <w:rsid w:val="001714F2"/>
    <w:rsid w:val="00175B9F"/>
    <w:rsid w:val="00181BBC"/>
    <w:rsid w:val="00184B08"/>
    <w:rsid w:val="00185010"/>
    <w:rsid w:val="0019143B"/>
    <w:rsid w:val="001A0487"/>
    <w:rsid w:val="001A552F"/>
    <w:rsid w:val="001B2CA9"/>
    <w:rsid w:val="001B3110"/>
    <w:rsid w:val="001B4729"/>
    <w:rsid w:val="001B6310"/>
    <w:rsid w:val="001B6C09"/>
    <w:rsid w:val="001B73E6"/>
    <w:rsid w:val="001C05CD"/>
    <w:rsid w:val="001C3924"/>
    <w:rsid w:val="001D40D7"/>
    <w:rsid w:val="001D48D4"/>
    <w:rsid w:val="001D68B2"/>
    <w:rsid w:val="001E1C2E"/>
    <w:rsid w:val="001E504C"/>
    <w:rsid w:val="001E6062"/>
    <w:rsid w:val="001E6753"/>
    <w:rsid w:val="001F4597"/>
    <w:rsid w:val="00203DA4"/>
    <w:rsid w:val="002118B9"/>
    <w:rsid w:val="00213E46"/>
    <w:rsid w:val="00214CF7"/>
    <w:rsid w:val="00217C5B"/>
    <w:rsid w:val="0022139E"/>
    <w:rsid w:val="00222729"/>
    <w:rsid w:val="002252E0"/>
    <w:rsid w:val="002255F6"/>
    <w:rsid w:val="00227850"/>
    <w:rsid w:val="00227A53"/>
    <w:rsid w:val="00230C6E"/>
    <w:rsid w:val="00233CD7"/>
    <w:rsid w:val="00236443"/>
    <w:rsid w:val="00241B06"/>
    <w:rsid w:val="00242C10"/>
    <w:rsid w:val="002436BA"/>
    <w:rsid w:val="00244A15"/>
    <w:rsid w:val="0024661A"/>
    <w:rsid w:val="00247319"/>
    <w:rsid w:val="0024799E"/>
    <w:rsid w:val="00247EE7"/>
    <w:rsid w:val="00253C0F"/>
    <w:rsid w:val="002558C1"/>
    <w:rsid w:val="00261A17"/>
    <w:rsid w:val="00271465"/>
    <w:rsid w:val="00275385"/>
    <w:rsid w:val="0028207A"/>
    <w:rsid w:val="00285412"/>
    <w:rsid w:val="00291407"/>
    <w:rsid w:val="00291640"/>
    <w:rsid w:val="00295A5D"/>
    <w:rsid w:val="002A1407"/>
    <w:rsid w:val="002A16D4"/>
    <w:rsid w:val="002A230C"/>
    <w:rsid w:val="002A66B0"/>
    <w:rsid w:val="002B2299"/>
    <w:rsid w:val="002B4845"/>
    <w:rsid w:val="002B48B4"/>
    <w:rsid w:val="002C2FE9"/>
    <w:rsid w:val="002C43BD"/>
    <w:rsid w:val="002D0E59"/>
    <w:rsid w:val="002E02A1"/>
    <w:rsid w:val="002E42AC"/>
    <w:rsid w:val="002E4E4C"/>
    <w:rsid w:val="002F3E4F"/>
    <w:rsid w:val="00302ADD"/>
    <w:rsid w:val="00304771"/>
    <w:rsid w:val="0030495D"/>
    <w:rsid w:val="003052D4"/>
    <w:rsid w:val="00306C5B"/>
    <w:rsid w:val="003103E0"/>
    <w:rsid w:val="00314F9F"/>
    <w:rsid w:val="003209D6"/>
    <w:rsid w:val="00321924"/>
    <w:rsid w:val="0032656E"/>
    <w:rsid w:val="00332190"/>
    <w:rsid w:val="00343182"/>
    <w:rsid w:val="0034335E"/>
    <w:rsid w:val="00344668"/>
    <w:rsid w:val="003462D9"/>
    <w:rsid w:val="00360C86"/>
    <w:rsid w:val="00360FBC"/>
    <w:rsid w:val="00362E90"/>
    <w:rsid w:val="00364FA0"/>
    <w:rsid w:val="003657F3"/>
    <w:rsid w:val="00366591"/>
    <w:rsid w:val="0038123E"/>
    <w:rsid w:val="003818DC"/>
    <w:rsid w:val="00384327"/>
    <w:rsid w:val="00385D98"/>
    <w:rsid w:val="003A2B4D"/>
    <w:rsid w:val="003A2B5E"/>
    <w:rsid w:val="003A2D12"/>
    <w:rsid w:val="003A478C"/>
    <w:rsid w:val="003A5525"/>
    <w:rsid w:val="003A6B38"/>
    <w:rsid w:val="003B461F"/>
    <w:rsid w:val="003B5A32"/>
    <w:rsid w:val="003B7AFA"/>
    <w:rsid w:val="003C3490"/>
    <w:rsid w:val="003C6550"/>
    <w:rsid w:val="003C7E62"/>
    <w:rsid w:val="003D6920"/>
    <w:rsid w:val="003E48F2"/>
    <w:rsid w:val="003E4C91"/>
    <w:rsid w:val="003E62A5"/>
    <w:rsid w:val="003F313C"/>
    <w:rsid w:val="003F37FC"/>
    <w:rsid w:val="003F4B2C"/>
    <w:rsid w:val="003F551C"/>
    <w:rsid w:val="003F62B0"/>
    <w:rsid w:val="003F72ED"/>
    <w:rsid w:val="003F7D23"/>
    <w:rsid w:val="00400DF4"/>
    <w:rsid w:val="00407C13"/>
    <w:rsid w:val="0041041D"/>
    <w:rsid w:val="00410638"/>
    <w:rsid w:val="0041501E"/>
    <w:rsid w:val="004159C3"/>
    <w:rsid w:val="00416EB7"/>
    <w:rsid w:val="00432A58"/>
    <w:rsid w:val="00434617"/>
    <w:rsid w:val="00440900"/>
    <w:rsid w:val="00441BF6"/>
    <w:rsid w:val="00443556"/>
    <w:rsid w:val="004441A0"/>
    <w:rsid w:val="004455BA"/>
    <w:rsid w:val="0045078A"/>
    <w:rsid w:val="0045086D"/>
    <w:rsid w:val="00451504"/>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A14E4"/>
    <w:rsid w:val="004A3212"/>
    <w:rsid w:val="004A5494"/>
    <w:rsid w:val="004A61C5"/>
    <w:rsid w:val="004A77DF"/>
    <w:rsid w:val="004B1417"/>
    <w:rsid w:val="004B55B7"/>
    <w:rsid w:val="004B5A60"/>
    <w:rsid w:val="004B6468"/>
    <w:rsid w:val="004B7125"/>
    <w:rsid w:val="004C384C"/>
    <w:rsid w:val="004C3867"/>
    <w:rsid w:val="004C4CD0"/>
    <w:rsid w:val="004C5B81"/>
    <w:rsid w:val="004C70DC"/>
    <w:rsid w:val="004D0211"/>
    <w:rsid w:val="004D0794"/>
    <w:rsid w:val="004D5C93"/>
    <w:rsid w:val="004E1288"/>
    <w:rsid w:val="004E7C6B"/>
    <w:rsid w:val="004F06F5"/>
    <w:rsid w:val="004F2C1B"/>
    <w:rsid w:val="004F33A0"/>
    <w:rsid w:val="0050689D"/>
    <w:rsid w:val="005108C0"/>
    <w:rsid w:val="00511873"/>
    <w:rsid w:val="00512A2F"/>
    <w:rsid w:val="00513B7E"/>
    <w:rsid w:val="00515C74"/>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AF1"/>
    <w:rsid w:val="0057364B"/>
    <w:rsid w:val="00574773"/>
    <w:rsid w:val="0058308D"/>
    <w:rsid w:val="00583FFD"/>
    <w:rsid w:val="005911BE"/>
    <w:rsid w:val="00593152"/>
    <w:rsid w:val="005A10F2"/>
    <w:rsid w:val="005A21E0"/>
    <w:rsid w:val="005A28FF"/>
    <w:rsid w:val="005A3DF8"/>
    <w:rsid w:val="005A5113"/>
    <w:rsid w:val="005A5549"/>
    <w:rsid w:val="005A7038"/>
    <w:rsid w:val="005B121D"/>
    <w:rsid w:val="005C06ED"/>
    <w:rsid w:val="005C2609"/>
    <w:rsid w:val="005C6CF0"/>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41AC"/>
    <w:rsid w:val="00674D89"/>
    <w:rsid w:val="00675E37"/>
    <w:rsid w:val="0068174E"/>
    <w:rsid w:val="00681DCE"/>
    <w:rsid w:val="0068260E"/>
    <w:rsid w:val="00693FEC"/>
    <w:rsid w:val="00695BEF"/>
    <w:rsid w:val="006977F6"/>
    <w:rsid w:val="00697A13"/>
    <w:rsid w:val="006A109C"/>
    <w:rsid w:val="006B0F92"/>
    <w:rsid w:val="006B173A"/>
    <w:rsid w:val="006B344A"/>
    <w:rsid w:val="006B759B"/>
    <w:rsid w:val="006B78D8"/>
    <w:rsid w:val="006C113F"/>
    <w:rsid w:val="006C123E"/>
    <w:rsid w:val="006C1752"/>
    <w:rsid w:val="006C4460"/>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40BE"/>
    <w:rsid w:val="007143B4"/>
    <w:rsid w:val="007211F5"/>
    <w:rsid w:val="00723946"/>
    <w:rsid w:val="007240E2"/>
    <w:rsid w:val="00725BB5"/>
    <w:rsid w:val="00730AE8"/>
    <w:rsid w:val="00730F1B"/>
    <w:rsid w:val="007342AC"/>
    <w:rsid w:val="00741493"/>
    <w:rsid w:val="00752180"/>
    <w:rsid w:val="00753CAB"/>
    <w:rsid w:val="00755202"/>
    <w:rsid w:val="00755D3A"/>
    <w:rsid w:val="007578D3"/>
    <w:rsid w:val="007609C6"/>
    <w:rsid w:val="00760EA4"/>
    <w:rsid w:val="0076175D"/>
    <w:rsid w:val="00763B85"/>
    <w:rsid w:val="00764744"/>
    <w:rsid w:val="0076521E"/>
    <w:rsid w:val="007661E9"/>
    <w:rsid w:val="00773220"/>
    <w:rsid w:val="00776169"/>
    <w:rsid w:val="00776527"/>
    <w:rsid w:val="00776EAB"/>
    <w:rsid w:val="00780EF1"/>
    <w:rsid w:val="00790711"/>
    <w:rsid w:val="00790764"/>
    <w:rsid w:val="0079124F"/>
    <w:rsid w:val="0079453C"/>
    <w:rsid w:val="00794677"/>
    <w:rsid w:val="00797445"/>
    <w:rsid w:val="007A516D"/>
    <w:rsid w:val="007B6689"/>
    <w:rsid w:val="007C6BBD"/>
    <w:rsid w:val="007D293C"/>
    <w:rsid w:val="007D40DF"/>
    <w:rsid w:val="007E29B4"/>
    <w:rsid w:val="007E435A"/>
    <w:rsid w:val="007E7E61"/>
    <w:rsid w:val="007E7FCE"/>
    <w:rsid w:val="007F0845"/>
    <w:rsid w:val="007F708D"/>
    <w:rsid w:val="00800216"/>
    <w:rsid w:val="00801E13"/>
    <w:rsid w:val="00807C82"/>
    <w:rsid w:val="00810C82"/>
    <w:rsid w:val="00814B15"/>
    <w:rsid w:val="00816905"/>
    <w:rsid w:val="00821777"/>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5114D"/>
    <w:rsid w:val="00852217"/>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53CB"/>
    <w:rsid w:val="008D1E6A"/>
    <w:rsid w:val="008D2A16"/>
    <w:rsid w:val="008D6B35"/>
    <w:rsid w:val="008E2C57"/>
    <w:rsid w:val="008E31FF"/>
    <w:rsid w:val="008E6F06"/>
    <w:rsid w:val="008E7FC9"/>
    <w:rsid w:val="008F029B"/>
    <w:rsid w:val="008F3FC9"/>
    <w:rsid w:val="008F585B"/>
    <w:rsid w:val="009003A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427A"/>
    <w:rsid w:val="00945245"/>
    <w:rsid w:val="00957309"/>
    <w:rsid w:val="0095759C"/>
    <w:rsid w:val="009721DB"/>
    <w:rsid w:val="0097239B"/>
    <w:rsid w:val="00974923"/>
    <w:rsid w:val="009808F7"/>
    <w:rsid w:val="00980D3D"/>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A04CEF"/>
    <w:rsid w:val="00A10D66"/>
    <w:rsid w:val="00A14114"/>
    <w:rsid w:val="00A1537C"/>
    <w:rsid w:val="00A16413"/>
    <w:rsid w:val="00A16E1D"/>
    <w:rsid w:val="00A17D5B"/>
    <w:rsid w:val="00A17EB2"/>
    <w:rsid w:val="00A206E5"/>
    <w:rsid w:val="00A23447"/>
    <w:rsid w:val="00A23E43"/>
    <w:rsid w:val="00A25216"/>
    <w:rsid w:val="00A30F65"/>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D1D"/>
    <w:rsid w:val="00A84A6A"/>
    <w:rsid w:val="00A857C0"/>
    <w:rsid w:val="00A90FED"/>
    <w:rsid w:val="00AA2996"/>
    <w:rsid w:val="00AA2A70"/>
    <w:rsid w:val="00AA52BF"/>
    <w:rsid w:val="00AA559A"/>
    <w:rsid w:val="00AB2AF1"/>
    <w:rsid w:val="00AB535B"/>
    <w:rsid w:val="00AC45BD"/>
    <w:rsid w:val="00AD168E"/>
    <w:rsid w:val="00AD306C"/>
    <w:rsid w:val="00AD4F16"/>
    <w:rsid w:val="00AD68C4"/>
    <w:rsid w:val="00AE09B3"/>
    <w:rsid w:val="00AE0ED3"/>
    <w:rsid w:val="00AE1A83"/>
    <w:rsid w:val="00AE31A7"/>
    <w:rsid w:val="00AF6128"/>
    <w:rsid w:val="00B00913"/>
    <w:rsid w:val="00B01593"/>
    <w:rsid w:val="00B023F2"/>
    <w:rsid w:val="00B04705"/>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6C2B"/>
    <w:rsid w:val="00BB46F3"/>
    <w:rsid w:val="00BB4CB1"/>
    <w:rsid w:val="00BB4F98"/>
    <w:rsid w:val="00BC5C12"/>
    <w:rsid w:val="00BC7154"/>
    <w:rsid w:val="00BC731E"/>
    <w:rsid w:val="00BD366B"/>
    <w:rsid w:val="00BD6D50"/>
    <w:rsid w:val="00BE18B9"/>
    <w:rsid w:val="00BE2495"/>
    <w:rsid w:val="00BF1578"/>
    <w:rsid w:val="00BF723F"/>
    <w:rsid w:val="00C21F94"/>
    <w:rsid w:val="00C27913"/>
    <w:rsid w:val="00C27E4F"/>
    <w:rsid w:val="00C32964"/>
    <w:rsid w:val="00C33B68"/>
    <w:rsid w:val="00C36A79"/>
    <w:rsid w:val="00C401D2"/>
    <w:rsid w:val="00C405D4"/>
    <w:rsid w:val="00C4431F"/>
    <w:rsid w:val="00C4513B"/>
    <w:rsid w:val="00C5390B"/>
    <w:rsid w:val="00C53E5D"/>
    <w:rsid w:val="00C54697"/>
    <w:rsid w:val="00C65535"/>
    <w:rsid w:val="00C71E85"/>
    <w:rsid w:val="00C72884"/>
    <w:rsid w:val="00C73885"/>
    <w:rsid w:val="00C747B1"/>
    <w:rsid w:val="00C82191"/>
    <w:rsid w:val="00C83134"/>
    <w:rsid w:val="00C85545"/>
    <w:rsid w:val="00C90CF4"/>
    <w:rsid w:val="00C92EB6"/>
    <w:rsid w:val="00C93389"/>
    <w:rsid w:val="00CA0914"/>
    <w:rsid w:val="00CA6AB4"/>
    <w:rsid w:val="00CA7BE7"/>
    <w:rsid w:val="00CB4930"/>
    <w:rsid w:val="00CC2E7D"/>
    <w:rsid w:val="00CD10A5"/>
    <w:rsid w:val="00CD2076"/>
    <w:rsid w:val="00CD29B5"/>
    <w:rsid w:val="00CD6331"/>
    <w:rsid w:val="00CE670B"/>
    <w:rsid w:val="00CF39C9"/>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67C6"/>
    <w:rsid w:val="00D57677"/>
    <w:rsid w:val="00D66223"/>
    <w:rsid w:val="00D71625"/>
    <w:rsid w:val="00D751DA"/>
    <w:rsid w:val="00D8084C"/>
    <w:rsid w:val="00D915EA"/>
    <w:rsid w:val="00D96855"/>
    <w:rsid w:val="00DA48C1"/>
    <w:rsid w:val="00DA7C0C"/>
    <w:rsid w:val="00DB08A9"/>
    <w:rsid w:val="00DB2EC8"/>
    <w:rsid w:val="00DB5FC0"/>
    <w:rsid w:val="00DB6566"/>
    <w:rsid w:val="00DC1E84"/>
    <w:rsid w:val="00DC48F1"/>
    <w:rsid w:val="00DC5B3B"/>
    <w:rsid w:val="00DD129F"/>
    <w:rsid w:val="00DD4EFE"/>
    <w:rsid w:val="00DE02BD"/>
    <w:rsid w:val="00DF42FF"/>
    <w:rsid w:val="00DF5908"/>
    <w:rsid w:val="00E01C0E"/>
    <w:rsid w:val="00E03F9A"/>
    <w:rsid w:val="00E0465E"/>
    <w:rsid w:val="00E04694"/>
    <w:rsid w:val="00E063CE"/>
    <w:rsid w:val="00E12B1E"/>
    <w:rsid w:val="00E17262"/>
    <w:rsid w:val="00E253A2"/>
    <w:rsid w:val="00E3309D"/>
    <w:rsid w:val="00E43C1C"/>
    <w:rsid w:val="00E47EBA"/>
    <w:rsid w:val="00E50156"/>
    <w:rsid w:val="00E51643"/>
    <w:rsid w:val="00E53470"/>
    <w:rsid w:val="00E53874"/>
    <w:rsid w:val="00E539F6"/>
    <w:rsid w:val="00E6519D"/>
    <w:rsid w:val="00E67696"/>
    <w:rsid w:val="00E71A58"/>
    <w:rsid w:val="00E72A7A"/>
    <w:rsid w:val="00E75C94"/>
    <w:rsid w:val="00E920F4"/>
    <w:rsid w:val="00E93820"/>
    <w:rsid w:val="00E94A86"/>
    <w:rsid w:val="00E96143"/>
    <w:rsid w:val="00EA0987"/>
    <w:rsid w:val="00EA0C68"/>
    <w:rsid w:val="00EA32BC"/>
    <w:rsid w:val="00EA4302"/>
    <w:rsid w:val="00EB39C7"/>
    <w:rsid w:val="00EB3D8F"/>
    <w:rsid w:val="00EB4511"/>
    <w:rsid w:val="00EC03D7"/>
    <w:rsid w:val="00ED62C6"/>
    <w:rsid w:val="00ED64C1"/>
    <w:rsid w:val="00EE3446"/>
    <w:rsid w:val="00EE3E78"/>
    <w:rsid w:val="00EE4B1B"/>
    <w:rsid w:val="00EE7F19"/>
    <w:rsid w:val="00EF150D"/>
    <w:rsid w:val="00EF1F5A"/>
    <w:rsid w:val="00EF47BF"/>
    <w:rsid w:val="00EF6DB3"/>
    <w:rsid w:val="00F04811"/>
    <w:rsid w:val="00F0488C"/>
    <w:rsid w:val="00F10F11"/>
    <w:rsid w:val="00F15AAA"/>
    <w:rsid w:val="00F15BEF"/>
    <w:rsid w:val="00F24407"/>
    <w:rsid w:val="00F24931"/>
    <w:rsid w:val="00F24FAA"/>
    <w:rsid w:val="00F3364D"/>
    <w:rsid w:val="00F437CC"/>
    <w:rsid w:val="00F44537"/>
    <w:rsid w:val="00F44B6A"/>
    <w:rsid w:val="00F47067"/>
    <w:rsid w:val="00F50FC3"/>
    <w:rsid w:val="00F52106"/>
    <w:rsid w:val="00F525EB"/>
    <w:rsid w:val="00F63DDE"/>
    <w:rsid w:val="00F63FB7"/>
    <w:rsid w:val="00F6421B"/>
    <w:rsid w:val="00F649D2"/>
    <w:rsid w:val="00F6602B"/>
    <w:rsid w:val="00F66FD9"/>
    <w:rsid w:val="00F67C4E"/>
    <w:rsid w:val="00F73A0C"/>
    <w:rsid w:val="00F756DB"/>
    <w:rsid w:val="00F84E7D"/>
    <w:rsid w:val="00F85066"/>
    <w:rsid w:val="00F87A4D"/>
    <w:rsid w:val="00F9785E"/>
    <w:rsid w:val="00FA5D4D"/>
    <w:rsid w:val="00FA60AD"/>
    <w:rsid w:val="00FA7115"/>
    <w:rsid w:val="00FB0EE2"/>
    <w:rsid w:val="00FB4423"/>
    <w:rsid w:val="00FB542E"/>
    <w:rsid w:val="00FC0E5F"/>
    <w:rsid w:val="00FC1A95"/>
    <w:rsid w:val="00FC56DE"/>
    <w:rsid w:val="00FC684B"/>
    <w:rsid w:val="00FD3265"/>
    <w:rsid w:val="00FD5F92"/>
    <w:rsid w:val="00FD66F9"/>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47"/>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ntTable" Target="fontTable.xml"/><Relationship Id="rId21" Type="http://schemas.openxmlformats.org/officeDocument/2006/relationships/chart" Target="charts/chart6.xml"/><Relationship Id="rId34" Type="http://schemas.openxmlformats.org/officeDocument/2006/relationships/chart" Target="charts/chart1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csu.gov.cz/rychle-informace/analyza-ctvrtletnich-sektorovych-uctu-4-ctvrtleti-2024" TargetMode="External"/><Relationship Id="rId2" Type="http://schemas.openxmlformats.org/officeDocument/2006/relationships/hyperlink" Target="https://csu.gov.cz/metodicka-poznamka-k-indexu-spotrebitelskych-cen-imputovane-najemne" TargetMode="External"/><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Qmakro-2025\Trh%20pr&#225;ce\Grafy-TRH%20PR&#193;CE%201q-202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Qmakro-2025\Trh%20pr&#225;ce\Grafy-TRH%20PR&#193;CE%201q-20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Qmakro-2025\Trh%20pr&#225;ce\Grafy-TRH%20PR&#193;CE%201q-20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Qmakro-2025\Grafy-st&#225;tn&#237;%20rozpo&#269;et-1q-202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Qmakro-2024\Celorok\Rozpo&#269;et\Grafy-st&#225;tn&#237;%20rozpo&#269;et-rok-2024.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F:\Qmakro-2025\Grafy-st&#225;tn&#237;%20rozpo&#269;et-1q-2025.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1/Makroanal&#253;za%20gra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1/Makroanal&#253;za%20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324257007767645E-2"/>
          <c:y val="2.3046636085626952E-2"/>
          <c:w val="0.92008633063154344"/>
          <c:h val="0.74192840256671611"/>
        </c:manualLayout>
      </c:layout>
      <c:barChart>
        <c:barDir val="col"/>
        <c:grouping val="clustered"/>
        <c:varyColors val="0"/>
        <c:ser>
          <c:idx val="0"/>
          <c:order val="0"/>
          <c:tx>
            <c:strRef>
              <c:f>'souhrnná výkonnost 1'!$C$4</c:f>
              <c:strCache>
                <c:ptCount val="1"/>
                <c:pt idx="0">
                  <c:v>ČR meziroční změna</c:v>
                </c:pt>
              </c:strCache>
            </c:strRef>
          </c:tx>
          <c:spPr>
            <a:solidFill>
              <a:srgbClr val="A6A6A6"/>
            </a:solidFill>
            <a:ln>
              <a:noFill/>
            </a:ln>
          </c:spPr>
          <c:invertIfNegative val="0"/>
          <c:cat>
            <c:multiLvlStrRef>
              <c:f>'souhrnná výkonnost 1'!$A$13:$B$33</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1'!$C$13:$C$33</c:f>
              <c:numCache>
                <c:formatCode>0.0</c:formatCode>
                <c:ptCount val="21"/>
                <c:pt idx="0">
                  <c:v>-1.5501786832516729</c:v>
                </c:pt>
                <c:pt idx="1">
                  <c:v>-10.594932915034789</c:v>
                </c:pt>
                <c:pt idx="2">
                  <c:v>-4.7011751782364399</c:v>
                </c:pt>
                <c:pt idx="3">
                  <c:v>-4.4366398308301314</c:v>
                </c:pt>
                <c:pt idx="4">
                  <c:v>-1.2288638498452684</c:v>
                </c:pt>
                <c:pt idx="5">
                  <c:v>9.7404575003667162</c:v>
                </c:pt>
                <c:pt idx="6">
                  <c:v>3.9736849039729805</c:v>
                </c:pt>
                <c:pt idx="7">
                  <c:v>3.9029603596385698</c:v>
                </c:pt>
                <c:pt idx="8">
                  <c:v>4.8437098358771209</c:v>
                </c:pt>
                <c:pt idx="9">
                  <c:v>3.6483773841026448</c:v>
                </c:pt>
                <c:pt idx="10">
                  <c:v>2.0520198238941418</c:v>
                </c:pt>
                <c:pt idx="11">
                  <c:v>0.95157210327245423</c:v>
                </c:pt>
                <c:pt idx="12">
                  <c:v>0.30014334247493935</c:v>
                </c:pt>
                <c:pt idx="13">
                  <c:v>0.20720793280359828</c:v>
                </c:pt>
                <c:pt idx="14">
                  <c:v>-0.34013313783994192</c:v>
                </c:pt>
                <c:pt idx="15">
                  <c:v>9.2684914641580463E-2</c:v>
                </c:pt>
                <c:pt idx="16">
                  <c:v>0.37034189234461223</c:v>
                </c:pt>
                <c:pt idx="17">
                  <c:v>0.42261187980723491</c:v>
                </c:pt>
                <c:pt idx="18">
                  <c:v>1.4259580488967316</c:v>
                </c:pt>
                <c:pt idx="19">
                  <c:v>1.7842298713041345</c:v>
                </c:pt>
                <c:pt idx="20">
                  <c:v>2.2382477887071843</c:v>
                </c:pt>
              </c:numCache>
            </c:numRef>
          </c:val>
          <c:extLst>
            <c:ext xmlns:c16="http://schemas.microsoft.com/office/drawing/2014/chart" uri="{C3380CC4-5D6E-409C-BE32-E72D297353CC}">
              <c16:uniqueId val="{00000000-5871-49AB-AB42-5E37F36F01B4}"/>
            </c:ext>
          </c:extLst>
        </c:ser>
        <c:ser>
          <c:idx val="1"/>
          <c:order val="1"/>
          <c:tx>
            <c:strRef>
              <c:f>'souhrnná výkonnost 1'!$D$4</c:f>
              <c:strCache>
                <c:ptCount val="1"/>
                <c:pt idx="0">
                  <c:v>EU27 meziroční změna</c:v>
                </c:pt>
              </c:strCache>
            </c:strRef>
          </c:tx>
          <c:spPr>
            <a:solidFill>
              <a:srgbClr val="808080"/>
            </a:solidFill>
            <a:ln>
              <a:noFill/>
            </a:ln>
          </c:spPr>
          <c:invertIfNegative val="0"/>
          <c:cat>
            <c:multiLvlStrRef>
              <c:f>'souhrnná výkonnost 1'!$A$13:$B$33</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1'!$D$13:$D$33</c:f>
              <c:numCache>
                <c:formatCode>#\ ##0.##########</c:formatCode>
                <c:ptCount val="21"/>
                <c:pt idx="0">
                  <c:v>-2.2000000000000002</c:v>
                </c:pt>
                <c:pt idx="1">
                  <c:v>-13.1</c:v>
                </c:pt>
                <c:pt idx="2">
                  <c:v>-3.9</c:v>
                </c:pt>
                <c:pt idx="3">
                  <c:v>-3.6</c:v>
                </c:pt>
                <c:pt idx="4">
                  <c:v>0.2</c:v>
                </c:pt>
                <c:pt idx="5">
                  <c:v>14.7</c:v>
                </c:pt>
                <c:pt idx="6">
                  <c:v>5.2</c:v>
                </c:pt>
                <c:pt idx="7">
                  <c:v>5.8</c:v>
                </c:pt>
                <c:pt idx="8">
                  <c:v>5.6</c:v>
                </c:pt>
                <c:pt idx="9">
                  <c:v>4.0999999999999996</c:v>
                </c:pt>
                <c:pt idx="10">
                  <c:v>2.9</c:v>
                </c:pt>
                <c:pt idx="11">
                  <c:v>1.8</c:v>
                </c:pt>
                <c:pt idx="12">
                  <c:v>1.3</c:v>
                </c:pt>
                <c:pt idx="13">
                  <c:v>0.6</c:v>
                </c:pt>
                <c:pt idx="14">
                  <c:v>0.3</c:v>
                </c:pt>
                <c:pt idx="15">
                  <c:v>0.4</c:v>
                </c:pt>
                <c:pt idx="16">
                  <c:v>0.6</c:v>
                </c:pt>
                <c:pt idx="17">
                  <c:v>0.8</c:v>
                </c:pt>
                <c:pt idx="18" formatCode="#\ ##0.0">
                  <c:v>1</c:v>
                </c:pt>
                <c:pt idx="19">
                  <c:v>1.4</c:v>
                </c:pt>
                <c:pt idx="20">
                  <c:v>1.6</c:v>
                </c:pt>
              </c:numCache>
            </c:numRef>
          </c:val>
          <c:extLst>
            <c:ext xmlns:c16="http://schemas.microsoft.com/office/drawing/2014/chart" uri="{C3380CC4-5D6E-409C-BE32-E72D297353CC}">
              <c16:uniqueId val="{00000001-5871-49AB-AB42-5E37F36F01B4}"/>
            </c:ext>
          </c:extLst>
        </c:ser>
        <c:dLbls>
          <c:showLegendKey val="0"/>
          <c:showVal val="0"/>
          <c:showCatName val="0"/>
          <c:showSerName val="0"/>
          <c:showPercent val="0"/>
          <c:showBubbleSize val="0"/>
        </c:dLbls>
        <c:gapWidth val="100"/>
        <c:axId val="267753344"/>
        <c:axId val="267767808"/>
      </c:barChart>
      <c:lineChart>
        <c:grouping val="standard"/>
        <c:varyColors val="0"/>
        <c:ser>
          <c:idx val="2"/>
          <c:order val="2"/>
          <c:tx>
            <c:strRef>
              <c:f>'souhrnná výkonnost 1'!$E$4</c:f>
              <c:strCache>
                <c:ptCount val="1"/>
                <c:pt idx="0">
                  <c:v>ČR mezičtvrtletní změna</c:v>
                </c:pt>
              </c:strCache>
            </c:strRef>
          </c:tx>
          <c:spPr>
            <a:ln w="19050">
              <a:noFill/>
            </a:ln>
          </c:spPr>
          <c:marker>
            <c:symbol val="dash"/>
            <c:size val="8"/>
            <c:spPr>
              <a:solidFill>
                <a:srgbClr val="0071BC"/>
              </a:solidFill>
              <a:ln>
                <a:noFill/>
              </a:ln>
            </c:spPr>
          </c:marker>
          <c:cat>
            <c:multiLvlStrRef>
              <c:f>'souhrnná výkonnost 1'!$A$13:$B$33</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1'!$E$13:$E$33</c:f>
              <c:numCache>
                <c:formatCode>0.0</c:formatCode>
                <c:ptCount val="21"/>
                <c:pt idx="0">
                  <c:v>-3.4680711506351827</c:v>
                </c:pt>
                <c:pt idx="1">
                  <c:v>-8.7358630828085069</c:v>
                </c:pt>
                <c:pt idx="2">
                  <c:v>7.3756119585801656</c:v>
                </c:pt>
                <c:pt idx="3">
                  <c:v>1.0216888693163071</c:v>
                </c:pt>
                <c:pt idx="4">
                  <c:v>-0.22778321796964462</c:v>
                </c:pt>
                <c:pt idx="5">
                  <c:v>1.3997462117176838</c:v>
                </c:pt>
                <c:pt idx="6">
                  <c:v>1.7331100894615759</c:v>
                </c:pt>
                <c:pt idx="7">
                  <c:v>0.95297231935684579</c:v>
                </c:pt>
                <c:pt idx="8">
                  <c:v>0.67556602593998605</c:v>
                </c:pt>
                <c:pt idx="9">
                  <c:v>0.24367869523720742</c:v>
                </c:pt>
                <c:pt idx="10">
                  <c:v>0.16625083402912821</c:v>
                </c:pt>
                <c:pt idx="11">
                  <c:v>-0.13562414811659096</c:v>
                </c:pt>
                <c:pt idx="12">
                  <c:v>2.5918300278277684E-2</c:v>
                </c:pt>
                <c:pt idx="13">
                  <c:v>0.15079560418620019</c:v>
                </c:pt>
                <c:pt idx="14">
                  <c:v>-0.38086652513939612</c:v>
                </c:pt>
                <c:pt idx="15">
                  <c:v>0.29808207716142476</c:v>
                </c:pt>
                <c:pt idx="16">
                  <c:v>0.30339006747995256</c:v>
                </c:pt>
                <c:pt idx="17">
                  <c:v>0.20295125825600735</c:v>
                </c:pt>
                <c:pt idx="18">
                  <c:v>0.61445190035271935</c:v>
                </c:pt>
                <c:pt idx="19">
                  <c:v>0.65236984866491809</c:v>
                </c:pt>
                <c:pt idx="20">
                  <c:v>0.75080256276022794</c:v>
                </c:pt>
              </c:numCache>
            </c:numRef>
          </c:val>
          <c:smooth val="0"/>
          <c:extLst>
            <c:ext xmlns:c16="http://schemas.microsoft.com/office/drawing/2014/chart" uri="{C3380CC4-5D6E-409C-BE32-E72D297353CC}">
              <c16:uniqueId val="{00000002-5871-49AB-AB42-5E37F36F01B4}"/>
            </c:ext>
          </c:extLst>
        </c:ser>
        <c:ser>
          <c:idx val="3"/>
          <c:order val="3"/>
          <c:tx>
            <c:strRef>
              <c:f>'souhrnná výkonnost 1'!$F$4</c:f>
              <c:strCache>
                <c:ptCount val="1"/>
                <c:pt idx="0">
                  <c:v>EU27 mezičtvrtletní změna</c:v>
                </c:pt>
              </c:strCache>
            </c:strRef>
          </c:tx>
          <c:spPr>
            <a:ln w="19050">
              <a:noFill/>
            </a:ln>
          </c:spPr>
          <c:marker>
            <c:symbol val="dash"/>
            <c:size val="8"/>
            <c:spPr>
              <a:solidFill>
                <a:srgbClr val="BD1B21"/>
              </a:solidFill>
              <a:ln>
                <a:noFill/>
              </a:ln>
            </c:spPr>
          </c:marker>
          <c:cat>
            <c:multiLvlStrRef>
              <c:f>'souhrnná výkonnost 1'!$A$13:$B$33</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1'!$F$13:$F$33</c:f>
              <c:numCache>
                <c:formatCode>#\ ##0.##########</c:formatCode>
                <c:ptCount val="21"/>
                <c:pt idx="0" formatCode="#\ ##0.0">
                  <c:v>-3</c:v>
                </c:pt>
                <c:pt idx="1">
                  <c:v>-10.8</c:v>
                </c:pt>
                <c:pt idx="2">
                  <c:v>10.8</c:v>
                </c:pt>
                <c:pt idx="3">
                  <c:v>0.5</c:v>
                </c:pt>
                <c:pt idx="4">
                  <c:v>0.8</c:v>
                </c:pt>
                <c:pt idx="5">
                  <c:v>2.2000000000000002</c:v>
                </c:pt>
                <c:pt idx="6">
                  <c:v>1.7</c:v>
                </c:pt>
                <c:pt idx="7" formatCode="#\ ##0.0">
                  <c:v>1</c:v>
                </c:pt>
                <c:pt idx="8">
                  <c:v>0.6</c:v>
                </c:pt>
                <c:pt idx="9">
                  <c:v>0.8</c:v>
                </c:pt>
                <c:pt idx="10">
                  <c:v>0.5</c:v>
                </c:pt>
                <c:pt idx="11">
                  <c:v>-0.1</c:v>
                </c:pt>
                <c:pt idx="12">
                  <c:v>0.1</c:v>
                </c:pt>
                <c:pt idx="13">
                  <c:v>0.1</c:v>
                </c:pt>
                <c:pt idx="14">
                  <c:v>0.2</c:v>
                </c:pt>
                <c:pt idx="15">
                  <c:v>0.1</c:v>
                </c:pt>
                <c:pt idx="16">
                  <c:v>0.3</c:v>
                </c:pt>
                <c:pt idx="17">
                  <c:v>0.3</c:v>
                </c:pt>
                <c:pt idx="18">
                  <c:v>0.4</c:v>
                </c:pt>
                <c:pt idx="19">
                  <c:v>0.4</c:v>
                </c:pt>
                <c:pt idx="20">
                  <c:v>0.6</c:v>
                </c:pt>
              </c:numCache>
            </c:numRef>
          </c:val>
          <c:smooth val="0"/>
          <c:extLst>
            <c:ext xmlns:c16="http://schemas.microsoft.com/office/drawing/2014/chart" uri="{C3380CC4-5D6E-409C-BE32-E72D297353CC}">
              <c16:uniqueId val="{00000003-5871-49AB-AB42-5E37F36F01B4}"/>
            </c:ext>
          </c:extLst>
        </c:ser>
        <c:dLbls>
          <c:showLegendKey val="0"/>
          <c:showVal val="0"/>
          <c:showCatName val="0"/>
          <c:showSerName val="0"/>
          <c:showPercent val="0"/>
          <c:showBubbleSize val="0"/>
        </c:dLbls>
        <c:marker val="1"/>
        <c:smooth val="0"/>
        <c:axId val="267753344"/>
        <c:axId val="267767808"/>
      </c:lineChart>
      <c:catAx>
        <c:axId val="26775334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67767808"/>
        <c:crosses val="autoZero"/>
        <c:auto val="1"/>
        <c:lblAlgn val="ctr"/>
        <c:lblOffset val="100"/>
        <c:noMultiLvlLbl val="0"/>
      </c:catAx>
      <c:valAx>
        <c:axId val="267767808"/>
        <c:scaling>
          <c:orientation val="minMax"/>
          <c:max val="15"/>
          <c:min val="-1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753344"/>
        <c:crosses val="autoZero"/>
        <c:crossBetween val="between"/>
        <c:majorUnit val="3"/>
      </c:valAx>
      <c:spPr>
        <a:ln>
          <a:solidFill>
            <a:schemeClr val="tx1"/>
          </a:solidFill>
        </a:ln>
      </c:spPr>
    </c:plotArea>
    <c:legend>
      <c:legendPos val="b"/>
      <c:layout>
        <c:manualLayout>
          <c:xMode val="edge"/>
          <c:yMode val="edge"/>
          <c:x val="5.8431906450523471E-2"/>
          <c:y val="0.89437255125717996"/>
          <c:w val="0.91838441404930771"/>
          <c:h val="9.0301755758791014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568840579710145E-2"/>
          <c:y val="2.1811315924220299E-2"/>
          <c:w val="0.92237743255066085"/>
          <c:h val="0.71471575213004157"/>
        </c:manualLayout>
      </c:layout>
      <c:barChart>
        <c:barDir val="col"/>
        <c:grouping val="clustered"/>
        <c:varyColors val="0"/>
        <c:ser>
          <c:idx val="0"/>
          <c:order val="0"/>
          <c:tx>
            <c:strRef>
              <c:f>'Ceny 2'!$C$5</c:f>
              <c:strCache>
                <c:ptCount val="1"/>
                <c:pt idx="0">
                  <c:v>Celkem</c:v>
                </c:pt>
              </c:strCache>
            </c:strRef>
          </c:tx>
          <c:spPr>
            <a:solidFill>
              <a:schemeClr val="bg1">
                <a:lumMod val="65000"/>
              </a:schemeClr>
            </a:solidFill>
            <a:ln w="19050">
              <a:noFill/>
            </a:ln>
          </c:spPr>
          <c:invertIfNegative val="0"/>
          <c:cat>
            <c:multiLvlStrRef>
              <c:f>'Ceny 2'!$A$14:$B$34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2'!$C$14:$C$34</c:f>
              <c:numCache>
                <c:formatCode>0.0</c:formatCode>
                <c:ptCount val="21"/>
                <c:pt idx="0">
                  <c:v>3.6</c:v>
                </c:pt>
                <c:pt idx="1">
                  <c:v>3.1</c:v>
                </c:pt>
                <c:pt idx="2">
                  <c:v>3.3</c:v>
                </c:pt>
                <c:pt idx="3">
                  <c:v>2.6</c:v>
                </c:pt>
                <c:pt idx="4">
                  <c:v>2.2000000000000002</c:v>
                </c:pt>
                <c:pt idx="5">
                  <c:v>2.9</c:v>
                </c:pt>
                <c:pt idx="6">
                  <c:v>4.0999999999999996</c:v>
                </c:pt>
                <c:pt idx="7">
                  <c:v>6.1</c:v>
                </c:pt>
                <c:pt idx="8">
                  <c:v>11.2</c:v>
                </c:pt>
                <c:pt idx="9">
                  <c:v>15.8</c:v>
                </c:pt>
                <c:pt idx="10">
                  <c:v>17.600000000000001</c:v>
                </c:pt>
                <c:pt idx="11">
                  <c:v>15.7</c:v>
                </c:pt>
                <c:pt idx="12">
                  <c:v>16.399999999999999</c:v>
                </c:pt>
                <c:pt idx="13">
                  <c:v>11.1</c:v>
                </c:pt>
                <c:pt idx="14">
                  <c:v>8</c:v>
                </c:pt>
                <c:pt idx="15">
                  <c:v>7.6</c:v>
                </c:pt>
                <c:pt idx="16">
                  <c:v>2.1</c:v>
                </c:pt>
                <c:pt idx="17">
                  <c:v>2.5</c:v>
                </c:pt>
                <c:pt idx="18">
                  <c:v>2.2999999999999998</c:v>
                </c:pt>
                <c:pt idx="19">
                  <c:v>2.9</c:v>
                </c:pt>
                <c:pt idx="20">
                  <c:v>2.7</c:v>
                </c:pt>
              </c:numCache>
            </c:numRef>
          </c:val>
          <c:extLst>
            <c:ext xmlns:c16="http://schemas.microsoft.com/office/drawing/2014/chart" uri="{C3380CC4-5D6E-409C-BE32-E72D297353CC}">
              <c16:uniqueId val="{00000000-D26A-46F4-A782-52BB7379F6FD}"/>
            </c:ext>
          </c:extLst>
        </c:ser>
        <c:dLbls>
          <c:showLegendKey val="0"/>
          <c:showVal val="0"/>
          <c:showCatName val="0"/>
          <c:showSerName val="0"/>
          <c:showPercent val="0"/>
          <c:showBubbleSize val="0"/>
        </c:dLbls>
        <c:gapWidth val="95"/>
        <c:axId val="270120064"/>
        <c:axId val="270121600"/>
      </c:barChart>
      <c:lineChart>
        <c:grouping val="standard"/>
        <c:varyColors val="0"/>
        <c:ser>
          <c:idx val="1"/>
          <c:order val="1"/>
          <c:tx>
            <c:strRef>
              <c:f>'Ceny 2'!$D$5</c:f>
              <c:strCache>
                <c:ptCount val="1"/>
                <c:pt idx="0">
                  <c:v>Potraviny a nealkoholické nápoje</c:v>
                </c:pt>
              </c:strCache>
            </c:strRef>
          </c:tx>
          <c:spPr>
            <a:ln w="19050">
              <a:solidFill>
                <a:srgbClr val="0071BC"/>
              </a:solidFill>
            </a:ln>
          </c:spPr>
          <c:marker>
            <c:symbol val="none"/>
          </c:marker>
          <c:cat>
            <c:multiLvlStrRef>
              <c:f>'Ceny 2'!$A$14:$B$34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2'!$D$14:$D$34</c:f>
              <c:numCache>
                <c:formatCode>0.0</c:formatCode>
                <c:ptCount val="21"/>
                <c:pt idx="0">
                  <c:v>6.1</c:v>
                </c:pt>
                <c:pt idx="1">
                  <c:v>6.5</c:v>
                </c:pt>
                <c:pt idx="2">
                  <c:v>4</c:v>
                </c:pt>
                <c:pt idx="3">
                  <c:v>1.7</c:v>
                </c:pt>
                <c:pt idx="4">
                  <c:v>0.3</c:v>
                </c:pt>
                <c:pt idx="5">
                  <c:v>-0.8</c:v>
                </c:pt>
                <c:pt idx="6">
                  <c:v>1.4</c:v>
                </c:pt>
                <c:pt idx="7">
                  <c:v>2.2999999999999998</c:v>
                </c:pt>
                <c:pt idx="8">
                  <c:v>6.7</c:v>
                </c:pt>
                <c:pt idx="9">
                  <c:v>14.6</c:v>
                </c:pt>
                <c:pt idx="10">
                  <c:v>20</c:v>
                </c:pt>
                <c:pt idx="11">
                  <c:v>25.5</c:v>
                </c:pt>
                <c:pt idx="12">
                  <c:v>24.1</c:v>
                </c:pt>
                <c:pt idx="13">
                  <c:v>14.6</c:v>
                </c:pt>
                <c:pt idx="14">
                  <c:v>7.8</c:v>
                </c:pt>
                <c:pt idx="15">
                  <c:v>1.6</c:v>
                </c:pt>
                <c:pt idx="16">
                  <c:v>-4.9000000000000004</c:v>
                </c:pt>
                <c:pt idx="17">
                  <c:v>-3.6</c:v>
                </c:pt>
                <c:pt idx="18">
                  <c:v>-1.4</c:v>
                </c:pt>
                <c:pt idx="19">
                  <c:v>0.9</c:v>
                </c:pt>
                <c:pt idx="20">
                  <c:v>5.0999999999999996</c:v>
                </c:pt>
              </c:numCache>
            </c:numRef>
          </c:val>
          <c:smooth val="0"/>
          <c:extLst>
            <c:ext xmlns:c16="http://schemas.microsoft.com/office/drawing/2014/chart" uri="{C3380CC4-5D6E-409C-BE32-E72D297353CC}">
              <c16:uniqueId val="{00000001-D26A-46F4-A782-52BB7379F6FD}"/>
            </c:ext>
          </c:extLst>
        </c:ser>
        <c:ser>
          <c:idx val="3"/>
          <c:order val="2"/>
          <c:tx>
            <c:strRef>
              <c:f>'Ceny 2'!$F$5</c:f>
              <c:strCache>
                <c:ptCount val="1"/>
                <c:pt idx="0">
                  <c:v>Bydlení a energie</c:v>
                </c:pt>
              </c:strCache>
            </c:strRef>
          </c:tx>
          <c:spPr>
            <a:ln w="19050">
              <a:solidFill>
                <a:srgbClr val="7DBB2D"/>
              </a:solidFill>
            </a:ln>
          </c:spPr>
          <c:marker>
            <c:symbol val="none"/>
          </c:marker>
          <c:cat>
            <c:multiLvlStrRef>
              <c:f>'Ceny 2'!$A$14:$B$34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2'!$F$14:$F$34</c:f>
              <c:numCache>
                <c:formatCode>0.0</c:formatCode>
                <c:ptCount val="21"/>
                <c:pt idx="0">
                  <c:v>4.2</c:v>
                </c:pt>
                <c:pt idx="1">
                  <c:v>3.2</c:v>
                </c:pt>
                <c:pt idx="2">
                  <c:v>2.7</c:v>
                </c:pt>
                <c:pt idx="3">
                  <c:v>1.4</c:v>
                </c:pt>
                <c:pt idx="4">
                  <c:v>0.6</c:v>
                </c:pt>
                <c:pt idx="5">
                  <c:v>1.3</c:v>
                </c:pt>
                <c:pt idx="6">
                  <c:v>3.6</c:v>
                </c:pt>
                <c:pt idx="7">
                  <c:v>5.6</c:v>
                </c:pt>
                <c:pt idx="8">
                  <c:v>16</c:v>
                </c:pt>
                <c:pt idx="9">
                  <c:v>21.4</c:v>
                </c:pt>
                <c:pt idx="10">
                  <c:v>23.6</c:v>
                </c:pt>
                <c:pt idx="11">
                  <c:v>14.9</c:v>
                </c:pt>
                <c:pt idx="12">
                  <c:v>22.2</c:v>
                </c:pt>
                <c:pt idx="13">
                  <c:v>16</c:v>
                </c:pt>
                <c:pt idx="14">
                  <c:v>11.6</c:v>
                </c:pt>
                <c:pt idx="15">
                  <c:v>17.8</c:v>
                </c:pt>
                <c:pt idx="16">
                  <c:v>3.4</c:v>
                </c:pt>
                <c:pt idx="17">
                  <c:v>3.1</c:v>
                </c:pt>
                <c:pt idx="18">
                  <c:v>3.2</c:v>
                </c:pt>
                <c:pt idx="19">
                  <c:v>4.2</c:v>
                </c:pt>
                <c:pt idx="20">
                  <c:v>1.4</c:v>
                </c:pt>
              </c:numCache>
            </c:numRef>
          </c:val>
          <c:smooth val="0"/>
          <c:extLst>
            <c:ext xmlns:c16="http://schemas.microsoft.com/office/drawing/2014/chart" uri="{C3380CC4-5D6E-409C-BE32-E72D297353CC}">
              <c16:uniqueId val="{00000002-D26A-46F4-A782-52BB7379F6FD}"/>
            </c:ext>
          </c:extLst>
        </c:ser>
        <c:ser>
          <c:idx val="4"/>
          <c:order val="3"/>
          <c:tx>
            <c:strRef>
              <c:f>'Ceny 2'!$G$5</c:f>
              <c:strCache>
                <c:ptCount val="1"/>
                <c:pt idx="0">
                  <c:v>Doprava</c:v>
                </c:pt>
              </c:strCache>
            </c:strRef>
          </c:tx>
          <c:spPr>
            <a:ln w="19050">
              <a:solidFill>
                <a:srgbClr val="FFC000"/>
              </a:solidFill>
            </a:ln>
          </c:spPr>
          <c:marker>
            <c:symbol val="none"/>
          </c:marker>
          <c:cat>
            <c:multiLvlStrRef>
              <c:f>'Ceny 2'!$A$14:$B$34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2'!$G$14:$G$34</c:f>
              <c:numCache>
                <c:formatCode>0.0</c:formatCode>
                <c:ptCount val="21"/>
                <c:pt idx="0" formatCode="General">
                  <c:v>1.7</c:v>
                </c:pt>
                <c:pt idx="1">
                  <c:v>-3.4</c:v>
                </c:pt>
                <c:pt idx="2">
                  <c:v>-0.2</c:v>
                </c:pt>
                <c:pt idx="3">
                  <c:v>0.6</c:v>
                </c:pt>
                <c:pt idx="4">
                  <c:v>2.4</c:v>
                </c:pt>
                <c:pt idx="5">
                  <c:v>9.1</c:v>
                </c:pt>
                <c:pt idx="6">
                  <c:v>8.8000000000000007</c:v>
                </c:pt>
                <c:pt idx="7">
                  <c:v>13.1</c:v>
                </c:pt>
                <c:pt idx="8">
                  <c:v>17.2</c:v>
                </c:pt>
                <c:pt idx="9">
                  <c:v>22.7</c:v>
                </c:pt>
                <c:pt idx="10">
                  <c:v>19.7</c:v>
                </c:pt>
                <c:pt idx="11">
                  <c:v>13.1</c:v>
                </c:pt>
                <c:pt idx="12">
                  <c:v>4.5</c:v>
                </c:pt>
                <c:pt idx="13">
                  <c:v>-4</c:v>
                </c:pt>
                <c:pt idx="14">
                  <c:v>-2.4</c:v>
                </c:pt>
                <c:pt idx="15">
                  <c:v>-1.6</c:v>
                </c:pt>
                <c:pt idx="16">
                  <c:v>1.7</c:v>
                </c:pt>
                <c:pt idx="17">
                  <c:v>4.5999999999999996</c:v>
                </c:pt>
                <c:pt idx="18">
                  <c:v>0.9</c:v>
                </c:pt>
                <c:pt idx="19">
                  <c:v>0.1</c:v>
                </c:pt>
                <c:pt idx="20">
                  <c:v>0.3</c:v>
                </c:pt>
              </c:numCache>
            </c:numRef>
          </c:val>
          <c:smooth val="0"/>
          <c:extLst>
            <c:ext xmlns:c16="http://schemas.microsoft.com/office/drawing/2014/chart" uri="{C3380CC4-5D6E-409C-BE32-E72D297353CC}">
              <c16:uniqueId val="{00000003-D26A-46F4-A782-52BB7379F6FD}"/>
            </c:ext>
          </c:extLst>
        </c:ser>
        <c:ser>
          <c:idx val="2"/>
          <c:order val="4"/>
          <c:tx>
            <c:strRef>
              <c:f>'Ceny 2'!$E$5</c:f>
              <c:strCache>
                <c:ptCount val="1"/>
                <c:pt idx="0">
                  <c:v>Alkoholické nápoje a tabák</c:v>
                </c:pt>
              </c:strCache>
              <c:extLst xmlns:c15="http://schemas.microsoft.com/office/drawing/2012/chart"/>
            </c:strRef>
          </c:tx>
          <c:spPr>
            <a:ln w="19050">
              <a:solidFill>
                <a:srgbClr val="FF0000"/>
              </a:solidFill>
            </a:ln>
          </c:spPr>
          <c:marker>
            <c:symbol val="none"/>
          </c:marker>
          <c:cat>
            <c:multiLvlStrRef>
              <c:f>'Ceny 2'!$A$14:$B$34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2'!$E$14:$E$34</c:f>
              <c:numCache>
                <c:formatCode>0.0</c:formatCode>
                <c:ptCount val="21"/>
                <c:pt idx="0" formatCode="General">
                  <c:v>3.5</c:v>
                </c:pt>
                <c:pt idx="1">
                  <c:v>6.6</c:v>
                </c:pt>
                <c:pt idx="2">
                  <c:v>10.3</c:v>
                </c:pt>
                <c:pt idx="3">
                  <c:v>9.9</c:v>
                </c:pt>
                <c:pt idx="4">
                  <c:v>9.9</c:v>
                </c:pt>
                <c:pt idx="5">
                  <c:v>9.8000000000000007</c:v>
                </c:pt>
                <c:pt idx="6">
                  <c:v>6.5</c:v>
                </c:pt>
                <c:pt idx="7">
                  <c:v>7.7</c:v>
                </c:pt>
                <c:pt idx="8">
                  <c:v>7.1</c:v>
                </c:pt>
                <c:pt idx="9">
                  <c:v>5.6</c:v>
                </c:pt>
                <c:pt idx="10">
                  <c:v>6.3</c:v>
                </c:pt>
                <c:pt idx="11">
                  <c:v>6</c:v>
                </c:pt>
                <c:pt idx="12">
                  <c:v>6.8</c:v>
                </c:pt>
                <c:pt idx="13">
                  <c:v>6.5</c:v>
                </c:pt>
                <c:pt idx="14">
                  <c:v>7.2</c:v>
                </c:pt>
                <c:pt idx="15">
                  <c:v>5.9</c:v>
                </c:pt>
                <c:pt idx="16">
                  <c:v>4.7</c:v>
                </c:pt>
                <c:pt idx="17">
                  <c:v>6.2</c:v>
                </c:pt>
                <c:pt idx="18">
                  <c:v>4.5999999999999996</c:v>
                </c:pt>
                <c:pt idx="19">
                  <c:v>4.8</c:v>
                </c:pt>
                <c:pt idx="20">
                  <c:v>5.0999999999999996</c:v>
                </c:pt>
              </c:numCache>
            </c:numRef>
          </c:val>
          <c:smooth val="0"/>
          <c:extLst xmlns:c15="http://schemas.microsoft.com/office/drawing/2012/chart">
            <c:ext xmlns:c16="http://schemas.microsoft.com/office/drawing/2014/chart" uri="{C3380CC4-5D6E-409C-BE32-E72D297353CC}">
              <c16:uniqueId val="{00000004-D26A-46F4-A782-52BB7379F6FD}"/>
            </c:ext>
          </c:extLst>
        </c:ser>
        <c:ser>
          <c:idx val="5"/>
          <c:order val="5"/>
          <c:tx>
            <c:strRef>
              <c:f>'Ceny 2'!$H$5</c:f>
              <c:strCache>
                <c:ptCount val="1"/>
                <c:pt idx="0">
                  <c:v>Stravování a ubytování</c:v>
                </c:pt>
              </c:strCache>
            </c:strRef>
          </c:tx>
          <c:spPr>
            <a:ln w="19050">
              <a:solidFill>
                <a:srgbClr val="7030A0"/>
              </a:solidFill>
            </a:ln>
          </c:spPr>
          <c:marker>
            <c:symbol val="none"/>
          </c:marker>
          <c:cat>
            <c:multiLvlStrRef>
              <c:f>'Ceny 2'!$A$14:$B$34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2'!$H$14:$H$34</c:f>
              <c:numCache>
                <c:formatCode>0.0</c:formatCode>
                <c:ptCount val="21"/>
                <c:pt idx="0">
                  <c:v>5.5</c:v>
                </c:pt>
                <c:pt idx="1">
                  <c:v>5.0999999999999996</c:v>
                </c:pt>
                <c:pt idx="2">
                  <c:v>4.9000000000000004</c:v>
                </c:pt>
                <c:pt idx="3">
                  <c:v>4.3</c:v>
                </c:pt>
                <c:pt idx="4">
                  <c:v>3</c:v>
                </c:pt>
                <c:pt idx="5">
                  <c:v>2.9</c:v>
                </c:pt>
                <c:pt idx="6">
                  <c:v>4.5999999999999996</c:v>
                </c:pt>
                <c:pt idx="7">
                  <c:v>6.8</c:v>
                </c:pt>
                <c:pt idx="8">
                  <c:v>12.3</c:v>
                </c:pt>
                <c:pt idx="9">
                  <c:v>21.4</c:v>
                </c:pt>
                <c:pt idx="10">
                  <c:v>24.3</c:v>
                </c:pt>
                <c:pt idx="11">
                  <c:v>25.6</c:v>
                </c:pt>
                <c:pt idx="12">
                  <c:v>22.4</c:v>
                </c:pt>
                <c:pt idx="13">
                  <c:v>15.4</c:v>
                </c:pt>
                <c:pt idx="14">
                  <c:v>11.6</c:v>
                </c:pt>
                <c:pt idx="15">
                  <c:v>8.8000000000000007</c:v>
                </c:pt>
                <c:pt idx="16">
                  <c:v>8.6</c:v>
                </c:pt>
                <c:pt idx="17">
                  <c:v>7.8</c:v>
                </c:pt>
                <c:pt idx="18">
                  <c:v>7.2</c:v>
                </c:pt>
                <c:pt idx="19">
                  <c:v>7</c:v>
                </c:pt>
                <c:pt idx="20">
                  <c:v>5.3</c:v>
                </c:pt>
              </c:numCache>
            </c:numRef>
          </c:val>
          <c:smooth val="0"/>
          <c:extLst>
            <c:ext xmlns:c16="http://schemas.microsoft.com/office/drawing/2014/chart" uri="{C3380CC4-5D6E-409C-BE32-E72D297353CC}">
              <c16:uniqueId val="{00000005-D26A-46F4-A782-52BB7379F6FD}"/>
            </c:ext>
          </c:extLst>
        </c:ser>
        <c:dLbls>
          <c:showLegendKey val="0"/>
          <c:showVal val="0"/>
          <c:showCatName val="0"/>
          <c:showSerName val="0"/>
          <c:showPercent val="0"/>
          <c:showBubbleSize val="0"/>
        </c:dLbls>
        <c:marker val="1"/>
        <c:smooth val="0"/>
        <c:axId val="270120064"/>
        <c:axId val="270121600"/>
        <c:extLst>
          <c:ext xmlns:c15="http://schemas.microsoft.com/office/drawing/2012/chart" uri="{02D57815-91ED-43cb-92C2-25804820EDAC}">
            <c15:filteredLineSeries>
              <c15:ser>
                <c:idx val="6"/>
                <c:order val="6"/>
                <c:tx>
                  <c:strRef>
                    <c:extLst>
                      <c:ext uri="{02D57815-91ED-43cb-92C2-25804820EDAC}">
                        <c15:formulaRef>
                          <c15:sqref>'Ceny 2'!$I$5</c15:sqref>
                        </c15:formulaRef>
                      </c:ext>
                    </c:extLst>
                    <c:strCache>
                      <c:ptCount val="1"/>
                      <c:pt idx="0">
                        <c:v>Rekreace a kultura</c:v>
                      </c:pt>
                    </c:strCache>
                  </c:strRef>
                </c:tx>
                <c:spPr>
                  <a:ln w="19050">
                    <a:solidFill>
                      <a:srgbClr val="FF0000"/>
                    </a:solidFill>
                  </a:ln>
                </c:spPr>
                <c:marker>
                  <c:symbol val="none"/>
                </c:marker>
                <c:cat>
                  <c:multiLvlStrRef>
                    <c:extLst>
                      <c:ext uri="{02D57815-91ED-43cb-92C2-25804820EDAC}">
                        <c15:formulaRef>
                          <c15:sqref>'Ceny 2'!$A$14:$B$34</c15:sqref>
                        </c15:formulaRef>
                      </c:ext>
                    </c:extLst>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extLst>
                      <c:ext uri="{02D57815-91ED-43cb-92C2-25804820EDAC}">
                        <c15:formulaRef>
                          <c15:sqref>'Ceny 2'!$I$10:$I$30</c15:sqref>
                        </c15:formulaRef>
                      </c:ext>
                    </c:extLst>
                    <c:numCache>
                      <c:formatCode>General</c:formatCode>
                      <c:ptCount val="21"/>
                      <c:pt idx="0">
                        <c:v>1.7000000000000028</c:v>
                      </c:pt>
                      <c:pt idx="1">
                        <c:v>1</c:v>
                      </c:pt>
                      <c:pt idx="2">
                        <c:v>1.7000000000000028</c:v>
                      </c:pt>
                      <c:pt idx="3">
                        <c:v>2.0999999999999943</c:v>
                      </c:pt>
                      <c:pt idx="4">
                        <c:v>2.0999999999999943</c:v>
                      </c:pt>
                      <c:pt idx="5">
                        <c:v>2</c:v>
                      </c:pt>
                      <c:pt idx="6">
                        <c:v>2.2000000000000028</c:v>
                      </c:pt>
                      <c:pt idx="7">
                        <c:v>2.5</c:v>
                      </c:pt>
                      <c:pt idx="8">
                        <c:v>1.4000000000000057</c:v>
                      </c:pt>
                      <c:pt idx="9">
                        <c:v>2</c:v>
                      </c:pt>
                      <c:pt idx="10">
                        <c:v>3.0999999999999943</c:v>
                      </c:pt>
                      <c:pt idx="11">
                        <c:v>5.2999999999999972</c:v>
                      </c:pt>
                      <c:pt idx="12">
                        <c:v>8.5</c:v>
                      </c:pt>
                      <c:pt idx="13">
                        <c:v>11.299999999999997</c:v>
                      </c:pt>
                      <c:pt idx="14">
                        <c:v>12.599999999999994</c:v>
                      </c:pt>
                      <c:pt idx="15" formatCode="0.0">
                        <c:v>13.2</c:v>
                      </c:pt>
                      <c:pt idx="16" formatCode="0.0">
                        <c:v>14</c:v>
                      </c:pt>
                      <c:pt idx="17" formatCode="0.0">
                        <c:v>11.7</c:v>
                      </c:pt>
                      <c:pt idx="18" formatCode="0.0">
                        <c:v>9.6999999999999993</c:v>
                      </c:pt>
                      <c:pt idx="19" formatCode="0.0">
                        <c:v>6.9</c:v>
                      </c:pt>
                      <c:pt idx="20" formatCode="0.0">
                        <c:v>4.4000000000000004</c:v>
                      </c:pt>
                    </c:numCache>
                  </c:numRef>
                </c:val>
                <c:smooth val="0"/>
                <c:extLst>
                  <c:ext xmlns:c16="http://schemas.microsoft.com/office/drawing/2014/chart" uri="{C3380CC4-5D6E-409C-BE32-E72D297353CC}">
                    <c16:uniqueId val="{00000006-D26A-46F4-A782-52BB7379F6FD}"/>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'Ceny 2'!$J$5</c15:sqref>
                        </c15:formulaRef>
                      </c:ext>
                    </c:extLst>
                    <c:strCache>
                      <c:ptCount val="1"/>
                      <c:pt idx="0">
                        <c:v>Odívání a obuv</c:v>
                      </c:pt>
                    </c:strCache>
                  </c:strRef>
                </c:tx>
                <c:spPr>
                  <a:ln w="19050">
                    <a:solidFill>
                      <a:srgbClr val="E8AFB2"/>
                    </a:solidFill>
                  </a:ln>
                </c:spPr>
                <c:marker>
                  <c:symbol val="none"/>
                </c:marker>
                <c:cat>
                  <c:multiLvlStrRef>
                    <c:extLst xmlns:c15="http://schemas.microsoft.com/office/drawing/2012/chart">
                      <c:ext xmlns:c15="http://schemas.microsoft.com/office/drawing/2012/chart" uri="{02D57815-91ED-43cb-92C2-25804820EDAC}">
                        <c15:formulaRef>
                          <c15:sqref>'Ceny 2'!$A$14:$B$34</c15:sqref>
                        </c15:formulaRef>
                      </c:ext>
                    </c:extLst>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extLst xmlns:c15="http://schemas.microsoft.com/office/drawing/2012/chart">
                      <c:ext xmlns:c15="http://schemas.microsoft.com/office/drawing/2012/chart" uri="{02D57815-91ED-43cb-92C2-25804820EDAC}">
                        <c15:formulaRef>
                          <c15:sqref>'Ceny 2'!$J$6:$J$24</c15:sqref>
                        </c15:formulaRef>
                      </c:ext>
                    </c:extLst>
                    <c:numCache>
                      <c:formatCode>General</c:formatCode>
                      <c:ptCount val="19"/>
                      <c:pt idx="0">
                        <c:v>-0.29999999999999716</c:v>
                      </c:pt>
                      <c:pt idx="1">
                        <c:v>-1</c:v>
                      </c:pt>
                      <c:pt idx="2">
                        <c:v>-1.4000000000000057</c:v>
                      </c:pt>
                      <c:pt idx="3">
                        <c:v>-1.7000000000000028</c:v>
                      </c:pt>
                      <c:pt idx="4">
                        <c:v>-1.0999999999999943</c:v>
                      </c:pt>
                      <c:pt idx="5">
                        <c:v>-1.9000000000000057</c:v>
                      </c:pt>
                      <c:pt idx="6">
                        <c:v>-1.5</c:v>
                      </c:pt>
                      <c:pt idx="7">
                        <c:v>-0.29999999999999716</c:v>
                      </c:pt>
                      <c:pt idx="8">
                        <c:v>3.5</c:v>
                      </c:pt>
                      <c:pt idx="9">
                        <c:v>3.4000000000000057</c:v>
                      </c:pt>
                      <c:pt idx="10">
                        <c:v>4.5</c:v>
                      </c:pt>
                      <c:pt idx="11">
                        <c:v>3.4000000000000057</c:v>
                      </c:pt>
                      <c:pt idx="12">
                        <c:v>2.7000000000000028</c:v>
                      </c:pt>
                      <c:pt idx="13">
                        <c:v>2.9000000000000057</c:v>
                      </c:pt>
                      <c:pt idx="14">
                        <c:v>7.7999999999999972</c:v>
                      </c:pt>
                      <c:pt idx="15">
                        <c:v>12.599999999999994</c:v>
                      </c:pt>
                      <c:pt idx="16">
                        <c:v>16.900000000000006</c:v>
                      </c:pt>
                      <c:pt idx="17">
                        <c:v>20</c:v>
                      </c:pt>
                      <c:pt idx="18">
                        <c:v>19</c:v>
                      </c:pt>
                    </c:numCache>
                  </c:numRef>
                </c:val>
                <c:smooth val="0"/>
                <c:extLst xmlns:c15="http://schemas.microsoft.com/office/drawing/2012/chart">
                  <c:ext xmlns:c16="http://schemas.microsoft.com/office/drawing/2014/chart" uri="{C3380CC4-5D6E-409C-BE32-E72D297353CC}">
                    <c16:uniqueId val="{00000007-D26A-46F4-A782-52BB7379F6FD}"/>
                  </c:ext>
                </c:extLst>
              </c15:ser>
            </c15:filteredLineSeries>
          </c:ext>
        </c:extLst>
      </c:lineChart>
      <c:catAx>
        <c:axId val="270120064"/>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121600"/>
        <c:crosses val="autoZero"/>
        <c:auto val="1"/>
        <c:lblAlgn val="ctr"/>
        <c:lblOffset val="100"/>
        <c:noMultiLvlLbl val="0"/>
      </c:catAx>
      <c:valAx>
        <c:axId val="270121600"/>
        <c:scaling>
          <c:orientation val="minMax"/>
          <c:max val="27"/>
          <c:min val="-6"/>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120064"/>
        <c:crosses val="autoZero"/>
        <c:crossBetween val="between"/>
        <c:majorUnit val="3"/>
      </c:valAx>
      <c:spPr>
        <a:ln>
          <a:solidFill>
            <a:schemeClr val="tx1"/>
          </a:solidFill>
        </a:ln>
      </c:spPr>
    </c:plotArea>
    <c:legend>
      <c:legendPos val="b"/>
      <c:layout>
        <c:manualLayout>
          <c:xMode val="edge"/>
          <c:yMode val="edge"/>
          <c:x val="5.3882134414049307E-2"/>
          <c:y val="0.85802375323651925"/>
          <c:w val="0.92470364741641342"/>
          <c:h val="0.131253517955645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0373184734885E-2"/>
          <c:y val="2.9569886214146503E-2"/>
          <c:w val="0.90493308848362042"/>
          <c:h val="0.73556653157716956"/>
        </c:manualLayout>
      </c:layout>
      <c:barChart>
        <c:barDir val="col"/>
        <c:grouping val="clustered"/>
        <c:varyColors val="0"/>
        <c:ser>
          <c:idx val="0"/>
          <c:order val="0"/>
          <c:tx>
            <c:strRef>
              <c:f>'Ceny 1'!$C$5</c:f>
              <c:strCache>
                <c:ptCount val="1"/>
                <c:pt idx="0">
                  <c:v>Realizované ceny starších bytů, ČR</c:v>
                </c:pt>
              </c:strCache>
            </c:strRef>
          </c:tx>
          <c:spPr>
            <a:solidFill>
              <a:schemeClr val="bg1">
                <a:lumMod val="65000"/>
              </a:schemeClr>
            </a:solidFill>
            <a:ln w="19050">
              <a:noFill/>
            </a:ln>
          </c:spPr>
          <c:invertIfNegative val="0"/>
          <c:cat>
            <c:multiLvlStrRef>
              <c:f>'Ceny 1'!$A$14:$B$34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1'!$C$14:$C$34</c:f>
              <c:numCache>
                <c:formatCode>General</c:formatCode>
                <c:ptCount val="21"/>
                <c:pt idx="0">
                  <c:v>10.599999999999994</c:v>
                </c:pt>
                <c:pt idx="1">
                  <c:v>10.200000000000003</c:v>
                </c:pt>
                <c:pt idx="2">
                  <c:v>11.200000000000003</c:v>
                </c:pt>
                <c:pt idx="3">
                  <c:v>13.299999999999997</c:v>
                </c:pt>
                <c:pt idx="4">
                  <c:v>15.200000000000003</c:v>
                </c:pt>
                <c:pt idx="5">
                  <c:v>17.900000000000006</c:v>
                </c:pt>
                <c:pt idx="6">
                  <c:v>21.299999999999997</c:v>
                </c:pt>
                <c:pt idx="7">
                  <c:v>25.200000000000003</c:v>
                </c:pt>
                <c:pt idx="8">
                  <c:v>27.299999999999997</c:v>
                </c:pt>
                <c:pt idx="9">
                  <c:v>27.599999999999994</c:v>
                </c:pt>
                <c:pt idx="10">
                  <c:v>23.400000000000006</c:v>
                </c:pt>
                <c:pt idx="11">
                  <c:v>13.799999999999997</c:v>
                </c:pt>
                <c:pt idx="12">
                  <c:v>3.7000000000000028</c:v>
                </c:pt>
                <c:pt idx="13">
                  <c:v>-4.0999999999999943</c:v>
                </c:pt>
                <c:pt idx="14">
                  <c:v>-7</c:v>
                </c:pt>
                <c:pt idx="15">
                  <c:v>-5.5</c:v>
                </c:pt>
                <c:pt idx="16">
                  <c:v>9.9999999999994316E-2</c:v>
                </c:pt>
                <c:pt idx="17">
                  <c:v>6.0999999999999943</c:v>
                </c:pt>
                <c:pt idx="18">
                  <c:v>10.700000000000003</c:v>
                </c:pt>
                <c:pt idx="19">
                  <c:v>14.200000000000003</c:v>
                </c:pt>
                <c:pt idx="20">
                  <c:v>15.799999999999997</c:v>
                </c:pt>
              </c:numCache>
            </c:numRef>
          </c:val>
          <c:extLst>
            <c:ext xmlns:c16="http://schemas.microsoft.com/office/drawing/2014/chart" uri="{C3380CC4-5D6E-409C-BE32-E72D297353CC}">
              <c16:uniqueId val="{00000000-AD95-4C14-A61A-AEF2E4ECF32F}"/>
            </c:ext>
          </c:extLst>
        </c:ser>
        <c:ser>
          <c:idx val="1"/>
          <c:order val="1"/>
          <c:tx>
            <c:strRef>
              <c:f>'Ceny 1'!$D$5</c:f>
              <c:strCache>
                <c:ptCount val="1"/>
                <c:pt idx="0">
                  <c:v>Realizované ceny starších bytů, Praha</c:v>
                </c:pt>
              </c:strCache>
            </c:strRef>
          </c:tx>
          <c:spPr>
            <a:solidFill>
              <a:prstClr val="black">
                <a:lumMod val="50000"/>
                <a:lumOff val="50000"/>
              </a:prstClr>
            </a:solidFill>
            <a:ln w="19050">
              <a:noFill/>
            </a:ln>
          </c:spPr>
          <c:invertIfNegative val="0"/>
          <c:cat>
            <c:multiLvlStrRef>
              <c:f>'Ceny 1'!$A$14:$B$34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1'!$D$14:$D$34</c:f>
              <c:numCache>
                <c:formatCode>General</c:formatCode>
                <c:ptCount val="21"/>
                <c:pt idx="0">
                  <c:v>6.2000000000000028</c:v>
                </c:pt>
                <c:pt idx="1">
                  <c:v>8</c:v>
                </c:pt>
                <c:pt idx="2">
                  <c:v>9.4000000000000057</c:v>
                </c:pt>
                <c:pt idx="3">
                  <c:v>10.599999999999994</c:v>
                </c:pt>
                <c:pt idx="4">
                  <c:v>14.299999999999997</c:v>
                </c:pt>
                <c:pt idx="5">
                  <c:v>15.799999999999997</c:v>
                </c:pt>
                <c:pt idx="6">
                  <c:v>16.599999999999994</c:v>
                </c:pt>
                <c:pt idx="7">
                  <c:v>20</c:v>
                </c:pt>
                <c:pt idx="8">
                  <c:v>19</c:v>
                </c:pt>
                <c:pt idx="9">
                  <c:v>16.700000000000003</c:v>
                </c:pt>
                <c:pt idx="10">
                  <c:v>15.599999999999994</c:v>
                </c:pt>
                <c:pt idx="11">
                  <c:v>8.4000000000000057</c:v>
                </c:pt>
                <c:pt idx="12">
                  <c:v>1.2000000000000028</c:v>
                </c:pt>
                <c:pt idx="13">
                  <c:v>-3.5999999999999943</c:v>
                </c:pt>
                <c:pt idx="14">
                  <c:v>-5.2999999999999972</c:v>
                </c:pt>
                <c:pt idx="15">
                  <c:v>-2.5999999999999943</c:v>
                </c:pt>
                <c:pt idx="16">
                  <c:v>1</c:v>
                </c:pt>
                <c:pt idx="17">
                  <c:v>8.5999999999999943</c:v>
                </c:pt>
                <c:pt idx="18">
                  <c:v>11.799999999999997</c:v>
                </c:pt>
                <c:pt idx="19">
                  <c:v>12.099999999999994</c:v>
                </c:pt>
                <c:pt idx="20">
                  <c:v>15.799999999999997</c:v>
                </c:pt>
              </c:numCache>
            </c:numRef>
          </c:val>
          <c:extLst>
            <c:ext xmlns:c16="http://schemas.microsoft.com/office/drawing/2014/chart" uri="{C3380CC4-5D6E-409C-BE32-E72D297353CC}">
              <c16:uniqueId val="{00000001-AD95-4C14-A61A-AEF2E4ECF32F}"/>
            </c:ext>
          </c:extLst>
        </c:ser>
        <c:dLbls>
          <c:showLegendKey val="0"/>
          <c:showVal val="0"/>
          <c:showCatName val="0"/>
          <c:showSerName val="0"/>
          <c:showPercent val="0"/>
          <c:showBubbleSize val="0"/>
        </c:dLbls>
        <c:gapWidth val="95"/>
        <c:axId val="270057856"/>
        <c:axId val="270059392"/>
      </c:barChart>
      <c:lineChart>
        <c:grouping val="standard"/>
        <c:varyColors val="0"/>
        <c:ser>
          <c:idx val="2"/>
          <c:order val="2"/>
          <c:tx>
            <c:strRef>
              <c:f>'Ceny 1'!$E$5</c:f>
              <c:strCache>
                <c:ptCount val="1"/>
                <c:pt idx="0">
                  <c:v>Nabídkové ceny bytů, ČR</c:v>
                </c:pt>
              </c:strCache>
            </c:strRef>
          </c:tx>
          <c:spPr>
            <a:ln w="19050">
              <a:solidFill>
                <a:schemeClr val="accent2"/>
              </a:solidFill>
            </a:ln>
          </c:spPr>
          <c:marker>
            <c:symbol val="none"/>
          </c:marker>
          <c:cat>
            <c:multiLvlStrRef>
              <c:f>'Ceny 1'!$A$14:$B$34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1'!$E$14:$E$34</c:f>
              <c:numCache>
                <c:formatCode>0.0</c:formatCode>
                <c:ptCount val="21"/>
                <c:pt idx="0">
                  <c:v>6.0465116279069662</c:v>
                </c:pt>
                <c:pt idx="1">
                  <c:v>7.1334214002641829</c:v>
                </c:pt>
                <c:pt idx="2">
                  <c:v>7.9870129870129887</c:v>
                </c:pt>
                <c:pt idx="3">
                  <c:v>7.6481835564053569</c:v>
                </c:pt>
                <c:pt idx="4">
                  <c:v>7.6441102756892292</c:v>
                </c:pt>
                <c:pt idx="5">
                  <c:v>7.9531442663378584</c:v>
                </c:pt>
                <c:pt idx="6">
                  <c:v>9.3205051112447421</c:v>
                </c:pt>
                <c:pt idx="7">
                  <c:v>12.433392539964473</c:v>
                </c:pt>
                <c:pt idx="8">
                  <c:v>16.880093131548307</c:v>
                </c:pt>
                <c:pt idx="9">
                  <c:v>24.671616219303274</c:v>
                </c:pt>
                <c:pt idx="10">
                  <c:v>22.937293729372925</c:v>
                </c:pt>
                <c:pt idx="11">
                  <c:v>18.325434439178508</c:v>
                </c:pt>
                <c:pt idx="12">
                  <c:v>9.8107569721115624</c:v>
                </c:pt>
                <c:pt idx="13">
                  <c:v>-0.73293632615667548</c:v>
                </c:pt>
                <c:pt idx="14">
                  <c:v>-3.3109619686800897</c:v>
                </c:pt>
                <c:pt idx="15">
                  <c:v>-4.1833555852247315</c:v>
                </c:pt>
                <c:pt idx="16">
                  <c:v>-0.68027210884353906</c:v>
                </c:pt>
                <c:pt idx="17">
                  <c:v>3.3687125057683573</c:v>
                </c:pt>
                <c:pt idx="18">
                  <c:v>6.9412309116150084</c:v>
                </c:pt>
                <c:pt idx="19">
                  <c:v>10.682768230376212</c:v>
                </c:pt>
                <c:pt idx="20">
                  <c:v>15.662100456621019</c:v>
                </c:pt>
              </c:numCache>
            </c:numRef>
          </c:val>
          <c:smooth val="0"/>
          <c:extLst>
            <c:ext xmlns:c16="http://schemas.microsoft.com/office/drawing/2014/chart" uri="{C3380CC4-5D6E-409C-BE32-E72D297353CC}">
              <c16:uniqueId val="{00000002-AD95-4C14-A61A-AEF2E4ECF32F}"/>
            </c:ext>
          </c:extLst>
        </c:ser>
        <c:ser>
          <c:idx val="3"/>
          <c:order val="3"/>
          <c:tx>
            <c:strRef>
              <c:f>'Ceny 1'!$F$5</c:f>
              <c:strCache>
                <c:ptCount val="1"/>
                <c:pt idx="0">
                  <c:v>Nabídkové ceny bytů, Praha</c:v>
                </c:pt>
              </c:strCache>
            </c:strRef>
          </c:tx>
          <c:spPr>
            <a:ln>
              <a:solidFill>
                <a:schemeClr val="accent1"/>
              </a:solidFill>
            </a:ln>
          </c:spPr>
          <c:marker>
            <c:symbol val="none"/>
          </c:marker>
          <c:cat>
            <c:multiLvlStrRef>
              <c:f>'Ceny 1'!$A$14:$B$34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1'!$F$14:$F$34</c:f>
              <c:numCache>
                <c:formatCode>0.0</c:formatCode>
                <c:ptCount val="21"/>
                <c:pt idx="0">
                  <c:v>3.5530085959885298</c:v>
                </c:pt>
                <c:pt idx="1">
                  <c:v>5.2812858783008068</c:v>
                </c:pt>
                <c:pt idx="2">
                  <c:v>6.2356979405034281</c:v>
                </c:pt>
                <c:pt idx="3">
                  <c:v>5.1743532058492718</c:v>
                </c:pt>
                <c:pt idx="4">
                  <c:v>4.759269507470961</c:v>
                </c:pt>
                <c:pt idx="5">
                  <c:v>4.5256270447110012</c:v>
                </c:pt>
                <c:pt idx="6">
                  <c:v>6.2466343564889826</c:v>
                </c:pt>
                <c:pt idx="7">
                  <c:v>9.1443850267379503</c:v>
                </c:pt>
                <c:pt idx="8">
                  <c:v>12.255678816693077</c:v>
                </c:pt>
                <c:pt idx="9">
                  <c:v>19.718309859154942</c:v>
                </c:pt>
                <c:pt idx="10">
                  <c:v>18.499746578813998</c:v>
                </c:pt>
                <c:pt idx="11">
                  <c:v>16.903478686918177</c:v>
                </c:pt>
                <c:pt idx="12">
                  <c:v>10.305882352941182</c:v>
                </c:pt>
                <c:pt idx="13">
                  <c:v>0.30501089324617681</c:v>
                </c:pt>
                <c:pt idx="14">
                  <c:v>-1.5825491873396089</c:v>
                </c:pt>
                <c:pt idx="15">
                  <c:v>-3.5624476110645418</c:v>
                </c:pt>
                <c:pt idx="16">
                  <c:v>0.3412969283276226</c:v>
                </c:pt>
                <c:pt idx="17">
                  <c:v>3.9965247610773247</c:v>
                </c:pt>
                <c:pt idx="18">
                  <c:v>6.7796610169491629</c:v>
                </c:pt>
                <c:pt idx="19">
                  <c:v>10.386788352890036</c:v>
                </c:pt>
                <c:pt idx="20">
                  <c:v>16.496598639455783</c:v>
                </c:pt>
              </c:numCache>
            </c:numRef>
          </c:val>
          <c:smooth val="0"/>
          <c:extLst>
            <c:ext xmlns:c16="http://schemas.microsoft.com/office/drawing/2014/chart" uri="{C3380CC4-5D6E-409C-BE32-E72D297353CC}">
              <c16:uniqueId val="{00000003-AD95-4C14-A61A-AEF2E4ECF32F}"/>
            </c:ext>
          </c:extLst>
        </c:ser>
        <c:dLbls>
          <c:showLegendKey val="0"/>
          <c:showVal val="0"/>
          <c:showCatName val="0"/>
          <c:showSerName val="0"/>
          <c:showPercent val="0"/>
          <c:showBubbleSize val="0"/>
        </c:dLbls>
        <c:marker val="1"/>
        <c:smooth val="0"/>
        <c:axId val="270057856"/>
        <c:axId val="270059392"/>
      </c:lineChart>
      <c:catAx>
        <c:axId val="270057856"/>
        <c:scaling>
          <c:orientation val="minMax"/>
        </c:scaling>
        <c:delete val="0"/>
        <c:axPos val="b"/>
        <c:numFmt formatCode="General" sourceLinked="0"/>
        <c:majorTickMark val="out"/>
        <c:minorTickMark val="none"/>
        <c:tickLblPos val="low"/>
        <c:spPr>
          <a:ln>
            <a:solidFill>
              <a:schemeClr val="tx1"/>
            </a:solidFill>
          </a:ln>
        </c:spPr>
        <c:txPr>
          <a:bodyPr rot="0" vert="horz"/>
          <a:lstStyle/>
          <a:p>
            <a:pPr>
              <a:defRPr/>
            </a:pPr>
            <a:endParaRPr lang="cs-CZ"/>
          </a:p>
        </c:txPr>
        <c:crossAx val="270059392"/>
        <c:crosses val="autoZero"/>
        <c:auto val="1"/>
        <c:lblAlgn val="ctr"/>
        <c:lblOffset val="100"/>
        <c:noMultiLvlLbl val="0"/>
      </c:catAx>
      <c:valAx>
        <c:axId val="270059392"/>
        <c:scaling>
          <c:orientation val="minMax"/>
          <c:max val="28"/>
          <c:min val="-8"/>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0057856"/>
        <c:crosses val="autoZero"/>
        <c:crossBetween val="between"/>
        <c:majorUnit val="4"/>
      </c:valAx>
      <c:spPr>
        <a:ln>
          <a:solidFill>
            <a:schemeClr val="tx1"/>
          </a:solidFill>
        </a:ln>
      </c:spPr>
    </c:plotArea>
    <c:legend>
      <c:legendPos val="b"/>
      <c:layout>
        <c:manualLayout>
          <c:xMode val="edge"/>
          <c:yMode val="edge"/>
          <c:x val="7.3334810874704504E-2"/>
          <c:y val="0.88817854328492629"/>
          <c:w val="0.89999282337048292"/>
          <c:h val="9.8380614657210319E-2"/>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948270126413842E-2"/>
          <c:y val="2.181131592422042E-2"/>
          <c:w val="0.91916383898868925"/>
          <c:h val="0.71663233141956562"/>
        </c:manualLayout>
      </c:layout>
      <c:barChart>
        <c:barDir val="col"/>
        <c:grouping val="clustered"/>
        <c:varyColors val="0"/>
        <c:ser>
          <c:idx val="0"/>
          <c:order val="0"/>
          <c:tx>
            <c:strRef>
              <c:f>'Ceny 4'!$C$5</c:f>
              <c:strCache>
                <c:ptCount val="1"/>
                <c:pt idx="0">
                  <c:v>Celkem</c:v>
                </c:pt>
              </c:strCache>
            </c:strRef>
          </c:tx>
          <c:spPr>
            <a:solidFill>
              <a:schemeClr val="bg1">
                <a:lumMod val="65000"/>
              </a:schemeClr>
            </a:solidFill>
            <a:ln w="19050">
              <a:noFill/>
            </a:ln>
          </c:spPr>
          <c:invertIfNegative val="0"/>
          <c:cat>
            <c:multiLvlStrRef>
              <c:f>'Ceny 4'!$A$14:$B$34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4'!$C$14:$C$34</c:f>
              <c:numCache>
                <c:formatCode>General</c:formatCode>
                <c:ptCount val="21"/>
                <c:pt idx="0">
                  <c:v>1.4000000000000057</c:v>
                </c:pt>
                <c:pt idx="1">
                  <c:v>-0.59999999999999432</c:v>
                </c:pt>
                <c:pt idx="2">
                  <c:v>-0.29999999999999716</c:v>
                </c:pt>
                <c:pt idx="3">
                  <c:v>9.9999999999994316E-2</c:v>
                </c:pt>
                <c:pt idx="4">
                  <c:v>1.5</c:v>
                </c:pt>
                <c:pt idx="5">
                  <c:v>5.2999999999999972</c:v>
                </c:pt>
                <c:pt idx="6">
                  <c:v>9</c:v>
                </c:pt>
                <c:pt idx="7">
                  <c:v>12.799999999999997</c:v>
                </c:pt>
                <c:pt idx="8">
                  <c:v>21.799999999999997</c:v>
                </c:pt>
                <c:pt idx="9">
                  <c:v>27.700000000000003</c:v>
                </c:pt>
                <c:pt idx="10">
                  <c:v>25.900000000000006</c:v>
                </c:pt>
                <c:pt idx="11">
                  <c:v>21.799999999999997</c:v>
                </c:pt>
                <c:pt idx="12">
                  <c:v>15</c:v>
                </c:pt>
                <c:pt idx="13">
                  <c:v>3.9000000000000057</c:v>
                </c:pt>
                <c:pt idx="14">
                  <c:v>1.3</c:v>
                </c:pt>
                <c:pt idx="15">
                  <c:v>0.8</c:v>
                </c:pt>
                <c:pt idx="16">
                  <c:v>-0.9</c:v>
                </c:pt>
                <c:pt idx="17">
                  <c:v>1.1000000000000001</c:v>
                </c:pt>
                <c:pt idx="18">
                  <c:v>1.2</c:v>
                </c:pt>
                <c:pt idx="19">
                  <c:v>1.8</c:v>
                </c:pt>
                <c:pt idx="20">
                  <c:v>0</c:v>
                </c:pt>
              </c:numCache>
            </c:numRef>
          </c:val>
          <c:extLst>
            <c:ext xmlns:c16="http://schemas.microsoft.com/office/drawing/2014/chart" uri="{C3380CC4-5D6E-409C-BE32-E72D297353CC}">
              <c16:uniqueId val="{00000000-2A37-4FE8-982C-BE750FC2CD31}"/>
            </c:ext>
          </c:extLst>
        </c:ser>
        <c:dLbls>
          <c:showLegendKey val="0"/>
          <c:showVal val="0"/>
          <c:showCatName val="0"/>
          <c:showSerName val="0"/>
          <c:showPercent val="0"/>
          <c:showBubbleSize val="0"/>
        </c:dLbls>
        <c:gapWidth val="96"/>
        <c:axId val="271374208"/>
        <c:axId val="271375744"/>
      </c:barChart>
      <c:lineChart>
        <c:grouping val="standard"/>
        <c:varyColors val="0"/>
        <c:ser>
          <c:idx val="1"/>
          <c:order val="1"/>
          <c:tx>
            <c:strRef>
              <c:f>'Ceny 4'!$D$5</c:f>
              <c:strCache>
                <c:ptCount val="1"/>
                <c:pt idx="0">
                  <c:v>Těžba a dobývání</c:v>
                </c:pt>
              </c:strCache>
            </c:strRef>
          </c:tx>
          <c:spPr>
            <a:ln w="19050">
              <a:solidFill>
                <a:srgbClr val="7DBB2D"/>
              </a:solidFill>
            </a:ln>
          </c:spPr>
          <c:marker>
            <c:symbol val="none"/>
          </c:marker>
          <c:cat>
            <c:multiLvlStrRef>
              <c:f>'Ceny 4'!$A$14:$B$34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4'!$D$14:$D$34</c:f>
              <c:numCache>
                <c:formatCode>General</c:formatCode>
                <c:ptCount val="21"/>
                <c:pt idx="0">
                  <c:v>-2.0999999999999943</c:v>
                </c:pt>
                <c:pt idx="1">
                  <c:v>-3.5</c:v>
                </c:pt>
                <c:pt idx="2">
                  <c:v>-3.5999999999999943</c:v>
                </c:pt>
                <c:pt idx="3">
                  <c:v>-2</c:v>
                </c:pt>
                <c:pt idx="4">
                  <c:v>-0.5</c:v>
                </c:pt>
                <c:pt idx="5">
                  <c:v>0.79999999999999716</c:v>
                </c:pt>
                <c:pt idx="6">
                  <c:v>3.2999999999999972</c:v>
                </c:pt>
                <c:pt idx="7">
                  <c:v>13.799999999999997</c:v>
                </c:pt>
                <c:pt idx="8">
                  <c:v>25.200000000000003</c:v>
                </c:pt>
                <c:pt idx="9">
                  <c:v>31.900000000000006</c:v>
                </c:pt>
                <c:pt idx="10">
                  <c:v>30.199999999999989</c:v>
                </c:pt>
                <c:pt idx="11">
                  <c:v>23.299999999999997</c:v>
                </c:pt>
                <c:pt idx="12">
                  <c:v>54</c:v>
                </c:pt>
                <c:pt idx="13">
                  <c:v>47.599999999999994</c:v>
                </c:pt>
                <c:pt idx="14">
                  <c:v>44.5</c:v>
                </c:pt>
                <c:pt idx="15">
                  <c:v>40.200000000000003</c:v>
                </c:pt>
                <c:pt idx="16">
                  <c:v>-1.2</c:v>
                </c:pt>
                <c:pt idx="17">
                  <c:v>-1.7</c:v>
                </c:pt>
                <c:pt idx="18">
                  <c:v>-0.5</c:v>
                </c:pt>
                <c:pt idx="19">
                  <c:v>-1.8</c:v>
                </c:pt>
                <c:pt idx="20">
                  <c:v>-2.6</c:v>
                </c:pt>
              </c:numCache>
            </c:numRef>
          </c:val>
          <c:smooth val="0"/>
          <c:extLst>
            <c:ext xmlns:c16="http://schemas.microsoft.com/office/drawing/2014/chart" uri="{C3380CC4-5D6E-409C-BE32-E72D297353CC}">
              <c16:uniqueId val="{00000001-2A37-4FE8-982C-BE750FC2CD31}"/>
            </c:ext>
          </c:extLst>
        </c:ser>
        <c:ser>
          <c:idx val="2"/>
          <c:order val="2"/>
          <c:tx>
            <c:strRef>
              <c:f>'Ceny 4'!$E$5</c:f>
              <c:strCache>
                <c:ptCount val="1"/>
                <c:pt idx="0">
                  <c:v>Zpracovatelský průmysl</c:v>
                </c:pt>
              </c:strCache>
            </c:strRef>
          </c:tx>
          <c:spPr>
            <a:ln w="19050">
              <a:solidFill>
                <a:srgbClr val="BD1B21"/>
              </a:solidFill>
            </a:ln>
          </c:spPr>
          <c:marker>
            <c:symbol val="none"/>
          </c:marker>
          <c:cat>
            <c:multiLvlStrRef>
              <c:f>'Ceny 4'!$A$14:$B$34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4'!$E$14:$E$34</c:f>
              <c:numCache>
                <c:formatCode>General</c:formatCode>
                <c:ptCount val="21"/>
                <c:pt idx="0">
                  <c:v>0</c:v>
                </c:pt>
                <c:pt idx="1">
                  <c:v>-2.2999999999999972</c:v>
                </c:pt>
                <c:pt idx="2">
                  <c:v>-1.7999999999999972</c:v>
                </c:pt>
                <c:pt idx="3">
                  <c:v>-1.2000000000000028</c:v>
                </c:pt>
                <c:pt idx="4">
                  <c:v>1.7999999999999972</c:v>
                </c:pt>
                <c:pt idx="5">
                  <c:v>6.5</c:v>
                </c:pt>
                <c:pt idx="6">
                  <c:v>11</c:v>
                </c:pt>
                <c:pt idx="7">
                  <c:v>14.5</c:v>
                </c:pt>
                <c:pt idx="8">
                  <c:v>17.5</c:v>
                </c:pt>
                <c:pt idx="9">
                  <c:v>24.200000000000003</c:v>
                </c:pt>
                <c:pt idx="10">
                  <c:v>20.5</c:v>
                </c:pt>
                <c:pt idx="11">
                  <c:v>16</c:v>
                </c:pt>
                <c:pt idx="12">
                  <c:v>10.299999999999997</c:v>
                </c:pt>
                <c:pt idx="13">
                  <c:v>-0.90000000000000568</c:v>
                </c:pt>
                <c:pt idx="14">
                  <c:v>-2.4</c:v>
                </c:pt>
                <c:pt idx="15">
                  <c:v>-2.2999999999999998</c:v>
                </c:pt>
                <c:pt idx="16">
                  <c:v>-1.7</c:v>
                </c:pt>
                <c:pt idx="17">
                  <c:v>0.1</c:v>
                </c:pt>
                <c:pt idx="18">
                  <c:v>0.2</c:v>
                </c:pt>
                <c:pt idx="19">
                  <c:v>0.4</c:v>
                </c:pt>
                <c:pt idx="20">
                  <c:v>0.4</c:v>
                </c:pt>
              </c:numCache>
            </c:numRef>
          </c:val>
          <c:smooth val="0"/>
          <c:extLst>
            <c:ext xmlns:c16="http://schemas.microsoft.com/office/drawing/2014/chart" uri="{C3380CC4-5D6E-409C-BE32-E72D297353CC}">
              <c16:uniqueId val="{00000002-2A37-4FE8-982C-BE750FC2CD31}"/>
            </c:ext>
          </c:extLst>
        </c:ser>
        <c:ser>
          <c:idx val="3"/>
          <c:order val="3"/>
          <c:tx>
            <c:strRef>
              <c:f>'Ceny 4'!$F$5</c:f>
              <c:strCache>
                <c:ptCount val="1"/>
                <c:pt idx="0">
                  <c:v>Elektřina, plyn, pára a klim. vzduch</c:v>
                </c:pt>
              </c:strCache>
            </c:strRef>
          </c:tx>
          <c:spPr>
            <a:ln w="19050">
              <a:solidFill>
                <a:srgbClr val="F8A124"/>
              </a:solidFill>
            </a:ln>
          </c:spPr>
          <c:marker>
            <c:symbol val="none"/>
          </c:marker>
          <c:cat>
            <c:multiLvlStrRef>
              <c:f>'Ceny 4'!$A$14:$B$34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4'!$F$14:$F$34</c:f>
              <c:numCache>
                <c:formatCode>General</c:formatCode>
                <c:ptCount val="21"/>
                <c:pt idx="0">
                  <c:v>8.9000000000000057</c:v>
                </c:pt>
                <c:pt idx="1">
                  <c:v>8.2000000000000028</c:v>
                </c:pt>
                <c:pt idx="2">
                  <c:v>7.7999999999999972</c:v>
                </c:pt>
                <c:pt idx="3">
                  <c:v>6.0999999999999943</c:v>
                </c:pt>
                <c:pt idx="4">
                  <c:v>0.29999999999999716</c:v>
                </c:pt>
                <c:pt idx="5">
                  <c:v>9.9999999999994316E-2</c:v>
                </c:pt>
                <c:pt idx="6">
                  <c:v>0.79999999999999716</c:v>
                </c:pt>
                <c:pt idx="7">
                  <c:v>5.5</c:v>
                </c:pt>
                <c:pt idx="8">
                  <c:v>45</c:v>
                </c:pt>
                <c:pt idx="9">
                  <c:v>47.199999999999989</c:v>
                </c:pt>
                <c:pt idx="10">
                  <c:v>56</c:v>
                </c:pt>
                <c:pt idx="11">
                  <c:v>54.300000000000011</c:v>
                </c:pt>
                <c:pt idx="12">
                  <c:v>28.400000000000006</c:v>
                </c:pt>
                <c:pt idx="13">
                  <c:v>18.400000000000006</c:v>
                </c:pt>
                <c:pt idx="14">
                  <c:v>10.5</c:v>
                </c:pt>
                <c:pt idx="15">
                  <c:v>7.1</c:v>
                </c:pt>
                <c:pt idx="16">
                  <c:v>0.8</c:v>
                </c:pt>
                <c:pt idx="17">
                  <c:v>4.5</c:v>
                </c:pt>
                <c:pt idx="18">
                  <c:v>4.2</c:v>
                </c:pt>
                <c:pt idx="19">
                  <c:v>6.7</c:v>
                </c:pt>
                <c:pt idx="20">
                  <c:v>-1.2</c:v>
                </c:pt>
              </c:numCache>
            </c:numRef>
          </c:val>
          <c:smooth val="0"/>
          <c:extLst>
            <c:ext xmlns:c16="http://schemas.microsoft.com/office/drawing/2014/chart" uri="{C3380CC4-5D6E-409C-BE32-E72D297353CC}">
              <c16:uniqueId val="{00000003-2A37-4FE8-982C-BE750FC2CD31}"/>
            </c:ext>
          </c:extLst>
        </c:ser>
        <c:ser>
          <c:idx val="4"/>
          <c:order val="4"/>
          <c:tx>
            <c:strRef>
              <c:f>'Ceny 4'!$G$5</c:f>
              <c:strCache>
                <c:ptCount val="1"/>
                <c:pt idx="0">
                  <c:v>Zás. vodou; odpadní vody</c:v>
                </c:pt>
              </c:strCache>
            </c:strRef>
          </c:tx>
          <c:spPr>
            <a:ln w="19050">
              <a:solidFill>
                <a:schemeClr val="accent1"/>
              </a:solidFill>
            </a:ln>
          </c:spPr>
          <c:marker>
            <c:symbol val="none"/>
          </c:marker>
          <c:cat>
            <c:multiLvlStrRef>
              <c:f>'Ceny 4'!$A$14:$B$34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'Ceny 4'!$G$14:$G$34</c:f>
              <c:numCache>
                <c:formatCode>General</c:formatCode>
                <c:ptCount val="21"/>
                <c:pt idx="0">
                  <c:v>5.4000000000000057</c:v>
                </c:pt>
                <c:pt idx="1">
                  <c:v>6.0999999999999943</c:v>
                </c:pt>
                <c:pt idx="2">
                  <c:v>6.4000000000000057</c:v>
                </c:pt>
                <c:pt idx="3">
                  <c:v>6.4000000000000057</c:v>
                </c:pt>
                <c:pt idx="4">
                  <c:v>6.9000000000000057</c:v>
                </c:pt>
                <c:pt idx="5">
                  <c:v>6.2000000000000028</c:v>
                </c:pt>
                <c:pt idx="6">
                  <c:v>5.9000000000000057</c:v>
                </c:pt>
                <c:pt idx="7">
                  <c:v>5.9000000000000057</c:v>
                </c:pt>
                <c:pt idx="8">
                  <c:v>5.2999999999999972</c:v>
                </c:pt>
                <c:pt idx="9">
                  <c:v>5.2999999999999972</c:v>
                </c:pt>
                <c:pt idx="10">
                  <c:v>5.2999999999999972</c:v>
                </c:pt>
                <c:pt idx="11">
                  <c:v>5.2999999999999972</c:v>
                </c:pt>
                <c:pt idx="12">
                  <c:v>16.299999999999997</c:v>
                </c:pt>
                <c:pt idx="13">
                  <c:v>16.299999999999997</c:v>
                </c:pt>
                <c:pt idx="14">
                  <c:v>16.3</c:v>
                </c:pt>
                <c:pt idx="15">
                  <c:v>16.3</c:v>
                </c:pt>
                <c:pt idx="16">
                  <c:v>9.1999999999999993</c:v>
                </c:pt>
                <c:pt idx="17">
                  <c:v>9.1999999999999993</c:v>
                </c:pt>
                <c:pt idx="18">
                  <c:v>9.1999999999999993</c:v>
                </c:pt>
                <c:pt idx="19">
                  <c:v>9.1999999999999993</c:v>
                </c:pt>
                <c:pt idx="20">
                  <c:v>4.0999999999999996</c:v>
                </c:pt>
              </c:numCache>
            </c:numRef>
          </c:val>
          <c:smooth val="0"/>
          <c:extLst>
            <c:ext xmlns:c16="http://schemas.microsoft.com/office/drawing/2014/chart" uri="{C3380CC4-5D6E-409C-BE32-E72D297353CC}">
              <c16:uniqueId val="{00000004-2A37-4FE8-982C-BE750FC2CD31}"/>
            </c:ext>
          </c:extLst>
        </c:ser>
        <c:dLbls>
          <c:showLegendKey val="0"/>
          <c:showVal val="0"/>
          <c:showCatName val="0"/>
          <c:showSerName val="0"/>
          <c:showPercent val="0"/>
          <c:showBubbleSize val="0"/>
        </c:dLbls>
        <c:marker val="1"/>
        <c:smooth val="0"/>
        <c:axId val="271374208"/>
        <c:axId val="271375744"/>
      </c:lineChart>
      <c:catAx>
        <c:axId val="271374208"/>
        <c:scaling>
          <c:orientation val="minMax"/>
        </c:scaling>
        <c:delete val="0"/>
        <c:axPos val="b"/>
        <c:numFmt formatCode="General" sourceLinked="0"/>
        <c:majorTickMark val="out"/>
        <c:minorTickMark val="none"/>
        <c:tickLblPos val="low"/>
        <c:spPr>
          <a:ln>
            <a:solidFill>
              <a:schemeClr val="tx1"/>
            </a:solidFill>
          </a:ln>
        </c:spPr>
        <c:crossAx val="271375744"/>
        <c:crosses val="autoZero"/>
        <c:auto val="1"/>
        <c:lblAlgn val="ctr"/>
        <c:lblOffset val="100"/>
        <c:noMultiLvlLbl val="0"/>
      </c:catAx>
      <c:valAx>
        <c:axId val="271375744"/>
        <c:scaling>
          <c:orientation val="minMax"/>
          <c:min val="-5"/>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374208"/>
        <c:crosses val="autoZero"/>
        <c:crossBetween val="between"/>
        <c:majorUnit val="5"/>
      </c:valAx>
      <c:spPr>
        <a:ln>
          <a:solidFill>
            <a:schemeClr val="tx1"/>
          </a:solidFill>
        </a:ln>
      </c:spPr>
    </c:plotArea>
    <c:legend>
      <c:legendPos val="b"/>
      <c:layout>
        <c:manualLayout>
          <c:xMode val="edge"/>
          <c:yMode val="edge"/>
          <c:x val="5.0756819693945444E-2"/>
          <c:y val="0.86223931272106069"/>
          <c:w val="0.91957268795741853"/>
          <c:h val="0.12109402425765226"/>
        </c:manualLayout>
      </c:layout>
      <c:overlay val="0"/>
      <c:spPr>
        <a:ln w="6350">
          <a:no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Zemědělství, lesnictví a rybářství</c:v>
                </c:pt>
              </c:strCache>
            </c:strRef>
          </c:tx>
          <c:spPr>
            <a:solidFill>
              <a:srgbClr val="7DBB2D"/>
            </a:solidFill>
            <a:ln>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1-SNÚ'!$AC$36:$AC$69</c:f>
              <c:numCache>
                <c:formatCode>#\ ##0.0</c:formatCode>
                <c:ptCount val="34"/>
                <c:pt idx="0">
                  <c:v>0.11362815565462964</c:v>
                </c:pt>
                <c:pt idx="1">
                  <c:v>5.0071347365045656E-2</c:v>
                </c:pt>
                <c:pt idx="2">
                  <c:v>4.1044524794336977E-2</c:v>
                </c:pt>
                <c:pt idx="3">
                  <c:v>-6.8207996146105745E-2</c:v>
                </c:pt>
                <c:pt idx="4">
                  <c:v>1.1563918372028041E-2</c:v>
                </c:pt>
                <c:pt idx="5">
                  <c:v>9.9469652773378076E-3</c:v>
                </c:pt>
                <c:pt idx="6">
                  <c:v>-4.5877079510242644E-3</c:v>
                </c:pt>
                <c:pt idx="7">
                  <c:v>6.1002100013741969E-2</c:v>
                </c:pt>
                <c:pt idx="8">
                  <c:v>-7.7206500491187602E-2</c:v>
                </c:pt>
                <c:pt idx="9">
                  <c:v>-0.12546310619157755</c:v>
                </c:pt>
                <c:pt idx="10">
                  <c:v>-0.15916772896693915</c:v>
                </c:pt>
                <c:pt idx="11">
                  <c:v>-0.17729355041451639</c:v>
                </c:pt>
                <c:pt idx="12">
                  <c:v>-0.22963797478861914</c:v>
                </c:pt>
                <c:pt idx="13">
                  <c:v>-0.16486981249577076</c:v>
                </c:pt>
                <c:pt idx="14">
                  <c:v>-7.1458262303198058E-2</c:v>
                </c:pt>
                <c:pt idx="15">
                  <c:v>-7.1155713762608958E-2</c:v>
                </c:pt>
                <c:pt idx="16">
                  <c:v>1.988648589111628E-2</c:v>
                </c:pt>
                <c:pt idx="17">
                  <c:v>-4.5264025753272527E-2</c:v>
                </c:pt>
                <c:pt idx="18">
                  <c:v>-5.6861720003765062E-2</c:v>
                </c:pt>
                <c:pt idx="19">
                  <c:v>-7.103915889635871E-4</c:v>
                </c:pt>
                <c:pt idx="20">
                  <c:v>0.1001903961167062</c:v>
                </c:pt>
                <c:pt idx="21">
                  <c:v>0.19187936731668201</c:v>
                </c:pt>
                <c:pt idx="22">
                  <c:v>0.16694191816358248</c:v>
                </c:pt>
                <c:pt idx="23">
                  <c:v>8.0972483290481317E-2</c:v>
                </c:pt>
                <c:pt idx="24">
                  <c:v>2.6983862251070734E-2</c:v>
                </c:pt>
                <c:pt idx="25">
                  <c:v>1.5720339649167119E-3</c:v>
                </c:pt>
                <c:pt idx="26">
                  <c:v>-7.4409908857209078E-3</c:v>
                </c:pt>
                <c:pt idx="27">
                  <c:v>2.8532291098131043E-2</c:v>
                </c:pt>
                <c:pt idx="28">
                  <c:v>5.1710353470813208E-2</c:v>
                </c:pt>
                <c:pt idx="29">
                  <c:v>4.5731331942630953E-2</c:v>
                </c:pt>
                <c:pt idx="30">
                  <c:v>-1.9597614213169266E-2</c:v>
                </c:pt>
                <c:pt idx="31">
                  <c:v>1.4498178550444683E-2</c:v>
                </c:pt>
                <c:pt idx="32">
                  <c:v>7.8175998844946595E-3</c:v>
                </c:pt>
              </c:numCache>
            </c:numRef>
          </c:val>
          <c:extLst>
            <c:ext xmlns:c16="http://schemas.microsoft.com/office/drawing/2014/chart" uri="{C3380CC4-5D6E-409C-BE32-E72D297353CC}">
              <c16:uniqueId val="{00000000-D7F7-48AE-A343-816C62C8A475}"/>
            </c:ext>
          </c:extLst>
        </c:ser>
        <c:ser>
          <c:idx val="1"/>
          <c:order val="1"/>
          <c:tx>
            <c:strRef>
              <c:f>'Trh práce 1-SNÚ'!$AD$7</c:f>
              <c:strCache>
                <c:ptCount val="1"/>
                <c:pt idx="0">
                  <c:v>Zpracovatelský průmysl</c:v>
                </c:pt>
              </c:strCache>
            </c:strRef>
          </c:tx>
          <c:spPr>
            <a:solidFill>
              <a:srgbClr val="A6CDE8"/>
            </a:solidFill>
            <a:ln>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1-SNÚ'!$AD$36:$AD$69</c:f>
              <c:numCache>
                <c:formatCode>#\ ##0.0</c:formatCode>
                <c:ptCount val="34"/>
                <c:pt idx="0">
                  <c:v>0.34123025002420737</c:v>
                </c:pt>
                <c:pt idx="1">
                  <c:v>0.52235302041005405</c:v>
                </c:pt>
                <c:pt idx="2">
                  <c:v>0.6007043202184712</c:v>
                </c:pt>
                <c:pt idx="3">
                  <c:v>0.58624629993025279</c:v>
                </c:pt>
                <c:pt idx="4">
                  <c:v>0.11964573015131148</c:v>
                </c:pt>
                <c:pt idx="5">
                  <c:v>7.6152907170797243E-2</c:v>
                </c:pt>
                <c:pt idx="6">
                  <c:v>-0.12298441683462999</c:v>
                </c:pt>
                <c:pt idx="7">
                  <c:v>-0.10363777422981803</c:v>
                </c:pt>
                <c:pt idx="8">
                  <c:v>-4.3879683818856575E-2</c:v>
                </c:pt>
                <c:pt idx="9">
                  <c:v>-0.13090182754073737</c:v>
                </c:pt>
                <c:pt idx="10">
                  <c:v>-0.222700438793799</c:v>
                </c:pt>
                <c:pt idx="11">
                  <c:v>-0.5875860652367344</c:v>
                </c:pt>
                <c:pt idx="12">
                  <c:v>-1.0288745963154016</c:v>
                </c:pt>
                <c:pt idx="13">
                  <c:v>-1.3602085728947291</c:v>
                </c:pt>
                <c:pt idx="14">
                  <c:v>-1.3450219745832801</c:v>
                </c:pt>
                <c:pt idx="15">
                  <c:v>-1.0779931429042369</c:v>
                </c:pt>
                <c:pt idx="16">
                  <c:v>-0.34893294500656458</c:v>
                </c:pt>
                <c:pt idx="17">
                  <c:v>2.32270870065563E-3</c:v>
                </c:pt>
                <c:pt idx="18">
                  <c:v>0.30744821432919089</c:v>
                </c:pt>
                <c:pt idx="19">
                  <c:v>0.30287641394325915</c:v>
                </c:pt>
                <c:pt idx="20">
                  <c:v>-3.0965857946131374E-2</c:v>
                </c:pt>
                <c:pt idx="21">
                  <c:v>0.16543682902296636</c:v>
                </c:pt>
                <c:pt idx="22">
                  <c:v>-2.5206250094264231E-2</c:v>
                </c:pt>
                <c:pt idx="23">
                  <c:v>-8.6847696031558105E-2</c:v>
                </c:pt>
                <c:pt idx="24">
                  <c:v>0.20649178400959525</c:v>
                </c:pt>
                <c:pt idx="25">
                  <c:v>-2.3355933193048291E-2</c:v>
                </c:pt>
                <c:pt idx="26">
                  <c:v>-0.23908389810703257</c:v>
                </c:pt>
                <c:pt idx="27">
                  <c:v>-0.18167614037140023</c:v>
                </c:pt>
                <c:pt idx="28">
                  <c:v>-0.56719163916873283</c:v>
                </c:pt>
                <c:pt idx="29">
                  <c:v>-0.66004724155549699</c:v>
                </c:pt>
                <c:pt idx="30">
                  <c:v>-0.39451230447202923</c:v>
                </c:pt>
                <c:pt idx="31">
                  <c:v>-0.39793977545619524</c:v>
                </c:pt>
                <c:pt idx="32">
                  <c:v>-8.8780605247281097E-2</c:v>
                </c:pt>
              </c:numCache>
            </c:numRef>
          </c:val>
          <c:extLst>
            <c:ext xmlns:c16="http://schemas.microsoft.com/office/drawing/2014/chart" uri="{C3380CC4-5D6E-409C-BE32-E72D297353CC}">
              <c16:uniqueId val="{00000001-D7F7-48AE-A343-816C62C8A475}"/>
            </c:ext>
          </c:extLst>
        </c:ser>
        <c:ser>
          <c:idx val="2"/>
          <c:order val="2"/>
          <c:tx>
            <c:strRef>
              <c:f>'Trh práce 1-SNÚ'!$AE$7</c:f>
              <c:strCache>
                <c:ptCount val="1"/>
                <c:pt idx="0">
                  <c:v>Stavebnictví</c:v>
                </c:pt>
              </c:strCache>
            </c:strRef>
          </c:tx>
          <c:spPr>
            <a:solidFill>
              <a:srgbClr val="48AEE7"/>
            </a:solidFill>
            <a:ln w="19050">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1-SNÚ'!$AE$36:$AE$69</c:f>
              <c:numCache>
                <c:formatCode>#\ ##0.0</c:formatCode>
                <c:ptCount val="34"/>
                <c:pt idx="0">
                  <c:v>-2.522295323322548E-2</c:v>
                </c:pt>
                <c:pt idx="1">
                  <c:v>-4.955475341057251E-3</c:v>
                </c:pt>
                <c:pt idx="2">
                  <c:v>4.3264182079252173E-2</c:v>
                </c:pt>
                <c:pt idx="3">
                  <c:v>-9.7203529235831032E-2</c:v>
                </c:pt>
                <c:pt idx="4">
                  <c:v>5.0774905955341509E-2</c:v>
                </c:pt>
                <c:pt idx="5">
                  <c:v>9.1527209015807957E-3</c:v>
                </c:pt>
                <c:pt idx="6">
                  <c:v>-5.7910411840798107E-3</c:v>
                </c:pt>
                <c:pt idx="7">
                  <c:v>5.1320718963795246E-2</c:v>
                </c:pt>
                <c:pt idx="8">
                  <c:v>-4.7853409991260497E-2</c:v>
                </c:pt>
                <c:pt idx="9">
                  <c:v>2.6839717342942881E-2</c:v>
                </c:pt>
                <c:pt idx="10">
                  <c:v>4.1303727040787566E-2</c:v>
                </c:pt>
                <c:pt idx="11">
                  <c:v>5.3863451406236225E-2</c:v>
                </c:pt>
                <c:pt idx="12">
                  <c:v>-5.219809701293044E-2</c:v>
                </c:pt>
                <c:pt idx="13">
                  <c:v>-0.28539533059612732</c:v>
                </c:pt>
                <c:pt idx="14">
                  <c:v>-0.16438202614531755</c:v>
                </c:pt>
                <c:pt idx="15">
                  <c:v>-8.379854260961106E-2</c:v>
                </c:pt>
                <c:pt idx="16">
                  <c:v>0.10062675606296018</c:v>
                </c:pt>
                <c:pt idx="17">
                  <c:v>0.31345049895046107</c:v>
                </c:pt>
                <c:pt idx="18">
                  <c:v>0.17250227801546797</c:v>
                </c:pt>
                <c:pt idx="19">
                  <c:v>0.23625320276207945</c:v>
                </c:pt>
                <c:pt idx="20">
                  <c:v>0.12256523305435475</c:v>
                </c:pt>
                <c:pt idx="21">
                  <c:v>0.14558592922631924</c:v>
                </c:pt>
                <c:pt idx="22">
                  <c:v>0.1425086346017527</c:v>
                </c:pt>
                <c:pt idx="23">
                  <c:v>0.1263359047432184</c:v>
                </c:pt>
                <c:pt idx="24">
                  <c:v>0.27042481713564304</c:v>
                </c:pt>
                <c:pt idx="25">
                  <c:v>0.23488807492463867</c:v>
                </c:pt>
                <c:pt idx="26">
                  <c:v>0.19670016358962225</c:v>
                </c:pt>
                <c:pt idx="27">
                  <c:v>9.2659876591769372E-2</c:v>
                </c:pt>
                <c:pt idx="28">
                  <c:v>-9.4069627171328066E-2</c:v>
                </c:pt>
                <c:pt idx="29">
                  <c:v>-6.1061511233521E-2</c:v>
                </c:pt>
                <c:pt idx="30">
                  <c:v>1.6943770621802592E-2</c:v>
                </c:pt>
                <c:pt idx="31">
                  <c:v>7.1990316254957429E-2</c:v>
                </c:pt>
                <c:pt idx="32">
                  <c:v>0.17956339877212196</c:v>
                </c:pt>
              </c:numCache>
            </c:numRef>
          </c:val>
          <c:extLst>
            <c:ext xmlns:c16="http://schemas.microsoft.com/office/drawing/2014/chart" uri="{C3380CC4-5D6E-409C-BE32-E72D297353CC}">
              <c16:uniqueId val="{00000002-D7F7-48AE-A343-816C62C8A475}"/>
            </c:ext>
          </c:extLst>
        </c:ser>
        <c:ser>
          <c:idx val="3"/>
          <c:order val="3"/>
          <c:tx>
            <c:strRef>
              <c:f>'Trh práce 1-SNÚ'!$AF$7</c:f>
              <c:strCache>
                <c:ptCount val="1"/>
                <c:pt idx="0">
                  <c:v>Obchod, doprava, ubytování a pohost.</c:v>
                </c:pt>
              </c:strCache>
            </c:strRef>
          </c:tx>
          <c:spPr>
            <a:solidFill>
              <a:srgbClr val="FDDEB3"/>
            </a:solidFill>
            <a:ln w="19050">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1-SNÚ'!$AF$36:$AF$69</c:f>
              <c:numCache>
                <c:formatCode>#\ ##0.0</c:formatCode>
                <c:ptCount val="34"/>
                <c:pt idx="0">
                  <c:v>0.15973256369708291</c:v>
                </c:pt>
                <c:pt idx="1">
                  <c:v>-1.5191688883395588E-2</c:v>
                </c:pt>
                <c:pt idx="2">
                  <c:v>0.35531738037577776</c:v>
                </c:pt>
                <c:pt idx="3">
                  <c:v>0.17142372253177482</c:v>
                </c:pt>
                <c:pt idx="4">
                  <c:v>0.11459482327617278</c:v>
                </c:pt>
                <c:pt idx="5">
                  <c:v>0.34360524541678317</c:v>
                </c:pt>
                <c:pt idx="6">
                  <c:v>0.13954905087091021</c:v>
                </c:pt>
                <c:pt idx="7">
                  <c:v>0.16123729177746221</c:v>
                </c:pt>
                <c:pt idx="8">
                  <c:v>9.5669331999762464E-2</c:v>
                </c:pt>
                <c:pt idx="9">
                  <c:v>-0.18752413199774384</c:v>
                </c:pt>
                <c:pt idx="10">
                  <c:v>-0.32173233019841657</c:v>
                </c:pt>
                <c:pt idx="11">
                  <c:v>-0.34416791851901818</c:v>
                </c:pt>
                <c:pt idx="12">
                  <c:v>-0.17007381394220211</c:v>
                </c:pt>
                <c:pt idx="13">
                  <c:v>-0.68801691905386031</c:v>
                </c:pt>
                <c:pt idx="14">
                  <c:v>-0.5805213183815886</c:v>
                </c:pt>
                <c:pt idx="15">
                  <c:v>-1.024799611162776</c:v>
                </c:pt>
                <c:pt idx="16">
                  <c:v>-0.89384919901442583</c:v>
                </c:pt>
                <c:pt idx="17">
                  <c:v>-0.27162254639898481</c:v>
                </c:pt>
                <c:pt idx="18">
                  <c:v>0.18479100442221555</c:v>
                </c:pt>
                <c:pt idx="19">
                  <c:v>0.62815896259788329</c:v>
                </c:pt>
                <c:pt idx="20">
                  <c:v>6.9644543642100654E-2</c:v>
                </c:pt>
                <c:pt idx="21">
                  <c:v>0.38341680525887634</c:v>
                </c:pt>
                <c:pt idx="22">
                  <c:v>-5.4710948222554075E-2</c:v>
                </c:pt>
                <c:pt idx="23">
                  <c:v>-0.15716194082380397</c:v>
                </c:pt>
                <c:pt idx="24">
                  <c:v>0.2259118446485929</c:v>
                </c:pt>
                <c:pt idx="25">
                  <c:v>0.16575600984842043</c:v>
                </c:pt>
                <c:pt idx="26">
                  <c:v>0.26144426267819387</c:v>
                </c:pt>
                <c:pt idx="27">
                  <c:v>0.30554029079020223</c:v>
                </c:pt>
                <c:pt idx="28">
                  <c:v>0.34271148528675127</c:v>
                </c:pt>
                <c:pt idx="29">
                  <c:v>0.38114380541336057</c:v>
                </c:pt>
                <c:pt idx="30">
                  <c:v>0.21822759993622859</c:v>
                </c:pt>
                <c:pt idx="31">
                  <c:v>-4.0231518483970538E-2</c:v>
                </c:pt>
                <c:pt idx="32">
                  <c:v>0.20760277127945437</c:v>
                </c:pt>
              </c:numCache>
            </c:numRef>
          </c:val>
          <c:extLst>
            <c:ext xmlns:c16="http://schemas.microsoft.com/office/drawing/2014/chart" uri="{C3380CC4-5D6E-409C-BE32-E72D297353CC}">
              <c16:uniqueId val="{00000003-D7F7-48AE-A343-816C62C8A475}"/>
            </c:ext>
          </c:extLst>
        </c:ser>
        <c:ser>
          <c:idx val="4"/>
          <c:order val="4"/>
          <c:tx>
            <c:strRef>
              <c:f>'Trh práce 1-SNÚ'!$AG$7</c:f>
              <c:strCache>
                <c:ptCount val="1"/>
                <c:pt idx="0">
                  <c:v>Informační a komunikač. čin.</c:v>
                </c:pt>
              </c:strCache>
            </c:strRef>
          </c:tx>
          <c:spPr>
            <a:solidFill>
              <a:srgbClr val="F8A124"/>
            </a:solidFill>
            <a:ln w="19050">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1-SNÚ'!$AG$36:$AG$69</c:f>
              <c:numCache>
                <c:formatCode>#\ ##0.0</c:formatCode>
                <c:ptCount val="34"/>
                <c:pt idx="0">
                  <c:v>0.10306256214490077</c:v>
                </c:pt>
                <c:pt idx="1">
                  <c:v>0.113076676701345</c:v>
                </c:pt>
                <c:pt idx="2">
                  <c:v>0.14247903571964249</c:v>
                </c:pt>
                <c:pt idx="3">
                  <c:v>0.13951722056886845</c:v>
                </c:pt>
                <c:pt idx="4">
                  <c:v>0.13227299733915818</c:v>
                </c:pt>
                <c:pt idx="5">
                  <c:v>0.14892082045443958</c:v>
                </c:pt>
                <c:pt idx="6">
                  <c:v>0.10555488703709108</c:v>
                </c:pt>
                <c:pt idx="7">
                  <c:v>0.12454203777844085</c:v>
                </c:pt>
                <c:pt idx="8">
                  <c:v>0.1256784621979638</c:v>
                </c:pt>
                <c:pt idx="9">
                  <c:v>7.6458736775003838E-2</c:v>
                </c:pt>
                <c:pt idx="10">
                  <c:v>0.11512037432787062</c:v>
                </c:pt>
                <c:pt idx="11">
                  <c:v>0.12022992158448997</c:v>
                </c:pt>
                <c:pt idx="12">
                  <c:v>9.8320126142908748E-2</c:v>
                </c:pt>
                <c:pt idx="13">
                  <c:v>5.3757438014449162E-2</c:v>
                </c:pt>
                <c:pt idx="14">
                  <c:v>7.7959563030390977E-2</c:v>
                </c:pt>
                <c:pt idx="15">
                  <c:v>5.8793836667762431E-2</c:v>
                </c:pt>
                <c:pt idx="16">
                  <c:v>2.8455305359929017E-2</c:v>
                </c:pt>
                <c:pt idx="17">
                  <c:v>8.2292993386038724E-2</c:v>
                </c:pt>
                <c:pt idx="18">
                  <c:v>6.4760246180956965E-2</c:v>
                </c:pt>
                <c:pt idx="19">
                  <c:v>-2.2214136984618119E-2</c:v>
                </c:pt>
                <c:pt idx="20">
                  <c:v>0.19577982320442494</c:v>
                </c:pt>
                <c:pt idx="21">
                  <c:v>0.1773093767482338</c:v>
                </c:pt>
                <c:pt idx="22">
                  <c:v>0.17446420222312728</c:v>
                </c:pt>
                <c:pt idx="23">
                  <c:v>0.25679575689123113</c:v>
                </c:pt>
                <c:pt idx="24">
                  <c:v>0.14193473725055147</c:v>
                </c:pt>
                <c:pt idx="25">
                  <c:v>6.7279310760423566E-2</c:v>
                </c:pt>
                <c:pt idx="26">
                  <c:v>2.942743631689625E-2</c:v>
                </c:pt>
                <c:pt idx="27">
                  <c:v>1.8012526927700279E-2</c:v>
                </c:pt>
                <c:pt idx="28">
                  <c:v>5.1356428140861686E-2</c:v>
                </c:pt>
                <c:pt idx="29">
                  <c:v>2.0588356728828187E-2</c:v>
                </c:pt>
                <c:pt idx="30">
                  <c:v>9.4276401707291541E-3</c:v>
                </c:pt>
                <c:pt idx="31">
                  <c:v>-0.11798773439262143</c:v>
                </c:pt>
                <c:pt idx="32">
                  <c:v>2.1131659545261097E-2</c:v>
                </c:pt>
              </c:numCache>
            </c:numRef>
          </c:val>
          <c:extLst>
            <c:ext xmlns:c16="http://schemas.microsoft.com/office/drawing/2014/chart" uri="{C3380CC4-5D6E-409C-BE32-E72D297353CC}">
              <c16:uniqueId val="{00000004-D7F7-48AE-A343-816C62C8A475}"/>
            </c:ext>
          </c:extLst>
        </c:ser>
        <c:ser>
          <c:idx val="5"/>
          <c:order val="5"/>
          <c:tx>
            <c:strRef>
              <c:f>'Trh práce 1-SNÚ'!$AH$7</c:f>
              <c:strCache>
                <c:ptCount val="1"/>
                <c:pt idx="0">
                  <c:v>Profesní, vědec., techn. a admin. čin.</c:v>
                </c:pt>
              </c:strCache>
            </c:strRef>
          </c:tx>
          <c:spPr>
            <a:solidFill>
              <a:srgbClr val="E8C0BE"/>
            </a:solidFill>
            <a:ln w="19050">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1-SNÚ'!$AH$36:$AH$69</c:f>
              <c:numCache>
                <c:formatCode>#\ ##0.0</c:formatCode>
                <c:ptCount val="34"/>
                <c:pt idx="0">
                  <c:v>0.29841078105477886</c:v>
                </c:pt>
                <c:pt idx="1">
                  <c:v>0.23426579179886092</c:v>
                </c:pt>
                <c:pt idx="2">
                  <c:v>0.20577753829291368</c:v>
                </c:pt>
                <c:pt idx="3">
                  <c:v>5.6773405997204894E-2</c:v>
                </c:pt>
                <c:pt idx="4">
                  <c:v>0.10777799783190666</c:v>
                </c:pt>
                <c:pt idx="5">
                  <c:v>0.10518064804667848</c:v>
                </c:pt>
                <c:pt idx="6">
                  <c:v>9.8748533437620648E-2</c:v>
                </c:pt>
                <c:pt idx="7">
                  <c:v>0.22141224467237378</c:v>
                </c:pt>
                <c:pt idx="8">
                  <c:v>3.724431087059718E-2</c:v>
                </c:pt>
                <c:pt idx="9">
                  <c:v>2.5573165795878261E-2</c:v>
                </c:pt>
                <c:pt idx="10">
                  <c:v>2.2396959985967045E-2</c:v>
                </c:pt>
                <c:pt idx="11">
                  <c:v>-0.18724759065711963</c:v>
                </c:pt>
                <c:pt idx="12">
                  <c:v>-0.19133070373579164</c:v>
                </c:pt>
                <c:pt idx="13">
                  <c:v>-0.3504112611767094</c:v>
                </c:pt>
                <c:pt idx="14">
                  <c:v>-0.52251402310016892</c:v>
                </c:pt>
                <c:pt idx="15">
                  <c:v>-0.24405342203916677</c:v>
                </c:pt>
                <c:pt idx="16">
                  <c:v>-0.10997283570482894</c:v>
                </c:pt>
                <c:pt idx="17">
                  <c:v>0.14882612029903389</c:v>
                </c:pt>
                <c:pt idx="18">
                  <c:v>0.28609151976270597</c:v>
                </c:pt>
                <c:pt idx="19">
                  <c:v>0.12335853943489318</c:v>
                </c:pt>
                <c:pt idx="20">
                  <c:v>0.16279030253185092</c:v>
                </c:pt>
                <c:pt idx="21">
                  <c:v>0.11160194861751378</c:v>
                </c:pt>
                <c:pt idx="22">
                  <c:v>0.16264347012955688</c:v>
                </c:pt>
                <c:pt idx="23">
                  <c:v>0.22346522307166092</c:v>
                </c:pt>
                <c:pt idx="24">
                  <c:v>0.24935962964601949</c:v>
                </c:pt>
                <c:pt idx="25">
                  <c:v>0.2471274822229188</c:v>
                </c:pt>
                <c:pt idx="26">
                  <c:v>0.29077821921009361</c:v>
                </c:pt>
                <c:pt idx="27">
                  <c:v>0.28952707961070101</c:v>
                </c:pt>
                <c:pt idx="28">
                  <c:v>0.16679196865189538</c:v>
                </c:pt>
                <c:pt idx="29">
                  <c:v>6.0320922861980417E-2</c:v>
                </c:pt>
                <c:pt idx="30">
                  <c:v>8.0431874999882177E-2</c:v>
                </c:pt>
                <c:pt idx="31">
                  <c:v>2.3007979003966565E-2</c:v>
                </c:pt>
                <c:pt idx="32">
                  <c:v>0.15885882900677389</c:v>
                </c:pt>
              </c:numCache>
            </c:numRef>
          </c:val>
          <c:extLst>
            <c:ext xmlns:c16="http://schemas.microsoft.com/office/drawing/2014/chart" uri="{C3380CC4-5D6E-409C-BE32-E72D297353CC}">
              <c16:uniqueId val="{00000005-D7F7-48AE-A343-816C62C8A475}"/>
            </c:ext>
          </c:extLst>
        </c:ser>
        <c:ser>
          <c:idx val="6"/>
          <c:order val="6"/>
          <c:tx>
            <c:strRef>
              <c:f>'Trh práce 1-SNÚ'!$AI$7</c:f>
              <c:strCache>
                <c:ptCount val="1"/>
                <c:pt idx="0">
                  <c:v>Veř.spr.,obrana, vzděl.,zdrav.a soc.péče</c:v>
                </c:pt>
              </c:strCache>
            </c:strRef>
          </c:tx>
          <c:spPr>
            <a:solidFill>
              <a:srgbClr val="D58D8B"/>
            </a:solidFill>
            <a:ln>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1-SNÚ'!$AI$36:$AI$69</c:f>
              <c:numCache>
                <c:formatCode>#\ ##0.0</c:formatCode>
                <c:ptCount val="34"/>
                <c:pt idx="0">
                  <c:v>0.25543763072520886</c:v>
                </c:pt>
                <c:pt idx="1">
                  <c:v>0.32021171933565312</c:v>
                </c:pt>
                <c:pt idx="2">
                  <c:v>0.40612074323310393</c:v>
                </c:pt>
                <c:pt idx="3">
                  <c:v>0.45188510919558089</c:v>
                </c:pt>
                <c:pt idx="4">
                  <c:v>0.60669746453968465</c:v>
                </c:pt>
                <c:pt idx="5">
                  <c:v>0.67766064774410706</c:v>
                </c:pt>
                <c:pt idx="6">
                  <c:v>0.54779865226677038</c:v>
                </c:pt>
                <c:pt idx="7">
                  <c:v>0.53702526690063701</c:v>
                </c:pt>
                <c:pt idx="8">
                  <c:v>0.28440258119756973</c:v>
                </c:pt>
                <c:pt idx="9">
                  <c:v>0.27707677667843045</c:v>
                </c:pt>
                <c:pt idx="10">
                  <c:v>0.33524516272328342</c:v>
                </c:pt>
                <c:pt idx="11">
                  <c:v>0.37920241903644225</c:v>
                </c:pt>
                <c:pt idx="12">
                  <c:v>0.39000877571158382</c:v>
                </c:pt>
                <c:pt idx="13">
                  <c:v>0.31581562839071159</c:v>
                </c:pt>
                <c:pt idx="14">
                  <c:v>0.4292913488797877</c:v>
                </c:pt>
                <c:pt idx="15">
                  <c:v>0.43905266815196531</c:v>
                </c:pt>
                <c:pt idx="16">
                  <c:v>0.48013825373146052</c:v>
                </c:pt>
                <c:pt idx="17">
                  <c:v>0.61638162295910981</c:v>
                </c:pt>
                <c:pt idx="18">
                  <c:v>0.58629302803612371</c:v>
                </c:pt>
                <c:pt idx="19">
                  <c:v>0.47863113300738547</c:v>
                </c:pt>
                <c:pt idx="20">
                  <c:v>0.23949857455870413</c:v>
                </c:pt>
                <c:pt idx="21">
                  <c:v>0.19858498227191301</c:v>
                </c:pt>
                <c:pt idx="22">
                  <c:v>0.21793885646200037</c:v>
                </c:pt>
                <c:pt idx="23">
                  <c:v>0.27781094092662112</c:v>
                </c:pt>
                <c:pt idx="24">
                  <c:v>0.47869409452407552</c:v>
                </c:pt>
                <c:pt idx="25">
                  <c:v>0.43457381784917815</c:v>
                </c:pt>
                <c:pt idx="26">
                  <c:v>0.2684926384669295</c:v>
                </c:pt>
                <c:pt idx="27">
                  <c:v>0.25836017617148521</c:v>
                </c:pt>
                <c:pt idx="28">
                  <c:v>0.31972496648884663</c:v>
                </c:pt>
                <c:pt idx="29">
                  <c:v>0.29247686263066441</c:v>
                </c:pt>
                <c:pt idx="30">
                  <c:v>0.42578415046661211</c:v>
                </c:pt>
                <c:pt idx="31">
                  <c:v>0.51948716494048597</c:v>
                </c:pt>
                <c:pt idx="32">
                  <c:v>0.3708067745688215</c:v>
                </c:pt>
              </c:numCache>
            </c:numRef>
          </c:val>
          <c:extLst>
            <c:ext xmlns:c16="http://schemas.microsoft.com/office/drawing/2014/chart" uri="{C3380CC4-5D6E-409C-BE32-E72D297353CC}">
              <c16:uniqueId val="{00000006-D7F7-48AE-A343-816C62C8A475}"/>
            </c:ext>
          </c:extLst>
        </c:ser>
        <c:ser>
          <c:idx val="7"/>
          <c:order val="7"/>
          <c:tx>
            <c:strRef>
              <c:f>'Trh práce 1-SNÚ'!$AJ$7</c:f>
              <c:strCache>
                <c:ptCount val="1"/>
                <c:pt idx="0">
                  <c:v>Ostatní odvětví*</c:v>
                </c:pt>
              </c:strCache>
            </c:strRef>
          </c:tx>
          <c:spPr>
            <a:solidFill>
              <a:schemeClr val="bg1">
                <a:lumMod val="85000"/>
              </a:schemeClr>
            </a:solidFill>
            <a:ln>
              <a:noFill/>
            </a:ln>
          </c:spPr>
          <c:invertIfNegative val="0"/>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1-SNÚ'!$AJ$36:$AJ$69</c:f>
              <c:numCache>
                <c:formatCode>#\ ##0.0</c:formatCode>
                <c:ptCount val="34"/>
                <c:pt idx="0">
                  <c:v>-7.8204602142011373E-2</c:v>
                </c:pt>
                <c:pt idx="1">
                  <c:v>-4.3087762424945671E-2</c:v>
                </c:pt>
                <c:pt idx="2">
                  <c:v>-2.4186610414937963E-2</c:v>
                </c:pt>
                <c:pt idx="3">
                  <c:v>-3.215383918742503E-2</c:v>
                </c:pt>
                <c:pt idx="4">
                  <c:v>0.16045174095835293</c:v>
                </c:pt>
                <c:pt idx="5">
                  <c:v>0.15856521644577473</c:v>
                </c:pt>
                <c:pt idx="6">
                  <c:v>-1.9178123401822754E-2</c:v>
                </c:pt>
                <c:pt idx="7">
                  <c:v>-1.4963843331568139E-2</c:v>
                </c:pt>
                <c:pt idx="8">
                  <c:v>-0.11518182702557608</c:v>
                </c:pt>
                <c:pt idx="9">
                  <c:v>-3.7866166105623093E-2</c:v>
                </c:pt>
                <c:pt idx="10">
                  <c:v>9.4440514607494364E-2</c:v>
                </c:pt>
                <c:pt idx="11">
                  <c:v>7.8646220757913818E-2</c:v>
                </c:pt>
                <c:pt idx="12">
                  <c:v>-0.19809850857772601</c:v>
                </c:pt>
                <c:pt idx="13">
                  <c:v>-0.41738438003451656</c:v>
                </c:pt>
                <c:pt idx="14">
                  <c:v>-0.37552484458995661</c:v>
                </c:pt>
                <c:pt idx="15">
                  <c:v>-0.44219932777610815</c:v>
                </c:pt>
                <c:pt idx="16">
                  <c:v>2.3886532147575315E-2</c:v>
                </c:pt>
                <c:pt idx="17">
                  <c:v>0.20574208143493422</c:v>
                </c:pt>
                <c:pt idx="18">
                  <c:v>0.14351545379237532</c:v>
                </c:pt>
                <c:pt idx="19">
                  <c:v>0.21300227805302802</c:v>
                </c:pt>
                <c:pt idx="20">
                  <c:v>0.10114495400653761</c:v>
                </c:pt>
                <c:pt idx="21">
                  <c:v>0.12974320154172242</c:v>
                </c:pt>
                <c:pt idx="22">
                  <c:v>5.4560125484518086E-2</c:v>
                </c:pt>
                <c:pt idx="23">
                  <c:v>5.7942402577863039E-2</c:v>
                </c:pt>
                <c:pt idx="24">
                  <c:v>-8.6700075978387789E-2</c:v>
                </c:pt>
                <c:pt idx="25">
                  <c:v>-4.7722459649257365E-2</c:v>
                </c:pt>
                <c:pt idx="26">
                  <c:v>-5.881748071979391E-2</c:v>
                </c:pt>
                <c:pt idx="27">
                  <c:v>-2.7112216361092401E-2</c:v>
                </c:pt>
                <c:pt idx="28">
                  <c:v>4.4156424997580948E-2</c:v>
                </c:pt>
                <c:pt idx="29">
                  <c:v>0.14876132132077546</c:v>
                </c:pt>
                <c:pt idx="30">
                  <c:v>0.10913734518859322</c:v>
                </c:pt>
                <c:pt idx="31">
                  <c:v>0.14907909683392032</c:v>
                </c:pt>
                <c:pt idx="32">
                  <c:v>0.22007235145726872</c:v>
                </c:pt>
              </c:numCache>
            </c:numRef>
          </c:val>
          <c:extLst>
            <c:ext xmlns:c16="http://schemas.microsoft.com/office/drawing/2014/chart" uri="{C3380CC4-5D6E-409C-BE32-E72D297353CC}">
              <c16:uniqueId val="{00000007-D7F7-48AE-A343-816C62C8A475}"/>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Zaměstnanost celkem</c:v>
                </c:pt>
              </c:strCache>
            </c:strRef>
          </c:tx>
          <c:spPr>
            <a:ln w="19050">
              <a:solidFill>
                <a:schemeClr val="tx1">
                  <a:lumMod val="95000"/>
                  <a:lumOff val="5000"/>
                </a:schemeClr>
              </a:solidFill>
            </a:ln>
          </c:spPr>
          <c:marker>
            <c:symbol val="none"/>
          </c:marker>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1-SNÚ'!$AK$36:$AK$69</c:f>
              <c:numCache>
                <c:formatCode>#\ ##0.0</c:formatCode>
                <c:ptCount val="34"/>
                <c:pt idx="0">
                  <c:v>1.1680743879255715</c:v>
                </c:pt>
                <c:pt idx="1">
                  <c:v>1.1767436289615603</c:v>
                </c:pt>
                <c:pt idx="2">
                  <c:v>1.7705211142985604</c:v>
                </c:pt>
                <c:pt idx="3">
                  <c:v>1.2082803936543201</c:v>
                </c:pt>
                <c:pt idx="4">
                  <c:v>1.3037795784239563</c:v>
                </c:pt>
                <c:pt idx="5">
                  <c:v>1.5291851714574989</c:v>
                </c:pt>
                <c:pt idx="6">
                  <c:v>0.73910983424083554</c:v>
                </c:pt>
                <c:pt idx="7">
                  <c:v>1.0379380425450648</c:v>
                </c:pt>
                <c:pt idx="8">
                  <c:v>0.25887326493901242</c:v>
                </c:pt>
                <c:pt idx="9">
                  <c:v>-7.5806835243426463E-2</c:v>
                </c:pt>
                <c:pt idx="10">
                  <c:v>-9.5093759273751743E-2</c:v>
                </c:pt>
                <c:pt idx="11">
                  <c:v>-0.66435311204230629</c:v>
                </c:pt>
                <c:pt idx="12">
                  <c:v>-1.3818847925181785</c:v>
                </c:pt>
                <c:pt idx="13">
                  <c:v>-2.8967132098465527</c:v>
                </c:pt>
                <c:pt idx="14">
                  <c:v>-2.5521715371933311</c:v>
                </c:pt>
                <c:pt idx="15">
                  <c:v>-2.4461532554347798</c:v>
                </c:pt>
                <c:pt idx="16">
                  <c:v>-0.69976164653277806</c:v>
                </c:pt>
                <c:pt idx="17">
                  <c:v>1.0521294535779759</c:v>
                </c:pt>
                <c:pt idx="18">
                  <c:v>1.6885400245352713</c:v>
                </c:pt>
                <c:pt idx="19">
                  <c:v>1.9593560012249469</c:v>
                </c:pt>
                <c:pt idx="20">
                  <c:v>0.96064796916854789</c:v>
                </c:pt>
                <c:pt idx="21">
                  <c:v>1.5035584400042268</c:v>
                </c:pt>
                <c:pt idx="22">
                  <c:v>0.83914000874771943</c:v>
                </c:pt>
                <c:pt idx="23">
                  <c:v>0.77931307464571375</c:v>
                </c:pt>
                <c:pt idx="24">
                  <c:v>1.5131006934871607</c:v>
                </c:pt>
                <c:pt idx="25">
                  <c:v>1.0801183367281908</c:v>
                </c:pt>
                <c:pt idx="26">
                  <c:v>0.74150035054918817</c:v>
                </c:pt>
                <c:pt idx="27">
                  <c:v>0.78384388445749664</c:v>
                </c:pt>
                <c:pt idx="28">
                  <c:v>0.31519036069668971</c:v>
                </c:pt>
                <c:pt idx="29">
                  <c:v>0.22791384810922466</c:v>
                </c:pt>
                <c:pt idx="30">
                  <c:v>0.44584246269864991</c:v>
                </c:pt>
                <c:pt idx="31">
                  <c:v>0.22190370725098774</c:v>
                </c:pt>
                <c:pt idx="32">
                  <c:v>1.0770727792669135</c:v>
                </c:pt>
              </c:numCache>
            </c:numRef>
          </c:val>
          <c:smooth val="0"/>
          <c:extLst>
            <c:ext xmlns:c16="http://schemas.microsoft.com/office/drawing/2014/chart" uri="{C3380CC4-5D6E-409C-BE32-E72D297353CC}">
              <c16:uniqueId val="{00000008-D7F7-48AE-A343-816C62C8A475}"/>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1-SNÚ'!$AL$36:$AL$69</c:f>
              <c:numCache>
                <c:formatCode>General</c:formatCode>
                <c:ptCount val="34"/>
              </c:numCache>
            </c:numRef>
          </c:val>
          <c:smooth val="0"/>
          <c:extLst>
            <c:ext xmlns:c16="http://schemas.microsoft.com/office/drawing/2014/chart" uri="{C3380CC4-5D6E-409C-BE32-E72D297353CC}">
              <c16:uniqueId val="{00000009-D7F7-48AE-A343-816C62C8A475}"/>
            </c:ext>
          </c:extLst>
        </c:ser>
        <c:ser>
          <c:idx val="10"/>
          <c:order val="10"/>
          <c:tx>
            <c:strRef>
              <c:f>'Trh práce 1-SNÚ'!$AM$7</c:f>
              <c:strCache>
                <c:ptCount val="1"/>
                <c:pt idx="0">
                  <c:v>Očekávání zaměstnanosti (průmysl)</c:v>
                </c:pt>
              </c:strCache>
            </c:strRef>
          </c:tx>
          <c:spPr>
            <a:ln w="15875">
              <a:solidFill>
                <a:schemeClr val="tx1">
                  <a:lumMod val="95000"/>
                  <a:lumOff val="5000"/>
                </a:schemeClr>
              </a:solidFill>
              <a:prstDash val="sysDot"/>
            </a:ln>
          </c:spPr>
          <c:marker>
            <c:symbol val="none"/>
          </c:marker>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1-SNÚ'!$AM$36:$AM$69</c:f>
              <c:numCache>
                <c:formatCode>#\ ##0.0</c:formatCode>
                <c:ptCount val="34"/>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numCache>
            </c:numRef>
          </c:val>
          <c:smooth val="0"/>
          <c:extLst>
            <c:ext xmlns:c16="http://schemas.microsoft.com/office/drawing/2014/chart" uri="{C3380CC4-5D6E-409C-BE32-E72D297353CC}">
              <c16:uniqueId val="{0000000A-D7F7-48AE-A343-816C62C8A475}"/>
            </c:ext>
          </c:extLst>
        </c:ser>
        <c:ser>
          <c:idx val="11"/>
          <c:order val="11"/>
          <c:tx>
            <c:strRef>
              <c:f>'Trh práce 1-SNÚ'!$AN$7</c:f>
              <c:strCache>
                <c:ptCount val="1"/>
                <c:pt idx="0">
                  <c:v>Očekávání zaměstnanosti (stavebnictví)</c:v>
                </c:pt>
              </c:strCache>
            </c:strRef>
          </c:tx>
          <c:spPr>
            <a:ln w="15875">
              <a:solidFill>
                <a:srgbClr val="00B0F0"/>
              </a:solidFill>
              <a:prstDash val="sysDot"/>
            </a:ln>
          </c:spPr>
          <c:marker>
            <c:symbol val="none"/>
          </c:marker>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1-SNÚ'!$AN$36:$AN$69</c:f>
              <c:numCache>
                <c:formatCode>#\ ##0.0</c:formatCode>
                <c:ptCount val="34"/>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-0.2</c:v>
                </c:pt>
                <c:pt idx="29">
                  <c:v>-8</c:v>
                </c:pt>
                <c:pt idx="30">
                  <c:v>-5.6</c:v>
                </c:pt>
                <c:pt idx="31">
                  <c:v>7.2</c:v>
                </c:pt>
                <c:pt idx="32">
                  <c:v>2.6</c:v>
                </c:pt>
                <c:pt idx="33">
                  <c:v>7.1</c:v>
                </c:pt>
              </c:numCache>
            </c:numRef>
          </c:val>
          <c:smooth val="0"/>
          <c:extLst>
            <c:ext xmlns:c16="http://schemas.microsoft.com/office/drawing/2014/chart" uri="{C3380CC4-5D6E-409C-BE32-E72D297353CC}">
              <c16:uniqueId val="{0000000B-D7F7-48AE-A343-816C62C8A475}"/>
            </c:ext>
          </c:extLst>
        </c:ser>
        <c:ser>
          <c:idx val="12"/>
          <c:order val="12"/>
          <c:tx>
            <c:strRef>
              <c:f>'Trh práce 1-SNÚ'!$AO$7</c:f>
              <c:strCache>
                <c:ptCount val="1"/>
                <c:pt idx="0">
                  <c:v>Očekávání zaměstnanosti (obchod)</c:v>
                </c:pt>
              </c:strCache>
            </c:strRef>
          </c:tx>
          <c:spPr>
            <a:ln w="15875">
              <a:solidFill>
                <a:schemeClr val="accent6">
                  <a:lumMod val="75000"/>
                </a:schemeClr>
              </a:solidFill>
              <a:prstDash val="sysDot"/>
            </a:ln>
          </c:spPr>
          <c:marker>
            <c:symbol val="none"/>
          </c:marker>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1-SNÚ'!$AO$36:$AO$69</c:f>
              <c:numCache>
                <c:formatCode>#\ ##0.0</c:formatCode>
                <c:ptCount val="34"/>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6.4</c:v>
                </c:pt>
                <c:pt idx="29">
                  <c:v>9.1999999999999993</c:v>
                </c:pt>
                <c:pt idx="30">
                  <c:v>3</c:v>
                </c:pt>
                <c:pt idx="31">
                  <c:v>7.3</c:v>
                </c:pt>
                <c:pt idx="32">
                  <c:v>4.4000000000000004</c:v>
                </c:pt>
                <c:pt idx="33">
                  <c:v>8.3000000000000007</c:v>
                </c:pt>
              </c:numCache>
            </c:numRef>
          </c:val>
          <c:smooth val="0"/>
          <c:extLst>
            <c:ext xmlns:c16="http://schemas.microsoft.com/office/drawing/2014/chart" uri="{C3380CC4-5D6E-409C-BE32-E72D297353CC}">
              <c16:uniqueId val="{0000000C-D7F7-48AE-A343-816C62C8A475}"/>
            </c:ext>
          </c:extLst>
        </c:ser>
        <c:ser>
          <c:idx val="13"/>
          <c:order val="13"/>
          <c:tx>
            <c:strRef>
              <c:f>'Trh práce 1-SNÚ'!$AP$7</c:f>
              <c:strCache>
                <c:ptCount val="1"/>
                <c:pt idx="0">
                  <c:v>Očekávání zaměstnanosti (vybr. služby)</c:v>
                </c:pt>
              </c:strCache>
            </c:strRef>
          </c:tx>
          <c:spPr>
            <a:ln w="15875">
              <a:solidFill>
                <a:srgbClr val="C00000"/>
              </a:solidFill>
              <a:prstDash val="sysDot"/>
            </a:ln>
          </c:spPr>
          <c:marker>
            <c:symbol val="none"/>
          </c:marker>
          <c:cat>
            <c:multiLvlStrRef>
              <c:f>'Trh práce 1-SNÚ'!$AA$36:$AB$69</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1-SNÚ'!$AP$36:$AP$69</c:f>
              <c:numCache>
                <c:formatCode>#\ ##0.0</c:formatCode>
                <c:ptCount val="34"/>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numCache>
            </c:numRef>
          </c:val>
          <c:smooth val="0"/>
          <c:extLst>
            <c:ext xmlns:c16="http://schemas.microsoft.com/office/drawing/2014/chart" uri="{C3380CC4-5D6E-409C-BE32-E72D297353CC}">
              <c16:uniqueId val="{0000000D-D7F7-48AE-A343-816C62C8A475}"/>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Příspěvek k růstu zaměstnanosti</a:t>
                </a:r>
              </a:p>
            </c:rich>
          </c:tx>
          <c:layout/>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Očekávání vývoje zaměstnanosti</a:t>
                </a:r>
              </a:p>
            </c:rich>
          </c:tx>
          <c:layout/>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5472441370721637E-2"/>
          <c:y val="0.77992823117070742"/>
          <c:w val="0.96005692595618608"/>
          <c:h val="0.2119461831534994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656372322027451"/>
          <c:h val="0.76494082349138992"/>
        </c:manualLayout>
      </c:layout>
      <c:barChart>
        <c:barDir val="col"/>
        <c:grouping val="clustered"/>
        <c:varyColors val="0"/>
        <c:ser>
          <c:idx val="0"/>
          <c:order val="0"/>
          <c:tx>
            <c:strRef>
              <c:f>'Trh práce-2b'!$A$32</c:f>
              <c:strCache>
                <c:ptCount val="1"/>
                <c:pt idx="0">
                  <c:v>Míra nezaměstnanosti mužů</c:v>
                </c:pt>
              </c:strCache>
            </c:strRef>
          </c:tx>
          <c:spPr>
            <a:solidFill>
              <a:srgbClr val="BCBCBC"/>
            </a:solidFill>
          </c:spPr>
          <c:invertIfNegative val="0"/>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práce-2b'!$J$32:$AQ$32</c:f>
              <c:numCache>
                <c:formatCode>0.0</c:formatCode>
                <c:ptCount val="34"/>
                <c:pt idx="0">
                  <c:v>2.763206305395407</c:v>
                </c:pt>
                <c:pt idx="1">
                  <c:v>2.4585014115170591</c:v>
                </c:pt>
                <c:pt idx="2">
                  <c:v>2.2547524548925577</c:v>
                </c:pt>
                <c:pt idx="3">
                  <c:v>2.0532680067569822</c:v>
                </c:pt>
                <c:pt idx="4">
                  <c:v>1.909648418719561</c:v>
                </c:pt>
                <c:pt idx="5">
                  <c:v>1.8546930375988848</c:v>
                </c:pt>
                <c:pt idx="6">
                  <c:v>1.8449134595183281</c:v>
                </c:pt>
                <c:pt idx="7">
                  <c:v>1.7028868880833434</c:v>
                </c:pt>
                <c:pt idx="8">
                  <c:v>1.7865638454209218</c:v>
                </c:pt>
                <c:pt idx="9">
                  <c:v>1.713311624139833</c:v>
                </c:pt>
                <c:pt idx="10">
                  <c:v>1.7294432560287263</c:v>
                </c:pt>
                <c:pt idx="11">
                  <c:v>1.8486615623011389</c:v>
                </c:pt>
                <c:pt idx="12">
                  <c:v>1.8614832804963142</c:v>
                </c:pt>
                <c:pt idx="13">
                  <c:v>2.2519788566894552</c:v>
                </c:pt>
                <c:pt idx="14">
                  <c:v>2.4969357917730375</c:v>
                </c:pt>
                <c:pt idx="15">
                  <c:v>2.5329815276072494</c:v>
                </c:pt>
                <c:pt idx="16">
                  <c:v>2.6718903225321511</c:v>
                </c:pt>
                <c:pt idx="17">
                  <c:v>2.5533946737692066</c:v>
                </c:pt>
                <c:pt idx="18">
                  <c:v>2.2643191397653895</c:v>
                </c:pt>
                <c:pt idx="19">
                  <c:v>1.9965612532990378</c:v>
                </c:pt>
                <c:pt idx="20">
                  <c:v>1.9672534939774866</c:v>
                </c:pt>
                <c:pt idx="21">
                  <c:v>1.9073419395492437</c:v>
                </c:pt>
                <c:pt idx="22">
                  <c:v>1.9401857822758819</c:v>
                </c:pt>
                <c:pt idx="23">
                  <c:v>2.0804963417213975</c:v>
                </c:pt>
                <c:pt idx="24">
                  <c:v>2.1835985877578543</c:v>
                </c:pt>
                <c:pt idx="25">
                  <c:v>2.2401843840101665</c:v>
                </c:pt>
                <c:pt idx="26">
                  <c:v>2.3342024889871653</c:v>
                </c:pt>
                <c:pt idx="27">
                  <c:v>2.4417720020115543</c:v>
                </c:pt>
                <c:pt idx="28">
                  <c:v>2.3802559256179809</c:v>
                </c:pt>
                <c:pt idx="29">
                  <c:v>2.3817541140510383</c:v>
                </c:pt>
                <c:pt idx="30">
                  <c:v>2.3440663920696863</c:v>
                </c:pt>
                <c:pt idx="31">
                  <c:v>2.326318694813573</c:v>
                </c:pt>
                <c:pt idx="32">
                  <c:v>2.2662304409616412</c:v>
                </c:pt>
              </c:numCache>
            </c:numRef>
          </c:val>
          <c:extLst>
            <c:ext xmlns:c16="http://schemas.microsoft.com/office/drawing/2014/chart" uri="{C3380CC4-5D6E-409C-BE32-E72D297353CC}">
              <c16:uniqueId val="{00000000-80AD-4189-8E7F-7BA02D1CD915}"/>
            </c:ext>
          </c:extLst>
        </c:ser>
        <c:ser>
          <c:idx val="1"/>
          <c:order val="1"/>
          <c:tx>
            <c:strRef>
              <c:f>'Trh práce-2b'!$A$33</c:f>
              <c:strCache>
                <c:ptCount val="1"/>
                <c:pt idx="0">
                  <c:v>Míra nezaměstnanosti žen</c:v>
                </c:pt>
              </c:strCache>
            </c:strRef>
          </c:tx>
          <c:spPr>
            <a:solidFill>
              <a:schemeClr val="bg1">
                <a:lumMod val="95000"/>
              </a:schemeClr>
            </a:solidFill>
            <a:ln>
              <a:solidFill>
                <a:schemeClr val="bg1">
                  <a:lumMod val="65000"/>
                </a:schemeClr>
              </a:solidFill>
            </a:ln>
          </c:spPr>
          <c:invertIfNegative val="0"/>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práce-2b'!$J$33:$AQ$33</c:f>
              <c:numCache>
                <c:formatCode>0.0</c:formatCode>
                <c:ptCount val="34"/>
                <c:pt idx="0">
                  <c:v>4.2630089169155054</c:v>
                </c:pt>
                <c:pt idx="1">
                  <c:v>3.8622956233740813</c:v>
                </c:pt>
                <c:pt idx="2">
                  <c:v>3.4001336878359751</c:v>
                </c:pt>
                <c:pt idx="3">
                  <c:v>3.1287789174697296</c:v>
                </c:pt>
                <c:pt idx="4">
                  <c:v>2.9291971253983866</c:v>
                </c:pt>
                <c:pt idx="5">
                  <c:v>2.8146781016021873</c:v>
                </c:pt>
                <c:pt idx="6">
                  <c:v>2.8242955798123783</c:v>
                </c:pt>
                <c:pt idx="7">
                  <c:v>2.6581966479412604</c:v>
                </c:pt>
                <c:pt idx="8">
                  <c:v>2.3665182229428541</c:v>
                </c:pt>
                <c:pt idx="9">
                  <c:v>2.4242530495835406</c:v>
                </c:pt>
                <c:pt idx="10">
                  <c:v>2.5381028986588849</c:v>
                </c:pt>
                <c:pt idx="11">
                  <c:v>2.4002140012446467</c:v>
                </c:pt>
                <c:pt idx="12">
                  <c:v>2.1576918991109082</c:v>
                </c:pt>
                <c:pt idx="13">
                  <c:v>2.8456852335541996</c:v>
                </c:pt>
                <c:pt idx="14">
                  <c:v>3.3814044832765124</c:v>
                </c:pt>
                <c:pt idx="15">
                  <c:v>3.8590998321191492</c:v>
                </c:pt>
                <c:pt idx="16">
                  <c:v>4.0905179496708532</c:v>
                </c:pt>
                <c:pt idx="17">
                  <c:v>3.7925967628483455</c:v>
                </c:pt>
                <c:pt idx="18">
                  <c:v>3.2534690926460996</c:v>
                </c:pt>
                <c:pt idx="19">
                  <c:v>2.869131341742591</c:v>
                </c:pt>
                <c:pt idx="20">
                  <c:v>2.9762107297241873</c:v>
                </c:pt>
                <c:pt idx="21">
                  <c:v>3.1055491184358348</c:v>
                </c:pt>
                <c:pt idx="22">
                  <c:v>2.9257083681489369</c:v>
                </c:pt>
                <c:pt idx="23">
                  <c:v>2.8418457535717443</c:v>
                </c:pt>
                <c:pt idx="24">
                  <c:v>3.0283898607727306</c:v>
                </c:pt>
                <c:pt idx="25">
                  <c:v>3.1646467945396459</c:v>
                </c:pt>
                <c:pt idx="26">
                  <c:v>3.218240441609499</c:v>
                </c:pt>
                <c:pt idx="27">
                  <c:v>3.3098818755740429</c:v>
                </c:pt>
                <c:pt idx="28">
                  <c:v>3.4362323805198365</c:v>
                </c:pt>
                <c:pt idx="29">
                  <c:v>3.2679857262132934</c:v>
                </c:pt>
                <c:pt idx="30">
                  <c:v>3.2546529485614308</c:v>
                </c:pt>
                <c:pt idx="31">
                  <c:v>3.2828350378253197</c:v>
                </c:pt>
                <c:pt idx="32">
                  <c:v>3.2110991489866265</c:v>
                </c:pt>
              </c:numCache>
            </c:numRef>
          </c:val>
          <c:extLst>
            <c:ext xmlns:c16="http://schemas.microsoft.com/office/drawing/2014/chart" uri="{C3380CC4-5D6E-409C-BE32-E72D297353CC}">
              <c16:uniqueId val="{00000001-80AD-4189-8E7F-7BA02D1CD915}"/>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VPM pro vyučené a SŠ bez mat.</c:v>
                </c:pt>
              </c:strCache>
            </c:strRef>
          </c:tx>
          <c:spPr>
            <a:ln w="19050">
              <a:noFill/>
              <a:prstDash val="sysDash"/>
            </a:ln>
          </c:spPr>
          <c:marker>
            <c:symbol val="circle"/>
            <c:size val="4"/>
            <c:spPr>
              <a:solidFill>
                <a:schemeClr val="accent1">
                  <a:lumMod val="40000"/>
                  <a:lumOff val="60000"/>
                </a:schemeClr>
              </a:solidFill>
              <a:ln>
                <a:solidFill>
                  <a:srgbClr val="0070C0"/>
                </a:solidFill>
              </a:ln>
            </c:spPr>
          </c:marker>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práce-2b'!$J$34:$AQ$34</c:f>
              <c:numCache>
                <c:formatCode>0.0</c:formatCode>
                <c:ptCount val="34"/>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numCache>
            </c:numRef>
          </c:val>
          <c:smooth val="0"/>
          <c:extLst>
            <c:ext xmlns:c16="http://schemas.microsoft.com/office/drawing/2014/chart" uri="{C3380CC4-5D6E-409C-BE32-E72D297353CC}">
              <c16:uniqueId val="{00000002-80AD-4189-8E7F-7BA02D1CD915}"/>
            </c:ext>
          </c:extLst>
        </c:ser>
        <c:ser>
          <c:idx val="5"/>
          <c:order val="3"/>
          <c:tx>
            <c:strRef>
              <c:f>'Trh práce-2b'!$A$35</c:f>
              <c:strCache>
                <c:ptCount val="1"/>
                <c:pt idx="0">
                  <c:v>VPM pro SŠ s mat., VOŠ a VŠ</c:v>
                </c:pt>
              </c:strCache>
            </c:strRef>
          </c:tx>
          <c:spPr>
            <a:ln w="19050">
              <a:noFill/>
              <a:prstDash val="dash"/>
            </a:ln>
          </c:spPr>
          <c:marker>
            <c:symbol val="dash"/>
            <c:size val="7"/>
            <c:spPr>
              <a:solidFill>
                <a:srgbClr val="00B050"/>
              </a:solidFill>
              <a:ln>
                <a:solidFill>
                  <a:srgbClr val="00B050"/>
                </a:solidFill>
              </a:ln>
            </c:spPr>
          </c:marker>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práce-2b'!$J$35:$AQ$35</c:f>
              <c:numCache>
                <c:formatCode>0.0</c:formatCode>
                <c:ptCount val="34"/>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numCache>
            </c:numRef>
          </c:val>
          <c:smooth val="0"/>
          <c:extLst>
            <c:ext xmlns:c16="http://schemas.microsoft.com/office/drawing/2014/chart" uri="{C3380CC4-5D6E-409C-BE32-E72D297353CC}">
              <c16:uniqueId val="{00000003-80AD-4189-8E7F-7BA02D1CD915}"/>
            </c:ext>
          </c:extLst>
        </c:ser>
        <c:ser>
          <c:idx val="6"/>
          <c:order val="4"/>
          <c:tx>
            <c:strRef>
              <c:f>'Trh práce-2b'!$A$36</c:f>
              <c:strCache>
                <c:ptCount val="1"/>
                <c:pt idx="0">
                  <c:v>Pracující cizinci (Ukrajinci)</c:v>
                </c:pt>
              </c:strCache>
            </c:strRef>
          </c:tx>
          <c:spPr>
            <a:ln w="15875">
              <a:solidFill>
                <a:srgbClr val="FFC000"/>
              </a:solidFill>
              <a:prstDash val="sysDash"/>
            </a:ln>
          </c:spPr>
          <c:marker>
            <c:symbol val="none"/>
          </c:marker>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práce-2b'!$J$36:$AQ$36</c:f>
              <c:numCache>
                <c:formatCode>#,##0</c:formatCode>
                <c:ptCount val="34"/>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c:v>286.25599999999997</c:v>
                </c:pt>
                <c:pt idx="30">
                  <c:v>287.55500000000001</c:v>
                </c:pt>
                <c:pt idx="31">
                  <c:v>283.04500000000002</c:v>
                </c:pt>
                <c:pt idx="32">
                  <c:v>295.10899999999998</c:v>
                </c:pt>
              </c:numCache>
            </c:numRef>
          </c:val>
          <c:smooth val="0"/>
          <c:extLst>
            <c:ext xmlns:c16="http://schemas.microsoft.com/office/drawing/2014/chart" uri="{C3380CC4-5D6E-409C-BE32-E72D297353CC}">
              <c16:uniqueId val="{00000004-80AD-4189-8E7F-7BA02D1CD915}"/>
            </c:ext>
          </c:extLst>
        </c:ser>
        <c:ser>
          <c:idx val="7"/>
          <c:order val="5"/>
          <c:tx>
            <c:strRef>
              <c:f>'Trh práce-2b'!$A$37</c:f>
              <c:strCache>
                <c:ptCount val="1"/>
                <c:pt idx="0">
                  <c:v>Pracující cizinci (Slováci)</c:v>
                </c:pt>
              </c:strCache>
            </c:strRef>
          </c:tx>
          <c:spPr>
            <a:ln w="19050">
              <a:solidFill>
                <a:schemeClr val="accent2">
                  <a:lumMod val="60000"/>
                  <a:lumOff val="40000"/>
                </a:schemeClr>
              </a:solidFill>
              <a:prstDash val="sysDash"/>
            </a:ln>
          </c:spPr>
          <c:marker>
            <c:symbol val="none"/>
          </c:marker>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práce-2b'!$J$37:$AQ$37</c:f>
              <c:numCache>
                <c:formatCode>#,##0</c:formatCode>
                <c:ptCount val="34"/>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c:v>216.68</c:v>
                </c:pt>
                <c:pt idx="30">
                  <c:v>211.666</c:v>
                </c:pt>
                <c:pt idx="31">
                  <c:v>208.589</c:v>
                </c:pt>
                <c:pt idx="32">
                  <c:v>215.74700000000001</c:v>
                </c:pt>
              </c:numCache>
            </c:numRef>
          </c:val>
          <c:smooth val="0"/>
          <c:extLst>
            <c:ext xmlns:c16="http://schemas.microsoft.com/office/drawing/2014/chart" uri="{C3380CC4-5D6E-409C-BE32-E72D297353CC}">
              <c16:uniqueId val="{00000005-80AD-4189-8E7F-7BA02D1CD915}"/>
            </c:ext>
          </c:extLst>
        </c:ser>
        <c:ser>
          <c:idx val="2"/>
          <c:order val="6"/>
          <c:tx>
            <c:strRef>
              <c:f>'Trh práce-2b'!$A$38</c:f>
              <c:strCache>
                <c:ptCount val="1"/>
                <c:pt idx="0">
                  <c:v>Pracující cizinci (občané ostat. zemí)</c:v>
                </c:pt>
              </c:strCache>
            </c:strRef>
          </c:tx>
          <c:spPr>
            <a:ln w="19050">
              <a:solidFill>
                <a:srgbClr val="D4A97E"/>
              </a:solidFill>
              <a:prstDash val="sysDash"/>
            </a:ln>
          </c:spPr>
          <c:marker>
            <c:symbol val="none"/>
          </c:marker>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práce-2b'!$J$38:$AQ$38</c:f>
              <c:numCache>
                <c:formatCode>#,##0</c:formatCode>
                <c:ptCount val="34"/>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c:v>324.68299999999999</c:v>
                </c:pt>
                <c:pt idx="30">
                  <c:v>318.24400000000009</c:v>
                </c:pt>
                <c:pt idx="31">
                  <c:v>315.65299999999996</c:v>
                </c:pt>
                <c:pt idx="32">
                  <c:v>328.18899999999991</c:v>
                </c:pt>
              </c:numCache>
            </c:numRef>
          </c:val>
          <c:smooth val="0"/>
          <c:extLst>
            <c:ext xmlns:c16="http://schemas.microsoft.com/office/drawing/2014/chart" uri="{C3380CC4-5D6E-409C-BE32-E72D297353CC}">
              <c16:uniqueId val="{00000006-80AD-4189-8E7F-7BA02D1CD915}"/>
            </c:ext>
          </c:extLst>
        </c:ser>
        <c:ser>
          <c:idx val="3"/>
          <c:order val="7"/>
          <c:tx>
            <c:strRef>
              <c:f>'Trh práce-2b'!$A$39</c:f>
              <c:strCache>
                <c:ptCount val="1"/>
                <c:pt idx="0">
                  <c:v>Očekávání vývoje nezaměstnanosti</c:v>
                </c:pt>
              </c:strCache>
            </c:strRef>
          </c:tx>
          <c:spPr>
            <a:ln w="15875">
              <a:solidFill>
                <a:schemeClr val="bg2">
                  <a:lumMod val="50000"/>
                </a:schemeClr>
              </a:solidFill>
              <a:prstDash val="solid"/>
            </a:ln>
          </c:spPr>
          <c:marker>
            <c:symbol val="none"/>
          </c:marker>
          <c:cat>
            <c:multiLvlStrRef>
              <c:f>'Trh práce-2b'!$J$30:$AQ$31</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práce-2b'!$J$39:$AQ$39</c:f>
              <c:numCache>
                <c:formatCode>0.0</c:formatCode>
                <c:ptCount val="34"/>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numCache>
            </c:numRef>
          </c:val>
          <c:smooth val="0"/>
          <c:extLst>
            <c:ext xmlns:c16="http://schemas.microsoft.com/office/drawing/2014/chart" uri="{C3380CC4-5D6E-409C-BE32-E72D297353CC}">
              <c16:uniqueId val="{00000007-80AD-4189-8E7F-7BA02D1CD915}"/>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5"/>
          <c:min val="0"/>
        </c:scaling>
        <c:delete val="0"/>
        <c:axPos val="l"/>
        <c:majorGridlines>
          <c:spPr>
            <a:ln w="6350">
              <a:solidFill>
                <a:schemeClr val="bg1">
                  <a:lumMod val="75000"/>
                </a:schemeClr>
              </a:solidFill>
            </a:ln>
          </c:spPr>
        </c:majorGridlines>
        <c:title>
          <c:tx>
            <c:rich>
              <a:bodyPr/>
              <a:lstStyle/>
              <a:p>
                <a:pPr>
                  <a:defRPr sz="700" b="0" i="1"/>
                </a:pPr>
                <a:r>
                  <a:rPr lang="cs-CZ" sz="700" b="0" i="1"/>
                  <a:t>Míra nezaměstnanosti</a:t>
                </a:r>
              </a:p>
            </c:rich>
          </c:tx>
          <c:layout/>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50"/>
          <c:min val="-25"/>
        </c:scaling>
        <c:delete val="0"/>
        <c:axPos val="r"/>
        <c:title>
          <c:tx>
            <c:rich>
              <a:bodyPr/>
              <a:lstStyle/>
              <a:p>
                <a:pPr>
                  <a:defRPr sz="700" b="0" i="1"/>
                </a:pPr>
                <a:r>
                  <a:rPr lang="cs-CZ" sz="700" b="0" i="1"/>
                  <a:t>Volná</a:t>
                </a:r>
                <a:r>
                  <a:rPr lang="cs-CZ" sz="700" b="0" i="1" baseline="0"/>
                  <a:t> pracovní místa, zaměstnaní cizinci</a:t>
                </a:r>
                <a:endParaRPr lang="cs-CZ" sz="700" b="0" i="1"/>
              </a:p>
            </c:rich>
          </c:tx>
          <c:layout/>
          <c:overlay val="0"/>
        </c:title>
        <c:numFmt formatCode="#,##0" sourceLinked="0"/>
        <c:majorTickMark val="out"/>
        <c:minorTickMark val="none"/>
        <c:tickLblPos val="nextTo"/>
        <c:crossAx val="331670576"/>
        <c:crosses val="max"/>
        <c:crossBetween val="between"/>
        <c:majorUnit val="25"/>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2.0203894786331125E-2"/>
          <c:w val="0.94100987714831696"/>
          <c:h val="0.76395209750566906"/>
        </c:manualLayout>
      </c:layout>
      <c:barChart>
        <c:barDir val="col"/>
        <c:grouping val="clustered"/>
        <c:varyColors val="0"/>
        <c:ser>
          <c:idx val="4"/>
          <c:order val="1"/>
          <c:tx>
            <c:strRef>
              <c:f>'Trh práce 3'!$D$8</c:f>
              <c:strCache>
                <c:ptCount val="1"/>
                <c:pt idx="0">
                  <c:v>Průměrná mzda celkem (reálně)</c:v>
                </c:pt>
              </c:strCache>
            </c:strRef>
          </c:tx>
          <c:spPr>
            <a:solidFill>
              <a:srgbClr val="DBDBDB"/>
            </a:solidFill>
            <a:ln w="19050">
              <a:noFill/>
            </a:ln>
          </c:spPr>
          <c:invertIfNegative val="0"/>
          <c:cat>
            <c:multiLvlStrRef>
              <c:f>'Trh práce 3'!$A$37:$B$69</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3'!$D$37:$D$69</c:f>
              <c:numCache>
                <c:formatCode>#\ ##0.0</c:formatCode>
                <c:ptCount val="33"/>
                <c:pt idx="0">
                  <c:v>2.5999999999999943</c:v>
                </c:pt>
                <c:pt idx="1">
                  <c:v>4.9000000000000057</c:v>
                </c:pt>
                <c:pt idx="2">
                  <c:v>4.0999999999999943</c:v>
                </c:pt>
                <c:pt idx="3">
                  <c:v>5.0999999999999943</c:v>
                </c:pt>
                <c:pt idx="4">
                  <c:v>6.5</c:v>
                </c:pt>
                <c:pt idx="5">
                  <c:v>6.2999999999999972</c:v>
                </c:pt>
                <c:pt idx="6">
                  <c:v>5.9000000000000057</c:v>
                </c:pt>
                <c:pt idx="7">
                  <c:v>4.9000000000000057</c:v>
                </c:pt>
                <c:pt idx="8">
                  <c:v>5.5</c:v>
                </c:pt>
                <c:pt idx="9">
                  <c:v>5.0999999999999943</c:v>
                </c:pt>
                <c:pt idx="10">
                  <c:v>4.7999999999999972</c:v>
                </c:pt>
                <c:pt idx="11">
                  <c:v>4.5</c:v>
                </c:pt>
                <c:pt idx="12">
                  <c:v>1.7999999999999972</c:v>
                </c:pt>
                <c:pt idx="13">
                  <c:v>-2.0999999999999943</c:v>
                </c:pt>
                <c:pt idx="14">
                  <c:v>2</c:v>
                </c:pt>
                <c:pt idx="15">
                  <c:v>4</c:v>
                </c:pt>
                <c:pt idx="16">
                  <c:v>0.79999999999999716</c:v>
                </c:pt>
                <c:pt idx="17">
                  <c:v>8.0999999999999943</c:v>
                </c:pt>
                <c:pt idx="18">
                  <c:v>1.2000000000000028</c:v>
                </c:pt>
                <c:pt idx="19">
                  <c:v>-2.0999999999999943</c:v>
                </c:pt>
                <c:pt idx="20">
                  <c:v>-5.2999999999999972</c:v>
                </c:pt>
                <c:pt idx="21">
                  <c:v>-11.5</c:v>
                </c:pt>
                <c:pt idx="22">
                  <c:v>-11.599999999999994</c:v>
                </c:pt>
                <c:pt idx="23">
                  <c:v>-8.7000000000000028</c:v>
                </c:pt>
                <c:pt idx="24">
                  <c:v>-7</c:v>
                </c:pt>
                <c:pt idx="25">
                  <c:v>-3.0999999999999943</c:v>
                </c:pt>
                <c:pt idx="26">
                  <c:v>-1.0999999999999943</c:v>
                </c:pt>
                <c:pt idx="27">
                  <c:v>-1.2999999999999972</c:v>
                </c:pt>
                <c:pt idx="28">
                  <c:v>5.5999999999999943</c:v>
                </c:pt>
                <c:pt idx="29">
                  <c:v>4.5</c:v>
                </c:pt>
                <c:pt idx="30">
                  <c:v>4.7999999999999972</c:v>
                </c:pt>
                <c:pt idx="31">
                  <c:v>3.9000000000000057</c:v>
                </c:pt>
                <c:pt idx="32">
                  <c:v>3.9000000000000057</c:v>
                </c:pt>
              </c:numCache>
            </c:numRef>
          </c:val>
          <c:extLst>
            <c:ext xmlns:c16="http://schemas.microsoft.com/office/drawing/2014/chart" uri="{C3380CC4-5D6E-409C-BE32-E72D297353CC}">
              <c16:uniqueId val="{00000000-EE31-490E-B252-F5EF2B97F041}"/>
            </c:ext>
          </c:extLst>
        </c:ser>
        <c:dLbls>
          <c:showLegendKey val="0"/>
          <c:showVal val="0"/>
          <c:showCatName val="0"/>
          <c:showSerName val="0"/>
          <c:showPercent val="0"/>
          <c:showBubbleSize val="0"/>
        </c:dLbls>
        <c:gapWidth val="37"/>
        <c:axId val="100688640"/>
        <c:axId val="100690560"/>
      </c:barChart>
      <c:lineChart>
        <c:grouping val="standard"/>
        <c:varyColors val="0"/>
        <c:ser>
          <c:idx val="0"/>
          <c:order val="0"/>
          <c:tx>
            <c:strRef>
              <c:f>'Trh práce 3'!$C$8</c:f>
              <c:strCache>
                <c:ptCount val="1"/>
                <c:pt idx="0">
                  <c:v>Průměrná mzda celkem (nominálně)</c:v>
                </c:pt>
              </c:strCache>
            </c:strRef>
          </c:tx>
          <c:spPr>
            <a:ln w="19050">
              <a:solidFill>
                <a:schemeClr val="tx1">
                  <a:lumMod val="95000"/>
                  <a:lumOff val="5000"/>
                </a:schemeClr>
              </a:solidFill>
              <a:prstDash val="solid"/>
            </a:ln>
          </c:spPr>
          <c:marker>
            <c:symbol val="none"/>
          </c:marker>
          <c:cat>
            <c:multiLvlStrRef>
              <c:f>'Trh práce 3'!$A$37:$B$69</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3'!$C$37:$C$69</c:f>
              <c:numCache>
                <c:formatCode>#\ ##0.0</c:formatCode>
                <c:ptCount val="33"/>
                <c:pt idx="0">
                  <c:v>5.0999999999999943</c:v>
                </c:pt>
                <c:pt idx="1">
                  <c:v>7.2000000000000028</c:v>
                </c:pt>
                <c:pt idx="2">
                  <c:v>6.7000000000000028</c:v>
                </c:pt>
                <c:pt idx="3">
                  <c:v>7.7999999999999972</c:v>
                </c:pt>
                <c:pt idx="4">
                  <c:v>8.5</c:v>
                </c:pt>
                <c:pt idx="5">
                  <c:v>8.7000000000000028</c:v>
                </c:pt>
                <c:pt idx="6">
                  <c:v>8.4000000000000057</c:v>
                </c:pt>
                <c:pt idx="7">
                  <c:v>7.0999999999999943</c:v>
                </c:pt>
                <c:pt idx="8">
                  <c:v>8.2999999999999972</c:v>
                </c:pt>
                <c:pt idx="9">
                  <c:v>8</c:v>
                </c:pt>
                <c:pt idx="10">
                  <c:v>7.7000000000000028</c:v>
                </c:pt>
                <c:pt idx="11">
                  <c:v>7.5999999999999943</c:v>
                </c:pt>
                <c:pt idx="12">
                  <c:v>5.5</c:v>
                </c:pt>
                <c:pt idx="13">
                  <c:v>0.90000000000000568</c:v>
                </c:pt>
                <c:pt idx="14">
                  <c:v>5.4000000000000057</c:v>
                </c:pt>
                <c:pt idx="15">
                  <c:v>6.7000000000000028</c:v>
                </c:pt>
                <c:pt idx="16">
                  <c:v>3</c:v>
                </c:pt>
                <c:pt idx="17">
                  <c:v>11.200000000000003</c:v>
                </c:pt>
                <c:pt idx="18">
                  <c:v>5.2999999999999972</c:v>
                </c:pt>
                <c:pt idx="19">
                  <c:v>3.9000000000000057</c:v>
                </c:pt>
                <c:pt idx="20">
                  <c:v>5.2999999999999972</c:v>
                </c:pt>
                <c:pt idx="21">
                  <c:v>2.5</c:v>
                </c:pt>
                <c:pt idx="22">
                  <c:v>3.9000000000000057</c:v>
                </c:pt>
                <c:pt idx="23">
                  <c:v>5.5999999999999943</c:v>
                </c:pt>
                <c:pt idx="24">
                  <c:v>8.2999999999999972</c:v>
                </c:pt>
                <c:pt idx="25">
                  <c:v>7.7000000000000028</c:v>
                </c:pt>
                <c:pt idx="26">
                  <c:v>6.7999999999999972</c:v>
                </c:pt>
                <c:pt idx="27">
                  <c:v>6.2000000000000028</c:v>
                </c:pt>
                <c:pt idx="28">
                  <c:v>7.7999999999999972</c:v>
                </c:pt>
                <c:pt idx="29">
                  <c:v>7.0999999999999943</c:v>
                </c:pt>
                <c:pt idx="30">
                  <c:v>7.2000000000000028</c:v>
                </c:pt>
                <c:pt idx="31">
                  <c:v>6.9000000000000057</c:v>
                </c:pt>
                <c:pt idx="32">
                  <c:v>6.7000000000000028</c:v>
                </c:pt>
              </c:numCache>
            </c:numRef>
          </c:val>
          <c:smooth val="0"/>
          <c:extLst>
            <c:ext xmlns:c16="http://schemas.microsoft.com/office/drawing/2014/chart" uri="{C3380CC4-5D6E-409C-BE32-E72D297353CC}">
              <c16:uniqueId val="{00000001-EE31-490E-B252-F5EF2B97F041}"/>
            </c:ext>
          </c:extLst>
        </c:ser>
        <c:ser>
          <c:idx val="5"/>
          <c:order val="2"/>
          <c:tx>
            <c:strRef>
              <c:f>'Trh práce 3'!$E$8</c:f>
              <c:strCache>
                <c:ptCount val="1"/>
                <c:pt idx="0">
                  <c:v>Prům. mzda v průmyslu (nominálně)</c:v>
                </c:pt>
              </c:strCache>
            </c:strRef>
          </c:tx>
          <c:spPr>
            <a:ln w="19050">
              <a:solidFill>
                <a:srgbClr val="C00000"/>
              </a:solidFill>
              <a:prstDash val="sysDot"/>
            </a:ln>
          </c:spPr>
          <c:marker>
            <c:symbol val="none"/>
          </c:marker>
          <c:cat>
            <c:multiLvlStrRef>
              <c:f>'Trh práce 3'!$A$37:$B$69</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3'!$E$37:$E$69</c:f>
              <c:numCache>
                <c:formatCode>#\ ##0.0</c:formatCode>
                <c:ptCount val="33"/>
                <c:pt idx="0">
                  <c:v>5.1746586808526445</c:v>
                </c:pt>
                <c:pt idx="1">
                  <c:v>8.0728701553848907</c:v>
                </c:pt>
                <c:pt idx="2">
                  <c:v>6.8272945979441602</c:v>
                </c:pt>
                <c:pt idx="3">
                  <c:v>7.0884454631252538</c:v>
                </c:pt>
                <c:pt idx="4">
                  <c:v>7.9018109790605564</c:v>
                </c:pt>
                <c:pt idx="5">
                  <c:v>8.1936869938853221</c:v>
                </c:pt>
                <c:pt idx="6">
                  <c:v>7.3566042242467802</c:v>
                </c:pt>
                <c:pt idx="7">
                  <c:v>7.6170092222467076</c:v>
                </c:pt>
                <c:pt idx="8">
                  <c:v>7.1985838851373387</c:v>
                </c:pt>
                <c:pt idx="9">
                  <c:v>7.0904869554591556</c:v>
                </c:pt>
                <c:pt idx="10">
                  <c:v>6.753964974732213</c:v>
                </c:pt>
                <c:pt idx="11">
                  <c:v>5.6242870930946793</c:v>
                </c:pt>
                <c:pt idx="12">
                  <c:v>4.8529141948504844</c:v>
                </c:pt>
                <c:pt idx="13">
                  <c:v>-3.4830979888746327</c:v>
                </c:pt>
                <c:pt idx="14">
                  <c:v>2.956413004644503</c:v>
                </c:pt>
                <c:pt idx="15">
                  <c:v>4.0067563825663086</c:v>
                </c:pt>
                <c:pt idx="16">
                  <c:v>1.8985680538948344</c:v>
                </c:pt>
                <c:pt idx="17">
                  <c:v>10.170242950877807</c:v>
                </c:pt>
                <c:pt idx="18">
                  <c:v>4.7656227408114233</c:v>
                </c:pt>
                <c:pt idx="19">
                  <c:v>3.7112962913660397</c:v>
                </c:pt>
                <c:pt idx="20">
                  <c:v>4.9627933600457936</c:v>
                </c:pt>
                <c:pt idx="21">
                  <c:v>5.8242790073776121</c:v>
                </c:pt>
                <c:pt idx="22">
                  <c:v>5.6391288746584252</c:v>
                </c:pt>
                <c:pt idx="23">
                  <c:v>7.3649082274419158</c:v>
                </c:pt>
                <c:pt idx="24">
                  <c:v>10.053443856683202</c:v>
                </c:pt>
                <c:pt idx="25">
                  <c:v>9.2759722151802464</c:v>
                </c:pt>
                <c:pt idx="26">
                  <c:v>8.1338837792642096</c:v>
                </c:pt>
                <c:pt idx="27">
                  <c:v>6.9888102524866156</c:v>
                </c:pt>
                <c:pt idx="28">
                  <c:v>8.7064245187185634</c:v>
                </c:pt>
                <c:pt idx="29">
                  <c:v>8.1452267718362208</c:v>
                </c:pt>
                <c:pt idx="30">
                  <c:v>7.6404494382022534</c:v>
                </c:pt>
                <c:pt idx="31">
                  <c:v>7.3993787293002953</c:v>
                </c:pt>
                <c:pt idx="32">
                  <c:v>5.5749287749287788</c:v>
                </c:pt>
              </c:numCache>
            </c:numRef>
          </c:val>
          <c:smooth val="0"/>
          <c:extLst>
            <c:ext xmlns:c16="http://schemas.microsoft.com/office/drawing/2014/chart" uri="{C3380CC4-5D6E-409C-BE32-E72D297353CC}">
              <c16:uniqueId val="{00000002-EE31-490E-B252-F5EF2B97F041}"/>
            </c:ext>
          </c:extLst>
        </c:ser>
        <c:ser>
          <c:idx val="1"/>
          <c:order val="3"/>
          <c:tx>
            <c:strRef>
              <c:f>'Trh práce 3'!$F$8</c:f>
              <c:strCache>
                <c:ptCount val="1"/>
                <c:pt idx="0">
                  <c:v>Prům. mzda v obchodu (nominálně)</c:v>
                </c:pt>
              </c:strCache>
            </c:strRef>
          </c:tx>
          <c:spPr>
            <a:ln w="19050">
              <a:solidFill>
                <a:srgbClr val="0070C0"/>
              </a:solidFill>
              <a:prstDash val="sysDot"/>
            </a:ln>
          </c:spPr>
          <c:marker>
            <c:symbol val="none"/>
          </c:marker>
          <c:cat>
            <c:multiLvlStrRef>
              <c:f>'Trh práce 3'!$A$37:$B$69</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3'!$F$37:$F$69</c:f>
              <c:numCache>
                <c:formatCode>#\ ##0.0</c:formatCode>
                <c:ptCount val="33"/>
                <c:pt idx="0">
                  <c:v>5.6231243089559229</c:v>
                </c:pt>
                <c:pt idx="1">
                  <c:v>7.9284684614485457</c:v>
                </c:pt>
                <c:pt idx="2">
                  <c:v>7.693200727526019</c:v>
                </c:pt>
                <c:pt idx="3">
                  <c:v>8.3926754832146457</c:v>
                </c:pt>
                <c:pt idx="4">
                  <c:v>7.2416629280693883</c:v>
                </c:pt>
                <c:pt idx="5">
                  <c:v>7.0392029456356937</c:v>
                </c:pt>
                <c:pt idx="6">
                  <c:v>6.8381903769449082</c:v>
                </c:pt>
                <c:pt idx="7">
                  <c:v>6.6970570490044992</c:v>
                </c:pt>
                <c:pt idx="8">
                  <c:v>9.5345999651385682</c:v>
                </c:pt>
                <c:pt idx="9">
                  <c:v>7.4227708080399282</c:v>
                </c:pt>
                <c:pt idx="10">
                  <c:v>8.1629221041302316</c:v>
                </c:pt>
                <c:pt idx="11">
                  <c:v>6.3018346318170444</c:v>
                </c:pt>
                <c:pt idx="12">
                  <c:v>6.3685550604710528</c:v>
                </c:pt>
                <c:pt idx="13">
                  <c:v>0.91357172008916621</c:v>
                </c:pt>
                <c:pt idx="14">
                  <c:v>4.7389533256631182</c:v>
                </c:pt>
                <c:pt idx="15">
                  <c:v>2.446953129617583</c:v>
                </c:pt>
                <c:pt idx="16">
                  <c:v>2.2321294994165299</c:v>
                </c:pt>
                <c:pt idx="17">
                  <c:v>9.8898705823792881</c:v>
                </c:pt>
                <c:pt idx="18">
                  <c:v>6.6146127126443588</c:v>
                </c:pt>
                <c:pt idx="19">
                  <c:v>8.7059366526279263</c:v>
                </c:pt>
                <c:pt idx="20">
                  <c:v>6.7609096496619543</c:v>
                </c:pt>
                <c:pt idx="21">
                  <c:v>5.6167369702460093</c:v>
                </c:pt>
                <c:pt idx="22">
                  <c:v>3.4585503049205073</c:v>
                </c:pt>
                <c:pt idx="23">
                  <c:v>5.3444432650461664</c:v>
                </c:pt>
                <c:pt idx="24">
                  <c:v>8.2325849165227396</c:v>
                </c:pt>
                <c:pt idx="25">
                  <c:v>6.9557991797785945</c:v>
                </c:pt>
                <c:pt idx="26">
                  <c:v>6.314429521169231</c:v>
                </c:pt>
                <c:pt idx="27">
                  <c:v>5.6073353821351191</c:v>
                </c:pt>
                <c:pt idx="28">
                  <c:v>7.0010131712259493</c:v>
                </c:pt>
                <c:pt idx="29">
                  <c:v>5.8117387599618979</c:v>
                </c:pt>
                <c:pt idx="30">
                  <c:v>6.4735816096610108</c:v>
                </c:pt>
                <c:pt idx="31">
                  <c:v>5.5982253601755616</c:v>
                </c:pt>
                <c:pt idx="32">
                  <c:v>5.7522961840734723</c:v>
                </c:pt>
              </c:numCache>
            </c:numRef>
          </c:val>
          <c:smooth val="0"/>
          <c:extLst>
            <c:ext xmlns:c16="http://schemas.microsoft.com/office/drawing/2014/chart" uri="{C3380CC4-5D6E-409C-BE32-E72D297353CC}">
              <c16:uniqueId val="{00000003-EE31-490E-B252-F5EF2B97F041}"/>
            </c:ext>
          </c:extLst>
        </c:ser>
        <c:ser>
          <c:idx val="2"/>
          <c:order val="4"/>
          <c:tx>
            <c:strRef>
              <c:f>'Trh práce 3'!$G$8</c:f>
              <c:strCache>
                <c:ptCount val="1"/>
                <c:pt idx="0">
                  <c:v>Prům. mzda ve veř. službách (nominálně)*</c:v>
                </c:pt>
              </c:strCache>
            </c:strRef>
          </c:tx>
          <c:spPr>
            <a:ln w="19050">
              <a:solidFill>
                <a:srgbClr val="00B050"/>
              </a:solidFill>
              <a:prstDash val="sysDot"/>
            </a:ln>
          </c:spPr>
          <c:marker>
            <c:symbol val="none"/>
          </c:marker>
          <c:cat>
            <c:multiLvlStrRef>
              <c:f>'Trh práce 3'!$A$37:$B$69</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3'!$G$37:$G$69</c:f>
              <c:numCache>
                <c:formatCode>#\ ##0.0</c:formatCode>
                <c:ptCount val="33"/>
                <c:pt idx="0">
                  <c:v>5.4566112929362163</c:v>
                </c:pt>
                <c:pt idx="1">
                  <c:v>7.3192456135909225</c:v>
                </c:pt>
                <c:pt idx="2">
                  <c:v>7.9981713137873953</c:v>
                </c:pt>
                <c:pt idx="3">
                  <c:v>10.484072576559427</c:v>
                </c:pt>
                <c:pt idx="4">
                  <c:v>12.179699393983398</c:v>
                </c:pt>
                <c:pt idx="5">
                  <c:v>11.89217733254111</c:v>
                </c:pt>
                <c:pt idx="6">
                  <c:v>11.361326321628667</c:v>
                </c:pt>
                <c:pt idx="7">
                  <c:v>6.1282038917470629</c:v>
                </c:pt>
                <c:pt idx="8">
                  <c:v>9.4162908795776019</c:v>
                </c:pt>
                <c:pt idx="9">
                  <c:v>9.3022383570098555</c:v>
                </c:pt>
                <c:pt idx="10">
                  <c:v>8.3925247282538464</c:v>
                </c:pt>
                <c:pt idx="11">
                  <c:v>11.041060141001239</c:v>
                </c:pt>
                <c:pt idx="12">
                  <c:v>5.2296117021426483</c:v>
                </c:pt>
                <c:pt idx="13">
                  <c:v>4.9937922145909539</c:v>
                </c:pt>
                <c:pt idx="14">
                  <c:v>8.8109946466096574</c:v>
                </c:pt>
                <c:pt idx="15">
                  <c:v>13.948630451066606</c:v>
                </c:pt>
                <c:pt idx="16">
                  <c:v>4.5485385483402752</c:v>
                </c:pt>
                <c:pt idx="17">
                  <c:v>17.785684079315018</c:v>
                </c:pt>
                <c:pt idx="18">
                  <c:v>5.4643357321226631</c:v>
                </c:pt>
                <c:pt idx="19">
                  <c:v>-0.40508430459891542</c:v>
                </c:pt>
                <c:pt idx="20">
                  <c:v>2.3050985414715655</c:v>
                </c:pt>
                <c:pt idx="21">
                  <c:v>-7.0315803873919265</c:v>
                </c:pt>
                <c:pt idx="22">
                  <c:v>0.30518367768182486</c:v>
                </c:pt>
                <c:pt idx="23">
                  <c:v>3.4014494016982155</c:v>
                </c:pt>
                <c:pt idx="24">
                  <c:v>7.9558858004871666</c:v>
                </c:pt>
                <c:pt idx="25">
                  <c:v>6.6185978338731104</c:v>
                </c:pt>
                <c:pt idx="26">
                  <c:v>6.1956460416074748</c:v>
                </c:pt>
                <c:pt idx="27">
                  <c:v>5.4315381637976827</c:v>
                </c:pt>
                <c:pt idx="28">
                  <c:v>4.6593074333078732</c:v>
                </c:pt>
                <c:pt idx="29">
                  <c:v>4.8234690107000802</c:v>
                </c:pt>
                <c:pt idx="30">
                  <c:v>4.8790367578330489</c:v>
                </c:pt>
                <c:pt idx="31">
                  <c:v>3.8213604185032324</c:v>
                </c:pt>
                <c:pt idx="32">
                  <c:v>5.6947315951198334</c:v>
                </c:pt>
              </c:numCache>
            </c:numRef>
          </c:val>
          <c:smooth val="0"/>
          <c:extLst>
            <c:ext xmlns:c16="http://schemas.microsoft.com/office/drawing/2014/chart" uri="{C3380CC4-5D6E-409C-BE32-E72D297353CC}">
              <c16:uniqueId val="{00000004-EE31-490E-B252-F5EF2B97F041}"/>
            </c:ext>
          </c:extLst>
        </c:ser>
        <c:ser>
          <c:idx val="3"/>
          <c:order val="5"/>
          <c:tx>
            <c:strRef>
              <c:f>'Trh práce 3'!$H$8</c:f>
              <c:strCache>
                <c:ptCount val="1"/>
                <c:pt idx="0">
                  <c:v>Mediánová mzda celkem (nominálně)</c:v>
                </c:pt>
              </c:strCache>
            </c:strRef>
          </c:tx>
          <c:spPr>
            <a:ln w="19050">
              <a:noFill/>
            </a:ln>
          </c:spPr>
          <c:marker>
            <c:symbol val="circle"/>
            <c:size val="5"/>
            <c:spPr>
              <a:solidFill>
                <a:srgbClr val="FFFF00"/>
              </a:solidFill>
              <a:ln w="6350">
                <a:solidFill>
                  <a:schemeClr val="bg1">
                    <a:lumMod val="50000"/>
                  </a:schemeClr>
                </a:solidFill>
              </a:ln>
            </c:spPr>
          </c:marker>
          <c:cat>
            <c:multiLvlStrRef>
              <c:f>'Trh práce 3'!$A$37:$B$69</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3'!$H$37:$H$69</c:f>
              <c:numCache>
                <c:formatCode>#\ ##0.0</c:formatCode>
                <c:ptCount val="33"/>
                <c:pt idx="0">
                  <c:v>4.9000000000000057</c:v>
                </c:pt>
                <c:pt idx="1">
                  <c:v>7.7000000000000028</c:v>
                </c:pt>
                <c:pt idx="2">
                  <c:v>7</c:v>
                </c:pt>
                <c:pt idx="3">
                  <c:v>8.9000000000000057</c:v>
                </c:pt>
                <c:pt idx="4">
                  <c:v>8.7000000000000028</c:v>
                </c:pt>
                <c:pt idx="5">
                  <c:v>9.7000000000000028</c:v>
                </c:pt>
                <c:pt idx="6">
                  <c:v>9.2999999999999972</c:v>
                </c:pt>
                <c:pt idx="7">
                  <c:v>6.7000000000000028</c:v>
                </c:pt>
                <c:pt idx="8">
                  <c:v>7.2000000000000028</c:v>
                </c:pt>
                <c:pt idx="9">
                  <c:v>6.4000000000000057</c:v>
                </c:pt>
                <c:pt idx="10">
                  <c:v>7.2999999999999972</c:v>
                </c:pt>
                <c:pt idx="11">
                  <c:v>6.4000000000000057</c:v>
                </c:pt>
                <c:pt idx="12">
                  <c:v>7</c:v>
                </c:pt>
                <c:pt idx="13">
                  <c:v>1.4000000000000057</c:v>
                </c:pt>
                <c:pt idx="14">
                  <c:v>6.7000000000000028</c:v>
                </c:pt>
                <c:pt idx="15">
                  <c:v>6.7000000000000028</c:v>
                </c:pt>
                <c:pt idx="16">
                  <c:v>2.2999999999999972</c:v>
                </c:pt>
                <c:pt idx="17">
                  <c:v>11.099999999999994</c:v>
                </c:pt>
                <c:pt idx="18">
                  <c:v>4.7000000000000028</c:v>
                </c:pt>
                <c:pt idx="19">
                  <c:v>4.5999999999999943</c:v>
                </c:pt>
                <c:pt idx="20">
                  <c:v>4.2999999999999972</c:v>
                </c:pt>
                <c:pt idx="21">
                  <c:v>3.2000000000000028</c:v>
                </c:pt>
                <c:pt idx="22">
                  <c:v>4.2000000000000028</c:v>
                </c:pt>
                <c:pt idx="23">
                  <c:v>6.2999999999999972</c:v>
                </c:pt>
                <c:pt idx="24">
                  <c:v>8.4000000000000057</c:v>
                </c:pt>
                <c:pt idx="25">
                  <c:v>6.5999999999999943</c:v>
                </c:pt>
                <c:pt idx="26">
                  <c:v>8.2000000000000028</c:v>
                </c:pt>
                <c:pt idx="27">
                  <c:v>7.2000000000000028</c:v>
                </c:pt>
                <c:pt idx="28">
                  <c:v>6.0999999999999943</c:v>
                </c:pt>
                <c:pt idx="29">
                  <c:v>6.7000000000000028</c:v>
                </c:pt>
                <c:pt idx="30">
                  <c:v>7.4000000000000057</c:v>
                </c:pt>
                <c:pt idx="31">
                  <c:v>4.0999999999999943</c:v>
                </c:pt>
                <c:pt idx="32">
                  <c:v>5.2999999999999972</c:v>
                </c:pt>
              </c:numCache>
            </c:numRef>
          </c:val>
          <c:smooth val="0"/>
          <c:extLst>
            <c:ext xmlns:c16="http://schemas.microsoft.com/office/drawing/2014/chart" uri="{C3380CC4-5D6E-409C-BE32-E72D297353CC}">
              <c16:uniqueId val="{00000005-EE31-490E-B252-F5EF2B97F041}"/>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4"/>
        <c:noMultiLvlLbl val="0"/>
      </c:catAx>
      <c:valAx>
        <c:axId val="100690560"/>
        <c:scaling>
          <c:orientation val="minMax"/>
          <c:max val="18"/>
          <c:min val="-12"/>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between"/>
        <c:majorUnit val="2"/>
      </c:valAx>
      <c:spPr>
        <a:ln>
          <a:solidFill>
            <a:schemeClr val="tx1"/>
          </a:solidFill>
        </a:ln>
      </c:spPr>
    </c:plotArea>
    <c:legend>
      <c:legendPos val="b"/>
      <c:layout>
        <c:manualLayout>
          <c:xMode val="edge"/>
          <c:yMode val="edge"/>
          <c:x val="9.1292133366733495E-3"/>
          <c:y val="0.87578174603174608"/>
          <c:w val="0.97744446685490061"/>
          <c:h val="0.11341893424036281"/>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581433637284705E-2"/>
          <c:y val="3.9582348305752559E-2"/>
          <c:w val="0.93508633063154345"/>
          <c:h val="0.73130361364405005"/>
        </c:manualLayout>
      </c:layout>
      <c:barChart>
        <c:barDir val="col"/>
        <c:grouping val="clustered"/>
        <c:varyColors val="0"/>
        <c:ser>
          <c:idx val="0"/>
          <c:order val="0"/>
          <c:tx>
            <c:strRef>
              <c:f>'Měnové podmínky 1'!$C$5</c:f>
              <c:strCache>
                <c:ptCount val="1"/>
                <c:pt idx="0">
                  <c:v>2T repo sazba</c:v>
                </c:pt>
              </c:strCache>
            </c:strRef>
          </c:tx>
          <c:spPr>
            <a:solidFill>
              <a:schemeClr val="bg1">
                <a:lumMod val="65000"/>
              </a:schemeClr>
            </a:solidFill>
          </c:spPr>
          <c:invertIfNegative val="0"/>
          <c:cat>
            <c:multiLvlStrRef>
              <c:f>'Měnové podmínky 1'!$A$30:$B$92</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2020</c:v>
                  </c:pt>
                  <c:pt idx="12">
                    <c:v>2021</c:v>
                  </c:pt>
                  <c:pt idx="24">
                    <c:v>2022</c:v>
                  </c:pt>
                  <c:pt idx="36">
                    <c:v>2023</c:v>
                  </c:pt>
                  <c:pt idx="48">
                    <c:v>2024</c:v>
                  </c:pt>
                  <c:pt idx="60">
                    <c:v>2025</c:v>
                  </c:pt>
                </c:lvl>
              </c:multiLvlStrCache>
            </c:multiLvlStrRef>
          </c:cat>
          <c:val>
            <c:numRef>
              <c:f>'Měnové podmínky 1'!$C$30:$C$92</c:f>
              <c:numCache>
                <c:formatCode>General</c:formatCode>
                <c:ptCount val="63"/>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numCache>
            </c:numRef>
          </c:val>
          <c:extLst>
            <c:ext xmlns:c16="http://schemas.microsoft.com/office/drawing/2014/chart" uri="{C3380CC4-5D6E-409C-BE32-E72D297353CC}">
              <c16:uniqueId val="{00000000-FB4C-4E8A-955C-3F23FE6D489D}"/>
            </c:ext>
          </c:extLst>
        </c:ser>
        <c:dLbls>
          <c:showLegendKey val="0"/>
          <c:showVal val="0"/>
          <c:showCatName val="0"/>
          <c:showSerName val="0"/>
          <c:showPercent val="0"/>
          <c:showBubbleSize val="0"/>
        </c:dLbls>
        <c:gapWidth val="31"/>
        <c:axId val="271742464"/>
        <c:axId val="271744000"/>
      </c:barChart>
      <c:lineChart>
        <c:grouping val="standard"/>
        <c:varyColors val="0"/>
        <c:ser>
          <c:idx val="3"/>
          <c:order val="1"/>
          <c:tx>
            <c:strRef>
              <c:f>'Měnové podmínky 1'!$F$5</c:f>
              <c:strCache>
                <c:ptCount val="1"/>
                <c:pt idx="0">
                  <c:v>Průměrný výnos státních dluhopisů (2Y)</c:v>
                </c:pt>
              </c:strCache>
            </c:strRef>
          </c:tx>
          <c:spPr>
            <a:ln w="19050">
              <a:solidFill>
                <a:srgbClr val="7DBB2D"/>
              </a:solidFill>
            </a:ln>
          </c:spPr>
          <c:marker>
            <c:symbol val="none"/>
          </c:marker>
          <c:cat>
            <c:multiLvlStrRef>
              <c:f>'Měnové podmínky 1'!$A$30:$B$92</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2020</c:v>
                  </c:pt>
                  <c:pt idx="12">
                    <c:v>2021</c:v>
                  </c:pt>
                  <c:pt idx="24">
                    <c:v>2022</c:v>
                  </c:pt>
                  <c:pt idx="36">
                    <c:v>2023</c:v>
                  </c:pt>
                  <c:pt idx="48">
                    <c:v>2024</c:v>
                  </c:pt>
                  <c:pt idx="60">
                    <c:v>2025</c:v>
                  </c:pt>
                </c:lvl>
              </c:multiLvlStrCache>
            </c:multiLvlStrRef>
          </c:cat>
          <c:val>
            <c:numRef>
              <c:f>'Měnové podmínky 1'!$F$30:$F$92</c:f>
              <c:numCache>
                <c:formatCode>General</c:formatCode>
                <c:ptCount val="63"/>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numCache>
            </c:numRef>
          </c:val>
          <c:smooth val="0"/>
          <c:extLst>
            <c:ext xmlns:c16="http://schemas.microsoft.com/office/drawing/2014/chart" uri="{C3380CC4-5D6E-409C-BE32-E72D297353CC}">
              <c16:uniqueId val="{00000001-FB4C-4E8A-955C-3F23FE6D489D}"/>
            </c:ext>
          </c:extLst>
        </c:ser>
        <c:ser>
          <c:idx val="1"/>
          <c:order val="2"/>
          <c:tx>
            <c:strRef>
              <c:f>'Měnové podmínky 1'!$D$5</c:f>
              <c:strCache>
                <c:ptCount val="1"/>
                <c:pt idx="0">
                  <c:v>PRIBOR (3M)</c:v>
                </c:pt>
              </c:strCache>
            </c:strRef>
          </c:tx>
          <c:spPr>
            <a:ln w="19050">
              <a:solidFill>
                <a:srgbClr val="0071BC"/>
              </a:solidFill>
            </a:ln>
          </c:spPr>
          <c:marker>
            <c:symbol val="none"/>
          </c:marker>
          <c:cat>
            <c:multiLvlStrRef>
              <c:f>'Měnové podmínky 1'!$A$30:$B$92</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2020</c:v>
                  </c:pt>
                  <c:pt idx="12">
                    <c:v>2021</c:v>
                  </c:pt>
                  <c:pt idx="24">
                    <c:v>2022</c:v>
                  </c:pt>
                  <c:pt idx="36">
                    <c:v>2023</c:v>
                  </c:pt>
                  <c:pt idx="48">
                    <c:v>2024</c:v>
                  </c:pt>
                  <c:pt idx="60">
                    <c:v>2025</c:v>
                  </c:pt>
                </c:lvl>
              </c:multiLvlStrCache>
            </c:multiLvlStrRef>
          </c:cat>
          <c:val>
            <c:numRef>
              <c:f>'Měnové podmínky 1'!$D$30:$D$92</c:f>
              <c:numCache>
                <c:formatCode>General</c:formatCode>
                <c:ptCount val="63"/>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numCache>
            </c:numRef>
          </c:val>
          <c:smooth val="0"/>
          <c:extLst>
            <c:ext xmlns:c16="http://schemas.microsoft.com/office/drawing/2014/chart" uri="{C3380CC4-5D6E-409C-BE32-E72D297353CC}">
              <c16:uniqueId val="{00000002-FB4C-4E8A-955C-3F23FE6D489D}"/>
            </c:ext>
          </c:extLst>
        </c:ser>
        <c:ser>
          <c:idx val="4"/>
          <c:order val="3"/>
          <c:tx>
            <c:strRef>
              <c:f>'Měnové podmínky 1'!$G$5</c:f>
              <c:strCache>
                <c:ptCount val="1"/>
                <c:pt idx="0">
                  <c:v>Průměrný výnos státních dluhopisů (5Y)</c:v>
                </c:pt>
              </c:strCache>
            </c:strRef>
          </c:tx>
          <c:spPr>
            <a:ln w="19050">
              <a:solidFill>
                <a:srgbClr val="F8A124"/>
              </a:solidFill>
            </a:ln>
          </c:spPr>
          <c:marker>
            <c:symbol val="none"/>
          </c:marker>
          <c:cat>
            <c:multiLvlStrRef>
              <c:f>'Měnové podmínky 1'!$A$30:$B$92</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2020</c:v>
                  </c:pt>
                  <c:pt idx="12">
                    <c:v>2021</c:v>
                  </c:pt>
                  <c:pt idx="24">
                    <c:v>2022</c:v>
                  </c:pt>
                  <c:pt idx="36">
                    <c:v>2023</c:v>
                  </c:pt>
                  <c:pt idx="48">
                    <c:v>2024</c:v>
                  </c:pt>
                  <c:pt idx="60">
                    <c:v>2025</c:v>
                  </c:pt>
                </c:lvl>
              </c:multiLvlStrCache>
            </c:multiLvlStrRef>
          </c:cat>
          <c:val>
            <c:numRef>
              <c:f>'Měnové podmínky 1'!$G$30:$G$92</c:f>
              <c:numCache>
                <c:formatCode>General</c:formatCode>
                <c:ptCount val="63"/>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numCache>
            </c:numRef>
          </c:val>
          <c:smooth val="0"/>
          <c:extLst>
            <c:ext xmlns:c16="http://schemas.microsoft.com/office/drawing/2014/chart" uri="{C3380CC4-5D6E-409C-BE32-E72D297353CC}">
              <c16:uniqueId val="{00000003-FB4C-4E8A-955C-3F23FE6D489D}"/>
            </c:ext>
          </c:extLst>
        </c:ser>
        <c:ser>
          <c:idx val="2"/>
          <c:order val="4"/>
          <c:tx>
            <c:strRef>
              <c:f>'Měnové podmínky 1'!$E$5</c:f>
              <c:strCache>
                <c:ptCount val="1"/>
                <c:pt idx="0">
                  <c:v>PRIBOR (1Y)</c:v>
                </c:pt>
              </c:strCache>
            </c:strRef>
          </c:tx>
          <c:spPr>
            <a:ln w="19050">
              <a:solidFill>
                <a:srgbClr val="BD1B21"/>
              </a:solidFill>
            </a:ln>
          </c:spPr>
          <c:marker>
            <c:symbol val="none"/>
          </c:marker>
          <c:cat>
            <c:multiLvlStrRef>
              <c:f>'Měnové podmínky 1'!$A$30:$B$92</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2020</c:v>
                  </c:pt>
                  <c:pt idx="12">
                    <c:v>2021</c:v>
                  </c:pt>
                  <c:pt idx="24">
                    <c:v>2022</c:v>
                  </c:pt>
                  <c:pt idx="36">
                    <c:v>2023</c:v>
                  </c:pt>
                  <c:pt idx="48">
                    <c:v>2024</c:v>
                  </c:pt>
                  <c:pt idx="60">
                    <c:v>2025</c:v>
                  </c:pt>
                </c:lvl>
              </c:multiLvlStrCache>
            </c:multiLvlStrRef>
          </c:cat>
          <c:val>
            <c:numRef>
              <c:f>'Měnové podmínky 1'!$E$30:$E$92</c:f>
              <c:numCache>
                <c:formatCode>General</c:formatCode>
                <c:ptCount val="63"/>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3.9066666666666667</c:v>
                </c:pt>
                <c:pt idx="60" formatCode="###\ ###\ ###\ ###\ ##0.00;\-###\ ###\ ###\ ###\ ##0.00">
                  <c:v>3.8804545454545454</c:v>
                </c:pt>
                <c:pt idx="61" formatCode="###\ ###\ ###\ ###\ ##0.00;\-###\ ###\ ###\ ###\ ##0.00">
                  <c:v>3.756842105263158</c:v>
                </c:pt>
                <c:pt idx="62" formatCode="###\ ###\ ###\ ###\ ##0.00;\-###\ ###\ ###\ ###\ ##0.00">
                  <c:v>3.7164999999999999</c:v>
                </c:pt>
              </c:numCache>
            </c:numRef>
          </c:val>
          <c:smooth val="0"/>
          <c:extLst>
            <c:ext xmlns:c16="http://schemas.microsoft.com/office/drawing/2014/chart" uri="{C3380CC4-5D6E-409C-BE32-E72D297353CC}">
              <c16:uniqueId val="{00000004-FB4C-4E8A-955C-3F23FE6D489D}"/>
            </c:ext>
          </c:extLst>
        </c:ser>
        <c:ser>
          <c:idx val="5"/>
          <c:order val="5"/>
          <c:tx>
            <c:strRef>
              <c:f>'Měnové podmínky 1'!$H$5</c:f>
              <c:strCache>
                <c:ptCount val="1"/>
                <c:pt idx="0">
                  <c:v>Průměrný výnos státních dluhopisů (10Y)</c:v>
                </c:pt>
              </c:strCache>
            </c:strRef>
          </c:tx>
          <c:spPr>
            <a:ln w="19050">
              <a:solidFill>
                <a:srgbClr val="48AEE7"/>
              </a:solidFill>
            </a:ln>
          </c:spPr>
          <c:marker>
            <c:symbol val="none"/>
          </c:marker>
          <c:cat>
            <c:multiLvlStrRef>
              <c:f>'Měnové podmínky 1'!$A$30:$B$92</c:f>
              <c:multiLvlStrCache>
                <c:ptCount val="63"/>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lvl>
                <c:lvl>
                  <c:pt idx="0">
                    <c:v>2020</c:v>
                  </c:pt>
                  <c:pt idx="12">
                    <c:v>2021</c:v>
                  </c:pt>
                  <c:pt idx="24">
                    <c:v>2022</c:v>
                  </c:pt>
                  <c:pt idx="36">
                    <c:v>2023</c:v>
                  </c:pt>
                  <c:pt idx="48">
                    <c:v>2024</c:v>
                  </c:pt>
                  <c:pt idx="60">
                    <c:v>2025</c:v>
                  </c:pt>
                </c:lvl>
              </c:multiLvlStrCache>
            </c:multiLvlStrRef>
          </c:cat>
          <c:val>
            <c:numRef>
              <c:f>'Měnové podmínky 1'!$H$30:$H$92</c:f>
              <c:numCache>
                <c:formatCode>General</c:formatCode>
                <c:ptCount val="63"/>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numCache>
            </c:numRef>
          </c:val>
          <c:smooth val="0"/>
          <c:extLst>
            <c:ext xmlns:c16="http://schemas.microsoft.com/office/drawing/2014/chart" uri="{C3380CC4-5D6E-409C-BE32-E72D297353CC}">
              <c16:uniqueId val="{00000005-FB4C-4E8A-955C-3F23FE6D489D}"/>
            </c:ext>
          </c:extLst>
        </c:ser>
        <c:dLbls>
          <c:showLegendKey val="0"/>
          <c:showVal val="0"/>
          <c:showCatName val="0"/>
          <c:showSerName val="0"/>
          <c:showPercent val="0"/>
          <c:showBubbleSize val="0"/>
        </c:dLbls>
        <c:marker val="1"/>
        <c:smooth val="0"/>
        <c:axId val="271742464"/>
        <c:axId val="271744000"/>
      </c:lineChart>
      <c:catAx>
        <c:axId val="271742464"/>
        <c:scaling>
          <c:orientation val="minMax"/>
        </c:scaling>
        <c:delete val="0"/>
        <c:axPos val="b"/>
        <c:numFmt formatCode="General" sourceLinked="0"/>
        <c:majorTickMark val="out"/>
        <c:minorTickMark val="none"/>
        <c:tickLblPos val="low"/>
        <c:spPr>
          <a:ln>
            <a:solidFill>
              <a:schemeClr val="tx1"/>
            </a:solidFill>
          </a:ln>
        </c:spPr>
        <c:crossAx val="271744000"/>
        <c:crosses val="autoZero"/>
        <c:auto val="1"/>
        <c:lblAlgn val="ctr"/>
        <c:lblOffset val="100"/>
        <c:noMultiLvlLbl val="0"/>
      </c:catAx>
      <c:valAx>
        <c:axId val="271744000"/>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71742464"/>
        <c:crosses val="autoZero"/>
        <c:crossBetween val="between"/>
        <c:majorUnit val="1"/>
      </c:valAx>
      <c:spPr>
        <a:ln>
          <a:solidFill>
            <a:schemeClr val="tx1"/>
          </a:solidFill>
        </a:ln>
      </c:spPr>
    </c:plotArea>
    <c:legend>
      <c:legendPos val="b"/>
      <c:layout>
        <c:manualLayout>
          <c:xMode val="edge"/>
          <c:yMode val="edge"/>
          <c:x val="4.7501055386693677E-2"/>
          <c:y val="0.87558269120103249"/>
          <c:w val="0.93350515028706516"/>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3971549132558312"/>
        </c:manualLayout>
      </c:layout>
      <c:barChart>
        <c:barDir val="col"/>
        <c:grouping val="stacked"/>
        <c:varyColors val="0"/>
        <c:ser>
          <c:idx val="1"/>
          <c:order val="1"/>
          <c:tx>
            <c:strRef>
              <c:f>'G1-SR-příjmy-příspěvky'!$A$36</c:f>
              <c:strCache>
                <c:ptCount val="1"/>
                <c:pt idx="0">
                  <c:v>Ostatní daně a poplatky</c:v>
                </c:pt>
              </c:strCache>
            </c:strRef>
          </c:tx>
          <c:spPr>
            <a:solidFill>
              <a:schemeClr val="bg1">
                <a:lumMod val="75000"/>
              </a:schemeClr>
            </a:solidFill>
            <a:ln w="12700">
              <a:noFill/>
              <a:prstDash val="solid"/>
            </a:ln>
          </c:spPr>
          <c:invertIfNegative val="0"/>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0.93122337188070226</c:v>
                </c:pt>
                <c:pt idx="1">
                  <c:v>-0.86039886039885138</c:v>
                </c:pt>
                <c:pt idx="2">
                  <c:v>-0.21800461656836209</c:v>
                </c:pt>
                <c:pt idx="3">
                  <c:v>4.7025628967778073E-2</c:v>
                </c:pt>
                <c:pt idx="4">
                  <c:v>0.15463598688688132</c:v>
                </c:pt>
                <c:pt idx="5">
                  <c:v>0.75112372841257025</c:v>
                </c:pt>
                <c:pt idx="6">
                  <c:v>-5.7922173661211315E-2</c:v>
                </c:pt>
                <c:pt idx="7">
                  <c:v>0.17244682889444096</c:v>
                </c:pt>
                <c:pt idx="8">
                  <c:v>0.1722838376224716</c:v>
                </c:pt>
                <c:pt idx="9">
                  <c:v>0.23509403761505579</c:v>
                </c:pt>
                <c:pt idx="10">
                  <c:v>0.62235845989504279</c:v>
                </c:pt>
                <c:pt idx="11">
                  <c:v>0.80854504446996855</c:v>
                </c:pt>
                <c:pt idx="12">
                  <c:v>0.66381882645426282</c:v>
                </c:pt>
                <c:pt idx="13">
                  <c:v>-1.6059485038147707</c:v>
                </c:pt>
                <c:pt idx="14">
                  <c:v>1.1042137486708441</c:v>
                </c:pt>
                <c:pt idx="15">
                  <c:v>3.33491604773103</c:v>
                </c:pt>
                <c:pt idx="16">
                  <c:v>2.2832982090889375</c:v>
                </c:pt>
                <c:pt idx="17">
                  <c:v>-0.81619791679146136</c:v>
                </c:pt>
              </c:numCache>
            </c:numRef>
          </c:val>
          <c:extLst>
            <c:ext xmlns:c16="http://schemas.microsoft.com/office/drawing/2014/chart" uri="{C3380CC4-5D6E-409C-BE32-E72D297353CC}">
              <c16:uniqueId val="{00000000-BE4C-4551-BBD4-73A821AFF4C8}"/>
            </c:ext>
          </c:extLst>
        </c:ser>
        <c:ser>
          <c:idx val="3"/>
          <c:order val="2"/>
          <c:tx>
            <c:strRef>
              <c:f>'G1-SR-příjmy-příspěvky'!$A$37</c:f>
              <c:strCache>
                <c:ptCount val="1"/>
                <c:pt idx="0">
                  <c:v>Daně z příjmů FO, placená plátci</c:v>
                </c:pt>
              </c:strCache>
            </c:strRef>
          </c:tx>
          <c:spPr>
            <a:solidFill>
              <a:srgbClr val="EA6C75"/>
            </a:solidFill>
            <a:ln w="19050">
              <a:noFill/>
              <a:prstDash val="sysDot"/>
            </a:ln>
          </c:spPr>
          <c:invertIfNegative val="0"/>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0.22519780888618224</c:v>
                </c:pt>
                <c:pt idx="1">
                  <c:v>-0.76923076923076816</c:v>
                </c:pt>
                <c:pt idx="2">
                  <c:v>-0.31418312387791858</c:v>
                </c:pt>
                <c:pt idx="3">
                  <c:v>0.62896778744415704</c:v>
                </c:pt>
                <c:pt idx="4">
                  <c:v>0.69276922125316986</c:v>
                </c:pt>
                <c:pt idx="5">
                  <c:v>0.79843860894251262</c:v>
                </c:pt>
                <c:pt idx="6">
                  <c:v>0.12637565162445272</c:v>
                </c:pt>
                <c:pt idx="7">
                  <c:v>0.26825062272465927</c:v>
                </c:pt>
                <c:pt idx="8">
                  <c:v>1.4267255303111859</c:v>
                </c:pt>
                <c:pt idx="9">
                  <c:v>1.790716286514606</c:v>
                </c:pt>
                <c:pt idx="10">
                  <c:v>2.7448794761042179</c:v>
                </c:pt>
                <c:pt idx="11">
                  <c:v>2.353291629431042</c:v>
                </c:pt>
                <c:pt idx="12">
                  <c:v>2.0229026566319881</c:v>
                </c:pt>
                <c:pt idx="13">
                  <c:v>-7.7679840205888215</c:v>
                </c:pt>
                <c:pt idx="14">
                  <c:v>-1.5623633418257472</c:v>
                </c:pt>
                <c:pt idx="15">
                  <c:v>3.5255553646143607</c:v>
                </c:pt>
                <c:pt idx="16">
                  <c:v>1.9761842262136731</c:v>
                </c:pt>
                <c:pt idx="17">
                  <c:v>1.5675983108624592</c:v>
                </c:pt>
              </c:numCache>
            </c:numRef>
          </c:val>
          <c:extLst>
            <c:ext xmlns:c16="http://schemas.microsoft.com/office/drawing/2014/chart" uri="{C3380CC4-5D6E-409C-BE32-E72D297353CC}">
              <c16:uniqueId val="{00000001-BE4C-4551-BBD4-73A821AFF4C8}"/>
            </c:ext>
          </c:extLst>
        </c:ser>
        <c:ser>
          <c:idx val="4"/>
          <c:order val="3"/>
          <c:tx>
            <c:strRef>
              <c:f>'G1-SR-příjmy-příspěvky'!$A$38</c:f>
              <c:strCache>
                <c:ptCount val="1"/>
                <c:pt idx="0">
                  <c:v>Daně z příjmů FO, ostatní</c:v>
                </c:pt>
              </c:strCache>
            </c:strRef>
          </c:tx>
          <c:spPr>
            <a:solidFill>
              <a:srgbClr val="FFD757"/>
            </a:solidFill>
            <a:ln w="19050">
              <a:noFill/>
            </a:ln>
          </c:spPr>
          <c:invertIfNegative val="0"/>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0.92513694461351359</c:v>
                </c:pt>
                <c:pt idx="1">
                  <c:v>-2.0797720797720816</c:v>
                </c:pt>
                <c:pt idx="2">
                  <c:v>0.59630674531931682</c:v>
                </c:pt>
                <c:pt idx="3">
                  <c:v>-0.95814719021867034</c:v>
                </c:pt>
                <c:pt idx="4">
                  <c:v>0.74225273705696659</c:v>
                </c:pt>
                <c:pt idx="5">
                  <c:v>-0.11828720132481825</c:v>
                </c:pt>
                <c:pt idx="6">
                  <c:v>0.67400347533042138</c:v>
                </c:pt>
                <c:pt idx="7">
                  <c:v>-0.50296991760873755</c:v>
                </c:pt>
                <c:pt idx="8">
                  <c:v>0.83449983848390386</c:v>
                </c:pt>
                <c:pt idx="9">
                  <c:v>0.20508203281311971</c:v>
                </c:pt>
                <c:pt idx="10">
                  <c:v>-1.3933398355856212E-2</c:v>
                </c:pt>
                <c:pt idx="11">
                  <c:v>0.77875654283160978</c:v>
                </c:pt>
                <c:pt idx="12">
                  <c:v>-0.74215988803866995</c:v>
                </c:pt>
                <c:pt idx="13">
                  <c:v>0.13268445991520786</c:v>
                </c:pt>
                <c:pt idx="14">
                  <c:v>1.6770686921142257</c:v>
                </c:pt>
                <c:pt idx="15">
                  <c:v>0.88253048526587563</c:v>
                </c:pt>
                <c:pt idx="16">
                  <c:v>0.1756007887670793</c:v>
                </c:pt>
                <c:pt idx="17">
                  <c:v>0.39987879656526387</c:v>
                </c:pt>
              </c:numCache>
            </c:numRef>
          </c:val>
          <c:extLst>
            <c:ext xmlns:c16="http://schemas.microsoft.com/office/drawing/2014/chart" uri="{C3380CC4-5D6E-409C-BE32-E72D297353CC}">
              <c16:uniqueId val="{00000002-BE4C-4551-BBD4-73A821AFF4C8}"/>
            </c:ext>
          </c:extLst>
        </c:ser>
        <c:ser>
          <c:idx val="2"/>
          <c:order val="4"/>
          <c:tx>
            <c:strRef>
              <c:f>'G1-SR-příjmy-příspěvky'!$A$39</c:f>
              <c:strCache>
                <c:ptCount val="1"/>
                <c:pt idx="0">
                  <c:v>Daně z příjmů PO</c:v>
                </c:pt>
              </c:strCache>
            </c:strRef>
          </c:tx>
          <c:spPr>
            <a:solidFill>
              <a:srgbClr val="F9B073"/>
            </a:solidFill>
            <a:ln>
              <a:noFill/>
            </a:ln>
          </c:spPr>
          <c:invertIfNegative val="0"/>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3.4449178332318948</c:v>
                </c:pt>
                <c:pt idx="1">
                  <c:v>-2.9230769230769251</c:v>
                </c:pt>
                <c:pt idx="2">
                  <c:v>-6.4119004873054381E-3</c:v>
                </c:pt>
                <c:pt idx="3">
                  <c:v>-1.5871149776628251</c:v>
                </c:pt>
                <c:pt idx="4">
                  <c:v>-0.11752335003401837</c:v>
                </c:pt>
                <c:pt idx="5">
                  <c:v>-8.2801040927371936E-2</c:v>
                </c:pt>
                <c:pt idx="6">
                  <c:v>0.38439260702437977</c:v>
                </c:pt>
                <c:pt idx="7">
                  <c:v>1.0059398352174735</c:v>
                </c:pt>
                <c:pt idx="8">
                  <c:v>2.1104770108754165</c:v>
                </c:pt>
                <c:pt idx="9">
                  <c:v>1.7957182873149218</c:v>
                </c:pt>
                <c:pt idx="10">
                  <c:v>0.20900097533788606</c:v>
                </c:pt>
                <c:pt idx="11">
                  <c:v>0.62981403463977115</c:v>
                </c:pt>
                <c:pt idx="12">
                  <c:v>0.32691017416434559</c:v>
                </c:pt>
                <c:pt idx="13">
                  <c:v>0.10558008367166571</c:v>
                </c:pt>
                <c:pt idx="14">
                  <c:v>1.0191782822047715</c:v>
                </c:pt>
                <c:pt idx="15">
                  <c:v>3.8971374921113422</c:v>
                </c:pt>
                <c:pt idx="16">
                  <c:v>2.8010802336169207</c:v>
                </c:pt>
                <c:pt idx="17">
                  <c:v>0.52757383753584153</c:v>
                </c:pt>
              </c:numCache>
            </c:numRef>
          </c:val>
          <c:extLst>
            <c:ext xmlns:c16="http://schemas.microsoft.com/office/drawing/2014/chart" uri="{C3380CC4-5D6E-409C-BE32-E72D297353CC}">
              <c16:uniqueId val="{00000003-BE4C-4551-BBD4-73A821AFF4C8}"/>
            </c:ext>
          </c:extLst>
        </c:ser>
        <c:ser>
          <c:idx val="5"/>
          <c:order val="5"/>
          <c:tx>
            <c:strRef>
              <c:f>'G1-SR-příjmy-příspěvky'!$A$40</c:f>
              <c:strCache>
                <c:ptCount val="1"/>
                <c:pt idx="0">
                  <c:v>Spotřební daň</c:v>
                </c:pt>
              </c:strCache>
            </c:strRef>
          </c:tx>
          <c:spPr>
            <a:solidFill>
              <a:srgbClr val="00B050"/>
            </a:solidFill>
            <a:ln>
              <a:noFill/>
            </a:ln>
          </c:spPr>
          <c:invertIfNegative val="0"/>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-0.18867924528301808</c:v>
                </c:pt>
                <c:pt idx="1">
                  <c:v>-2.3760683760683778</c:v>
                </c:pt>
                <c:pt idx="2">
                  <c:v>4.9756347781482431</c:v>
                </c:pt>
                <c:pt idx="3">
                  <c:v>-0.74065365624265089</c:v>
                </c:pt>
                <c:pt idx="4">
                  <c:v>1.9855260716273873</c:v>
                </c:pt>
                <c:pt idx="5">
                  <c:v>2.1587414241779017</c:v>
                </c:pt>
                <c:pt idx="6">
                  <c:v>2.9592965088726193</c:v>
                </c:pt>
                <c:pt idx="7">
                  <c:v>-6.1841348917417109</c:v>
                </c:pt>
                <c:pt idx="8">
                  <c:v>1.4590287498653987</c:v>
                </c:pt>
                <c:pt idx="9">
                  <c:v>0.42016806722689187</c:v>
                </c:pt>
                <c:pt idx="10">
                  <c:v>0.58055826482745765</c:v>
                </c:pt>
                <c:pt idx="11">
                  <c:v>-0.62130303417166777</c:v>
                </c:pt>
                <c:pt idx="12">
                  <c:v>1.0735727426060964</c:v>
                </c:pt>
                <c:pt idx="13">
                  <c:v>-2.9470384104736076</c:v>
                </c:pt>
                <c:pt idx="14">
                  <c:v>2.0334594164576827</c:v>
                </c:pt>
                <c:pt idx="15">
                  <c:v>-0.53984991589800368</c:v>
                </c:pt>
                <c:pt idx="16">
                  <c:v>1.4072160183913973</c:v>
                </c:pt>
                <c:pt idx="17">
                  <c:v>1.3732210021369939</c:v>
                </c:pt>
              </c:numCache>
            </c:numRef>
          </c:val>
          <c:extLst>
            <c:ext xmlns:c16="http://schemas.microsoft.com/office/drawing/2014/chart" uri="{C3380CC4-5D6E-409C-BE32-E72D297353CC}">
              <c16:uniqueId val="{00000004-BE4C-4551-BBD4-73A821AFF4C8}"/>
            </c:ext>
          </c:extLst>
        </c:ser>
        <c:ser>
          <c:idx val="6"/>
          <c:order val="6"/>
          <c:tx>
            <c:strRef>
              <c:f>'G1-SR-příjmy-příspěvky'!$A$41</c:f>
              <c:strCache>
                <c:ptCount val="1"/>
                <c:pt idx="0">
                  <c:v>DPH</c:v>
                </c:pt>
              </c:strCache>
            </c:strRef>
          </c:tx>
          <c:spPr>
            <a:solidFill>
              <a:schemeClr val="accent5">
                <a:lumMod val="60000"/>
                <a:lumOff val="40000"/>
              </a:schemeClr>
            </a:solidFill>
            <a:ln w="19050">
              <a:noFill/>
            </a:ln>
          </c:spPr>
          <c:invertIfNegative val="0"/>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1.4790018259281799</c:v>
                </c:pt>
                <c:pt idx="1">
                  <c:v>-2.1253561253561242</c:v>
                </c:pt>
                <c:pt idx="2">
                  <c:v>4.0459092074891005</c:v>
                </c:pt>
                <c:pt idx="3">
                  <c:v>-2.3571596520103477</c:v>
                </c:pt>
                <c:pt idx="4">
                  <c:v>1.1257499845364003</c:v>
                </c:pt>
                <c:pt idx="5">
                  <c:v>8.8123964986988383</c:v>
                </c:pt>
                <c:pt idx="6">
                  <c:v>5.8396082354799592</c:v>
                </c:pt>
                <c:pt idx="7">
                  <c:v>-5.78654914734624</c:v>
                </c:pt>
                <c:pt idx="8">
                  <c:v>1.6313125874878858</c:v>
                </c:pt>
                <c:pt idx="9">
                  <c:v>3.2513005202080785</c:v>
                </c:pt>
                <c:pt idx="10">
                  <c:v>4.9974455436347585</c:v>
                </c:pt>
                <c:pt idx="11">
                  <c:v>-6.3832503510790173E-2</c:v>
                </c:pt>
                <c:pt idx="12">
                  <c:v>2.1661942638579434</c:v>
                </c:pt>
                <c:pt idx="13">
                  <c:v>-2.6237556934223591</c:v>
                </c:pt>
                <c:pt idx="14">
                  <c:v>9.6005596283267742</c:v>
                </c:pt>
                <c:pt idx="15">
                  <c:v>4.340978588922372</c:v>
                </c:pt>
                <c:pt idx="16">
                  <c:v>2.9004197803465526</c:v>
                </c:pt>
                <c:pt idx="17">
                  <c:v>2.2615371073850041</c:v>
                </c:pt>
              </c:numCache>
            </c:numRef>
          </c:val>
          <c:extLst>
            <c:ext xmlns:c16="http://schemas.microsoft.com/office/drawing/2014/chart" uri="{C3380CC4-5D6E-409C-BE32-E72D297353CC}">
              <c16:uniqueId val="{00000005-BE4C-4551-BBD4-73A821AFF4C8}"/>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'G1-SR-příjmy-příspěvky'!$A$35</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6.8167985392574479</c:v>
                </c:pt>
                <c:pt idx="1">
                  <c:v>-11.133903133903132</c:v>
                </c:pt>
                <c:pt idx="2">
                  <c:v>9.0792510900230781</c:v>
                </c:pt>
                <c:pt idx="3">
                  <c:v>-4.9670820597225571</c:v>
                </c:pt>
                <c:pt idx="4">
                  <c:v>4.5834106513267869</c:v>
                </c:pt>
                <c:pt idx="5">
                  <c:v>12.319612017979637</c:v>
                </c:pt>
                <c:pt idx="6">
                  <c:v>9.9257543046706189</c:v>
                </c:pt>
                <c:pt idx="7">
                  <c:v>-11.027016669860117</c:v>
                </c:pt>
                <c:pt idx="8">
                  <c:v>7.6343275546462621</c:v>
                </c:pt>
                <c:pt idx="9">
                  <c:v>7.6980792316926738</c:v>
                </c:pt>
                <c:pt idx="10">
                  <c:v>9.1403093214434961</c:v>
                </c:pt>
                <c:pt idx="11">
                  <c:v>3.8852717136899457</c:v>
                </c:pt>
                <c:pt idx="12">
                  <c:v>5.5112387756759631</c:v>
                </c:pt>
                <c:pt idx="13">
                  <c:v>-14.706462084712683</c:v>
                </c:pt>
                <c:pt idx="14">
                  <c:v>13.872116425948548</c:v>
                </c:pt>
                <c:pt idx="15">
                  <c:v>15.441268062746971</c:v>
                </c:pt>
                <c:pt idx="16">
                  <c:v>11.543799256424563</c:v>
                </c:pt>
                <c:pt idx="17">
                  <c:v>5.3136111376941102</c:v>
                </c:pt>
              </c:numCache>
            </c:numRef>
          </c:val>
          <c:smooth val="0"/>
          <c:extLst>
            <c:ext xmlns:c16="http://schemas.microsoft.com/office/drawing/2014/chart" uri="{C3380CC4-5D6E-409C-BE32-E72D297353CC}">
              <c16:uniqueId val="{00000006-BE4C-4551-BBD4-73A821AFF4C8}"/>
            </c:ext>
          </c:extLst>
        </c:ser>
        <c:ser>
          <c:idx val="7"/>
          <c:order val="7"/>
          <c:tx>
            <c:strRef>
              <c:f>'G1-SR-příjmy-příspěvky'!$A$42</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0.0</c:formatCode>
                <c:ptCount val="18"/>
                <c:pt idx="0">
                  <c:v>9.4579008073817761</c:v>
                </c:pt>
                <c:pt idx="1">
                  <c:v>-4.4573234984193988</c:v>
                </c:pt>
                <c:pt idx="2">
                  <c:v>-5.8564023381493371</c:v>
                </c:pt>
                <c:pt idx="3">
                  <c:v>3.8308341143392681</c:v>
                </c:pt>
                <c:pt idx="4">
                  <c:v>3.6894956560984014</c:v>
                </c:pt>
                <c:pt idx="5">
                  <c:v>-1.0554951033732323</c:v>
                </c:pt>
                <c:pt idx="6">
                  <c:v>2.1513929773781797</c:v>
                </c:pt>
                <c:pt idx="7">
                  <c:v>4.8070686526797743</c:v>
                </c:pt>
                <c:pt idx="8">
                  <c:v>5.4941518644093605</c:v>
                </c:pt>
                <c:pt idx="9">
                  <c:v>7.4975657254138213</c:v>
                </c:pt>
                <c:pt idx="10">
                  <c:v>10.144927536231862</c:v>
                </c:pt>
                <c:pt idx="11">
                  <c:v>8.1414473684210691</c:v>
                </c:pt>
                <c:pt idx="12">
                  <c:v>4.6387832699619622</c:v>
                </c:pt>
                <c:pt idx="13">
                  <c:v>2.543604651162795</c:v>
                </c:pt>
                <c:pt idx="14">
                  <c:v>4.8953928497165151</c:v>
                </c:pt>
                <c:pt idx="15">
                  <c:v>10.800511751899535</c:v>
                </c:pt>
                <c:pt idx="16">
                  <c:v>8.2561897759519667</c:v>
                </c:pt>
                <c:pt idx="17">
                  <c:v>7.4957841881886083</c:v>
                </c:pt>
              </c:numCache>
            </c:numRef>
          </c:val>
          <c:smooth val="0"/>
          <c:extLst>
            <c:ext xmlns:c16="http://schemas.microsoft.com/office/drawing/2014/chart" uri="{C3380CC4-5D6E-409C-BE32-E72D297353CC}">
              <c16:uniqueId val="{00000007-BE4C-4551-BBD4-73A821AFF4C8}"/>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'G1-SR-příjmy-příspěvky'!$A$43</c:f>
              <c:strCache>
                <c:ptCount val="1"/>
                <c:pt idx="0">
                  <c:v>Saldo státního rozpočtu (pravá osa)</c:v>
                </c:pt>
              </c:strCache>
            </c:strRef>
          </c:tx>
          <c:spPr>
            <a:ln w="19050">
              <a:solidFill>
                <a:schemeClr val="bg2">
                  <a:lumMod val="50000"/>
                </a:schemeClr>
              </a:solidFill>
            </a:ln>
          </c:spPr>
          <c:marker>
            <c:symbol val="none"/>
          </c:marker>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 ##0.0</c:formatCode>
                <c:ptCount val="18"/>
                <c:pt idx="0">
                  <c:v>-13.347</c:v>
                </c:pt>
                <c:pt idx="1">
                  <c:v>-2.3460000000000001</c:v>
                </c:pt>
                <c:pt idx="2">
                  <c:v>-45.942</c:v>
                </c:pt>
                <c:pt idx="3">
                  <c:v>-25.202000000000002</c:v>
                </c:pt>
                <c:pt idx="4">
                  <c:v>-22.69</c:v>
                </c:pt>
                <c:pt idx="5">
                  <c:v>13.97</c:v>
                </c:pt>
                <c:pt idx="6">
                  <c:v>43.59</c:v>
                </c:pt>
                <c:pt idx="7">
                  <c:v>19.91</c:v>
                </c:pt>
                <c:pt idx="8">
                  <c:v>43.6</c:v>
                </c:pt>
                <c:pt idx="9">
                  <c:v>4.68</c:v>
                </c:pt>
                <c:pt idx="10">
                  <c:v>16.260000000000002</c:v>
                </c:pt>
                <c:pt idx="11">
                  <c:v>-9.24</c:v>
                </c:pt>
                <c:pt idx="12">
                  <c:v>-44.70771591839997</c:v>
                </c:pt>
                <c:pt idx="13">
                  <c:v>-125.1977047449202</c:v>
                </c:pt>
                <c:pt idx="14">
                  <c:v>-59.140376242370223</c:v>
                </c:pt>
                <c:pt idx="15">
                  <c:v>-166.18531283895993</c:v>
                </c:pt>
                <c:pt idx="16">
                  <c:v>-104.97373262855001</c:v>
                </c:pt>
                <c:pt idx="17">
                  <c:v>-91.179991613939933</c:v>
                </c:pt>
              </c:numCache>
            </c:numRef>
          </c:val>
          <c:smooth val="0"/>
          <c:extLst>
            <c:ext xmlns:c16="http://schemas.microsoft.com/office/drawing/2014/chart" uri="{C3380CC4-5D6E-409C-BE32-E72D297353CC}">
              <c16:uniqueId val="{00000008-BE4C-4551-BBD4-73A821AFF4C8}"/>
            </c:ext>
          </c:extLst>
        </c:ser>
        <c:ser>
          <c:idx val="9"/>
          <c:order val="9"/>
          <c:tx>
            <c:strRef>
              <c:f>'G1-SR-příjmy-příspěvky'!$A$44</c:f>
              <c:strCache>
                <c:ptCount val="1"/>
                <c:pt idx="0">
                  <c:v>Saldo SR očištěné o vliv EU a FM** (pr. osa)</c:v>
                </c:pt>
              </c:strCache>
            </c:strRef>
          </c:tx>
          <c:spPr>
            <a:ln w="19050">
              <a:solidFill>
                <a:schemeClr val="bg2">
                  <a:lumMod val="75000"/>
                </a:schemeClr>
              </a:solidFill>
              <a:prstDash val="sysDash"/>
            </a:ln>
          </c:spPr>
          <c:marker>
            <c:symbol val="none"/>
          </c:marker>
          <c:cat>
            <c:numRef>
              <c:f>'G1-SR-příjmy-příspěvky'!$E$34:$V$34</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'G1-SR-příjmy-příspěvky'!$E$44:$V$44</c:f>
              <c:numCache>
                <c:formatCode>General</c:formatCode>
                <c:ptCount val="18"/>
                <c:pt idx="5" formatCode="#\ ##0.0">
                  <c:v>-9.4</c:v>
                </c:pt>
                <c:pt idx="6" formatCode="#\ ##0.0">
                  <c:v>11</c:v>
                </c:pt>
                <c:pt idx="7" formatCode="#\ ##0.0">
                  <c:v>-18.100000000000001</c:v>
                </c:pt>
                <c:pt idx="8" formatCode="#\ ##0.0">
                  <c:v>-11.9</c:v>
                </c:pt>
                <c:pt idx="9" formatCode="#\ ##0.0">
                  <c:v>-4.5599999999999996</c:v>
                </c:pt>
                <c:pt idx="10" formatCode="#\ ##0.0">
                  <c:v>-5.26</c:v>
                </c:pt>
                <c:pt idx="11" formatCode="#\ ##0.0">
                  <c:v>-6.1961843930897658</c:v>
                </c:pt>
                <c:pt idx="12" formatCode="#\ ##0.0">
                  <c:v>-41.582504753719945</c:v>
                </c:pt>
                <c:pt idx="13" formatCode="#\ ##0.0">
                  <c:v>-123.9</c:v>
                </c:pt>
                <c:pt idx="14" formatCode="#\ ##0.0">
                  <c:v>-55.306921067390192</c:v>
                </c:pt>
                <c:pt idx="15" formatCode="#\ ##0.0">
                  <c:v>-156.83966401531995</c:v>
                </c:pt>
                <c:pt idx="16" formatCode="#\ ##0.0">
                  <c:v>-99.064572721260049</c:v>
                </c:pt>
                <c:pt idx="17" formatCode="#\ ##0.0">
                  <c:v>-90.615684114799876</c:v>
                </c:pt>
              </c:numCache>
            </c:numRef>
          </c:val>
          <c:smooth val="0"/>
          <c:extLst>
            <c:ext xmlns:c16="http://schemas.microsoft.com/office/drawing/2014/chart" uri="{C3380CC4-5D6E-409C-BE32-E72D297353CC}">
              <c16:uniqueId val="{00000009-BE4C-4551-BBD4-73A821AFF4C8}"/>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18"/>
          <c:min val="-24"/>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240"/>
          <c:min val="-18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3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1.3447427639932447E-2"/>
          <c:y val="0.84265959516578315"/>
          <c:w val="0.96519969995767563"/>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7261111142572E-2"/>
          <c:y val="1.7698902479006788E-2"/>
          <c:w val="0.84789353558533553"/>
          <c:h val="0.71002184388104528"/>
        </c:manualLayout>
      </c:layout>
      <c:barChart>
        <c:barDir val="col"/>
        <c:grouping val="clustered"/>
        <c:varyColors val="0"/>
        <c:ser>
          <c:idx val="0"/>
          <c:order val="0"/>
          <c:tx>
            <c:strRef>
              <c:f>'G2-St.rozpočet-výdaje-2024'!$B$32</c:f>
              <c:strCache>
                <c:ptCount val="1"/>
                <c:pt idx="0">
                  <c:v>Běžné výdaje (pravá osa)</c:v>
                </c:pt>
              </c:strCache>
            </c:strRef>
          </c:tx>
          <c:spPr>
            <a:solidFill>
              <a:srgbClr val="E8E8E8"/>
            </a:solidFill>
            <a:ln w="6350">
              <a:solidFill>
                <a:schemeClr val="bg1">
                  <a:lumMod val="6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'G2-St.rozpočet-výdaje-2024'!$B$36:$B$53</c:f>
              <c:numCache>
                <c:formatCode>0.0</c:formatCode>
                <c:ptCount val="18"/>
                <c:pt idx="0">
                  <c:v>251.64</c:v>
                </c:pt>
                <c:pt idx="1">
                  <c:v>242.03</c:v>
                </c:pt>
                <c:pt idx="2">
                  <c:v>262.01</c:v>
                </c:pt>
                <c:pt idx="3">
                  <c:v>252.45</c:v>
                </c:pt>
                <c:pt idx="4">
                  <c:v>258.94</c:v>
                </c:pt>
                <c:pt idx="5">
                  <c:v>261.20999999999998</c:v>
                </c:pt>
                <c:pt idx="6">
                  <c:v>265.72000000000003</c:v>
                </c:pt>
                <c:pt idx="7">
                  <c:v>274.76</c:v>
                </c:pt>
                <c:pt idx="8">
                  <c:v>278.33</c:v>
                </c:pt>
                <c:pt idx="9">
                  <c:v>296.72000000000003</c:v>
                </c:pt>
                <c:pt idx="10">
                  <c:v>317.70999999999998</c:v>
                </c:pt>
                <c:pt idx="11">
                  <c:v>357.12</c:v>
                </c:pt>
                <c:pt idx="12">
                  <c:v>398.64712341415998</c:v>
                </c:pt>
                <c:pt idx="13">
                  <c:v>441.4270080969801</c:v>
                </c:pt>
                <c:pt idx="14">
                  <c:v>399.41500922346</c:v>
                </c:pt>
                <c:pt idx="15">
                  <c:v>532.53804444666014</c:v>
                </c:pt>
                <c:pt idx="16">
                  <c:v>520.45979032463003</c:v>
                </c:pt>
                <c:pt idx="17">
                  <c:v>535.69032260976985</c:v>
                </c:pt>
              </c:numCache>
            </c:numRef>
          </c:val>
          <c:extLst>
            <c:ext xmlns:c16="http://schemas.microsoft.com/office/drawing/2014/chart" uri="{C3380CC4-5D6E-409C-BE32-E72D297353CC}">
              <c16:uniqueId val="{00000000-F4C4-4F19-B605-CCAF30B3297D}"/>
            </c:ext>
          </c:extLst>
        </c:ser>
        <c:ser>
          <c:idx val="1"/>
          <c:order val="1"/>
          <c:tx>
            <c:strRef>
              <c:f>'G2-St.rozpočet-výdaje-2024'!$C$32</c:f>
              <c:strCache>
                <c:ptCount val="1"/>
                <c:pt idx="0">
                  <c:v>z toho výdaje na důchody (pr. osa)</c:v>
                </c:pt>
              </c:strCache>
            </c:strRef>
          </c:tx>
          <c:spPr>
            <a:solidFill>
              <a:schemeClr val="bg1">
                <a:lumMod val="75000"/>
              </a:schemeClr>
            </a:solidFill>
            <a:ln w="6350">
              <a:solidFill>
                <a:schemeClr val="bg1">
                  <a:lumMod val="75000"/>
                </a:schemeClr>
              </a:solidFill>
            </a:ln>
          </c:spPr>
          <c:invertIfNegative val="0"/>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'G2-St.rozpočet-výdaje-2024'!$C$36:$C$53</c:f>
              <c:numCache>
                <c:formatCode>0.0</c:formatCode>
                <c:ptCount val="18"/>
                <c:pt idx="0">
                  <c:v>75.12</c:v>
                </c:pt>
                <c:pt idx="1">
                  <c:v>82.56</c:v>
                </c:pt>
                <c:pt idx="2">
                  <c:v>86.24</c:v>
                </c:pt>
                <c:pt idx="3">
                  <c:v>91.83</c:v>
                </c:pt>
                <c:pt idx="4">
                  <c:v>93.1</c:v>
                </c:pt>
                <c:pt idx="5">
                  <c:v>89.17</c:v>
                </c:pt>
                <c:pt idx="6">
                  <c:v>88.14</c:v>
                </c:pt>
                <c:pt idx="7">
                  <c:v>90.59</c:v>
                </c:pt>
                <c:pt idx="8">
                  <c:v>97.1</c:v>
                </c:pt>
                <c:pt idx="9">
                  <c:v>102.39</c:v>
                </c:pt>
                <c:pt idx="10">
                  <c:v>107.5</c:v>
                </c:pt>
                <c:pt idx="11">
                  <c:v>116.5</c:v>
                </c:pt>
                <c:pt idx="12">
                  <c:v>126.1</c:v>
                </c:pt>
                <c:pt idx="13">
                  <c:v>134.60955542761999</c:v>
                </c:pt>
                <c:pt idx="14">
                  <c:v>141.89044829648998</c:v>
                </c:pt>
                <c:pt idx="15">
                  <c:v>171.36544377852999</c:v>
                </c:pt>
                <c:pt idx="16">
                  <c:v>180.52654343703</c:v>
                </c:pt>
                <c:pt idx="17">
                  <c:v>178.54531022916001</c:v>
                </c:pt>
              </c:numCache>
            </c:numRef>
          </c:val>
          <c:extLst>
            <c:ext xmlns:c16="http://schemas.microsoft.com/office/drawing/2014/chart" uri="{C3380CC4-5D6E-409C-BE32-E72D297353CC}">
              <c16:uniqueId val="{00000001-F4C4-4F19-B605-CCAF30B3297D}"/>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'G2-St.rozpočet-výdaje-2024'!$D$32</c:f>
              <c:strCache>
                <c:ptCount val="1"/>
                <c:pt idx="0">
                  <c:v>Platy a související výdaje*</c:v>
                </c:pt>
              </c:strCache>
            </c:strRef>
          </c:tx>
          <c:spPr>
            <a:ln w="15875">
              <a:solidFill>
                <a:srgbClr val="D5D000"/>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'G2-St.rozpočet-výdaje-2024'!$D$36:$D$53</c:f>
              <c:numCache>
                <c:formatCode>0.0</c:formatCode>
                <c:ptCount val="18"/>
                <c:pt idx="0">
                  <c:v>14.73</c:v>
                </c:pt>
                <c:pt idx="1">
                  <c:v>15.14</c:v>
                </c:pt>
                <c:pt idx="2">
                  <c:v>15.42</c:v>
                </c:pt>
                <c:pt idx="3">
                  <c:v>14.05</c:v>
                </c:pt>
                <c:pt idx="4">
                  <c:v>14.35</c:v>
                </c:pt>
                <c:pt idx="5">
                  <c:v>14.46</c:v>
                </c:pt>
                <c:pt idx="6">
                  <c:v>14.8</c:v>
                </c:pt>
                <c:pt idx="7">
                  <c:v>15.8</c:v>
                </c:pt>
                <c:pt idx="8">
                  <c:v>16.75</c:v>
                </c:pt>
                <c:pt idx="9">
                  <c:v>17.75</c:v>
                </c:pt>
                <c:pt idx="10">
                  <c:v>20.47</c:v>
                </c:pt>
                <c:pt idx="11">
                  <c:v>22.19</c:v>
                </c:pt>
                <c:pt idx="12">
                  <c:v>23.368913903229998</c:v>
                </c:pt>
                <c:pt idx="13">
                  <c:v>23.533468726859997</c:v>
                </c:pt>
                <c:pt idx="14">
                  <c:v>23.433169218610001</c:v>
                </c:pt>
                <c:pt idx="15">
                  <c:v>26.224629488409995</c:v>
                </c:pt>
                <c:pt idx="16">
                  <c:v>26.439389476379997</c:v>
                </c:pt>
                <c:pt idx="17">
                  <c:v>27.71078910804</c:v>
                </c:pt>
              </c:numCache>
            </c:numRef>
          </c:val>
          <c:smooth val="0"/>
          <c:extLst>
            <c:ext xmlns:c16="http://schemas.microsoft.com/office/drawing/2014/chart" uri="{C3380CC4-5D6E-409C-BE32-E72D297353CC}">
              <c16:uniqueId val="{00000002-F4C4-4F19-B605-CCAF30B3297D}"/>
            </c:ext>
          </c:extLst>
        </c:ser>
        <c:ser>
          <c:idx val="7"/>
          <c:order val="3"/>
          <c:tx>
            <c:strRef>
              <c:f>'G2-St.rozpočet-výdaje-2024'!$E$32</c:f>
              <c:strCache>
                <c:ptCount val="1"/>
                <c:pt idx="0">
                  <c:v>Podpora v nezaměstnanosti</c:v>
                </c:pt>
              </c:strCache>
            </c:strRef>
          </c:tx>
          <c:spPr>
            <a:ln w="15875">
              <a:solidFill>
                <a:schemeClr val="tx1">
                  <a:lumMod val="95000"/>
                  <a:lumOff val="5000"/>
                </a:schemeClr>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'G2-St.rozpočet-výdaje-2024'!$E$36:$E$53</c:f>
              <c:numCache>
                <c:formatCode>0.0</c:formatCode>
                <c:ptCount val="18"/>
                <c:pt idx="0">
                  <c:v>1.87</c:v>
                </c:pt>
                <c:pt idx="1">
                  <c:v>3.07</c:v>
                </c:pt>
                <c:pt idx="2">
                  <c:v>4.21</c:v>
                </c:pt>
                <c:pt idx="3">
                  <c:v>3.62</c:v>
                </c:pt>
                <c:pt idx="4">
                  <c:v>2.63</c:v>
                </c:pt>
                <c:pt idx="5">
                  <c:v>2.82</c:v>
                </c:pt>
                <c:pt idx="6">
                  <c:v>2.86</c:v>
                </c:pt>
                <c:pt idx="7">
                  <c:v>2.56</c:v>
                </c:pt>
                <c:pt idx="8">
                  <c:v>2.4500000000000002</c:v>
                </c:pt>
                <c:pt idx="9">
                  <c:v>2.42</c:v>
                </c:pt>
                <c:pt idx="10">
                  <c:v>2.21</c:v>
                </c:pt>
                <c:pt idx="11">
                  <c:v>2.30140118962</c:v>
                </c:pt>
                <c:pt idx="12">
                  <c:v>2.4618649264500001</c:v>
                </c:pt>
                <c:pt idx="13">
                  <c:v>2.9688356739000001</c:v>
                </c:pt>
                <c:pt idx="14">
                  <c:v>2.7006655894699998</c:v>
                </c:pt>
                <c:pt idx="15">
                  <c:v>2.9152491361499999</c:v>
                </c:pt>
                <c:pt idx="16">
                  <c:v>3.3844962595500001</c:v>
                </c:pt>
                <c:pt idx="17">
                  <c:v>3.8425985031599996</c:v>
                </c:pt>
              </c:numCache>
            </c:numRef>
          </c:val>
          <c:smooth val="0"/>
          <c:extLst>
            <c:ext xmlns:c16="http://schemas.microsoft.com/office/drawing/2014/chart" uri="{C3380CC4-5D6E-409C-BE32-E72D297353CC}">
              <c16:uniqueId val="{00000003-F4C4-4F19-B605-CCAF30B3297D}"/>
            </c:ext>
          </c:extLst>
        </c:ser>
        <c:ser>
          <c:idx val="2"/>
          <c:order val="4"/>
          <c:tx>
            <c:strRef>
              <c:f>'G2-St.rozpočet-výdaje-2024'!$F$32</c:f>
              <c:strCache>
                <c:ptCount val="1"/>
                <c:pt idx="0">
                  <c:v>Státní sociální podpora**</c:v>
                </c:pt>
              </c:strCache>
            </c:strRef>
          </c:tx>
          <c:spPr>
            <a:ln w="15875">
              <a:solidFill>
                <a:schemeClr val="accent6">
                  <a:lumMod val="75000"/>
                </a:schemeClr>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'G2-St.rozpočet-výdaje-2024'!$F$36:$F$53</c:f>
              <c:numCache>
                <c:formatCode>General</c:formatCode>
                <c:ptCount val="18"/>
                <c:pt idx="0">
                  <c:v>11.07</c:v>
                </c:pt>
                <c:pt idx="1">
                  <c:v>10.199999999999999</c:v>
                </c:pt>
                <c:pt idx="2">
                  <c:v>10.3</c:v>
                </c:pt>
                <c:pt idx="3">
                  <c:v>9.3800000000000008</c:v>
                </c:pt>
                <c:pt idx="4">
                  <c:v>8.89</c:v>
                </c:pt>
                <c:pt idx="5">
                  <c:v>9.2200000000000006</c:v>
                </c:pt>
                <c:pt idx="6">
                  <c:v>9.3699999999999992</c:v>
                </c:pt>
                <c:pt idx="7">
                  <c:v>9.33</c:v>
                </c:pt>
                <c:pt idx="8">
                  <c:v>9.3800000000000008</c:v>
                </c:pt>
                <c:pt idx="9">
                  <c:v>9.2899999999999991</c:v>
                </c:pt>
                <c:pt idx="10">
                  <c:v>9.48</c:v>
                </c:pt>
                <c:pt idx="11" formatCode="0.00">
                  <c:v>9.5169305102399999</c:v>
                </c:pt>
                <c:pt idx="12">
                  <c:v>11.83410995721</c:v>
                </c:pt>
                <c:pt idx="13" formatCode="0.00">
                  <c:v>12.157197793090001</c:v>
                </c:pt>
                <c:pt idx="14" formatCode="0.00">
                  <c:v>11.86611055124</c:v>
                </c:pt>
                <c:pt idx="15" formatCode="0.00">
                  <c:v>14.5934024789</c:v>
                </c:pt>
                <c:pt idx="16" formatCode="0.00">
                  <c:v>15.149787643109999</c:v>
                </c:pt>
                <c:pt idx="17" formatCode="0.00">
                  <c:v>15.35812457566</c:v>
                </c:pt>
              </c:numCache>
            </c:numRef>
          </c:val>
          <c:smooth val="0"/>
          <c:extLst>
            <c:ext xmlns:c16="http://schemas.microsoft.com/office/drawing/2014/chart" uri="{C3380CC4-5D6E-409C-BE32-E72D297353CC}">
              <c16:uniqueId val="{00000004-F4C4-4F19-B605-CCAF30B3297D}"/>
            </c:ext>
          </c:extLst>
        </c:ser>
        <c:ser>
          <c:idx val="3"/>
          <c:order val="5"/>
          <c:tx>
            <c:strRef>
              <c:f>'G2-St.rozpočet-výdaje-2024'!$G$32</c:f>
              <c:strCache>
                <c:ptCount val="1"/>
                <c:pt idx="0">
                  <c:v>Dávky nemocenského pojištění</c:v>
                </c:pt>
              </c:strCache>
            </c:strRef>
          </c:tx>
          <c:spPr>
            <a:ln w="15875">
              <a:solidFill>
                <a:srgbClr val="00B0F0"/>
              </a:solidFill>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'G2-St.rozpočet-výdaje-2024'!$G$36:$G$53</c:f>
              <c:numCache>
                <c:formatCode>0.00</c:formatCode>
                <c:ptCount val="18"/>
                <c:pt idx="0">
                  <c:v>9.09</c:v>
                </c:pt>
                <c:pt idx="1">
                  <c:v>7.27</c:v>
                </c:pt>
                <c:pt idx="2">
                  <c:v>6.07</c:v>
                </c:pt>
                <c:pt idx="3">
                  <c:v>6.07</c:v>
                </c:pt>
                <c:pt idx="4">
                  <c:v>5.21</c:v>
                </c:pt>
                <c:pt idx="5">
                  <c:v>5.3</c:v>
                </c:pt>
                <c:pt idx="6">
                  <c:v>5.47</c:v>
                </c:pt>
                <c:pt idx="7">
                  <c:v>6.21</c:v>
                </c:pt>
                <c:pt idx="8">
                  <c:v>6.67</c:v>
                </c:pt>
                <c:pt idx="9">
                  <c:v>7.47</c:v>
                </c:pt>
                <c:pt idx="10">
                  <c:v>8.2899999999999991</c:v>
                </c:pt>
                <c:pt idx="11">
                  <c:v>9.92</c:v>
                </c:pt>
                <c:pt idx="12">
                  <c:v>10.97</c:v>
                </c:pt>
                <c:pt idx="13">
                  <c:v>13.3</c:v>
                </c:pt>
                <c:pt idx="14">
                  <c:v>13.36</c:v>
                </c:pt>
                <c:pt idx="15">
                  <c:v>12.6</c:v>
                </c:pt>
                <c:pt idx="16">
                  <c:v>12.8</c:v>
                </c:pt>
                <c:pt idx="17">
                  <c:v>13.25</c:v>
                </c:pt>
              </c:numCache>
            </c:numRef>
          </c:val>
          <c:smooth val="0"/>
          <c:extLst>
            <c:ext xmlns:c16="http://schemas.microsoft.com/office/drawing/2014/chart" uri="{C3380CC4-5D6E-409C-BE32-E72D297353CC}">
              <c16:uniqueId val="{00000005-F4C4-4F19-B605-CCAF30B3297D}"/>
            </c:ext>
          </c:extLst>
        </c:ser>
        <c:ser>
          <c:idx val="4"/>
          <c:order val="6"/>
          <c:tx>
            <c:strRef>
              <c:f>'G2-St.rozpočet-výdaje-2024'!$H$32</c:f>
              <c:strCache>
                <c:ptCount val="1"/>
                <c:pt idx="0">
                  <c:v>Dávky sociální péče***</c:v>
                </c:pt>
              </c:strCache>
            </c:strRef>
          </c:tx>
          <c:spPr>
            <a:ln w="15875">
              <a:solidFill>
                <a:srgbClr val="00B050"/>
              </a:solidFill>
              <a:prstDash val="solid"/>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'G2-St.rozpočet-výdaje-2024'!$H$36:$H$53</c:f>
              <c:numCache>
                <c:formatCode>0.00</c:formatCode>
                <c:ptCount val="18"/>
                <c:pt idx="0">
                  <c:v>7.8000000000000007</c:v>
                </c:pt>
                <c:pt idx="1">
                  <c:v>7.1</c:v>
                </c:pt>
                <c:pt idx="2">
                  <c:v>7.1999999999999993</c:v>
                </c:pt>
                <c:pt idx="3">
                  <c:v>6.68</c:v>
                </c:pt>
                <c:pt idx="4">
                  <c:v>6.37</c:v>
                </c:pt>
                <c:pt idx="5">
                  <c:v>7.64</c:v>
                </c:pt>
                <c:pt idx="6">
                  <c:v>8.2100000000000009</c:v>
                </c:pt>
                <c:pt idx="7">
                  <c:v>8.44</c:v>
                </c:pt>
                <c:pt idx="8">
                  <c:v>8.34</c:v>
                </c:pt>
                <c:pt idx="9">
                  <c:v>8.85</c:v>
                </c:pt>
                <c:pt idx="10">
                  <c:v>8.48</c:v>
                </c:pt>
                <c:pt idx="11">
                  <c:v>8.3800000000000008</c:v>
                </c:pt>
                <c:pt idx="12">
                  <c:v>9.91</c:v>
                </c:pt>
                <c:pt idx="13">
                  <c:v>10.199999999999999</c:v>
                </c:pt>
                <c:pt idx="14">
                  <c:v>11.6</c:v>
                </c:pt>
                <c:pt idx="15">
                  <c:v>13.9</c:v>
                </c:pt>
                <c:pt idx="16">
                  <c:v>13.5</c:v>
                </c:pt>
                <c:pt idx="17">
                  <c:v>16.329999999999998</c:v>
                </c:pt>
              </c:numCache>
            </c:numRef>
          </c:val>
          <c:smooth val="0"/>
          <c:extLst>
            <c:ext xmlns:c16="http://schemas.microsoft.com/office/drawing/2014/chart" uri="{C3380CC4-5D6E-409C-BE32-E72D297353CC}">
              <c16:uniqueId val="{00000006-F4C4-4F19-B605-CCAF30B3297D}"/>
            </c:ext>
          </c:extLst>
        </c:ser>
        <c:ser>
          <c:idx val="5"/>
          <c:order val="7"/>
          <c:tx>
            <c:strRef>
              <c:f>'G2-St.rozpočet-výdaje-2024'!$I$32</c:f>
              <c:strCache>
                <c:ptCount val="1"/>
                <c:pt idx="0">
                  <c:v>Neinv. nákupy a souvis.výdaje****</c:v>
                </c:pt>
              </c:strCache>
            </c:strRef>
          </c:tx>
          <c:spPr>
            <a:ln w="9525">
              <a:solidFill>
                <a:srgbClr val="7030A0"/>
              </a:solidFill>
              <a:prstDash val="sysDot"/>
            </a:ln>
          </c:spPr>
          <c:marker>
            <c:symbol val="circle"/>
            <c:size val="5"/>
            <c:spPr>
              <a:solidFill>
                <a:schemeClr val="bg1"/>
              </a:solidFill>
              <a:ln>
                <a:solidFill>
                  <a:srgbClr val="7030A0"/>
                </a:solid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'G2-St.rozpočet-výdaje-2024'!$I$36:$I$53</c:f>
              <c:numCache>
                <c:formatCode>General</c:formatCode>
                <c:ptCount val="18"/>
                <c:pt idx="4" formatCode="0.0">
                  <c:v>14.04</c:v>
                </c:pt>
                <c:pt idx="5" formatCode="0.0">
                  <c:v>11.8</c:v>
                </c:pt>
                <c:pt idx="6" formatCode="0.0">
                  <c:v>10.3</c:v>
                </c:pt>
                <c:pt idx="7" formatCode="0.0">
                  <c:v>12.43</c:v>
                </c:pt>
                <c:pt idx="8" formatCode="0.0">
                  <c:v>11.780000000000001</c:v>
                </c:pt>
                <c:pt idx="9" formatCode="0.0">
                  <c:v>14.34</c:v>
                </c:pt>
                <c:pt idx="10" formatCode="0.0">
                  <c:v>15.51</c:v>
                </c:pt>
                <c:pt idx="11" formatCode="0.0">
                  <c:v>13.6</c:v>
                </c:pt>
                <c:pt idx="12" formatCode="0.0">
                  <c:v>18.412898374919997</c:v>
                </c:pt>
                <c:pt idx="13" formatCode="0.0">
                  <c:v>13.877945219839999</c:v>
                </c:pt>
                <c:pt idx="14" formatCode="0.0">
                  <c:v>15.432360398750003</c:v>
                </c:pt>
                <c:pt idx="15" formatCode="0.0">
                  <c:v>15.294108232550006</c:v>
                </c:pt>
                <c:pt idx="16" formatCode="0.0">
                  <c:v>19.122036378900006</c:v>
                </c:pt>
                <c:pt idx="17" formatCode="0.0">
                  <c:v>19.244359188459995</c:v>
                </c:pt>
              </c:numCache>
            </c:numRef>
          </c:val>
          <c:smooth val="0"/>
          <c:extLst>
            <c:ext xmlns:c16="http://schemas.microsoft.com/office/drawing/2014/chart" uri="{C3380CC4-5D6E-409C-BE32-E72D297353CC}">
              <c16:uniqueId val="{00000007-F4C4-4F19-B605-CCAF30B3297D}"/>
            </c:ext>
          </c:extLst>
        </c:ser>
        <c:ser>
          <c:idx val="9"/>
          <c:order val="8"/>
          <c:tx>
            <c:strRef>
              <c:f>'G2-St.rozpočet-výdaje-2024'!$J$32</c:f>
              <c:strCache>
                <c:ptCount val="1"/>
                <c:pt idx="0">
                  <c:v>Neinvestič. transfery podnikatelům</c:v>
                </c:pt>
              </c:strCache>
            </c:strRef>
          </c:tx>
          <c:spPr>
            <a:ln w="15875">
              <a:noFill/>
              <a:prstDash val="sysDot"/>
            </a:ln>
          </c:spPr>
          <c:marker>
            <c:symbol val="triangle"/>
            <c:size val="5"/>
            <c:spPr>
              <a:solidFill>
                <a:schemeClr val="tx1">
                  <a:lumMod val="95000"/>
                  <a:lumOff val="5000"/>
                </a:schemeClr>
              </a:solidFill>
              <a:ln>
                <a:noFill/>
              </a:ln>
            </c:spPr>
          </c:marker>
          <c:dPt>
            <c:idx val="4"/>
            <c:bubble3D val="0"/>
            <c:extLst>
              <c:ext xmlns:c16="http://schemas.microsoft.com/office/drawing/2014/chart" uri="{C3380CC4-5D6E-409C-BE32-E72D297353CC}">
                <c16:uniqueId val="{00000008-F4C4-4F19-B605-CCAF30B3297D}"/>
              </c:ext>
            </c:extLst>
          </c:dPt>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'G2-St.rozpočet-výdaje-2024'!$J$36:$J$53</c:f>
              <c:numCache>
                <c:formatCode>General</c:formatCode>
                <c:ptCount val="18"/>
                <c:pt idx="4" formatCode="0.0">
                  <c:v>8.6300000000000008</c:v>
                </c:pt>
                <c:pt idx="5" formatCode="0.0">
                  <c:v>7.93</c:v>
                </c:pt>
                <c:pt idx="6" formatCode="0.0">
                  <c:v>9.3800000000000008</c:v>
                </c:pt>
                <c:pt idx="7" formatCode="0.0">
                  <c:v>10.44</c:v>
                </c:pt>
                <c:pt idx="8" formatCode="0.0">
                  <c:v>9.8800000000000008</c:v>
                </c:pt>
                <c:pt idx="9" formatCode="0.0">
                  <c:v>13.31</c:v>
                </c:pt>
                <c:pt idx="10" formatCode="0.0">
                  <c:v>11.74</c:v>
                </c:pt>
                <c:pt idx="11" formatCode="0.0">
                  <c:v>15.29</c:v>
                </c:pt>
                <c:pt idx="12" formatCode="0.0">
                  <c:v>15.09</c:v>
                </c:pt>
                <c:pt idx="13" formatCode="0.0">
                  <c:v>38.603799745229999</c:v>
                </c:pt>
                <c:pt idx="14" formatCode="0.0">
                  <c:v>13.316887891789998</c:v>
                </c:pt>
                <c:pt idx="15" formatCode="0.0">
                  <c:v>44.217813779380002</c:v>
                </c:pt>
                <c:pt idx="16" formatCode="0.0">
                  <c:v>28.32791854501</c:v>
                </c:pt>
                <c:pt idx="17" formatCode="0.0">
                  <c:v>17.2</c:v>
                </c:pt>
              </c:numCache>
            </c:numRef>
          </c:val>
          <c:smooth val="0"/>
          <c:extLst>
            <c:ext xmlns:c16="http://schemas.microsoft.com/office/drawing/2014/chart" uri="{C3380CC4-5D6E-409C-BE32-E72D297353CC}">
              <c16:uniqueId val="{00000009-F4C4-4F19-B605-CCAF30B3297D}"/>
            </c:ext>
          </c:extLst>
        </c:ser>
        <c:ser>
          <c:idx val="8"/>
          <c:order val="9"/>
          <c:tx>
            <c:strRef>
              <c:f>'G2-St.rozpočet-výdaje-2024'!$K$32</c:f>
              <c:strCache>
                <c:ptCount val="1"/>
                <c:pt idx="0">
                  <c:v>Státní dluh (čisté výdaje)*****</c:v>
                </c:pt>
              </c:strCache>
            </c:strRef>
          </c:tx>
          <c:spPr>
            <a:ln w="12700">
              <a:noFill/>
              <a:prstDash val="sysDot"/>
            </a:ln>
          </c:spPr>
          <c:marker>
            <c:symbol val="diamond"/>
            <c:size val="5"/>
            <c:spPr>
              <a:solidFill>
                <a:srgbClr val="FF0000"/>
              </a:solidFill>
              <a:ln>
                <a:noFill/>
              </a:ln>
            </c:spPr>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'G2-St.rozpočet-výdaje-2024'!$K$36:$K$53</c:f>
              <c:numCache>
                <c:formatCode>0.0</c:formatCode>
                <c:ptCount val="18"/>
                <c:pt idx="0">
                  <c:v>6.4700000000000006</c:v>
                </c:pt>
                <c:pt idx="1">
                  <c:v>7.31</c:v>
                </c:pt>
                <c:pt idx="2">
                  <c:v>2.6399999999999997</c:v>
                </c:pt>
                <c:pt idx="3">
                  <c:v>3.4000000000000004</c:v>
                </c:pt>
                <c:pt idx="4">
                  <c:v>1.54</c:v>
                </c:pt>
                <c:pt idx="5">
                  <c:v>2.2599999999999998</c:v>
                </c:pt>
                <c:pt idx="6">
                  <c:v>2.13</c:v>
                </c:pt>
                <c:pt idx="7">
                  <c:v>0.96999999999999975</c:v>
                </c:pt>
                <c:pt idx="8">
                  <c:v>3.13</c:v>
                </c:pt>
                <c:pt idx="9">
                  <c:v>-0.31</c:v>
                </c:pt>
                <c:pt idx="10">
                  <c:v>2.06</c:v>
                </c:pt>
                <c:pt idx="11">
                  <c:v>1.3502602605999998</c:v>
                </c:pt>
                <c:pt idx="12">
                  <c:v>3.4313927868200005</c:v>
                </c:pt>
                <c:pt idx="13">
                  <c:v>4.2</c:v>
                </c:pt>
                <c:pt idx="14">
                  <c:v>7.9</c:v>
                </c:pt>
                <c:pt idx="15">
                  <c:v>16.365433997490001</c:v>
                </c:pt>
                <c:pt idx="16">
                  <c:v>11.329492006200001</c:v>
                </c:pt>
                <c:pt idx="17">
                  <c:v>16.390006008420002</c:v>
                </c:pt>
              </c:numCache>
            </c:numRef>
          </c:val>
          <c:smooth val="0"/>
          <c:extLst>
            <c:ext xmlns:c16="http://schemas.microsoft.com/office/drawing/2014/chart" uri="{C3380CC4-5D6E-409C-BE32-E72D297353CC}">
              <c16:uniqueId val="{0000000A-F4C4-4F19-B605-CCAF30B3297D}"/>
            </c:ext>
          </c:extLst>
        </c:ser>
        <c:ser>
          <c:idx val="10"/>
          <c:order val="10"/>
          <c:tx>
            <c:strRef>
              <c:f>'G2-St.rozpočet-výdaje-2024'!$L$32</c:f>
              <c:strCache>
                <c:ptCount val="1"/>
                <c:pt idx="0">
                  <c:v>Kapitálové výdaje</c:v>
                </c:pt>
              </c:strCache>
            </c:strRef>
          </c:tx>
          <c:spPr>
            <a:ln w="15875">
              <a:solidFill>
                <a:srgbClr val="996633"/>
              </a:solidFill>
              <a:prstDash val="solid"/>
            </a:ln>
          </c:spPr>
          <c:marker>
            <c:symbol val="none"/>
          </c:marker>
          <c:cat>
            <c:numRef>
              <c:f>'G2-St.rozpočet-výdaje-2024'!$A$36:$A$53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'G2-St.rozpočet-výdaje-2024'!$L$36:$L$53</c:f>
              <c:numCache>
                <c:formatCode>0.0</c:formatCode>
                <c:ptCount val="18"/>
                <c:pt idx="0">
                  <c:v>31.85</c:v>
                </c:pt>
                <c:pt idx="1">
                  <c:v>31.88</c:v>
                </c:pt>
                <c:pt idx="2">
                  <c:v>33.1</c:v>
                </c:pt>
                <c:pt idx="3">
                  <c:v>26.12</c:v>
                </c:pt>
                <c:pt idx="4">
                  <c:v>22.19</c:v>
                </c:pt>
                <c:pt idx="5">
                  <c:v>17.690000000000001</c:v>
                </c:pt>
                <c:pt idx="6">
                  <c:v>14.93</c:v>
                </c:pt>
                <c:pt idx="7">
                  <c:v>19.78</c:v>
                </c:pt>
                <c:pt idx="8">
                  <c:v>20.02</c:v>
                </c:pt>
                <c:pt idx="9">
                  <c:v>6.27</c:v>
                </c:pt>
                <c:pt idx="10">
                  <c:v>11.73</c:v>
                </c:pt>
                <c:pt idx="11">
                  <c:v>16.43</c:v>
                </c:pt>
                <c:pt idx="12">
                  <c:v>23.367157547710001</c:v>
                </c:pt>
                <c:pt idx="13">
                  <c:v>23.477695399889999</c:v>
                </c:pt>
                <c:pt idx="14">
                  <c:v>15.96759917888</c:v>
                </c:pt>
                <c:pt idx="15">
                  <c:v>36.131603101170001</c:v>
                </c:pt>
                <c:pt idx="16">
                  <c:v>33.585090469280004</c:v>
                </c:pt>
                <c:pt idx="17">
                  <c:v>31.926295925510001</c:v>
                </c:pt>
              </c:numCache>
            </c:numRef>
          </c:val>
          <c:smooth val="0"/>
          <c:extLst>
            <c:ext xmlns:c16="http://schemas.microsoft.com/office/drawing/2014/chart" uri="{C3380CC4-5D6E-409C-BE32-E72D297353CC}">
              <c16:uniqueId val="{0000000B-F4C4-4F19-B605-CCAF30B3297D}"/>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45"/>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5"/>
      </c:valAx>
      <c:valAx>
        <c:axId val="72835072"/>
        <c:scaling>
          <c:orientation val="minMax"/>
          <c:max val="540"/>
          <c:min val="0"/>
        </c:scaling>
        <c:delete val="0"/>
        <c:axPos val="r"/>
        <c:title>
          <c:tx>
            <c:rich>
              <a:bodyPr/>
              <a:lstStyle/>
              <a:p>
                <a:pPr>
                  <a:defRPr sz="700" b="0" i="1"/>
                </a:pPr>
                <a:r>
                  <a:rPr lang="cs-CZ" sz="700" b="0" i="1"/>
                  <a:t>Běžné výdaje celkem, důchody</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6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7.5408467844055221E-2"/>
          <c:y val="0.80506729304483915"/>
          <c:w val="0.83418279867620737"/>
          <c:h val="0.19112809564193409"/>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991261776187514E-2"/>
          <c:y val="2.0805019553005451E-2"/>
          <c:w val="0.91766435468527663"/>
          <c:h val="0.81250670878955544"/>
        </c:manualLayout>
      </c:layout>
      <c:barChart>
        <c:barDir val="col"/>
        <c:grouping val="clustered"/>
        <c:varyColors val="0"/>
        <c:ser>
          <c:idx val="0"/>
          <c:order val="0"/>
          <c:tx>
            <c:strRef>
              <c:f>'G3-Sektor vlád.institucí'!$A$189</c:f>
              <c:strCache>
                <c:ptCount val="1"/>
                <c:pt idx="0">
                  <c:v>EU27</c:v>
                </c:pt>
              </c:strCache>
            </c:strRef>
          </c:tx>
          <c:spPr>
            <a:solidFill>
              <a:schemeClr val="bg2">
                <a:lumMod val="90000"/>
              </a:schemeClr>
            </a:solidFill>
            <a:ln>
              <a:solidFill>
                <a:schemeClr val="bg2">
                  <a:lumMod val="50000"/>
                </a:schemeClr>
              </a:solidFill>
            </a:ln>
            <a:effectLst/>
          </c:spPr>
          <c:invertIfNegative val="0"/>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vlád.institucí'!$O$189:$AE$189</c:f>
              <c:numCache>
                <c:formatCode>#\ ##0.##########</c:formatCode>
                <c:ptCount val="17"/>
                <c:pt idx="0">
                  <c:v>-2.1</c:v>
                </c:pt>
                <c:pt idx="1">
                  <c:v>-6.1</c:v>
                </c:pt>
                <c:pt idx="2" formatCode="#\ ##0.0">
                  <c:v>-6</c:v>
                </c:pt>
                <c:pt idx="3">
                  <c:v>-4.0999999999999996</c:v>
                </c:pt>
                <c:pt idx="4">
                  <c:v>-3.7</c:v>
                </c:pt>
                <c:pt idx="5">
                  <c:v>-3.1</c:v>
                </c:pt>
                <c:pt idx="6">
                  <c:v>-2.4</c:v>
                </c:pt>
                <c:pt idx="7">
                  <c:v>-1.9</c:v>
                </c:pt>
                <c:pt idx="8">
                  <c:v>-1.4</c:v>
                </c:pt>
                <c:pt idx="9">
                  <c:v>-0.9</c:v>
                </c:pt>
                <c:pt idx="10">
                  <c:v>-0.4</c:v>
                </c:pt>
                <c:pt idx="11">
                  <c:v>-0.5</c:v>
                </c:pt>
                <c:pt idx="12">
                  <c:v>-6.7</c:v>
                </c:pt>
                <c:pt idx="13">
                  <c:v>-4.5999999999999996</c:v>
                </c:pt>
                <c:pt idx="14">
                  <c:v>-3.2</c:v>
                </c:pt>
                <c:pt idx="15">
                  <c:v>-3.5</c:v>
                </c:pt>
                <c:pt idx="16">
                  <c:v>-3.2</c:v>
                </c:pt>
              </c:numCache>
            </c:numRef>
          </c:val>
          <c:extLst>
            <c:ext xmlns:c16="http://schemas.microsoft.com/office/drawing/2014/chart" uri="{C3380CC4-5D6E-409C-BE32-E72D297353CC}">
              <c16:uniqueId val="{00000000-ED7C-40C1-A4CC-D01C5EAA0AA1}"/>
            </c:ext>
          </c:extLst>
        </c:ser>
        <c:ser>
          <c:idx val="1"/>
          <c:order val="1"/>
          <c:tx>
            <c:strRef>
              <c:f>'G3-Sektor vlád.institucí'!$A$190</c:f>
              <c:strCache>
                <c:ptCount val="1"/>
                <c:pt idx="0">
                  <c:v>Česko</c:v>
                </c:pt>
              </c:strCache>
            </c:strRef>
          </c:tx>
          <c:spPr>
            <a:solidFill>
              <a:schemeClr val="bg2">
                <a:lumMod val="50000"/>
              </a:schemeClr>
            </a:solidFill>
            <a:ln>
              <a:noFill/>
            </a:ln>
            <a:effectLst/>
          </c:spPr>
          <c:invertIfNegative val="0"/>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vlád.institucí'!$O$190:$AE$190</c:f>
              <c:numCache>
                <c:formatCode>#\ ##0.##########</c:formatCode>
                <c:ptCount val="17"/>
                <c:pt idx="0" formatCode="#\ ##0.0">
                  <c:v>-2</c:v>
                </c:pt>
                <c:pt idx="1">
                  <c:v>-5.5</c:v>
                </c:pt>
                <c:pt idx="2">
                  <c:v>-4.0999999999999996</c:v>
                </c:pt>
                <c:pt idx="3">
                  <c:v>-2.7</c:v>
                </c:pt>
                <c:pt idx="4">
                  <c:v>-3.9</c:v>
                </c:pt>
                <c:pt idx="5">
                  <c:v>-1.3</c:v>
                </c:pt>
                <c:pt idx="6">
                  <c:v>-2.1</c:v>
                </c:pt>
                <c:pt idx="7">
                  <c:v>-0.7</c:v>
                </c:pt>
                <c:pt idx="8">
                  <c:v>0.7</c:v>
                </c:pt>
                <c:pt idx="9">
                  <c:v>1.5</c:v>
                </c:pt>
                <c:pt idx="10">
                  <c:v>0.9</c:v>
                </c:pt>
                <c:pt idx="11">
                  <c:v>0.3</c:v>
                </c:pt>
                <c:pt idx="12">
                  <c:v>-5.6</c:v>
                </c:pt>
                <c:pt idx="13" formatCode="#\ ##0.0">
                  <c:v>-5</c:v>
                </c:pt>
                <c:pt idx="14">
                  <c:v>-3.1</c:v>
                </c:pt>
                <c:pt idx="15">
                  <c:v>-3.8</c:v>
                </c:pt>
                <c:pt idx="16">
                  <c:v>-2.2000000000000002</c:v>
                </c:pt>
              </c:numCache>
            </c:numRef>
          </c:val>
          <c:extLst>
            <c:ext xmlns:c16="http://schemas.microsoft.com/office/drawing/2014/chart" uri="{C3380CC4-5D6E-409C-BE32-E72D297353CC}">
              <c16:uniqueId val="{00000001-ED7C-40C1-A4CC-D01C5EAA0AA1}"/>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vlád.institucí'!$A$191</c:f>
              <c:strCache>
                <c:ptCount val="1"/>
                <c:pt idx="0">
                  <c:v>Slovensko</c:v>
                </c:pt>
              </c:strCache>
            </c:strRef>
          </c:tx>
          <c:spPr>
            <a:ln w="12700" cap="rnd">
              <a:solidFill>
                <a:schemeClr val="bg2">
                  <a:lumMod val="75000"/>
                </a:schemeClr>
              </a:solidFill>
              <a:prstDash val="sysDot"/>
              <a:round/>
            </a:ln>
            <a:effectLst/>
          </c:spPr>
          <c:marker>
            <c:symbol val="circle"/>
            <c:size val="5"/>
            <c:spPr>
              <a:solidFill>
                <a:schemeClr val="bg2">
                  <a:lumMod val="25000"/>
                </a:schemeClr>
              </a:solidFill>
              <a:ln w="9525">
                <a:noFill/>
              </a:ln>
              <a:effectLst/>
            </c:spPr>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vlád.institucí'!$O$191:$AE$191</c:f>
              <c:numCache>
                <c:formatCode>#\ ##0.##########</c:formatCode>
                <c:ptCount val="17"/>
                <c:pt idx="0">
                  <c:v>-2.5</c:v>
                </c:pt>
                <c:pt idx="1">
                  <c:v>-8.1999999999999993</c:v>
                </c:pt>
                <c:pt idx="2">
                  <c:v>-7.4</c:v>
                </c:pt>
                <c:pt idx="3">
                  <c:v>-4.4000000000000004</c:v>
                </c:pt>
                <c:pt idx="4">
                  <c:v>-4.4000000000000004</c:v>
                </c:pt>
                <c:pt idx="5">
                  <c:v>-2.9</c:v>
                </c:pt>
                <c:pt idx="6">
                  <c:v>-3.2</c:v>
                </c:pt>
                <c:pt idx="7">
                  <c:v>-2.8</c:v>
                </c:pt>
                <c:pt idx="8">
                  <c:v>-2.6</c:v>
                </c:pt>
                <c:pt idx="9" formatCode="#\ ##0.0">
                  <c:v>-1</c:v>
                </c:pt>
                <c:pt idx="10" formatCode="#\ ##0.0">
                  <c:v>-1</c:v>
                </c:pt>
                <c:pt idx="11">
                  <c:v>-1.2</c:v>
                </c:pt>
                <c:pt idx="12">
                  <c:v>-5.3</c:v>
                </c:pt>
                <c:pt idx="13">
                  <c:v>-5.0999999999999996</c:v>
                </c:pt>
                <c:pt idx="14">
                  <c:v>-1.7</c:v>
                </c:pt>
                <c:pt idx="15">
                  <c:v>-5.2</c:v>
                </c:pt>
                <c:pt idx="16">
                  <c:v>-5.3</c:v>
                </c:pt>
              </c:numCache>
            </c:numRef>
          </c:val>
          <c:smooth val="0"/>
          <c:extLst>
            <c:ext xmlns:c16="http://schemas.microsoft.com/office/drawing/2014/chart" uri="{C3380CC4-5D6E-409C-BE32-E72D297353CC}">
              <c16:uniqueId val="{00000002-ED7C-40C1-A4CC-D01C5EAA0AA1}"/>
            </c:ext>
          </c:extLst>
        </c:ser>
        <c:ser>
          <c:idx val="4"/>
          <c:order val="3"/>
          <c:tx>
            <c:strRef>
              <c:f>'G3-Sektor vlád.institucí'!$A$192</c:f>
              <c:strCache>
                <c:ptCount val="1"/>
                <c:pt idx="0">
                  <c:v>Polsko</c:v>
                </c:pt>
              </c:strCache>
            </c:strRef>
          </c:tx>
          <c:spPr>
            <a:ln w="12700" cap="rnd">
              <a:solidFill>
                <a:schemeClr val="bg2">
                  <a:lumMod val="75000"/>
                </a:schemeClr>
              </a:solidFill>
              <a:prstDash val="sysDot"/>
              <a:round/>
            </a:ln>
            <a:effectLst/>
          </c:spPr>
          <c:marker>
            <c:symbol val="circle"/>
            <c:size val="4"/>
            <c:spPr>
              <a:solidFill>
                <a:schemeClr val="bg1"/>
              </a:solidFill>
              <a:ln w="6350">
                <a:solidFill>
                  <a:schemeClr val="tx1"/>
                </a:solidFill>
              </a:ln>
              <a:effectLst/>
            </c:spPr>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vlád.institucí'!$O$192:$AE$192</c:f>
              <c:numCache>
                <c:formatCode>#\ ##0.##########</c:formatCode>
                <c:ptCount val="17"/>
                <c:pt idx="0">
                  <c:v>-3.6</c:v>
                </c:pt>
                <c:pt idx="1">
                  <c:v>-7.2</c:v>
                </c:pt>
                <c:pt idx="2">
                  <c:v>-7.4</c:v>
                </c:pt>
                <c:pt idx="3" formatCode="#\ ##0.0">
                  <c:v>-5</c:v>
                </c:pt>
                <c:pt idx="4">
                  <c:v>-3.8</c:v>
                </c:pt>
                <c:pt idx="5">
                  <c:v>-4.2</c:v>
                </c:pt>
                <c:pt idx="6">
                  <c:v>-3.7</c:v>
                </c:pt>
                <c:pt idx="7">
                  <c:v>-2.6</c:v>
                </c:pt>
                <c:pt idx="8">
                  <c:v>-2.4</c:v>
                </c:pt>
                <c:pt idx="9">
                  <c:v>-1.5</c:v>
                </c:pt>
                <c:pt idx="10">
                  <c:v>-0.2</c:v>
                </c:pt>
                <c:pt idx="11">
                  <c:v>-0.7</c:v>
                </c:pt>
                <c:pt idx="12">
                  <c:v>-6.9</c:v>
                </c:pt>
                <c:pt idx="13">
                  <c:v>-1.7</c:v>
                </c:pt>
                <c:pt idx="14">
                  <c:v>-3.4</c:v>
                </c:pt>
                <c:pt idx="15">
                  <c:v>-5.3</c:v>
                </c:pt>
                <c:pt idx="16">
                  <c:v>-6.6</c:v>
                </c:pt>
              </c:numCache>
            </c:numRef>
          </c:val>
          <c:smooth val="0"/>
          <c:extLst>
            <c:ext xmlns:c16="http://schemas.microsoft.com/office/drawing/2014/chart" uri="{C3380CC4-5D6E-409C-BE32-E72D297353CC}">
              <c16:uniqueId val="{00000003-ED7C-40C1-A4CC-D01C5EAA0AA1}"/>
            </c:ext>
          </c:extLst>
        </c:ser>
        <c:ser>
          <c:idx val="5"/>
          <c:order val="4"/>
          <c:tx>
            <c:strRef>
              <c:f>'G3-Sektor vlád.institucí'!$A$193</c:f>
              <c:strCache>
                <c:ptCount val="1"/>
                <c:pt idx="0">
                  <c:v>Německo</c:v>
                </c:pt>
              </c:strCache>
            </c:strRef>
          </c:tx>
          <c:spPr>
            <a:ln w="15875" cap="rnd">
              <a:solidFill>
                <a:schemeClr val="tx1">
                  <a:lumMod val="95000"/>
                  <a:lumOff val="5000"/>
                </a:schemeClr>
              </a:solidFill>
              <a:prstDash val="solid"/>
              <a:round/>
            </a:ln>
            <a:effectLst/>
          </c:spPr>
          <c:marker>
            <c:symbol val="none"/>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vlád.institucí'!$O$193:$AE$193</c:f>
              <c:numCache>
                <c:formatCode>#\ ##0.##########</c:formatCode>
                <c:ptCount val="17"/>
                <c:pt idx="0">
                  <c:v>-0.3</c:v>
                </c:pt>
                <c:pt idx="1">
                  <c:v>-3.2</c:v>
                </c:pt>
                <c:pt idx="2">
                  <c:v>-4.4000000000000004</c:v>
                </c:pt>
                <c:pt idx="3">
                  <c:v>-0.8</c:v>
                </c:pt>
                <c:pt idx="4">
                  <c:v>-0.1</c:v>
                </c:pt>
                <c:pt idx="5">
                  <c:v>0.1</c:v>
                </c:pt>
                <c:pt idx="6">
                  <c:v>0.7</c:v>
                </c:pt>
                <c:pt idx="7">
                  <c:v>0.9</c:v>
                </c:pt>
                <c:pt idx="8">
                  <c:v>1.1000000000000001</c:v>
                </c:pt>
                <c:pt idx="9">
                  <c:v>1.3</c:v>
                </c:pt>
                <c:pt idx="10">
                  <c:v>1.9</c:v>
                </c:pt>
                <c:pt idx="11">
                  <c:v>1.3</c:v>
                </c:pt>
                <c:pt idx="12">
                  <c:v>-4.4000000000000004</c:v>
                </c:pt>
                <c:pt idx="13">
                  <c:v>-3.2</c:v>
                </c:pt>
                <c:pt idx="14">
                  <c:v>-2.1</c:v>
                </c:pt>
                <c:pt idx="15">
                  <c:v>-2.5</c:v>
                </c:pt>
                <c:pt idx="16">
                  <c:v>-2.8</c:v>
                </c:pt>
              </c:numCache>
            </c:numRef>
          </c:val>
          <c:smooth val="0"/>
          <c:extLst>
            <c:ext xmlns:c16="http://schemas.microsoft.com/office/drawing/2014/chart" uri="{C3380CC4-5D6E-409C-BE32-E72D297353CC}">
              <c16:uniqueId val="{00000004-ED7C-40C1-A4CC-D01C5EAA0AA1}"/>
            </c:ext>
          </c:extLst>
        </c:ser>
        <c:ser>
          <c:idx val="2"/>
          <c:order val="5"/>
          <c:tx>
            <c:strRef>
              <c:f>'G3-Sektor vlád.institucí'!$A$194</c:f>
              <c:strCache>
                <c:ptCount val="1"/>
                <c:pt idx="0">
                  <c:v>Maďarsko</c:v>
                </c:pt>
              </c:strCache>
            </c:strRef>
          </c:tx>
          <c:spPr>
            <a:ln w="15875" cap="rnd">
              <a:solidFill>
                <a:srgbClr val="7030A0"/>
              </a:solidFill>
              <a:prstDash val="sysDash"/>
              <a:round/>
            </a:ln>
            <a:effectLst/>
          </c:spPr>
          <c:marker>
            <c:symbol val="none"/>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vlád.institucí'!$O$194:$AE$194</c:f>
              <c:numCache>
                <c:formatCode>#\ ##0.##########</c:formatCode>
                <c:ptCount val="17"/>
                <c:pt idx="0">
                  <c:v>-3.8</c:v>
                </c:pt>
                <c:pt idx="1">
                  <c:v>-4.8</c:v>
                </c:pt>
                <c:pt idx="2">
                  <c:v>-4.4000000000000004</c:v>
                </c:pt>
                <c:pt idx="3">
                  <c:v>-5.2</c:v>
                </c:pt>
                <c:pt idx="4">
                  <c:v>-2.2999999999999998</c:v>
                </c:pt>
                <c:pt idx="5">
                  <c:v>-2.6</c:v>
                </c:pt>
                <c:pt idx="6">
                  <c:v>-2.8</c:v>
                </c:pt>
                <c:pt idx="7" formatCode="#\ ##0.0">
                  <c:v>-2</c:v>
                </c:pt>
                <c:pt idx="8">
                  <c:v>-1.8</c:v>
                </c:pt>
                <c:pt idx="9">
                  <c:v>-2.5</c:v>
                </c:pt>
                <c:pt idx="10" formatCode="#\ ##0.0">
                  <c:v>-2</c:v>
                </c:pt>
                <c:pt idx="11" formatCode="#\ ##0.0">
                  <c:v>-2</c:v>
                </c:pt>
                <c:pt idx="12">
                  <c:v>-7.5</c:v>
                </c:pt>
                <c:pt idx="13">
                  <c:v>-7.1</c:v>
                </c:pt>
                <c:pt idx="14">
                  <c:v>-6.2</c:v>
                </c:pt>
                <c:pt idx="15">
                  <c:v>-6.7</c:v>
                </c:pt>
                <c:pt idx="16">
                  <c:v>-4.9000000000000004</c:v>
                </c:pt>
              </c:numCache>
            </c:numRef>
          </c:val>
          <c:smooth val="0"/>
          <c:extLst>
            <c:ext xmlns:c16="http://schemas.microsoft.com/office/drawing/2014/chart" uri="{C3380CC4-5D6E-409C-BE32-E72D297353CC}">
              <c16:uniqueId val="{00000005-ED7C-40C1-A4CC-D01C5EAA0AA1}"/>
            </c:ext>
          </c:extLst>
        </c:ser>
        <c:ser>
          <c:idx val="6"/>
          <c:order val="6"/>
          <c:tx>
            <c:strRef>
              <c:f>'G3-Sektor vlád.institucí'!$A$195</c:f>
              <c:strCache>
                <c:ptCount val="1"/>
                <c:pt idx="0">
                  <c:v>Rumunsko</c:v>
                </c:pt>
              </c:strCache>
            </c:strRef>
          </c:tx>
          <c:spPr>
            <a:ln w="15875" cap="rnd">
              <a:solidFill>
                <a:srgbClr val="00B0F0"/>
              </a:solidFill>
              <a:prstDash val="sysDash"/>
              <a:round/>
            </a:ln>
            <a:effectLst/>
          </c:spPr>
          <c:marker>
            <c:symbol val="none"/>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vlád.institucí'!$O$195:$AE$195</c:f>
              <c:numCache>
                <c:formatCode>#\ ##0.##########</c:formatCode>
                <c:ptCount val="17"/>
                <c:pt idx="0">
                  <c:v>-5.4</c:v>
                </c:pt>
                <c:pt idx="1">
                  <c:v>-9.5</c:v>
                </c:pt>
                <c:pt idx="2">
                  <c:v>-7.1</c:v>
                </c:pt>
                <c:pt idx="3">
                  <c:v>-5.6</c:v>
                </c:pt>
                <c:pt idx="4">
                  <c:v>-3.8</c:v>
                </c:pt>
                <c:pt idx="5">
                  <c:v>-2.2999999999999998</c:v>
                </c:pt>
                <c:pt idx="6">
                  <c:v>-1.2</c:v>
                </c:pt>
                <c:pt idx="7">
                  <c:v>-0.5</c:v>
                </c:pt>
                <c:pt idx="8">
                  <c:v>-2.5</c:v>
                </c:pt>
                <c:pt idx="9">
                  <c:v>-2.5</c:v>
                </c:pt>
                <c:pt idx="10">
                  <c:v>-2.8</c:v>
                </c:pt>
                <c:pt idx="11">
                  <c:v>-4.3</c:v>
                </c:pt>
                <c:pt idx="12">
                  <c:v>-9.1999999999999993</c:v>
                </c:pt>
                <c:pt idx="13">
                  <c:v>-7.1</c:v>
                </c:pt>
                <c:pt idx="14">
                  <c:v>-6.4</c:v>
                </c:pt>
                <c:pt idx="15">
                  <c:v>-6.6</c:v>
                </c:pt>
                <c:pt idx="16">
                  <c:v>-9.3000000000000007</c:v>
                </c:pt>
              </c:numCache>
            </c:numRef>
          </c:val>
          <c:smooth val="0"/>
          <c:extLst>
            <c:ext xmlns:c16="http://schemas.microsoft.com/office/drawing/2014/chart" uri="{C3380CC4-5D6E-409C-BE32-E72D297353CC}">
              <c16:uniqueId val="{00000006-ED7C-40C1-A4CC-D01C5EAA0AA1}"/>
            </c:ext>
          </c:extLst>
        </c:ser>
        <c:ser>
          <c:idx val="7"/>
          <c:order val="7"/>
          <c:tx>
            <c:strRef>
              <c:f>'G3-Sektor vlád.institucí'!$A$196</c:f>
              <c:strCache>
                <c:ptCount val="1"/>
                <c:pt idx="0">
                  <c:v>Španělsko</c:v>
                </c:pt>
              </c:strCache>
            </c:strRef>
          </c:tx>
          <c:spPr>
            <a:ln w="15875" cap="rnd">
              <a:solidFill>
                <a:srgbClr val="FFC000"/>
              </a:solidFill>
              <a:prstDash val="sysDash"/>
              <a:round/>
            </a:ln>
            <a:effectLst/>
          </c:spPr>
          <c:marker>
            <c:symbol val="none"/>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vlád.institucí'!$O$196:$AE$196</c:f>
              <c:numCache>
                <c:formatCode>#\ ##0.##########</c:formatCode>
                <c:ptCount val="17"/>
                <c:pt idx="0">
                  <c:v>-4.5999999999999996</c:v>
                </c:pt>
                <c:pt idx="1">
                  <c:v>-11.2</c:v>
                </c:pt>
                <c:pt idx="2">
                  <c:v>-9.5</c:v>
                </c:pt>
                <c:pt idx="3">
                  <c:v>-9.6999999999999993</c:v>
                </c:pt>
                <c:pt idx="4">
                  <c:v>-11.5</c:v>
                </c:pt>
                <c:pt idx="5">
                  <c:v>-7.5</c:v>
                </c:pt>
                <c:pt idx="6" formatCode="#\ ##0.0">
                  <c:v>-6</c:v>
                </c:pt>
                <c:pt idx="7">
                  <c:v>-5.3</c:v>
                </c:pt>
                <c:pt idx="8">
                  <c:v>-4.2</c:v>
                </c:pt>
                <c:pt idx="9">
                  <c:v>-3.1</c:v>
                </c:pt>
                <c:pt idx="10">
                  <c:v>-2.6</c:v>
                </c:pt>
                <c:pt idx="11">
                  <c:v>-3.1</c:v>
                </c:pt>
                <c:pt idx="12">
                  <c:v>-9.9</c:v>
                </c:pt>
                <c:pt idx="13">
                  <c:v>-6.7</c:v>
                </c:pt>
                <c:pt idx="14">
                  <c:v>-4.5999999999999996</c:v>
                </c:pt>
                <c:pt idx="15">
                  <c:v>-3.5</c:v>
                </c:pt>
                <c:pt idx="16">
                  <c:v>-3.2</c:v>
                </c:pt>
              </c:numCache>
            </c:numRef>
          </c:val>
          <c:smooth val="0"/>
          <c:extLst>
            <c:ext xmlns:c16="http://schemas.microsoft.com/office/drawing/2014/chart" uri="{C3380CC4-5D6E-409C-BE32-E72D297353CC}">
              <c16:uniqueId val="{00000007-ED7C-40C1-A4CC-D01C5EAA0AA1}"/>
            </c:ext>
          </c:extLst>
        </c:ser>
        <c:ser>
          <c:idx val="8"/>
          <c:order val="8"/>
          <c:tx>
            <c:strRef>
              <c:f>'G3-Sektor vlád.institucí'!$A$197</c:f>
              <c:strCache>
                <c:ptCount val="1"/>
                <c:pt idx="0">
                  <c:v>Francie</c:v>
                </c:pt>
              </c:strCache>
            </c:strRef>
          </c:tx>
          <c:spPr>
            <a:ln w="15875" cap="rnd">
              <a:solidFill>
                <a:srgbClr val="C00000"/>
              </a:solidFill>
              <a:prstDash val="dash"/>
              <a:round/>
            </a:ln>
            <a:effectLst/>
          </c:spPr>
          <c:marker>
            <c:symbol val="none"/>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vlád.institucí'!$O$197:$AE$197</c:f>
              <c:numCache>
                <c:formatCode>#\ ##0.##########</c:formatCode>
                <c:ptCount val="17"/>
                <c:pt idx="0">
                  <c:v>-3.5</c:v>
                </c:pt>
                <c:pt idx="1">
                  <c:v>-7.4</c:v>
                </c:pt>
                <c:pt idx="2">
                  <c:v>-7.2</c:v>
                </c:pt>
                <c:pt idx="3">
                  <c:v>-5.3</c:v>
                </c:pt>
                <c:pt idx="4">
                  <c:v>-5.2</c:v>
                </c:pt>
                <c:pt idx="5">
                  <c:v>-4.9000000000000004</c:v>
                </c:pt>
                <c:pt idx="6">
                  <c:v>-4.5999999999999996</c:v>
                </c:pt>
                <c:pt idx="7">
                  <c:v>-3.9</c:v>
                </c:pt>
                <c:pt idx="8">
                  <c:v>-3.8</c:v>
                </c:pt>
                <c:pt idx="9">
                  <c:v>-3.4</c:v>
                </c:pt>
                <c:pt idx="10">
                  <c:v>-2.2999999999999998</c:v>
                </c:pt>
                <c:pt idx="11">
                  <c:v>-2.4</c:v>
                </c:pt>
                <c:pt idx="12">
                  <c:v>-8.9</c:v>
                </c:pt>
                <c:pt idx="13">
                  <c:v>-6.6</c:v>
                </c:pt>
                <c:pt idx="14">
                  <c:v>-4.7</c:v>
                </c:pt>
                <c:pt idx="15">
                  <c:v>-5.4</c:v>
                </c:pt>
                <c:pt idx="16">
                  <c:v>-5.8</c:v>
                </c:pt>
              </c:numCache>
            </c:numRef>
          </c:val>
          <c:smooth val="0"/>
          <c:extLst>
            <c:ext xmlns:c16="http://schemas.microsoft.com/office/drawing/2014/chart" uri="{C3380CC4-5D6E-409C-BE32-E72D297353CC}">
              <c16:uniqueId val="{00000008-ED7C-40C1-A4CC-D01C5EAA0AA1}"/>
            </c:ext>
          </c:extLst>
        </c:ser>
        <c:ser>
          <c:idx val="9"/>
          <c:order val="9"/>
          <c:tx>
            <c:strRef>
              <c:f>'G3-Sektor vlád.institucí'!$A$198</c:f>
              <c:strCache>
                <c:ptCount val="1"/>
                <c:pt idx="0">
                  <c:v>Dánsko</c:v>
                </c:pt>
              </c:strCache>
            </c:strRef>
          </c:tx>
          <c:spPr>
            <a:ln w="15875" cap="rnd">
              <a:solidFill>
                <a:srgbClr val="00B050"/>
              </a:solidFill>
              <a:prstDash val="dash"/>
              <a:round/>
            </a:ln>
            <a:effectLst/>
          </c:spPr>
          <c:marker>
            <c:symbol val="none"/>
          </c:marker>
          <c:cat>
            <c:strRef>
              <c:f>'G3-Sektor vlád.institucí'!$O$188:$AE$188</c:f>
              <c:strCach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strCache>
            </c:strRef>
          </c:cat>
          <c:val>
            <c:numRef>
              <c:f>'G3-Sektor vlád.institucí'!$O$198:$AE$198</c:f>
              <c:numCache>
                <c:formatCode>#\ ##0.##########</c:formatCode>
                <c:ptCount val="17"/>
                <c:pt idx="0">
                  <c:v>3.5</c:v>
                </c:pt>
                <c:pt idx="1">
                  <c:v>-2.7</c:v>
                </c:pt>
                <c:pt idx="2">
                  <c:v>-2.5</c:v>
                </c:pt>
                <c:pt idx="3">
                  <c:v>-1.8</c:v>
                </c:pt>
                <c:pt idx="4">
                  <c:v>-3.2</c:v>
                </c:pt>
                <c:pt idx="5">
                  <c:v>-0.9</c:v>
                </c:pt>
                <c:pt idx="6">
                  <c:v>1.4</c:v>
                </c:pt>
                <c:pt idx="7">
                  <c:v>-0.9</c:v>
                </c:pt>
                <c:pt idx="8">
                  <c:v>0.3</c:v>
                </c:pt>
                <c:pt idx="9">
                  <c:v>1.7</c:v>
                </c:pt>
                <c:pt idx="10">
                  <c:v>0.8</c:v>
                </c:pt>
                <c:pt idx="11">
                  <c:v>4.3</c:v>
                </c:pt>
                <c:pt idx="12">
                  <c:v>0.4</c:v>
                </c:pt>
                <c:pt idx="13">
                  <c:v>4.0999999999999996</c:v>
                </c:pt>
                <c:pt idx="14">
                  <c:v>3.4</c:v>
                </c:pt>
                <c:pt idx="15">
                  <c:v>3.3</c:v>
                </c:pt>
                <c:pt idx="16">
                  <c:v>4.5</c:v>
                </c:pt>
              </c:numCache>
            </c:numRef>
          </c:val>
          <c:smooth val="0"/>
          <c:extLst>
            <c:ext xmlns:c16="http://schemas.microsoft.com/office/drawing/2014/chart" uri="{C3380CC4-5D6E-409C-BE32-E72D297353CC}">
              <c16:uniqueId val="{00000009-ED7C-40C1-A4CC-D01C5EAA0AA1}"/>
            </c:ext>
          </c:extLst>
        </c:ser>
        <c:dLbls>
          <c:showLegendKey val="0"/>
          <c:showVal val="0"/>
          <c:showCatName val="0"/>
          <c:showSerName val="0"/>
          <c:showPercent val="0"/>
          <c:showBubbleSize val="0"/>
        </c:dLbls>
        <c:marker val="1"/>
        <c:smooth val="0"/>
        <c:axId val="531992144"/>
        <c:axId val="531997552"/>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6"/>
          <c:min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Saldo</a:t>
                </a:r>
                <a:r>
                  <a:rPr lang="cs-CZ" sz="700" i="1" baseline="0">
                    <a:latin typeface="Arial" panose="020B0604020202020204" pitchFamily="34" charset="0"/>
                    <a:cs typeface="Arial" panose="020B0604020202020204" pitchFamily="34" charset="0"/>
                  </a:rPr>
                  <a:t> hospodaření</a:t>
                </a:r>
                <a:endParaRPr lang="cs-CZ" sz="700" i="1">
                  <a:latin typeface="Arial" panose="020B0604020202020204" pitchFamily="34" charset="0"/>
                  <a:cs typeface="Arial" panose="020B0604020202020204" pitchFamily="34" charset="0"/>
                </a:endParaRP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spPr>
        <a:noFill/>
        <a:ln w="6350">
          <a:solidFill>
            <a:schemeClr val="tx1"/>
          </a:solidFill>
        </a:ln>
        <a:effectLst/>
      </c:spPr>
    </c:plotArea>
    <c:legend>
      <c:legendPos val="b"/>
      <c:layout>
        <c:manualLayout>
          <c:xMode val="edge"/>
          <c:yMode val="edge"/>
          <c:x val="1.3141700567023604E-3"/>
          <c:y val="0.91008110376671769"/>
          <c:w val="0.99173696911936216"/>
          <c:h val="8.0659153604445658E-2"/>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629137115839245E-2"/>
          <c:y val="2.8458510079622041E-2"/>
          <c:w val="0.93688386524822698"/>
          <c:h val="0.67476668918158278"/>
        </c:manualLayout>
      </c:layout>
      <c:barChart>
        <c:barDir val="col"/>
        <c:grouping val="stacked"/>
        <c:varyColors val="0"/>
        <c:ser>
          <c:idx val="1"/>
          <c:order val="1"/>
          <c:tx>
            <c:strRef>
              <c:f>'souhrnná výkonnost 3'!$F$5</c:f>
              <c:strCache>
                <c:ptCount val="1"/>
                <c:pt idx="0">
                  <c:v>Bilance zahraničního obchodu</c:v>
                </c:pt>
              </c:strCache>
            </c:strRef>
          </c:tx>
          <c:spPr>
            <a:solidFill>
              <a:srgbClr val="7DBB2D"/>
            </a:solidFill>
            <a:ln>
              <a:noFill/>
            </a:ln>
          </c:spPr>
          <c:invertIfNegative val="0"/>
          <c:cat>
            <c:multiLvlStrRef>
              <c:f>'souhrnná výkonnost 3'!$A$14:$B$34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3'!$F$14:$F$34</c:f>
              <c:numCache>
                <c:formatCode>#\ ##0.0</c:formatCode>
                <c:ptCount val="21"/>
                <c:pt idx="0">
                  <c:v>-1.5054961152095412</c:v>
                </c:pt>
                <c:pt idx="1">
                  <c:v>-8.5652935026312509</c:v>
                </c:pt>
                <c:pt idx="2">
                  <c:v>-0.91701615307186923</c:v>
                </c:pt>
                <c:pt idx="3">
                  <c:v>1.6441945082634004</c:v>
                </c:pt>
                <c:pt idx="4">
                  <c:v>0.90880127021110413</c:v>
                </c:pt>
                <c:pt idx="5">
                  <c:v>6.124141351147399</c:v>
                </c:pt>
                <c:pt idx="6">
                  <c:v>-3.6522086207896334</c:v>
                </c:pt>
                <c:pt idx="7">
                  <c:v>-3.5019135769376728</c:v>
                </c:pt>
                <c:pt idx="8">
                  <c:v>-1.6832006565895616</c:v>
                </c:pt>
                <c:pt idx="9">
                  <c:v>-0.3806378126415233</c:v>
                </c:pt>
                <c:pt idx="10">
                  <c:v>3.408239118939032</c:v>
                </c:pt>
                <c:pt idx="11">
                  <c:v>1.4700226511684527</c:v>
                </c:pt>
                <c:pt idx="12">
                  <c:v>1.022488471508463</c:v>
                </c:pt>
                <c:pt idx="13">
                  <c:v>1.5790857204776438</c:v>
                </c:pt>
                <c:pt idx="14">
                  <c:v>-0.52223441293462458</c:v>
                </c:pt>
                <c:pt idx="15">
                  <c:v>1.6834125414664634</c:v>
                </c:pt>
                <c:pt idx="16">
                  <c:v>0.81363934504165614</c:v>
                </c:pt>
                <c:pt idx="17">
                  <c:v>0.2262941194985631</c:v>
                </c:pt>
                <c:pt idx="18">
                  <c:v>4.7891761749056627E-2</c:v>
                </c:pt>
                <c:pt idx="19">
                  <c:v>-1.6544795380109152</c:v>
                </c:pt>
                <c:pt idx="20">
                  <c:v>-0.66286470301035028</c:v>
                </c:pt>
              </c:numCache>
            </c:numRef>
          </c:val>
          <c:extLst>
            <c:ext xmlns:c16="http://schemas.microsoft.com/office/drawing/2014/chart" uri="{C3380CC4-5D6E-409C-BE32-E72D297353CC}">
              <c16:uniqueId val="{00000000-EC84-4E39-9995-EE65C68B0E20}"/>
            </c:ext>
          </c:extLst>
        </c:ser>
        <c:ser>
          <c:idx val="2"/>
          <c:order val="2"/>
          <c:tx>
            <c:strRef>
              <c:f>'souhrnná výkonnost 3'!$H$5</c:f>
              <c:strCache>
                <c:ptCount val="1"/>
                <c:pt idx="0">
                  <c:v>Změna zásob</c:v>
                </c:pt>
              </c:strCache>
            </c:strRef>
          </c:tx>
          <c:spPr>
            <a:solidFill>
              <a:srgbClr val="E8AFB2"/>
            </a:solidFill>
            <a:ln>
              <a:noFill/>
            </a:ln>
          </c:spPr>
          <c:invertIfNegative val="0"/>
          <c:cat>
            <c:multiLvlStrRef>
              <c:f>'souhrnná výkonnost 3'!$A$14:$B$34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3'!$H$14:$H$34</c:f>
              <c:numCache>
                <c:formatCode>#\ ##0.0</c:formatCode>
                <c:ptCount val="21"/>
                <c:pt idx="0">
                  <c:v>-0.40340689033643318</c:v>
                </c:pt>
                <c:pt idx="1">
                  <c:v>0.49746610716149758</c:v>
                </c:pt>
                <c:pt idx="2">
                  <c:v>-1.209597715652736</c:v>
                </c:pt>
                <c:pt idx="3">
                  <c:v>-2.2124027001017974</c:v>
                </c:pt>
                <c:pt idx="4">
                  <c:v>0.41264966656715685</c:v>
                </c:pt>
                <c:pt idx="5">
                  <c:v>0.57206005966288753</c:v>
                </c:pt>
                <c:pt idx="6">
                  <c:v>2.5716584196045469</c:v>
                </c:pt>
                <c:pt idx="7">
                  <c:v>1.3737502139548177</c:v>
                </c:pt>
                <c:pt idx="8">
                  <c:v>0.60915917645428019</c:v>
                </c:pt>
                <c:pt idx="9">
                  <c:v>1.6317613698141717</c:v>
                </c:pt>
                <c:pt idx="10">
                  <c:v>-0.7854278742999391</c:v>
                </c:pt>
                <c:pt idx="11">
                  <c:v>1.1886488133455293</c:v>
                </c:pt>
                <c:pt idx="12">
                  <c:v>0.46116231627019716</c:v>
                </c:pt>
                <c:pt idx="13">
                  <c:v>-1.2917995308852055</c:v>
                </c:pt>
                <c:pt idx="14">
                  <c:v>-0.14316789428080012</c:v>
                </c:pt>
                <c:pt idx="15">
                  <c:v>-3.4609784581327441</c:v>
                </c:pt>
                <c:pt idx="16">
                  <c:v>-2.7015457994692378</c:v>
                </c:pt>
                <c:pt idx="17">
                  <c:v>-1.5020085355293893</c:v>
                </c:pt>
                <c:pt idx="18">
                  <c:v>-0.59432165629001166</c:v>
                </c:pt>
                <c:pt idx="19">
                  <c:v>1.7308347187458406</c:v>
                </c:pt>
                <c:pt idx="20">
                  <c:v>1.2891168893980209</c:v>
                </c:pt>
              </c:numCache>
            </c:numRef>
          </c:val>
          <c:extLst>
            <c:ext xmlns:c16="http://schemas.microsoft.com/office/drawing/2014/chart" uri="{C3380CC4-5D6E-409C-BE32-E72D297353CC}">
              <c16:uniqueId val="{00000001-EC84-4E39-9995-EE65C68B0E20}"/>
            </c:ext>
          </c:extLst>
        </c:ser>
        <c:ser>
          <c:idx val="3"/>
          <c:order val="3"/>
          <c:tx>
            <c:strRef>
              <c:f>'souhrnná výkonnost 3'!$G$5</c:f>
              <c:strCache>
                <c:ptCount val="1"/>
                <c:pt idx="0">
                  <c:v>Tvorba hrubého fixního kapitálu</c:v>
                </c:pt>
              </c:strCache>
            </c:strRef>
          </c:tx>
          <c:spPr>
            <a:solidFill>
              <a:srgbClr val="BD1B21"/>
            </a:solidFill>
            <a:ln>
              <a:noFill/>
            </a:ln>
          </c:spPr>
          <c:invertIfNegative val="0"/>
          <c:cat>
            <c:multiLvlStrRef>
              <c:f>'souhrnná výkonnost 3'!$A$14:$B$34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3'!$G$14:$G$34</c:f>
              <c:numCache>
                <c:formatCode>#\ ##0.0</c:formatCode>
                <c:ptCount val="21"/>
                <c:pt idx="0">
                  <c:v>-0.26111659305966983</c:v>
                </c:pt>
                <c:pt idx="1">
                  <c:v>0.14044234588323476</c:v>
                </c:pt>
                <c:pt idx="2">
                  <c:v>-1.1114194663634265</c:v>
                </c:pt>
                <c:pt idx="3">
                  <c:v>-1.2151629007980274</c:v>
                </c:pt>
                <c:pt idx="4">
                  <c:v>0.15781509790362797</c:v>
                </c:pt>
                <c:pt idx="5">
                  <c:v>7.3809702465127386E-2</c:v>
                </c:pt>
                <c:pt idx="6">
                  <c:v>1.9668146761327148</c:v>
                </c:pt>
                <c:pt idx="7">
                  <c:v>2.0385637566612256</c:v>
                </c:pt>
                <c:pt idx="8">
                  <c:v>2.1230773688868023</c:v>
                </c:pt>
                <c:pt idx="9">
                  <c:v>1.4912941413364145</c:v>
                </c:pt>
                <c:pt idx="10">
                  <c:v>0.94577481141240138</c:v>
                </c:pt>
                <c:pt idx="11">
                  <c:v>0.73322343987834782</c:v>
                </c:pt>
                <c:pt idx="12">
                  <c:v>0.4931548683888316</c:v>
                </c:pt>
                <c:pt idx="13">
                  <c:v>0.88885696316389462</c:v>
                </c:pt>
                <c:pt idx="14">
                  <c:v>0.75388563584657375</c:v>
                </c:pt>
                <c:pt idx="15">
                  <c:v>0.85504091001870042</c:v>
                </c:pt>
                <c:pt idx="16">
                  <c:v>0.17807308743022188</c:v>
                </c:pt>
                <c:pt idx="17">
                  <c:v>-0.17717294664922381</c:v>
                </c:pt>
                <c:pt idx="18">
                  <c:v>-0.23011741416303724</c:v>
                </c:pt>
                <c:pt idx="19">
                  <c:v>-0.87836264461706726</c:v>
                </c:pt>
                <c:pt idx="20">
                  <c:v>-0.25148696710586277</c:v>
                </c:pt>
              </c:numCache>
            </c:numRef>
          </c:val>
          <c:extLst>
            <c:ext xmlns:c16="http://schemas.microsoft.com/office/drawing/2014/chart" uri="{C3380CC4-5D6E-409C-BE32-E72D297353CC}">
              <c16:uniqueId val="{00000002-EC84-4E39-9995-EE65C68B0E20}"/>
            </c:ext>
          </c:extLst>
        </c:ser>
        <c:ser>
          <c:idx val="5"/>
          <c:order val="4"/>
          <c:tx>
            <c:strRef>
              <c:f>'souhrnná výkonnost 3'!$D$5</c:f>
              <c:strCache>
                <c:ptCount val="1"/>
                <c:pt idx="0">
                  <c:v>Výdaje na konečnou spotřebu domácností (vč. nezisk. inst.)</c:v>
                </c:pt>
              </c:strCache>
            </c:strRef>
          </c:tx>
          <c:spPr>
            <a:solidFill>
              <a:srgbClr val="0071BC"/>
            </a:solidFill>
            <a:ln>
              <a:noFill/>
            </a:ln>
          </c:spPr>
          <c:invertIfNegative val="0"/>
          <c:cat>
            <c:multiLvlStrRef>
              <c:f>'souhrnná výkonnost 3'!$A$14:$B$34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3'!$D$14:$D$34</c:f>
              <c:numCache>
                <c:formatCode>#\ ##0.0</c:formatCode>
                <c:ptCount val="21"/>
                <c:pt idx="0">
                  <c:v>-0.2398228716655057</c:v>
                </c:pt>
                <c:pt idx="1">
                  <c:v>-3.2567035122644707</c:v>
                </c:pt>
                <c:pt idx="2">
                  <c:v>-1.7740710022653545</c:v>
                </c:pt>
                <c:pt idx="3">
                  <c:v>-4.0888509658039061</c:v>
                </c:pt>
                <c:pt idx="4">
                  <c:v>-2.6303429796363251</c:v>
                </c:pt>
                <c:pt idx="5">
                  <c:v>3.0130078291252422</c:v>
                </c:pt>
                <c:pt idx="6">
                  <c:v>1.9847068901687124</c:v>
                </c:pt>
                <c:pt idx="7">
                  <c:v>3.7365176773416025</c:v>
                </c:pt>
                <c:pt idx="8">
                  <c:v>3.291044005952056</c:v>
                </c:pt>
                <c:pt idx="9">
                  <c:v>0.17808535886856286</c:v>
                </c:pt>
                <c:pt idx="10">
                  <c:v>-1.2688125161868613</c:v>
                </c:pt>
                <c:pt idx="11">
                  <c:v>-2.1014518367129478</c:v>
                </c:pt>
                <c:pt idx="12">
                  <c:v>-2.2945919860755861</c:v>
                </c:pt>
                <c:pt idx="13">
                  <c:v>-1.454021228197774</c:v>
                </c:pt>
                <c:pt idx="14">
                  <c:v>-1.0668314458195665</c:v>
                </c:pt>
                <c:pt idx="15">
                  <c:v>0.21502428719941008</c:v>
                </c:pt>
                <c:pt idx="16">
                  <c:v>1.6172563556043136</c:v>
                </c:pt>
                <c:pt idx="17">
                  <c:v>1.0527472753135581</c:v>
                </c:pt>
                <c:pt idx="18">
                  <c:v>1.4720777793071906</c:v>
                </c:pt>
                <c:pt idx="19">
                  <c:v>1.9089629991514188</c:v>
                </c:pt>
                <c:pt idx="20">
                  <c:v>1.4503574527475016</c:v>
                </c:pt>
              </c:numCache>
            </c:numRef>
          </c:val>
          <c:extLst>
            <c:ext xmlns:c16="http://schemas.microsoft.com/office/drawing/2014/chart" uri="{C3380CC4-5D6E-409C-BE32-E72D297353CC}">
              <c16:uniqueId val="{00000003-EC84-4E39-9995-EE65C68B0E20}"/>
            </c:ext>
          </c:extLst>
        </c:ser>
        <c:ser>
          <c:idx val="4"/>
          <c:order val="5"/>
          <c:tx>
            <c:strRef>
              <c:f>'souhrnná výkonnost 3'!$E$5</c:f>
              <c:strCache>
                <c:ptCount val="1"/>
                <c:pt idx="0">
                  <c:v>Výdaje na konečnou spotřebu vládních institucí</c:v>
                </c:pt>
              </c:strCache>
            </c:strRef>
          </c:tx>
          <c:spPr>
            <a:solidFill>
              <a:srgbClr val="A6CDE8"/>
            </a:solidFill>
            <a:ln>
              <a:noFill/>
            </a:ln>
          </c:spPr>
          <c:invertIfNegative val="0"/>
          <c:cat>
            <c:multiLvlStrRef>
              <c:f>'souhrnná výkonnost 3'!$A$14:$B$34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3'!$E$14:$E$34</c:f>
              <c:numCache>
                <c:formatCode>#\ ##0.0</c:formatCode>
                <c:ptCount val="21"/>
                <c:pt idx="0">
                  <c:v>0.85273575497086629</c:v>
                </c:pt>
                <c:pt idx="1">
                  <c:v>0.57219907272847048</c:v>
                </c:pt>
                <c:pt idx="2">
                  <c:v>0.31382004358461796</c:v>
                </c:pt>
                <c:pt idx="3">
                  <c:v>1.4192241054465731</c:v>
                </c:pt>
                <c:pt idx="4">
                  <c:v>-0.12340214907979793</c:v>
                </c:pt>
                <c:pt idx="5">
                  <c:v>-7.2907474861005656E-2</c:v>
                </c:pt>
                <c:pt idx="6">
                  <c:v>1.000714083725422</c:v>
                </c:pt>
                <c:pt idx="7">
                  <c:v>8.8247719969204746E-2</c:v>
                </c:pt>
                <c:pt idx="8">
                  <c:v>0.37181697618378928</c:v>
                </c:pt>
                <c:pt idx="9">
                  <c:v>0.57371034145730837</c:v>
                </c:pt>
                <c:pt idx="10">
                  <c:v>-0.32873762938072321</c:v>
                </c:pt>
                <c:pt idx="11">
                  <c:v>-0.30389432882498219</c:v>
                </c:pt>
                <c:pt idx="12">
                  <c:v>0.57576369173096276</c:v>
                </c:pt>
                <c:pt idx="13">
                  <c:v>0.516983415992749</c:v>
                </c:pt>
                <c:pt idx="14">
                  <c:v>0.66195062797324855</c:v>
                </c:pt>
                <c:pt idx="15">
                  <c:v>0.72202480637229571</c:v>
                </c:pt>
                <c:pt idx="16">
                  <c:v>0.47847634104154757</c:v>
                </c:pt>
                <c:pt idx="17">
                  <c:v>0.75875368347751848</c:v>
                </c:pt>
                <c:pt idx="18">
                  <c:v>0.65518379879968203</c:v>
                </c:pt>
                <c:pt idx="19">
                  <c:v>0.64049681084681154</c:v>
                </c:pt>
                <c:pt idx="20">
                  <c:v>0.35099215819057489</c:v>
                </c:pt>
              </c:numCache>
            </c:numRef>
          </c:val>
          <c:extLst>
            <c:ext xmlns:c16="http://schemas.microsoft.com/office/drawing/2014/chart" uri="{C3380CC4-5D6E-409C-BE32-E72D297353CC}">
              <c16:uniqueId val="{00000004-EC84-4E39-9995-EE65C68B0E20}"/>
            </c:ext>
          </c:extLst>
        </c:ser>
        <c:dLbls>
          <c:showLegendKey val="0"/>
          <c:showVal val="0"/>
          <c:showCatName val="0"/>
          <c:showSerName val="0"/>
          <c:showPercent val="0"/>
          <c:showBubbleSize val="0"/>
        </c:dLbls>
        <c:gapWidth val="90"/>
        <c:overlap val="100"/>
        <c:axId val="267591040"/>
        <c:axId val="267605120"/>
      </c:barChart>
      <c:lineChart>
        <c:grouping val="standard"/>
        <c:varyColors val="0"/>
        <c:ser>
          <c:idx val="0"/>
          <c:order val="0"/>
          <c:tx>
            <c:strRef>
              <c:f>'souhrnná výkonnost 3'!$C$5</c:f>
              <c:strCache>
                <c:ptCount val="1"/>
                <c:pt idx="0">
                  <c:v>HDP</c:v>
                </c:pt>
              </c:strCache>
            </c:strRef>
          </c:tx>
          <c:spPr>
            <a:ln>
              <a:solidFill>
                <a:prstClr val="black"/>
              </a:solidFill>
            </a:ln>
          </c:spPr>
          <c:marker>
            <c:symbol val="none"/>
          </c:marker>
          <c:cat>
            <c:multiLvlStrRef>
              <c:f>'souhrnná výkonnost 3'!$A$14:$B$34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3'!$C$14:$C$34</c:f>
              <c:numCache>
                <c:formatCode>#\ ##0.0</c:formatCode>
                <c:ptCount val="21"/>
                <c:pt idx="0">
                  <c:v>-1.5502005609675251</c:v>
                </c:pt>
                <c:pt idx="1">
                  <c:v>-10.594910497246218</c:v>
                </c:pt>
                <c:pt idx="2">
                  <c:v>-4.701156102682063</c:v>
                </c:pt>
                <c:pt idx="3">
                  <c:v>-4.4366371482296927</c:v>
                </c:pt>
                <c:pt idx="4">
                  <c:v>-1.2288405930294743</c:v>
                </c:pt>
                <c:pt idx="5">
                  <c:v>9.7404194240672268</c:v>
                </c:pt>
                <c:pt idx="6">
                  <c:v>3.9736917575390152</c:v>
                </c:pt>
                <c:pt idx="7">
                  <c:v>3.9029621018868283</c:v>
                </c:pt>
                <c:pt idx="8">
                  <c:v>4.8436882638427221</c:v>
                </c:pt>
                <c:pt idx="9">
                  <c:v>3.6483483455527903</c:v>
                </c:pt>
                <c:pt idx="10">
                  <c:v>2.0520278440471884</c:v>
                </c:pt>
                <c:pt idx="11">
                  <c:v>0.95155160469528255</c:v>
                </c:pt>
                <c:pt idx="12">
                  <c:v>0.30013556583948287</c:v>
                </c:pt>
                <c:pt idx="13">
                  <c:v>0.20721692275813552</c:v>
                </c:pt>
                <c:pt idx="14">
                  <c:v>-0.34015544290339506</c:v>
                </c:pt>
                <c:pt idx="15">
                  <c:v>9.2674126345954733E-2</c:v>
                </c:pt>
                <c:pt idx="16">
                  <c:v>0.37034401085898594</c:v>
                </c:pt>
                <c:pt idx="17">
                  <c:v>0.42260383115564082</c:v>
                </c:pt>
                <c:pt idx="18">
                  <c:v>1.4259971183149105</c:v>
                </c:pt>
                <c:pt idx="19">
                  <c:v>1.7842314080088499</c:v>
                </c:pt>
                <c:pt idx="20">
                  <c:v>2.2382677476209096</c:v>
                </c:pt>
              </c:numCache>
            </c:numRef>
          </c:val>
          <c:smooth val="0"/>
          <c:extLst>
            <c:ext xmlns:c16="http://schemas.microsoft.com/office/drawing/2014/chart" uri="{C3380CC4-5D6E-409C-BE32-E72D297353CC}">
              <c16:uniqueId val="{00000005-EC84-4E39-9995-EE65C68B0E20}"/>
            </c:ext>
          </c:extLst>
        </c:ser>
        <c:dLbls>
          <c:showLegendKey val="0"/>
          <c:showVal val="0"/>
          <c:showCatName val="0"/>
          <c:showSerName val="0"/>
          <c:showPercent val="0"/>
          <c:showBubbleSize val="0"/>
        </c:dLbls>
        <c:marker val="1"/>
        <c:smooth val="0"/>
        <c:axId val="267591040"/>
        <c:axId val="267605120"/>
      </c:lineChart>
      <c:catAx>
        <c:axId val="267591040"/>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a:pPr>
            <a:endParaRPr lang="cs-CZ"/>
          </a:p>
        </c:txPr>
        <c:crossAx val="267605120"/>
        <c:crosses val="autoZero"/>
        <c:auto val="1"/>
        <c:lblAlgn val="ctr"/>
        <c:lblOffset val="100"/>
        <c:noMultiLvlLbl val="0"/>
      </c:catAx>
      <c:valAx>
        <c:axId val="267605120"/>
        <c:scaling>
          <c:orientation val="minMax"/>
          <c:max val="10"/>
          <c:min val="-12"/>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7591040"/>
        <c:crosses val="autoZero"/>
        <c:crossBetween val="between"/>
        <c:majorUnit val="2"/>
      </c:valAx>
      <c:spPr>
        <a:ln>
          <a:solidFill>
            <a:schemeClr val="tx1"/>
          </a:solidFill>
        </a:ln>
      </c:spPr>
    </c:plotArea>
    <c:legend>
      <c:legendPos val="b"/>
      <c:layout>
        <c:manualLayout>
          <c:xMode val="edge"/>
          <c:yMode val="edge"/>
          <c:x val="4.7571766295170556E-2"/>
          <c:y val="0.81445992344928519"/>
          <c:w val="0.94432624113475194"/>
          <c:h val="0.17481734774287963"/>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126857480580882E-2"/>
          <c:y val="2.9499886988623526E-2"/>
          <c:w val="0.9260266801756164"/>
          <c:h val="0.63445260610154264"/>
        </c:manualLayout>
      </c:layout>
      <c:barChart>
        <c:barDir val="col"/>
        <c:grouping val="stacked"/>
        <c:varyColors val="0"/>
        <c:ser>
          <c:idx val="4"/>
          <c:order val="0"/>
          <c:tx>
            <c:strRef>
              <c:f>'souhrnná výkonnost 4'!$C$5</c:f>
              <c:strCache>
                <c:ptCount val="1"/>
                <c:pt idx="0">
                  <c:v>Zemědělství, lesnictví a rybářství</c:v>
                </c:pt>
              </c:strCache>
            </c:strRef>
          </c:tx>
          <c:spPr>
            <a:solidFill>
              <a:srgbClr val="0071BC"/>
            </a:solidFill>
            <a:ln>
              <a:noFill/>
            </a:ln>
          </c:spPr>
          <c:invertIfNegative val="0"/>
          <c:val>
            <c:numRef>
              <c:f>'souhrnná výkonnost 4'!$C$14:$C$34</c:f>
              <c:numCache>
                <c:formatCode>#\ ##0.0</c:formatCode>
                <c:ptCount val="21"/>
                <c:pt idx="0">
                  <c:v>0.15822035579434848</c:v>
                </c:pt>
                <c:pt idx="1">
                  <c:v>0.16572640891485885</c:v>
                </c:pt>
                <c:pt idx="2">
                  <c:v>0.14884192396827553</c:v>
                </c:pt>
                <c:pt idx="3">
                  <c:v>0.10349029376913045</c:v>
                </c:pt>
                <c:pt idx="4">
                  <c:v>-0.20943707470562339</c:v>
                </c:pt>
                <c:pt idx="5">
                  <c:v>-0.34449179443466599</c:v>
                </c:pt>
                <c:pt idx="6">
                  <c:v>-0.32209602561974893</c:v>
                </c:pt>
                <c:pt idx="7">
                  <c:v>-0.29333634112949242</c:v>
                </c:pt>
                <c:pt idx="8">
                  <c:v>1.4650416130809454E-3</c:v>
                </c:pt>
                <c:pt idx="9">
                  <c:v>7.8507188492409424E-2</c:v>
                </c:pt>
                <c:pt idx="10">
                  <c:v>3.9960777137645544E-2</c:v>
                </c:pt>
                <c:pt idx="11">
                  <c:v>-2.0459404335135881E-2</c:v>
                </c:pt>
                <c:pt idx="12">
                  <c:v>-5.0267327237084186E-3</c:v>
                </c:pt>
                <c:pt idx="13">
                  <c:v>-3.4632234183758916E-2</c:v>
                </c:pt>
                <c:pt idx="14">
                  <c:v>-3.175825508507444E-2</c:v>
                </c:pt>
                <c:pt idx="15">
                  <c:v>-2.2300326799825753E-2</c:v>
                </c:pt>
                <c:pt idx="16">
                  <c:v>3.47097137298885E-2</c:v>
                </c:pt>
                <c:pt idx="17">
                  <c:v>-4.1786826648705117E-2</c:v>
                </c:pt>
                <c:pt idx="18">
                  <c:v>-2.2727962140447464E-2</c:v>
                </c:pt>
                <c:pt idx="19">
                  <c:v>1.4077782765197714E-4</c:v>
                </c:pt>
                <c:pt idx="20">
                  <c:v>1.1640035437204514E-2</c:v>
                </c:pt>
              </c:numCache>
            </c:numRef>
          </c:val>
          <c:extLst>
            <c:ext xmlns:c16="http://schemas.microsoft.com/office/drawing/2014/chart" uri="{C3380CC4-5D6E-409C-BE32-E72D297353CC}">
              <c16:uniqueId val="{00000000-B0D6-4A2F-B0B3-9B790BA9D182}"/>
            </c:ext>
          </c:extLst>
        </c:ser>
        <c:ser>
          <c:idx val="3"/>
          <c:order val="1"/>
          <c:tx>
            <c:strRef>
              <c:f>'souhrnná výkonnost 4'!$D$5</c:f>
              <c:strCache>
                <c:ptCount val="1"/>
                <c:pt idx="0">
                  <c:v>Zpracovatelský průmysl (CZ-NACE C)</c:v>
                </c:pt>
              </c:strCache>
            </c:strRef>
          </c:tx>
          <c:spPr>
            <a:solidFill>
              <a:srgbClr val="A6CDE8"/>
            </a:solidFill>
            <a:ln>
              <a:noFill/>
            </a:ln>
          </c:spPr>
          <c:invertIfNegative val="0"/>
          <c:val>
            <c:numRef>
              <c:f>'souhrnná výkonnost 4'!$D$14:$D$34</c:f>
              <c:numCache>
                <c:formatCode>#\ ##0.0</c:formatCode>
                <c:ptCount val="21"/>
                <c:pt idx="0">
                  <c:v>-1.006029365184558</c:v>
                </c:pt>
                <c:pt idx="1">
                  <c:v>-5.8707476654845019</c:v>
                </c:pt>
                <c:pt idx="2">
                  <c:v>-2.1566635032660484</c:v>
                </c:pt>
                <c:pt idx="3">
                  <c:v>-1.5364269842490534</c:v>
                </c:pt>
                <c:pt idx="4">
                  <c:v>-0.81082301657390887</c:v>
                </c:pt>
                <c:pt idx="5">
                  <c:v>3.9743747095561068</c:v>
                </c:pt>
                <c:pt idx="6">
                  <c:v>-0.74888372469617781</c:v>
                </c:pt>
                <c:pt idx="7">
                  <c:v>-0.87291327125667473</c:v>
                </c:pt>
                <c:pt idx="8">
                  <c:v>0.64528350075532714</c:v>
                </c:pt>
                <c:pt idx="9">
                  <c:v>1.5767749269534403</c:v>
                </c:pt>
                <c:pt idx="10">
                  <c:v>2.2578630988104651</c:v>
                </c:pt>
                <c:pt idx="11">
                  <c:v>2.6492927635274892</c:v>
                </c:pt>
                <c:pt idx="12">
                  <c:v>1.5213888679587808</c:v>
                </c:pt>
                <c:pt idx="13">
                  <c:v>0.73763485799498885</c:v>
                </c:pt>
                <c:pt idx="14">
                  <c:v>0.19292900801292828</c:v>
                </c:pt>
                <c:pt idx="15">
                  <c:v>0.32386657410623332</c:v>
                </c:pt>
                <c:pt idx="16">
                  <c:v>-0.34770626826214507</c:v>
                </c:pt>
                <c:pt idx="17">
                  <c:v>-0.51379346874632292</c:v>
                </c:pt>
                <c:pt idx="18">
                  <c:v>1.1221413379721837E-2</c:v>
                </c:pt>
                <c:pt idx="19">
                  <c:v>-0.32711254987278693</c:v>
                </c:pt>
                <c:pt idx="20">
                  <c:v>0.22668870185580947</c:v>
                </c:pt>
              </c:numCache>
            </c:numRef>
          </c:val>
          <c:extLst>
            <c:ext xmlns:c16="http://schemas.microsoft.com/office/drawing/2014/chart" uri="{C3380CC4-5D6E-409C-BE32-E72D297353CC}">
              <c16:uniqueId val="{00000001-B0D6-4A2F-B0B3-9B790BA9D182}"/>
            </c:ext>
          </c:extLst>
        </c:ser>
        <c:ser>
          <c:idx val="2"/>
          <c:order val="2"/>
          <c:tx>
            <c:strRef>
              <c:f>'souhrnná výkonnost 4'!$E$5</c:f>
              <c:strCache>
                <c:ptCount val="1"/>
                <c:pt idx="0">
                  <c:v>Ostatní průmyslová odvětví (CZ-NACE B, D, E)</c:v>
                </c:pt>
              </c:strCache>
            </c:strRef>
          </c:tx>
          <c:spPr>
            <a:solidFill>
              <a:srgbClr val="BD1B21"/>
            </a:solidFill>
            <a:ln>
              <a:noFill/>
            </a:ln>
          </c:spPr>
          <c:invertIfNegative val="0"/>
          <c:val>
            <c:numRef>
              <c:f>'souhrnná výkonnost 4'!$E$14:$E$34</c:f>
              <c:numCache>
                <c:formatCode>0.0</c:formatCode>
                <c:ptCount val="21"/>
                <c:pt idx="0">
                  <c:v>-0.17620696396261137</c:v>
                </c:pt>
                <c:pt idx="1">
                  <c:v>-0.24771149792454139</c:v>
                </c:pt>
                <c:pt idx="2">
                  <c:v>-6.0935554321396967E-2</c:v>
                </c:pt>
                <c:pt idx="3">
                  <c:v>6.5525594099085982E-2</c:v>
                </c:pt>
                <c:pt idx="4">
                  <c:v>0.38896231887529847</c:v>
                </c:pt>
                <c:pt idx="5">
                  <c:v>0.46371609807310366</c:v>
                </c:pt>
                <c:pt idx="6">
                  <c:v>0.33807449475314627</c:v>
                </c:pt>
                <c:pt idx="7">
                  <c:v>-5.8765796805848813E-2</c:v>
                </c:pt>
                <c:pt idx="8">
                  <c:v>-0.43983407410669084</c:v>
                </c:pt>
                <c:pt idx="9">
                  <c:v>-0.35269776369716466</c:v>
                </c:pt>
                <c:pt idx="10">
                  <c:v>-0.58798697249592147</c:v>
                </c:pt>
                <c:pt idx="11">
                  <c:v>-0.91369938251265959</c:v>
                </c:pt>
                <c:pt idx="12">
                  <c:v>-1.0554415694973189</c:v>
                </c:pt>
                <c:pt idx="13">
                  <c:v>-1.1918568053814194</c:v>
                </c:pt>
                <c:pt idx="14">
                  <c:v>-1.1412411616241473</c:v>
                </c:pt>
                <c:pt idx="15">
                  <c:v>-0.88664143027340003</c:v>
                </c:pt>
                <c:pt idx="16">
                  <c:v>-0.33961266004002505</c:v>
                </c:pt>
                <c:pt idx="17">
                  <c:v>-1.8484331493776041E-2</c:v>
                </c:pt>
                <c:pt idx="18">
                  <c:v>7.6152139862197335E-3</c:v>
                </c:pt>
                <c:pt idx="19">
                  <c:v>-0.29122502135741857</c:v>
                </c:pt>
                <c:pt idx="20">
                  <c:v>0.16277151644695304</c:v>
                </c:pt>
              </c:numCache>
            </c:numRef>
          </c:val>
          <c:extLst>
            <c:ext xmlns:c16="http://schemas.microsoft.com/office/drawing/2014/chart" uri="{C3380CC4-5D6E-409C-BE32-E72D297353CC}">
              <c16:uniqueId val="{00000002-B0D6-4A2F-B0B3-9B790BA9D182}"/>
            </c:ext>
          </c:extLst>
        </c:ser>
        <c:ser>
          <c:idx val="1"/>
          <c:order val="3"/>
          <c:tx>
            <c:strRef>
              <c:f>'souhrnná výkonnost 4'!$F$5</c:f>
              <c:strCache>
                <c:ptCount val="1"/>
                <c:pt idx="0">
                  <c:v>Stavebnictví</c:v>
                </c:pt>
              </c:strCache>
            </c:strRef>
          </c:tx>
          <c:spPr>
            <a:solidFill>
              <a:srgbClr val="E8AFB2"/>
            </a:solidFill>
            <a:ln>
              <a:noFill/>
            </a:ln>
          </c:spPr>
          <c:invertIfNegative val="0"/>
          <c:val>
            <c:numRef>
              <c:f>'souhrnná výkonnost 4'!$F$14:$F$34</c:f>
              <c:numCache>
                <c:formatCode>0.0</c:formatCode>
                <c:ptCount val="21"/>
                <c:pt idx="0">
                  <c:v>-0.30004627661730132</c:v>
                </c:pt>
                <c:pt idx="1">
                  <c:v>-0.48068129994946118</c:v>
                </c:pt>
                <c:pt idx="2">
                  <c:v>-0.45523791005942654</c:v>
                </c:pt>
                <c:pt idx="3">
                  <c:v>-0.43581518565318822</c:v>
                </c:pt>
                <c:pt idx="4">
                  <c:v>-0.33836863825135816</c:v>
                </c:pt>
                <c:pt idx="5">
                  <c:v>-6.7143304167931656E-2</c:v>
                </c:pt>
                <c:pt idx="6">
                  <c:v>-5.8092008458518342E-2</c:v>
                </c:pt>
                <c:pt idx="7">
                  <c:v>-0.10853391292600841</c:v>
                </c:pt>
                <c:pt idx="8">
                  <c:v>-9.0417570306820225E-2</c:v>
                </c:pt>
                <c:pt idx="9">
                  <c:v>-0.27691175914342508</c:v>
                </c:pt>
                <c:pt idx="10">
                  <c:v>-0.42875648302719638</c:v>
                </c:pt>
                <c:pt idx="11">
                  <c:v>-0.37973365169110213</c:v>
                </c:pt>
                <c:pt idx="12">
                  <c:v>-0.17716735825476659</c:v>
                </c:pt>
                <c:pt idx="13">
                  <c:v>-0.14950976455968754</c:v>
                </c:pt>
                <c:pt idx="14">
                  <c:v>-7.0749089694387812E-2</c:v>
                </c:pt>
                <c:pt idx="15">
                  <c:v>-0.13102758539124981</c:v>
                </c:pt>
                <c:pt idx="16">
                  <c:v>-0.10104382469873373</c:v>
                </c:pt>
                <c:pt idx="17">
                  <c:v>1.1401859915581215E-2</c:v>
                </c:pt>
                <c:pt idx="18">
                  <c:v>4.7381278409162286E-2</c:v>
                </c:pt>
                <c:pt idx="19">
                  <c:v>0.12700654696453351</c:v>
                </c:pt>
                <c:pt idx="20">
                  <c:v>0.20258641261324978</c:v>
                </c:pt>
              </c:numCache>
            </c:numRef>
          </c:val>
          <c:extLst>
            <c:ext xmlns:c16="http://schemas.microsoft.com/office/drawing/2014/chart" uri="{C3380CC4-5D6E-409C-BE32-E72D297353CC}">
              <c16:uniqueId val="{00000003-B0D6-4A2F-B0B3-9B790BA9D182}"/>
            </c:ext>
          </c:extLst>
        </c:ser>
        <c:ser>
          <c:idx val="0"/>
          <c:order val="4"/>
          <c:tx>
            <c:strRef>
              <c:f>'souhrnná výkonnost 4'!$G$5</c:f>
              <c:strCache>
                <c:ptCount val="1"/>
                <c:pt idx="0">
                  <c:v>Služby (CZ-NACE G až U)</c:v>
                </c:pt>
              </c:strCache>
            </c:strRef>
          </c:tx>
          <c:spPr>
            <a:solidFill>
              <a:srgbClr val="7DBB2D"/>
            </a:solidFill>
            <a:ln>
              <a:noFill/>
            </a:ln>
          </c:spPr>
          <c:invertIfNegative val="0"/>
          <c:val>
            <c:numRef>
              <c:f>'souhrnná výkonnost 4'!$G$14:$G$34</c:f>
              <c:numCache>
                <c:formatCode>0.0</c:formatCode>
                <c:ptCount val="21"/>
                <c:pt idx="0">
                  <c:v>0.1069034272001633</c:v>
                </c:pt>
                <c:pt idx="1">
                  <c:v>-4.2921319772752993</c:v>
                </c:pt>
                <c:pt idx="2">
                  <c:v>-1.7505754010952781</c:v>
                </c:pt>
                <c:pt idx="3">
                  <c:v>-2.2464479137063273</c:v>
                </c:pt>
                <c:pt idx="4">
                  <c:v>-0.13953156252945553</c:v>
                </c:pt>
                <c:pt idx="5">
                  <c:v>5.9943506299525042</c:v>
                </c:pt>
                <c:pt idx="6">
                  <c:v>4.4243917423347074</c:v>
                </c:pt>
                <c:pt idx="7">
                  <c:v>4.7971483856259507</c:v>
                </c:pt>
                <c:pt idx="8">
                  <c:v>4.2170828841115204</c:v>
                </c:pt>
                <c:pt idx="9">
                  <c:v>2.6617211255203492</c:v>
                </c:pt>
                <c:pt idx="10">
                  <c:v>0.7676089117890853</c:v>
                </c:pt>
                <c:pt idx="11">
                  <c:v>0.29041678067472676</c:v>
                </c:pt>
                <c:pt idx="12">
                  <c:v>1.2630343657854546</c:v>
                </c:pt>
                <c:pt idx="13">
                  <c:v>1.3129514276285825</c:v>
                </c:pt>
                <c:pt idx="14">
                  <c:v>1.3404253283547289</c:v>
                </c:pt>
                <c:pt idx="15">
                  <c:v>0.61232648519811117</c:v>
                </c:pt>
                <c:pt idx="16">
                  <c:v>0.15264904030885668</c:v>
                </c:pt>
                <c:pt idx="17">
                  <c:v>0.44702631011158933</c:v>
                </c:pt>
                <c:pt idx="18">
                  <c:v>0.90467176749276379</c:v>
                </c:pt>
                <c:pt idx="19">
                  <c:v>1.5922568414596621</c:v>
                </c:pt>
                <c:pt idx="20">
                  <c:v>1.936937983152847</c:v>
                </c:pt>
              </c:numCache>
            </c:numRef>
          </c:val>
          <c:extLst>
            <c:ext xmlns:c16="http://schemas.microsoft.com/office/drawing/2014/chart" uri="{C3380CC4-5D6E-409C-BE32-E72D297353CC}">
              <c16:uniqueId val="{00000004-B0D6-4A2F-B0B3-9B790BA9D182}"/>
            </c:ext>
          </c:extLst>
        </c:ser>
        <c:dLbls>
          <c:showLegendKey val="0"/>
          <c:showVal val="0"/>
          <c:showCatName val="0"/>
          <c:showSerName val="0"/>
          <c:showPercent val="0"/>
          <c:showBubbleSize val="0"/>
        </c:dLbls>
        <c:gapWidth val="70"/>
        <c:overlap val="100"/>
        <c:axId val="269005952"/>
        <c:axId val="269007488"/>
      </c:barChart>
      <c:lineChart>
        <c:grouping val="standard"/>
        <c:varyColors val="0"/>
        <c:ser>
          <c:idx val="5"/>
          <c:order val="5"/>
          <c:tx>
            <c:strRef>
              <c:f>'souhrnná výkonnost 4'!$H$5</c:f>
              <c:strCache>
                <c:ptCount val="1"/>
                <c:pt idx="0">
                  <c:v>Hrubá přidaná hodnota celkem</c:v>
                </c:pt>
              </c:strCache>
            </c:strRef>
          </c:tx>
          <c:spPr>
            <a:ln w="19050">
              <a:solidFill>
                <a:prstClr val="black"/>
              </a:solidFill>
            </a:ln>
          </c:spPr>
          <c:marker>
            <c:symbol val="none"/>
          </c:marker>
          <c:cat>
            <c:multiLvlStrRef>
              <c:f>'souhrnná výkonnost 4'!$A$14:$B$34</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'souhrnná výkonnost 4'!$H$14:$H$34</c:f>
              <c:numCache>
                <c:formatCode>#\ ##0.0</c:formatCode>
                <c:ptCount val="21"/>
                <c:pt idx="0">
                  <c:v>-1.2169604796506661</c:v>
                </c:pt>
                <c:pt idx="1">
                  <c:v>-10.72573587437293</c:v>
                </c:pt>
                <c:pt idx="2">
                  <c:v>-4.2745842128591107</c:v>
                </c:pt>
                <c:pt idx="3">
                  <c:v>-4.0497053295080292</c:v>
                </c:pt>
                <c:pt idx="4">
                  <c:v>-1.1092326662295733</c:v>
                </c:pt>
                <c:pt idx="5">
                  <c:v>10.020922752811231</c:v>
                </c:pt>
                <c:pt idx="6">
                  <c:v>3.6334340143173023</c:v>
                </c:pt>
                <c:pt idx="7">
                  <c:v>3.4636121873782457</c:v>
                </c:pt>
                <c:pt idx="8">
                  <c:v>4.3335548202223748</c:v>
                </c:pt>
                <c:pt idx="9">
                  <c:v>3.6873115442208899</c:v>
                </c:pt>
                <c:pt idx="10">
                  <c:v>2.0486348171819628</c:v>
                </c:pt>
                <c:pt idx="11">
                  <c:v>1.6260683441280008</c:v>
                </c:pt>
                <c:pt idx="12">
                  <c:v>1.5467455931493816</c:v>
                </c:pt>
                <c:pt idx="13">
                  <c:v>0.6746537525767593</c:v>
                </c:pt>
                <c:pt idx="14">
                  <c:v>0.28967826176176459</c:v>
                </c:pt>
                <c:pt idx="15">
                  <c:v>-0.10380295649311222</c:v>
                </c:pt>
                <c:pt idx="16">
                  <c:v>-0.60100052809912086</c:v>
                </c:pt>
                <c:pt idx="17">
                  <c:v>-0.11555699098822458</c:v>
                </c:pt>
                <c:pt idx="18">
                  <c:v>0.94822995206995131</c:v>
                </c:pt>
                <c:pt idx="19">
                  <c:v>1.1008797361983511</c:v>
                </c:pt>
                <c:pt idx="20">
                  <c:v>2.5407277229251548</c:v>
                </c:pt>
              </c:numCache>
            </c:numRef>
          </c:val>
          <c:smooth val="0"/>
          <c:extLst>
            <c:ext xmlns:c16="http://schemas.microsoft.com/office/drawing/2014/chart" uri="{C3380CC4-5D6E-409C-BE32-E72D297353CC}">
              <c16:uniqueId val="{00000005-B0D6-4A2F-B0B3-9B790BA9D182}"/>
            </c:ext>
          </c:extLst>
        </c:ser>
        <c:dLbls>
          <c:showLegendKey val="0"/>
          <c:showVal val="0"/>
          <c:showCatName val="0"/>
          <c:showSerName val="0"/>
          <c:showPercent val="0"/>
          <c:showBubbleSize val="0"/>
        </c:dLbls>
        <c:marker val="1"/>
        <c:smooth val="0"/>
        <c:axId val="269005952"/>
        <c:axId val="269007488"/>
      </c:lineChart>
      <c:catAx>
        <c:axId val="269005952"/>
        <c:scaling>
          <c:orientation val="minMax"/>
        </c:scaling>
        <c:delete val="0"/>
        <c:axPos val="b"/>
        <c:majorTickMark val="out"/>
        <c:minorTickMark val="none"/>
        <c:tickLblPos val="low"/>
        <c:spPr>
          <a:ln>
            <a:solidFill>
              <a:schemeClr val="tx1"/>
            </a:solidFill>
          </a:ln>
        </c:spPr>
        <c:txPr>
          <a:bodyPr rot="0" vert="horz"/>
          <a:lstStyle/>
          <a:p>
            <a:pPr>
              <a:defRPr/>
            </a:pPr>
            <a:endParaRPr lang="cs-CZ"/>
          </a:p>
        </c:txPr>
        <c:crossAx val="269007488"/>
        <c:crosses val="autoZero"/>
        <c:auto val="1"/>
        <c:lblAlgn val="ctr"/>
        <c:lblOffset val="100"/>
        <c:noMultiLvlLbl val="0"/>
      </c:catAx>
      <c:valAx>
        <c:axId val="269007488"/>
        <c:scaling>
          <c:orientation val="minMax"/>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269005952"/>
        <c:crosses val="autoZero"/>
        <c:crossBetween val="between"/>
        <c:majorUnit val="2"/>
      </c:valAx>
      <c:spPr>
        <a:ln>
          <a:solidFill>
            <a:schemeClr val="tx1"/>
          </a:solidFill>
        </a:ln>
      </c:spPr>
    </c:plotArea>
    <c:legend>
      <c:legendPos val="b"/>
      <c:layout>
        <c:manualLayout>
          <c:xMode val="edge"/>
          <c:yMode val="edge"/>
          <c:x val="5.4144292468760548E-2"/>
          <c:y val="0.79016604750647301"/>
          <c:w val="0.92386482607227283"/>
          <c:h val="0.19462484520994944"/>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Výroba dopravních prostředků (29, 30)</c:v>
                </c:pt>
              </c:strCache>
            </c:strRef>
          </c:tx>
          <c:spPr>
            <a:solidFill>
              <a:srgbClr val="E8AFB2"/>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IPP'!$Z$27:$BF$27</c:f>
              <c:numCache>
                <c:formatCode>0.0</c:formatCode>
                <c:ptCount val="33"/>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1.8997387545770597</c:v>
                </c:pt>
                <c:pt idx="17">
                  <c:v>10.955421852395933</c:v>
                </c:pt>
                <c:pt idx="18">
                  <c:v>-3.7787094742012259</c:v>
                </c:pt>
                <c:pt idx="19">
                  <c:v>-3.2457223772922283</c:v>
                </c:pt>
                <c:pt idx="20">
                  <c:v>-1.9052561459791306</c:v>
                </c:pt>
                <c:pt idx="21">
                  <c:v>9.7533525981177593E-2</c:v>
                </c:pt>
                <c:pt idx="22">
                  <c:v>5.6036391826337058</c:v>
                </c:pt>
                <c:pt idx="23">
                  <c:v>4.0034292332887835</c:v>
                </c:pt>
                <c:pt idx="24">
                  <c:v>5.2674675434816658</c:v>
                </c:pt>
                <c:pt idx="25">
                  <c:v>5.0856173634785273</c:v>
                </c:pt>
                <c:pt idx="26">
                  <c:v>1.348222655554894</c:v>
                </c:pt>
                <c:pt idx="27">
                  <c:v>3.1921960853219438</c:v>
                </c:pt>
                <c:pt idx="28">
                  <c:v>0.46244753121160664</c:v>
                </c:pt>
                <c:pt idx="29">
                  <c:v>-1.0901824230085269</c:v>
                </c:pt>
                <c:pt idx="30">
                  <c:v>0.65054000775709109</c:v>
                </c:pt>
                <c:pt idx="31">
                  <c:v>-1.4437322871535998</c:v>
                </c:pt>
                <c:pt idx="32">
                  <c:v>-0.59093882918656626</c:v>
                </c:pt>
              </c:numCache>
            </c:numRef>
          </c:val>
          <c:extLst>
            <c:ext xmlns:c16="http://schemas.microsoft.com/office/drawing/2014/chart" uri="{C3380CC4-5D6E-409C-BE32-E72D297353CC}">
              <c16:uniqueId val="{00000000-181C-4F1E-BC38-3CF3D26B32E5}"/>
            </c:ext>
          </c:extLst>
        </c:ser>
        <c:ser>
          <c:idx val="1"/>
          <c:order val="1"/>
          <c:tx>
            <c:strRef>
              <c:f>'GRAF příspěvky IPP'!$A$28</c:f>
              <c:strCache>
                <c:ptCount val="1"/>
                <c:pt idx="0">
                  <c:v>Gumárenství, elektrotechnický pr. (22, 27)</c:v>
                </c:pt>
              </c:strCache>
            </c:strRef>
          </c:tx>
          <c:spPr>
            <a:solidFill>
              <a:srgbClr val="BD1B21"/>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IPP'!$Z$28:$BF$28</c:f>
              <c:numCache>
                <c:formatCode>0.0</c:formatCode>
                <c:ptCount val="33"/>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0.71110891487419103</c:v>
                </c:pt>
                <c:pt idx="17">
                  <c:v>5.4816318903177557</c:v>
                </c:pt>
                <c:pt idx="18">
                  <c:v>0.62156579793214761</c:v>
                </c:pt>
                <c:pt idx="19">
                  <c:v>-0.42373500367708428</c:v>
                </c:pt>
                <c:pt idx="20">
                  <c:v>8.5578218294965147E-2</c:v>
                </c:pt>
                <c:pt idx="21">
                  <c:v>0.1401306506282671</c:v>
                </c:pt>
                <c:pt idx="22">
                  <c:v>0.54141713833742922</c:v>
                </c:pt>
                <c:pt idx="23">
                  <c:v>0.61574845521959132</c:v>
                </c:pt>
                <c:pt idx="24">
                  <c:v>0.24662190671890649</c:v>
                </c:pt>
                <c:pt idx="25">
                  <c:v>0.13268933083095191</c:v>
                </c:pt>
                <c:pt idx="26">
                  <c:v>-0.41966750434866668</c:v>
                </c:pt>
                <c:pt idx="27">
                  <c:v>1.8258514070271403E-2</c:v>
                </c:pt>
                <c:pt idx="28">
                  <c:v>3.5405349127009184E-2</c:v>
                </c:pt>
                <c:pt idx="29">
                  <c:v>-0.1882520012950486</c:v>
                </c:pt>
                <c:pt idx="30">
                  <c:v>0.14853770339690467</c:v>
                </c:pt>
                <c:pt idx="31">
                  <c:v>-0.54232453718576323</c:v>
                </c:pt>
                <c:pt idx="32">
                  <c:v>5.084075111251906E-2</c:v>
                </c:pt>
              </c:numCache>
            </c:numRef>
          </c:val>
          <c:extLst>
            <c:ext xmlns:c16="http://schemas.microsoft.com/office/drawing/2014/chart" uri="{C3380CC4-5D6E-409C-BE32-E72D297353CC}">
              <c16:uniqueId val="{00000001-181C-4F1E-BC38-3CF3D26B32E5}"/>
            </c:ext>
          </c:extLst>
        </c:ser>
        <c:ser>
          <c:idx val="2"/>
          <c:order val="2"/>
          <c:tx>
            <c:strRef>
              <c:f>'GRAF příspěvky IPP'!$A$29</c:f>
              <c:strCache>
                <c:ptCount val="1"/>
                <c:pt idx="0">
                  <c:v>Strojírenství (28)</c:v>
                </c:pt>
              </c:strCache>
            </c:strRef>
          </c:tx>
          <c:spPr>
            <a:solidFill>
              <a:srgbClr val="BFE3F7"/>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IPP'!$Z$29:$BF$29</c:f>
              <c:numCache>
                <c:formatCode>0.0</c:formatCode>
                <c:ptCount val="33"/>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7.071075311965476E-2</c:v>
                </c:pt>
                <c:pt idx="17">
                  <c:v>2.0591893686566833</c:v>
                </c:pt>
                <c:pt idx="18">
                  <c:v>0.54760348442666185</c:v>
                </c:pt>
                <c:pt idx="19">
                  <c:v>0.28149123540193455</c:v>
                </c:pt>
                <c:pt idx="20">
                  <c:v>0.35831400866009239</c:v>
                </c:pt>
                <c:pt idx="21">
                  <c:v>9.1653610478272973E-2</c:v>
                </c:pt>
                <c:pt idx="22">
                  <c:v>0.48964826234283909</c:v>
                </c:pt>
                <c:pt idx="23">
                  <c:v>0.65393841377005146</c:v>
                </c:pt>
                <c:pt idx="24">
                  <c:v>0.47438210329327696</c:v>
                </c:pt>
                <c:pt idx="25">
                  <c:v>0.39142019259988403</c:v>
                </c:pt>
                <c:pt idx="26">
                  <c:v>-0.58037699823600597</c:v>
                </c:pt>
                <c:pt idx="27">
                  <c:v>-0.75561649875478309</c:v>
                </c:pt>
                <c:pt idx="28">
                  <c:v>-0.97165233507761617</c:v>
                </c:pt>
                <c:pt idx="29">
                  <c:v>-0.79811763846195949</c:v>
                </c:pt>
                <c:pt idx="30">
                  <c:v>-0.38735440015536027</c:v>
                </c:pt>
                <c:pt idx="31">
                  <c:v>-0.52572237232048669</c:v>
                </c:pt>
                <c:pt idx="32">
                  <c:v>7.0349164740198381E-2</c:v>
                </c:pt>
              </c:numCache>
            </c:numRef>
          </c:val>
          <c:extLst>
            <c:ext xmlns:c16="http://schemas.microsoft.com/office/drawing/2014/chart" uri="{C3380CC4-5D6E-409C-BE32-E72D297353CC}">
              <c16:uniqueId val="{00000002-181C-4F1E-BC38-3CF3D26B32E5}"/>
            </c:ext>
          </c:extLst>
        </c:ser>
        <c:ser>
          <c:idx val="3"/>
          <c:order val="3"/>
          <c:tx>
            <c:strRef>
              <c:f>'GRAF příspěvky IPP'!$A$30</c:f>
              <c:strCache>
                <c:ptCount val="1"/>
                <c:pt idx="0">
                  <c:v>Kovodělný průmysl (25)</c:v>
                </c:pt>
              </c:strCache>
            </c:strRef>
          </c:tx>
          <c:spPr>
            <a:solidFill>
              <a:srgbClr val="48AEE7"/>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IPP'!$Z$30:$BF$30</c:f>
              <c:numCache>
                <c:formatCode>0.0</c:formatCode>
                <c:ptCount val="33"/>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0.43209266660267148</c:v>
                </c:pt>
                <c:pt idx="17">
                  <c:v>2.9903394886596479</c:v>
                </c:pt>
                <c:pt idx="18">
                  <c:v>0.8006709979521881</c:v>
                </c:pt>
                <c:pt idx="19">
                  <c:v>1.7780556757177931E-2</c:v>
                </c:pt>
                <c:pt idx="20">
                  <c:v>0.22687398176815188</c:v>
                </c:pt>
                <c:pt idx="21">
                  <c:v>-0.40390354624492114</c:v>
                </c:pt>
                <c:pt idx="22">
                  <c:v>-0.3152398078229795</c:v>
                </c:pt>
                <c:pt idx="23">
                  <c:v>-0.21572078603281947</c:v>
                </c:pt>
                <c:pt idx="24">
                  <c:v>-0.35320216692355311</c:v>
                </c:pt>
                <c:pt idx="25">
                  <c:v>-9.8651580993161181E-2</c:v>
                </c:pt>
                <c:pt idx="26">
                  <c:v>-0.21028524627986339</c:v>
                </c:pt>
                <c:pt idx="27">
                  <c:v>-0.2758116961966387</c:v>
                </c:pt>
                <c:pt idx="28">
                  <c:v>-0.19968672806362917</c:v>
                </c:pt>
                <c:pt idx="29">
                  <c:v>-3.7138815848100311E-2</c:v>
                </c:pt>
                <c:pt idx="30">
                  <c:v>0.34439016016659313</c:v>
                </c:pt>
                <c:pt idx="31">
                  <c:v>0.21350833517791346</c:v>
                </c:pt>
                <c:pt idx="32">
                  <c:v>7.4352283293433644E-2</c:v>
                </c:pt>
              </c:numCache>
            </c:numRef>
          </c:val>
          <c:extLst>
            <c:ext xmlns:c16="http://schemas.microsoft.com/office/drawing/2014/chart" uri="{C3380CC4-5D6E-409C-BE32-E72D297353CC}">
              <c16:uniqueId val="{00000003-181C-4F1E-BC38-3CF3D26B32E5}"/>
            </c:ext>
          </c:extLst>
        </c:ser>
        <c:ser>
          <c:idx val="4"/>
          <c:order val="4"/>
          <c:tx>
            <c:strRef>
              <c:f>'GRAF příspěvky IPP'!$A$31</c:f>
              <c:strCache>
                <c:ptCount val="1"/>
                <c:pt idx="0">
                  <c:v>Výroba PC, elektronic. a optic. přístr. (26)</c:v>
                </c:pt>
              </c:strCache>
            </c:strRef>
          </c:tx>
          <c:spPr>
            <a:solidFill>
              <a:srgbClr val="FDDEB3"/>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IPP'!$Z$31:$BF$31</c:f>
              <c:numCache>
                <c:formatCode>0.0</c:formatCode>
                <c:ptCount val="33"/>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0.12974126135304581</c:v>
                </c:pt>
                <c:pt idx="17">
                  <c:v>0.21422357551280832</c:v>
                </c:pt>
                <c:pt idx="18">
                  <c:v>0.19312918844191593</c:v>
                </c:pt>
                <c:pt idx="19">
                  <c:v>-0.23737487029842844</c:v>
                </c:pt>
                <c:pt idx="20">
                  <c:v>2.4318321448204623E-2</c:v>
                </c:pt>
                <c:pt idx="21">
                  <c:v>-1.8745158606211298E-2</c:v>
                </c:pt>
                <c:pt idx="22">
                  <c:v>5.9915179375252613E-2</c:v>
                </c:pt>
                <c:pt idx="23">
                  <c:v>0.43366398703574471</c:v>
                </c:pt>
                <c:pt idx="24">
                  <c:v>0.1469041062964056</c:v>
                </c:pt>
                <c:pt idx="25">
                  <c:v>8.4982984427206462E-2</c:v>
                </c:pt>
                <c:pt idx="26">
                  <c:v>-7.1083952341557538E-2</c:v>
                </c:pt>
                <c:pt idx="27">
                  <c:v>-6.5680804191665693E-2</c:v>
                </c:pt>
                <c:pt idx="28">
                  <c:v>-1.2760774083956091E-2</c:v>
                </c:pt>
                <c:pt idx="29">
                  <c:v>0.2213558264814702</c:v>
                </c:pt>
                <c:pt idx="30">
                  <c:v>0.29494563702634596</c:v>
                </c:pt>
                <c:pt idx="31">
                  <c:v>9.5600883504881704E-2</c:v>
                </c:pt>
                <c:pt idx="32">
                  <c:v>-6.8997764115326932E-2</c:v>
                </c:pt>
              </c:numCache>
            </c:numRef>
          </c:val>
          <c:extLst>
            <c:ext xmlns:c16="http://schemas.microsoft.com/office/drawing/2014/chart" uri="{C3380CC4-5D6E-409C-BE32-E72D297353CC}">
              <c16:uniqueId val="{00000004-181C-4F1E-BC38-3CF3D26B32E5}"/>
            </c:ext>
          </c:extLst>
        </c:ser>
        <c:ser>
          <c:idx val="5"/>
          <c:order val="5"/>
          <c:tx>
            <c:strRef>
              <c:f>'GRAF příspěvky IPP'!$A$32</c:f>
              <c:strCache>
                <c:ptCount val="1"/>
                <c:pt idx="0">
                  <c:v>Chemický a farmaceutický pr. (20, 21)</c:v>
                </c:pt>
              </c:strCache>
            </c:strRef>
          </c:tx>
          <c:spPr>
            <a:solidFill>
              <a:srgbClr val="F8A124"/>
            </a:solidFill>
            <a:ln>
              <a:noFill/>
            </a:ln>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IPP'!$Z$32:$BF$32</c:f>
              <c:numCache>
                <c:formatCode>0.0</c:formatCode>
                <c:ptCount val="33"/>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0.28423562625497262</c:v>
                </c:pt>
                <c:pt idx="17">
                  <c:v>0.8243016205164263</c:v>
                </c:pt>
                <c:pt idx="18">
                  <c:v>0.31940492364228334</c:v>
                </c:pt>
                <c:pt idx="19">
                  <c:v>8.8200760767163586E-2</c:v>
                </c:pt>
                <c:pt idx="20">
                  <c:v>0.24963952033469641</c:v>
                </c:pt>
                <c:pt idx="21">
                  <c:v>0.15903325443980132</c:v>
                </c:pt>
                <c:pt idx="22">
                  <c:v>-9.926468553089618E-2</c:v>
                </c:pt>
                <c:pt idx="23">
                  <c:v>-0.29165716203786041</c:v>
                </c:pt>
                <c:pt idx="24">
                  <c:v>-0.5997480875200103</c:v>
                </c:pt>
                <c:pt idx="25">
                  <c:v>-0.17864965921137443</c:v>
                </c:pt>
                <c:pt idx="26">
                  <c:v>-7.4282500835351109E-2</c:v>
                </c:pt>
                <c:pt idx="27">
                  <c:v>-0.125360538158273</c:v>
                </c:pt>
                <c:pt idx="28">
                  <c:v>0.26591077461700263</c:v>
                </c:pt>
                <c:pt idx="29">
                  <c:v>0.14556037689053306</c:v>
                </c:pt>
                <c:pt idx="30">
                  <c:v>-6.9956123727375752E-2</c:v>
                </c:pt>
                <c:pt idx="31">
                  <c:v>-7.0258369575785684E-2</c:v>
                </c:pt>
                <c:pt idx="32">
                  <c:v>-0.16076110803796617</c:v>
                </c:pt>
              </c:numCache>
            </c:numRef>
          </c:val>
          <c:extLst>
            <c:ext xmlns:c16="http://schemas.microsoft.com/office/drawing/2014/chart" uri="{C3380CC4-5D6E-409C-BE32-E72D297353CC}">
              <c16:uniqueId val="{00000005-181C-4F1E-BC38-3CF3D26B32E5}"/>
            </c:ext>
          </c:extLst>
        </c:ser>
        <c:ser>
          <c:idx val="6"/>
          <c:order val="6"/>
          <c:tx>
            <c:strRef>
              <c:f>'GRAF příspěvky IPP'!$A$33</c:f>
              <c:strCache>
                <c:ptCount val="1"/>
                <c:pt idx="0">
                  <c:v>Zbývající zpracovatelský průmysl*</c:v>
                </c:pt>
              </c:strCache>
            </c:strRef>
          </c:tx>
          <c:spPr>
            <a:solidFill>
              <a:schemeClr val="bg1">
                <a:lumMod val="85000"/>
              </a:schemeClr>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IPP'!$Z$33:$BF$33</c:f>
              <c:numCache>
                <c:formatCode>0.0</c:formatCode>
                <c:ptCount val="33"/>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-3.4554823400566315E-3</c:v>
                </c:pt>
                <c:pt idx="17">
                  <c:v>3.2123239094135592</c:v>
                </c:pt>
                <c:pt idx="18">
                  <c:v>1.5257042154045264</c:v>
                </c:pt>
                <c:pt idx="19">
                  <c:v>1.168868249340322</c:v>
                </c:pt>
                <c:pt idx="20">
                  <c:v>1.6917596177541252</c:v>
                </c:pt>
                <c:pt idx="21">
                  <c:v>0.27476479486685779</c:v>
                </c:pt>
                <c:pt idx="22">
                  <c:v>-1.6665062344549622</c:v>
                </c:pt>
                <c:pt idx="23">
                  <c:v>-1.5223662615722116</c:v>
                </c:pt>
                <c:pt idx="24">
                  <c:v>-3.3301496278709903</c:v>
                </c:pt>
                <c:pt idx="25">
                  <c:v>-3.5813702692639939</c:v>
                </c:pt>
                <c:pt idx="26">
                  <c:v>-1.803048635797329</c:v>
                </c:pt>
                <c:pt idx="27">
                  <c:v>-1.6141812680092777</c:v>
                </c:pt>
                <c:pt idx="28">
                  <c:v>0.14066292046774689</c:v>
                </c:pt>
                <c:pt idx="29">
                  <c:v>0.273678384768551</c:v>
                </c:pt>
                <c:pt idx="30">
                  <c:v>-0.20954720713504232</c:v>
                </c:pt>
                <c:pt idx="31">
                  <c:v>0.2592493514005399</c:v>
                </c:pt>
                <c:pt idx="32">
                  <c:v>0.34933310944713386</c:v>
                </c:pt>
              </c:numCache>
            </c:numRef>
          </c:val>
          <c:extLst>
            <c:ext xmlns:c16="http://schemas.microsoft.com/office/drawing/2014/chart" uri="{C3380CC4-5D6E-409C-BE32-E72D297353CC}">
              <c16:uniqueId val="{00000006-181C-4F1E-BC38-3CF3D26B32E5}"/>
            </c:ext>
          </c:extLst>
        </c:ser>
        <c:ser>
          <c:idx val="7"/>
          <c:order val="7"/>
          <c:tx>
            <c:strRef>
              <c:f>'GRAF příspěvky IPP'!$A$34</c:f>
              <c:strCache>
                <c:ptCount val="1"/>
                <c:pt idx="0">
                  <c:v>Těžba a energetika (B, D)</c:v>
                </c:pt>
              </c:strCache>
            </c:strRef>
          </c:tx>
          <c:spPr>
            <a:solidFill>
              <a:srgbClr val="808080"/>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IPP'!$Z$34:$BF$34</c:f>
              <c:numCache>
                <c:formatCode>0.0</c:formatCode>
                <c:ptCount val="33"/>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0.59169189725846227</c:v>
                </c:pt>
                <c:pt idx="17">
                  <c:v>0.52602802212718636</c:v>
                </c:pt>
                <c:pt idx="18">
                  <c:v>0.31402438140150823</c:v>
                </c:pt>
                <c:pt idx="19">
                  <c:v>0.81668518390114664</c:v>
                </c:pt>
                <c:pt idx="20">
                  <c:v>-0.20916825928110211</c:v>
                </c:pt>
                <c:pt idx="21">
                  <c:v>0.24264291225676068</c:v>
                </c:pt>
                <c:pt idx="22">
                  <c:v>0.41438960441960515</c:v>
                </c:pt>
                <c:pt idx="23">
                  <c:v>-1.2876349181712765</c:v>
                </c:pt>
                <c:pt idx="24">
                  <c:v>-1.3047375768756986</c:v>
                </c:pt>
                <c:pt idx="25">
                  <c:v>-1.5784043842680466</c:v>
                </c:pt>
                <c:pt idx="26">
                  <c:v>-1.6274670851161197</c:v>
                </c:pt>
                <c:pt idx="27">
                  <c:v>-1.1080126817815836</c:v>
                </c:pt>
                <c:pt idx="28">
                  <c:v>-0.77571671759816851</c:v>
                </c:pt>
                <c:pt idx="29">
                  <c:v>-8.1098783626912641E-2</c:v>
                </c:pt>
                <c:pt idx="30">
                  <c:v>3.6641856708415632E-3</c:v>
                </c:pt>
                <c:pt idx="31">
                  <c:v>-0.18706406114770238</c:v>
                </c:pt>
                <c:pt idx="32">
                  <c:v>0.96832493314657409</c:v>
                </c:pt>
              </c:numCache>
            </c:numRef>
          </c:val>
          <c:extLst>
            <c:ext xmlns:c16="http://schemas.microsoft.com/office/drawing/2014/chart" uri="{C3380CC4-5D6E-409C-BE32-E72D297353CC}">
              <c16:uniqueId val="{00000007-181C-4F1E-BC38-3CF3D26B32E5}"/>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Průmysl celkem (NACE B až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IPP'!$Z$35:$BF$35</c:f>
              <c:numCache>
                <c:formatCode>0.0</c:formatCode>
                <c:ptCount val="33"/>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4.1158643917000006</c:v>
                </c:pt>
                <c:pt idx="17">
                  <c:v>26.263459727599994</c:v>
                </c:pt>
                <c:pt idx="18">
                  <c:v>0.54339351500000532</c:v>
                </c:pt>
                <c:pt idx="19">
                  <c:v>-1.5338062650999973</c:v>
                </c:pt>
                <c:pt idx="20">
                  <c:v>0.52205926300000272</c:v>
                </c:pt>
                <c:pt idx="21">
                  <c:v>0.58311004380000497</c:v>
                </c:pt>
                <c:pt idx="22">
                  <c:v>5.0279986392999945</c:v>
                </c:pt>
                <c:pt idx="23">
                  <c:v>2.3894009615000016</c:v>
                </c:pt>
                <c:pt idx="24">
                  <c:v>0.5475382006000018</c:v>
                </c:pt>
                <c:pt idx="25">
                  <c:v>0.25763397759999407</c:v>
                </c:pt>
                <c:pt idx="26">
                  <c:v>-3.437989267399999</c:v>
                </c:pt>
                <c:pt idx="27">
                  <c:v>-0.73420888770000658</c:v>
                </c:pt>
                <c:pt idx="28">
                  <c:v>-1.0553899794000046</c:v>
                </c:pt>
                <c:pt idx="29">
                  <c:v>-1.5541950740999937</c:v>
                </c:pt>
                <c:pt idx="30">
                  <c:v>0.77521996299999785</c:v>
                </c:pt>
                <c:pt idx="31">
                  <c:v>-2.2007430573000022</c:v>
                </c:pt>
                <c:pt idx="32">
                  <c:v>0.73867768540000611</c:v>
                </c:pt>
              </c:numCache>
            </c:numRef>
          </c:val>
          <c:smooth val="0"/>
          <c:extLst>
            <c:ext xmlns:c16="http://schemas.microsoft.com/office/drawing/2014/chart" uri="{C3380CC4-5D6E-409C-BE32-E72D297353CC}">
              <c16:uniqueId val="{00000008-181C-4F1E-BC38-3CF3D26B32E5}"/>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IPP'!$Z$36:$BF$36</c:f>
              <c:numCache>
                <c:formatCode>General</c:formatCode>
                <c:ptCount val="33"/>
              </c:numCache>
            </c:numRef>
          </c:val>
          <c:smooth val="0"/>
          <c:extLst>
            <c:ext xmlns:c16="http://schemas.microsoft.com/office/drawing/2014/chart" uri="{C3380CC4-5D6E-409C-BE32-E72D297353CC}">
              <c16:uniqueId val="{00000009-181C-4F1E-BC38-3CF3D26B32E5}"/>
            </c:ext>
          </c:extLst>
        </c:ser>
        <c:ser>
          <c:idx val="10"/>
          <c:order val="10"/>
          <c:tx>
            <c:strRef>
              <c:f>'GRAF příspěvky IPP'!$A$37</c:f>
              <c:strCache>
                <c:ptCount val="1"/>
                <c:pt idx="0">
                  <c:v>Produkce, prům. v ČR celkem (2021=100)</c:v>
                </c:pt>
              </c:strCache>
            </c:strRef>
          </c:tx>
          <c:spPr>
            <a:ln w="15875">
              <a:solidFill>
                <a:schemeClr val="tx1">
                  <a:lumMod val="95000"/>
                  <a:lumOff val="5000"/>
                </a:schemeClr>
              </a:solidFill>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IPP'!$Z$37:$BF$37</c:f>
              <c:numCache>
                <c:formatCode>##0.0</c:formatCode>
                <c:ptCount val="33"/>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100.5</c:v>
                </c:pt>
                <c:pt idx="18">
                  <c:v>98.5</c:v>
                </c:pt>
                <c:pt idx="19">
                  <c:v>99.3</c:v>
                </c:pt>
                <c:pt idx="20">
                  <c:v>100.8</c:v>
                </c:pt>
                <c:pt idx="21">
                  <c:v>101.2</c:v>
                </c:pt>
                <c:pt idx="22">
                  <c:v>102.8</c:v>
                </c:pt>
                <c:pt idx="23">
                  <c:v>101.9</c:v>
                </c:pt>
                <c:pt idx="24">
                  <c:v>101.3</c:v>
                </c:pt>
                <c:pt idx="25">
                  <c:v>101.3</c:v>
                </c:pt>
                <c:pt idx="26">
                  <c:v>99.2</c:v>
                </c:pt>
                <c:pt idx="27">
                  <c:v>101.5</c:v>
                </c:pt>
                <c:pt idx="28">
                  <c:v>100.3</c:v>
                </c:pt>
                <c:pt idx="29">
                  <c:v>99.7</c:v>
                </c:pt>
                <c:pt idx="30">
                  <c:v>99.9</c:v>
                </c:pt>
                <c:pt idx="31">
                  <c:v>99.3</c:v>
                </c:pt>
                <c:pt idx="32">
                  <c:v>100.8</c:v>
                </c:pt>
              </c:numCache>
            </c:numRef>
          </c:val>
          <c:smooth val="0"/>
          <c:extLst>
            <c:ext xmlns:c16="http://schemas.microsoft.com/office/drawing/2014/chart" uri="{C3380CC4-5D6E-409C-BE32-E72D297353CC}">
              <c16:uniqueId val="{0000000A-181C-4F1E-BC38-3CF3D26B32E5}"/>
            </c:ext>
          </c:extLst>
        </c:ser>
        <c:ser>
          <c:idx val="11"/>
          <c:order val="11"/>
          <c:tx>
            <c:strRef>
              <c:f>'GRAF příspěvky IPP'!$A$38</c:f>
              <c:strCache>
                <c:ptCount val="1"/>
                <c:pt idx="0">
                  <c:v>Produkce, prům. v EU27 celkem (2021=100)</c:v>
                </c:pt>
              </c:strCache>
            </c:strRef>
          </c:tx>
          <c:spPr>
            <a:ln w="15875">
              <a:solidFill>
                <a:schemeClr val="tx1">
                  <a:lumMod val="50000"/>
                  <a:lumOff val="50000"/>
                </a:schemeClr>
              </a:solidFill>
              <a:prstDash val="sysDash"/>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IPP'!$Z$38:$BF$38</c:f>
              <c:numCache>
                <c:formatCode>#\ ##0.##########</c:formatCode>
                <c:ptCount val="33"/>
                <c:pt idx="0">
                  <c:v>96.1</c:v>
                </c:pt>
                <c:pt idx="1">
                  <c:v>97.3</c:v>
                </c:pt>
                <c:pt idx="2">
                  <c:v>98.7</c:v>
                </c:pt>
                <c:pt idx="3">
                  <c:v>100.6</c:v>
                </c:pt>
                <c:pt idx="4">
                  <c:v>99.2</c:v>
                </c:pt>
                <c:pt idx="5">
                  <c:v>99.7</c:v>
                </c:pt>
                <c:pt idx="6">
                  <c:v>99.4</c:v>
                </c:pt>
                <c:pt idx="7">
                  <c:v>99.1</c:v>
                </c:pt>
                <c:pt idx="8">
                  <c:v>99.4</c:v>
                </c:pt>
                <c:pt idx="9">
                  <c:v>99.3</c:v>
                </c:pt>
                <c:pt idx="10">
                  <c:v>98.7</c:v>
                </c:pt>
                <c:pt idx="11">
                  <c:v>98</c:v>
                </c:pt>
                <c:pt idx="12">
                  <c:v>95</c:v>
                </c:pt>
                <c:pt idx="13">
                  <c:v>80.3</c:v>
                </c:pt>
                <c:pt idx="14">
                  <c:v>93.5</c:v>
                </c:pt>
                <c:pt idx="15">
                  <c:v>98</c:v>
                </c:pt>
                <c:pt idx="16">
                  <c:v>99.5</c:v>
                </c:pt>
                <c:pt idx="17">
                  <c:v>100.1</c:v>
                </c:pt>
                <c:pt idx="18">
                  <c:v>99.7</c:v>
                </c:pt>
                <c:pt idx="19">
                  <c:v>100.8</c:v>
                </c:pt>
                <c:pt idx="20">
                  <c:v>101.8</c:v>
                </c:pt>
                <c:pt idx="21">
                  <c:v>102.5</c:v>
                </c:pt>
                <c:pt idx="22">
                  <c:v>102.9</c:v>
                </c:pt>
                <c:pt idx="23">
                  <c:v>102.7</c:v>
                </c:pt>
                <c:pt idx="24">
                  <c:v>102.9</c:v>
                </c:pt>
                <c:pt idx="25">
                  <c:v>102.2</c:v>
                </c:pt>
                <c:pt idx="26">
                  <c:v>99.6</c:v>
                </c:pt>
                <c:pt idx="27">
                  <c:v>99.7</c:v>
                </c:pt>
                <c:pt idx="28">
                  <c:v>98.8</c:v>
                </c:pt>
                <c:pt idx="29">
                  <c:v>98.8</c:v>
                </c:pt>
                <c:pt idx="30" formatCode="General">
                  <c:v>98.4</c:v>
                </c:pt>
                <c:pt idx="31" formatCode="General">
                  <c:v>98.4</c:v>
                </c:pt>
                <c:pt idx="32" formatCode="General">
                  <c:v>99.9</c:v>
                </c:pt>
              </c:numCache>
            </c:numRef>
          </c:val>
          <c:smooth val="0"/>
          <c:extLst>
            <c:ext xmlns:c16="http://schemas.microsoft.com/office/drawing/2014/chart" uri="{C3380CC4-5D6E-409C-BE32-E72D297353CC}">
              <c16:uniqueId val="{0000000B-181C-4F1E-BC38-3CF3D26B32E5}"/>
            </c:ext>
          </c:extLst>
        </c:ser>
        <c:ser>
          <c:idx val="12"/>
          <c:order val="12"/>
          <c:tx>
            <c:strRef>
              <c:f>'GRAF příspěvky IPP'!$A$39</c:f>
              <c:strCache>
                <c:ptCount val="1"/>
                <c:pt idx="0">
                  <c:v>Produkce, prům. v Německu (2021=100)</c:v>
                </c:pt>
              </c:strCache>
            </c:strRef>
          </c:tx>
          <c:spPr>
            <a:ln w="15875">
              <a:solidFill>
                <a:srgbClr val="996633"/>
              </a:solidFill>
              <a:prstDash val="dash"/>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IPP'!$Z$39:$BF$39</c:f>
              <c:numCache>
                <c:formatCode>#\ ##0.##########</c:formatCode>
                <c:ptCount val="33"/>
                <c:pt idx="0">
                  <c:v>105</c:v>
                </c:pt>
                <c:pt idx="1">
                  <c:v>107</c:v>
                </c:pt>
                <c:pt idx="2">
                  <c:v>108.8</c:v>
                </c:pt>
                <c:pt idx="3">
                  <c:v>109.6</c:v>
                </c:pt>
                <c:pt idx="4">
                  <c:v>109</c:v>
                </c:pt>
                <c:pt idx="5">
                  <c:v>109.8</c:v>
                </c:pt>
                <c:pt idx="6">
                  <c:v>108.8</c:v>
                </c:pt>
                <c:pt idx="7">
                  <c:v>107.2</c:v>
                </c:pt>
                <c:pt idx="8">
                  <c:v>107</c:v>
                </c:pt>
                <c:pt idx="9">
                  <c:v>105.8</c:v>
                </c:pt>
                <c:pt idx="10">
                  <c:v>104.6</c:v>
                </c:pt>
                <c:pt idx="11">
                  <c:v>102.9</c:v>
                </c:pt>
                <c:pt idx="12">
                  <c:v>101.3</c:v>
                </c:pt>
                <c:pt idx="13">
                  <c:v>82.9</c:v>
                </c:pt>
                <c:pt idx="14">
                  <c:v>94.8</c:v>
                </c:pt>
                <c:pt idx="15">
                  <c:v>100.9</c:v>
                </c:pt>
                <c:pt idx="16">
                  <c:v>100.7</c:v>
                </c:pt>
                <c:pt idx="17">
                  <c:v>99.9</c:v>
                </c:pt>
                <c:pt idx="18">
                  <c:v>97</c:v>
                </c:pt>
                <c:pt idx="19">
                  <c:v>100</c:v>
                </c:pt>
                <c:pt idx="20">
                  <c:v>99.2</c:v>
                </c:pt>
                <c:pt idx="21">
                  <c:v>98.8</c:v>
                </c:pt>
                <c:pt idx="22">
                  <c:v>99.4</c:v>
                </c:pt>
                <c:pt idx="23">
                  <c:v>99</c:v>
                </c:pt>
                <c:pt idx="24">
                  <c:v>99.9</c:v>
                </c:pt>
                <c:pt idx="25">
                  <c:v>98.4</c:v>
                </c:pt>
                <c:pt idx="26">
                  <c:v>96</c:v>
                </c:pt>
                <c:pt idx="27">
                  <c:v>94.6</c:v>
                </c:pt>
                <c:pt idx="28">
                  <c:v>94.4</c:v>
                </c:pt>
                <c:pt idx="29">
                  <c:v>93.2</c:v>
                </c:pt>
                <c:pt idx="30" formatCode="General">
                  <c:v>92</c:v>
                </c:pt>
                <c:pt idx="31" formatCode="General">
                  <c:v>91.4</c:v>
                </c:pt>
                <c:pt idx="32" formatCode="General">
                  <c:v>92.2</c:v>
                </c:pt>
              </c:numCache>
            </c:numRef>
          </c:val>
          <c:smooth val="0"/>
          <c:extLst>
            <c:ext xmlns:c16="http://schemas.microsoft.com/office/drawing/2014/chart" uri="{C3380CC4-5D6E-409C-BE32-E72D297353CC}">
              <c16:uniqueId val="{0000000C-181C-4F1E-BC38-3CF3D26B32E5}"/>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30"/>
          <c:min val="-25"/>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Prům. produkce (příspěvky  k meziroč. změně)</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513729024"/>
        <c:scaling>
          <c:orientation val="minMax"/>
          <c:max val="118"/>
          <c:min val="52"/>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Produkce</a:t>
                </a:r>
                <a:r>
                  <a:rPr lang="cs-CZ" sz="700" b="0" i="1" baseline="0">
                    <a:latin typeface="Arial" panose="020B0604020202020204" pitchFamily="34" charset="0"/>
                    <a:cs typeface="Arial" panose="020B0604020202020204" pitchFamily="34" charset="0"/>
                  </a:rPr>
                  <a:t> </a:t>
                </a:r>
                <a:r>
                  <a:rPr lang="cs-CZ" sz="700" b="0" i="1">
                    <a:latin typeface="Arial" panose="020B0604020202020204" pitchFamily="34" charset="0"/>
                    <a:cs typeface="Arial" panose="020B0604020202020204" pitchFamily="34" charset="0"/>
                  </a:rPr>
                  <a:t>v průmyslu (báze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6"/>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9971508545710578E-3"/>
          <c:y val="0.78956518157248545"/>
          <c:w val="0.97852638170448147"/>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Průmyslové zakázky celkem</c:v>
                </c:pt>
              </c:strCache>
            </c:strRef>
          </c:tx>
          <c:spPr>
            <a:solidFill>
              <a:schemeClr val="bg1">
                <a:lumMod val="75000"/>
              </a:schemeClr>
            </a:solidFill>
            <a:ln>
              <a:noFill/>
            </a:ln>
          </c:spPr>
          <c:invertIfNegative val="0"/>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2'!$AD$36:$BG$36</c:f>
              <c:numCache>
                <c:formatCode>##0.0</c:formatCode>
                <c:ptCount val="30"/>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10.306191522199995</c:v>
                </c:pt>
                <c:pt idx="13">
                  <c:v>46.985935721200008</c:v>
                </c:pt>
                <c:pt idx="14">
                  <c:v>7.4299366855999978</c:v>
                </c:pt>
                <c:pt idx="15">
                  <c:v>4.132152200500002</c:v>
                </c:pt>
                <c:pt idx="16">
                  <c:v>6.8384110660000061</c:v>
                </c:pt>
                <c:pt idx="17">
                  <c:v>10.081964469900001</c:v>
                </c:pt>
                <c:pt idx="18">
                  <c:v>15.313367123600003</c:v>
                </c:pt>
                <c:pt idx="19">
                  <c:v>12.447311224100005</c:v>
                </c:pt>
                <c:pt idx="20">
                  <c:v>2.8906130032000021</c:v>
                </c:pt>
                <c:pt idx="21">
                  <c:v>-2.3640533153999996</c:v>
                </c:pt>
                <c:pt idx="22">
                  <c:v>-4.8552771436000057</c:v>
                </c:pt>
                <c:pt idx="23">
                  <c:v>-1.0052440055000034</c:v>
                </c:pt>
                <c:pt idx="24">
                  <c:v>4.0312720833999975</c:v>
                </c:pt>
                <c:pt idx="25">
                  <c:v>3.9650105958999973</c:v>
                </c:pt>
                <c:pt idx="26">
                  <c:v>4.8745783802000062</c:v>
                </c:pt>
                <c:pt idx="27">
                  <c:v>1.1525136496999977</c:v>
                </c:pt>
                <c:pt idx="28">
                  <c:v>-0.50000737089999348</c:v>
                </c:pt>
              </c:numCache>
            </c:numRef>
          </c:val>
          <c:extLst>
            <c:ext xmlns:c16="http://schemas.microsoft.com/office/drawing/2014/chart" uri="{C3380CC4-5D6E-409C-BE32-E72D297353CC}">
              <c16:uniqueId val="{00000000-C4BA-4D3D-A976-9A5E8D73B1A8}"/>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z toho: zakázky z tuzemska</c:v>
                </c:pt>
              </c:strCache>
            </c:strRef>
          </c:tx>
          <c:spPr>
            <a:ln w="15875">
              <a:noFill/>
              <a:prstDash val="sysDot"/>
            </a:ln>
          </c:spPr>
          <c:marker>
            <c:symbol val="diamond"/>
            <c:size val="5"/>
            <c:spPr>
              <a:solidFill>
                <a:srgbClr val="984807"/>
              </a:solidFill>
              <a:ln>
                <a:noFill/>
              </a:ln>
            </c:spPr>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2'!$AD$37:$BG$37</c:f>
              <c:numCache>
                <c:formatCode>##0.0</c:formatCode>
                <c:ptCount val="30"/>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2.1974604896000045</c:v>
                </c:pt>
                <c:pt idx="13">
                  <c:v>42.25480147670001</c:v>
                </c:pt>
                <c:pt idx="14">
                  <c:v>9.2559519131000059</c:v>
                </c:pt>
                <c:pt idx="15">
                  <c:v>5.7872937478999944</c:v>
                </c:pt>
                <c:pt idx="16">
                  <c:v>8.7544734317999939</c:v>
                </c:pt>
                <c:pt idx="17">
                  <c:v>15.456172620700002</c:v>
                </c:pt>
                <c:pt idx="18">
                  <c:v>26.229187009100002</c:v>
                </c:pt>
                <c:pt idx="19">
                  <c:v>19.258212151699993</c:v>
                </c:pt>
                <c:pt idx="20">
                  <c:v>12.006916020299997</c:v>
                </c:pt>
                <c:pt idx="21">
                  <c:v>2.3167058517999948</c:v>
                </c:pt>
                <c:pt idx="22">
                  <c:v>-6.7984334614999966</c:v>
                </c:pt>
                <c:pt idx="23">
                  <c:v>-0.66746203850000541</c:v>
                </c:pt>
                <c:pt idx="24">
                  <c:v>3.4248518778999966</c:v>
                </c:pt>
                <c:pt idx="25">
                  <c:v>3.1019785433000067</c:v>
                </c:pt>
                <c:pt idx="26">
                  <c:v>7.9508175347999952</c:v>
                </c:pt>
                <c:pt idx="27">
                  <c:v>2.421379928600004</c:v>
                </c:pt>
                <c:pt idx="28">
                  <c:v>-0.14768039070000327</c:v>
                </c:pt>
              </c:numCache>
            </c:numRef>
          </c:val>
          <c:smooth val="0"/>
          <c:extLst>
            <c:ext xmlns:c16="http://schemas.microsoft.com/office/drawing/2014/chart" uri="{C3380CC4-5D6E-409C-BE32-E72D297353CC}">
              <c16:uniqueId val="{00000001-C4BA-4D3D-A976-9A5E8D73B1A8}"/>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Využití výrob. kapacit v průmyslu celkem</c:v>
                </c:pt>
              </c:strCache>
            </c:strRef>
          </c:tx>
          <c:spPr>
            <a:ln w="15875">
              <a:solidFill>
                <a:schemeClr val="accent6">
                  <a:lumMod val="75000"/>
                </a:schemeClr>
              </a:solidFill>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2'!$AD$38:$BG$38</c:f>
              <c:numCache>
                <c:formatCode>##0.0</c:formatCode>
                <c:ptCount val="30"/>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numCache>
            </c:numRef>
          </c:val>
          <c:smooth val="0"/>
          <c:extLst>
            <c:ext xmlns:c16="http://schemas.microsoft.com/office/drawing/2014/chart" uri="{C3380CC4-5D6E-409C-BE32-E72D297353CC}">
              <c16:uniqueId val="{00000002-C4BA-4D3D-A976-9A5E8D73B1A8}"/>
            </c:ext>
          </c:extLst>
        </c:ser>
        <c:ser>
          <c:idx val="3"/>
          <c:order val="3"/>
          <c:tx>
            <c:strRef>
              <c:f>'výkonnost odvětví 2'!$A$39</c:f>
              <c:strCache>
                <c:ptCount val="1"/>
                <c:pt idx="0">
                  <c:v>Využití výrob. kapacit v automobil. prům.</c:v>
                </c:pt>
              </c:strCache>
            </c:strRef>
          </c:tx>
          <c:spPr>
            <a:ln w="15875">
              <a:solidFill>
                <a:schemeClr val="accent6">
                  <a:lumMod val="75000"/>
                </a:schemeClr>
              </a:solidFill>
              <a:prstDash val="sysDash"/>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2'!$AD$39:$BG$39</c:f>
              <c:numCache>
                <c:formatCode>##0.0</c:formatCode>
                <c:ptCount val="30"/>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numCache>
            </c:numRef>
          </c:val>
          <c:smooth val="0"/>
          <c:extLst>
            <c:ext xmlns:c16="http://schemas.microsoft.com/office/drawing/2014/chart" uri="{C3380CC4-5D6E-409C-BE32-E72D297353CC}">
              <c16:uniqueId val="{00000003-C4BA-4D3D-A976-9A5E8D73B1A8}"/>
            </c:ext>
          </c:extLst>
        </c:ser>
        <c:ser>
          <c:idx val="4"/>
          <c:order val="4"/>
          <c:tx>
            <c:strRef>
              <c:f>'výkonnost odvětví 2'!$A$40</c:f>
              <c:strCache>
                <c:ptCount val="1"/>
                <c:pt idx="0">
                  <c:v>Bariéra růstu: nedostatečná poptávka</c:v>
                </c:pt>
              </c:strCache>
            </c:strRef>
          </c:tx>
          <c:spPr>
            <a:ln w="15875">
              <a:solidFill>
                <a:srgbClr val="00B050"/>
              </a:solidFill>
              <a:prstDash val="solid"/>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2'!$AD$40:$BG$40</c:f>
              <c:numCache>
                <c:formatCode>#\ ##0.0</c:formatCode>
                <c:ptCount val="30"/>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numCache>
            </c:numRef>
          </c:val>
          <c:smooth val="0"/>
          <c:extLst>
            <c:ext xmlns:c16="http://schemas.microsoft.com/office/drawing/2014/chart" uri="{C3380CC4-5D6E-409C-BE32-E72D297353CC}">
              <c16:uniqueId val="{00000004-C4BA-4D3D-A976-9A5E8D73B1A8}"/>
            </c:ext>
          </c:extLst>
        </c:ser>
        <c:ser>
          <c:idx val="5"/>
          <c:order val="5"/>
          <c:tx>
            <c:strRef>
              <c:f>'výkonnost odvětví 2'!$A$41</c:f>
              <c:strCache>
                <c:ptCount val="1"/>
                <c:pt idx="0">
                  <c:v>Bariéra růstu: nedostatek pracovníků</c:v>
                </c:pt>
              </c:strCache>
            </c:strRef>
          </c:tx>
          <c:spPr>
            <a:ln w="15875">
              <a:solidFill>
                <a:srgbClr val="6FE772"/>
              </a:solidFill>
              <a:prstDash val="solid"/>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2'!$AD$41:$BG$41</c:f>
              <c:numCache>
                <c:formatCode>#\ ##0.0</c:formatCode>
                <c:ptCount val="30"/>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numCache>
            </c:numRef>
          </c:val>
          <c:smooth val="0"/>
          <c:extLst>
            <c:ext xmlns:c16="http://schemas.microsoft.com/office/drawing/2014/chart" uri="{C3380CC4-5D6E-409C-BE32-E72D297353CC}">
              <c16:uniqueId val="{00000005-C4BA-4D3D-A976-9A5E8D73B1A8}"/>
            </c:ext>
          </c:extLst>
        </c:ser>
        <c:ser>
          <c:idx val="6"/>
          <c:order val="6"/>
          <c:tx>
            <c:strRef>
              <c:f>'výkonnost odvětví 2'!$A$42</c:f>
              <c:strCache>
                <c:ptCount val="1"/>
                <c:pt idx="0">
                  <c:v>Bariéra růstu: nedost. materiálu a zařízení</c:v>
                </c:pt>
              </c:strCache>
            </c:strRef>
          </c:tx>
          <c:spPr>
            <a:ln w="15875">
              <a:solidFill>
                <a:schemeClr val="accent3">
                  <a:lumMod val="75000"/>
                </a:schemeClr>
              </a:solidFill>
              <a:prstDash val="dash"/>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2'!$AD$42:$BG$42</c:f>
              <c:numCache>
                <c:formatCode>#\ ##0.0</c:formatCode>
                <c:ptCount val="30"/>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numCache>
            </c:numRef>
          </c:val>
          <c:smooth val="0"/>
          <c:extLst>
            <c:ext xmlns:c16="http://schemas.microsoft.com/office/drawing/2014/chart" uri="{C3380CC4-5D6E-409C-BE32-E72D297353CC}">
              <c16:uniqueId val="{00000006-C4BA-4D3D-A976-9A5E8D73B1A8}"/>
            </c:ext>
          </c:extLst>
        </c:ser>
        <c:ser>
          <c:idx val="7"/>
          <c:order val="7"/>
          <c:tx>
            <c:strRef>
              <c:f>'výkonnost odvětví 2'!$A$43</c:f>
              <c:strCache>
                <c:ptCount val="1"/>
                <c:pt idx="0">
                  <c:v>Saldo souhrn. indik. důvěry v průmyslu</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2'!$AD$43:$BG$43</c:f>
              <c:numCache>
                <c:formatCode>#\ ##0.0</c:formatCode>
                <c:ptCount val="30"/>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numCache>
            </c:numRef>
          </c:val>
          <c:smooth val="0"/>
          <c:extLst>
            <c:ext xmlns:c16="http://schemas.microsoft.com/office/drawing/2014/chart" uri="{C3380CC4-5D6E-409C-BE32-E72D297353CC}">
              <c16:uniqueId val="{00000007-C4BA-4D3D-A976-9A5E8D73B1A8}"/>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90"/>
          <c:min val="-40"/>
        </c:scaling>
        <c:delete val="0"/>
        <c:axPos val="l"/>
        <c:majorGridlines>
          <c:spPr>
            <a:ln>
              <a:solidFill>
                <a:srgbClr val="BEBEBE"/>
              </a:solidFill>
            </a:ln>
          </c:spPr>
        </c:majorGridlines>
        <c:title>
          <c:tx>
            <c:rich>
              <a:bodyPr/>
              <a:lstStyle/>
              <a:p>
                <a:pPr>
                  <a:defRPr sz="700" b="0" i="1"/>
                </a:pPr>
                <a:r>
                  <a:rPr lang="cs-CZ" sz="700" b="0" i="1"/>
                  <a:t>Zakázky</a:t>
                </a:r>
              </a:p>
            </c:rich>
          </c:tx>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a:t>Využití výrob.</a:t>
                </a:r>
                <a:r>
                  <a:rPr lang="cs-CZ" sz="700" b="0" i="1" baseline="0"/>
                  <a:t> </a:t>
                </a:r>
                <a:r>
                  <a:rPr lang="cs-CZ" sz="700" b="0" i="1"/>
                  <a:t>kapacit, bariéry růstu, </a:t>
                </a:r>
                <a:r>
                  <a:rPr lang="cs-CZ" sz="700" b="0" i="1" baseline="0">
                    <a:effectLst/>
                  </a:rPr>
                  <a:t>saldo důvěry</a:t>
                </a:r>
                <a:endParaRPr lang="cs-CZ" sz="700" i="1">
                  <a:effectLst/>
                </a:endParaRPr>
              </a:p>
            </c:rich>
          </c:tx>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5.0624233317308007E-3"/>
          <c:y val="0.85586452851148542"/>
          <c:w val="0.99016081878579243"/>
          <c:h val="0.13715127117944995"/>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Pozemní stavitelství (příspěvek v p. b.)</c:v>
                </c:pt>
              </c:strCache>
            </c:strRef>
          </c:tx>
          <c:spPr>
            <a:solidFill>
              <a:schemeClr val="accent5">
                <a:lumMod val="60000"/>
                <a:lumOff val="40000"/>
              </a:schemeClr>
            </a:solidFill>
            <a:ln>
              <a:noFill/>
            </a:ln>
          </c:spPr>
          <c:invertIfNegative val="0"/>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3'!$Y$39:$Y$72</c:f>
              <c:numCache>
                <c:formatCode>0.0</c:formatCode>
                <c:ptCount val="34"/>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-0.69584807703082285</c:v>
                </c:pt>
                <c:pt idx="13">
                  <c:v>-7.7523651483361782</c:v>
                </c:pt>
                <c:pt idx="14">
                  <c:v>-7.0746219815718145</c:v>
                </c:pt>
                <c:pt idx="15">
                  <c:v>-7.7412314636348389</c:v>
                </c:pt>
                <c:pt idx="16">
                  <c:v>-5.0539292235061861</c:v>
                </c:pt>
                <c:pt idx="17">
                  <c:v>2.4865808366808313</c:v>
                </c:pt>
                <c:pt idx="18">
                  <c:v>2.6946045955303819</c:v>
                </c:pt>
                <c:pt idx="19">
                  <c:v>5.4044217734935511</c:v>
                </c:pt>
                <c:pt idx="20">
                  <c:v>7.2807115698045832</c:v>
                </c:pt>
                <c:pt idx="21">
                  <c:v>3.5238839285832766</c:v>
                </c:pt>
                <c:pt idx="22">
                  <c:v>-0.75968306106850436</c:v>
                </c:pt>
                <c:pt idx="23">
                  <c:v>-1.4637584519464966</c:v>
                </c:pt>
                <c:pt idx="24">
                  <c:v>2.1012015934473456</c:v>
                </c:pt>
                <c:pt idx="25">
                  <c:v>-1.8360311266233653</c:v>
                </c:pt>
                <c:pt idx="26">
                  <c:v>-0.46734144058513133</c:v>
                </c:pt>
                <c:pt idx="27">
                  <c:v>-2.3406753344723099</c:v>
                </c:pt>
                <c:pt idx="28">
                  <c:v>-5.2233662988080329</c:v>
                </c:pt>
                <c:pt idx="29">
                  <c:v>-3.132066680680627</c:v>
                </c:pt>
                <c:pt idx="30">
                  <c:v>-1.8237576192061364</c:v>
                </c:pt>
                <c:pt idx="31">
                  <c:v>1.6843533400760768</c:v>
                </c:pt>
                <c:pt idx="32">
                  <c:v>5.1718044403199617</c:v>
                </c:pt>
              </c:numCache>
            </c:numRef>
          </c:val>
          <c:extLst>
            <c:ext xmlns:c16="http://schemas.microsoft.com/office/drawing/2014/chart" uri="{C3380CC4-5D6E-409C-BE32-E72D297353CC}">
              <c16:uniqueId val="{00000000-16BD-481C-8982-B29B4B30AF12}"/>
            </c:ext>
          </c:extLst>
        </c:ser>
        <c:ser>
          <c:idx val="2"/>
          <c:order val="2"/>
          <c:tx>
            <c:strRef>
              <c:f>'výkonnost odvětví 3'!$Z$10</c:f>
              <c:strCache>
                <c:ptCount val="1"/>
                <c:pt idx="0">
                  <c:v>Inženýrské stavitelství (příspěvek v p. b.)</c:v>
                </c:pt>
              </c:strCache>
            </c:strRef>
          </c:tx>
          <c:spPr>
            <a:solidFill>
              <a:schemeClr val="accent2">
                <a:lumMod val="60000"/>
                <a:lumOff val="40000"/>
              </a:schemeClr>
            </a:solidFill>
            <a:ln>
              <a:noFill/>
            </a:ln>
          </c:spPr>
          <c:invertIfNegative val="0"/>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3'!$Z$39:$Z$72</c:f>
              <c:numCache>
                <c:formatCode>0.0</c:formatCode>
                <c:ptCount val="34"/>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2.6239699221333534</c:v>
                </c:pt>
                <c:pt idx="13">
                  <c:v>0.26317252359280197</c:v>
                </c:pt>
                <c:pt idx="14">
                  <c:v>-3.3347591135837273</c:v>
                </c:pt>
                <c:pt idx="15">
                  <c:v>-0.42839192125115316</c:v>
                </c:pt>
                <c:pt idx="16">
                  <c:v>-0.40015113950465764</c:v>
                </c:pt>
                <c:pt idx="17">
                  <c:v>1.8498894558184362</c:v>
                </c:pt>
                <c:pt idx="18">
                  <c:v>0.52645242002623938</c:v>
                </c:pt>
                <c:pt idx="19">
                  <c:v>-1.0593646577217053</c:v>
                </c:pt>
                <c:pt idx="20">
                  <c:v>5.3468381276166594</c:v>
                </c:pt>
                <c:pt idx="21">
                  <c:v>1.3467689752632395</c:v>
                </c:pt>
                <c:pt idx="22">
                  <c:v>0.66666512746475126</c:v>
                </c:pt>
                <c:pt idx="23">
                  <c:v>1.4258650441000595</c:v>
                </c:pt>
                <c:pt idx="24">
                  <c:v>-3.8445215573967073</c:v>
                </c:pt>
                <c:pt idx="25">
                  <c:v>-2.3468373421599518</c:v>
                </c:pt>
                <c:pt idx="26">
                  <c:v>-0.12146120541727029</c:v>
                </c:pt>
                <c:pt idx="27">
                  <c:v>-0.57085430930878567</c:v>
                </c:pt>
                <c:pt idx="28">
                  <c:v>1.1802728503645525</c:v>
                </c:pt>
                <c:pt idx="29">
                  <c:v>-1.460937175682947</c:v>
                </c:pt>
                <c:pt idx="30">
                  <c:v>0.2804382352831713</c:v>
                </c:pt>
                <c:pt idx="31">
                  <c:v>1.5105680199159426</c:v>
                </c:pt>
                <c:pt idx="32">
                  <c:v>2.0157205881259377</c:v>
                </c:pt>
              </c:numCache>
            </c:numRef>
          </c:val>
          <c:extLst>
            <c:ext xmlns:c16="http://schemas.microsoft.com/office/drawing/2014/chart" uri="{C3380CC4-5D6E-409C-BE32-E72D297353CC}">
              <c16:uniqueId val="{00000001-16BD-481C-8982-B29B4B30AF12}"/>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Celková stavební produkce</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3'!$X$39:$X$72</c:f>
              <c:numCache>
                <c:formatCode>0.0</c:formatCode>
                <c:ptCount val="34"/>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1.9281218451025097</c:v>
                </c:pt>
                <c:pt idx="13">
                  <c:v>-7.4891926247433389</c:v>
                </c:pt>
                <c:pt idx="14">
                  <c:v>-10.409381095155538</c:v>
                </c:pt>
                <c:pt idx="15">
                  <c:v>-8.1696233848859805</c:v>
                </c:pt>
                <c:pt idx="16">
                  <c:v>-5.4458057309511361</c:v>
                </c:pt>
                <c:pt idx="17">
                  <c:v>4.3456017930412685</c:v>
                </c:pt>
                <c:pt idx="18">
                  <c:v>3.230090891938147</c:v>
                </c:pt>
                <c:pt idx="19">
                  <c:v>4.3541893665775149</c:v>
                </c:pt>
                <c:pt idx="20">
                  <c:v>12.627549701080227</c:v>
                </c:pt>
                <c:pt idx="21">
                  <c:v>4.8706529041971294</c:v>
                </c:pt>
                <c:pt idx="22">
                  <c:v>-9.3017933737669978E-2</c:v>
                </c:pt>
                <c:pt idx="23">
                  <c:v>-3.7893409606866157E-2</c:v>
                </c:pt>
                <c:pt idx="24">
                  <c:v>-1.743319961848357</c:v>
                </c:pt>
                <c:pt idx="25">
                  <c:v>-4.182868473690263</c:v>
                </c:pt>
                <c:pt idx="26">
                  <c:v>-0.58880264849905473</c:v>
                </c:pt>
                <c:pt idx="27">
                  <c:v>-2.9115296427945481</c:v>
                </c:pt>
                <c:pt idx="28">
                  <c:v>-4.0430934542884103</c:v>
                </c:pt>
                <c:pt idx="29">
                  <c:v>-4.5930038541579563</c:v>
                </c:pt>
                <c:pt idx="30">
                  <c:v>-1.5433193771210654</c:v>
                </c:pt>
                <c:pt idx="31">
                  <c:v>3.1949213595404018</c:v>
                </c:pt>
                <c:pt idx="32">
                  <c:v>7.1875250278086895</c:v>
                </c:pt>
              </c:numCache>
            </c:numRef>
          </c:val>
          <c:smooth val="0"/>
          <c:extLst>
            <c:ext xmlns:c16="http://schemas.microsoft.com/office/drawing/2014/chart" uri="{C3380CC4-5D6E-409C-BE32-E72D297353CC}">
              <c16:uniqueId val="{00000002-16BD-481C-8982-B29B4B30AF12}"/>
            </c:ext>
          </c:extLst>
        </c:ser>
        <c:ser>
          <c:idx val="3"/>
          <c:order val="3"/>
          <c:tx>
            <c:strRef>
              <c:f>'výkonnost odvětví 3'!$AA$10</c:f>
              <c:strCache>
                <c:ptCount val="1"/>
                <c:pt idx="0">
                  <c:v>Nové stavební zakázky v tuzemsku</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3'!$AA$39:$AA$72</c:f>
              <c:numCache>
                <c:formatCode>0.0</c:formatCode>
                <c:ptCount val="34"/>
                <c:pt idx="0">
                  <c:v>16.177217458847437</c:v>
                </c:pt>
                <c:pt idx="1">
                  <c:v>9.5350878984013008</c:v>
                </c:pt>
                <c:pt idx="2">
                  <c:v>-1.2817324431350698</c:v>
                </c:pt>
                <c:pt idx="3">
                  <c:v>15.620806693503823</c:v>
                </c:pt>
                <c:pt idx="4">
                  <c:v>30.10697387368856</c:v>
                </c:pt>
                <c:pt idx="5">
                  <c:v>32.836878110611963</c:v>
                </c:pt>
                <c:pt idx="6">
                  <c:v>5.2768249907951201</c:v>
                </c:pt>
                <c:pt idx="7">
                  <c:v>1.8944565811032277</c:v>
                </c:pt>
                <c:pt idx="8">
                  <c:v>14.157245632065781</c:v>
                </c:pt>
                <c:pt idx="9">
                  <c:v>-9.3849543241233135</c:v>
                </c:pt>
                <c:pt idx="10">
                  <c:v>17.407871000993993</c:v>
                </c:pt>
                <c:pt idx="11">
                  <c:v>5.8323004254463768</c:v>
                </c:pt>
                <c:pt idx="12">
                  <c:v>-12.441635069859245</c:v>
                </c:pt>
                <c:pt idx="13">
                  <c:v>7.497345722028669</c:v>
                </c:pt>
                <c:pt idx="14">
                  <c:v>2.0599736606932879</c:v>
                </c:pt>
                <c:pt idx="15">
                  <c:v>7.5507850088630164</c:v>
                </c:pt>
                <c:pt idx="16">
                  <c:v>28.856340981154403</c:v>
                </c:pt>
                <c:pt idx="17">
                  <c:v>22.047871359987184</c:v>
                </c:pt>
                <c:pt idx="18">
                  <c:v>10.015015612184257</c:v>
                </c:pt>
                <c:pt idx="19">
                  <c:v>1.0053213537781147</c:v>
                </c:pt>
                <c:pt idx="20">
                  <c:v>13.067478460417874</c:v>
                </c:pt>
                <c:pt idx="21">
                  <c:v>17.619163607261129</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14.276535255230854</c:v>
                </c:pt>
              </c:numCache>
            </c:numRef>
          </c:val>
          <c:smooth val="0"/>
          <c:extLst>
            <c:ext xmlns:c16="http://schemas.microsoft.com/office/drawing/2014/chart" uri="{C3380CC4-5D6E-409C-BE32-E72D297353CC}">
              <c16:uniqueId val="{00000003-16BD-481C-8982-B29B4B30AF12}"/>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Bariéra růstu: nedostatečná poptávka</c:v>
                </c:pt>
              </c:strCache>
            </c:strRef>
          </c:tx>
          <c:spPr>
            <a:ln w="15875">
              <a:solidFill>
                <a:srgbClr val="00B050"/>
              </a:solidFill>
              <a:prstDash val="solid"/>
            </a:ln>
          </c:spPr>
          <c:marker>
            <c:symbol val="none"/>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3'!$AB$39:$AB$72</c:f>
              <c:numCache>
                <c:formatCode>#\ ##0.0</c:formatCode>
                <c:ptCount val="34"/>
                <c:pt idx="0">
                  <c:v>55.7</c:v>
                </c:pt>
                <c:pt idx="1">
                  <c:v>54.8</c:v>
                </c:pt>
                <c:pt idx="2">
                  <c:v>49.1</c:v>
                </c:pt>
                <c:pt idx="3">
                  <c:v>47.1</c:v>
                </c:pt>
                <c:pt idx="4">
                  <c:v>40.1</c:v>
                </c:pt>
                <c:pt idx="5">
                  <c:v>39.4</c:v>
                </c:pt>
                <c:pt idx="6">
                  <c:v>33</c:v>
                </c:pt>
                <c:pt idx="7">
                  <c:v>23.3</c:v>
                </c:pt>
                <c:pt idx="8">
                  <c:v>26.5</c:v>
                </c:pt>
                <c:pt idx="9">
                  <c:v>26.7</c:v>
                </c:pt>
                <c:pt idx="10">
                  <c:v>18.899999999999999</c:v>
                </c:pt>
                <c:pt idx="11">
                  <c:v>19.600000000000001</c:v>
                </c:pt>
                <c:pt idx="12">
                  <c:v>31.6</c:v>
                </c:pt>
                <c:pt idx="13">
                  <c:v>31.3</c:v>
                </c:pt>
                <c:pt idx="14">
                  <c:v>38.6</c:v>
                </c:pt>
                <c:pt idx="15" formatCode="General">
                  <c:v>39.200000000000003</c:v>
                </c:pt>
                <c:pt idx="16">
                  <c:v>30.8</c:v>
                </c:pt>
                <c:pt idx="17">
                  <c:v>35.9</c:v>
                </c:pt>
                <c:pt idx="18">
                  <c:v>23.2</c:v>
                </c:pt>
                <c:pt idx="19">
                  <c:v>19.5</c:v>
                </c:pt>
                <c:pt idx="20">
                  <c:v>21.3</c:v>
                </c:pt>
                <c:pt idx="21">
                  <c:v>21.1</c:v>
                </c:pt>
                <c:pt idx="22">
                  <c:v>19.3</c:v>
                </c:pt>
                <c:pt idx="23">
                  <c:v>20.6</c:v>
                </c:pt>
                <c:pt idx="24">
                  <c:v>31.9</c:v>
                </c:pt>
                <c:pt idx="25">
                  <c:v>32.299999999999997</c:v>
                </c:pt>
                <c:pt idx="26">
                  <c:v>36.299999999999997</c:v>
                </c:pt>
                <c:pt idx="27">
                  <c:v>29.2</c:v>
                </c:pt>
                <c:pt idx="28" formatCode="0.0">
                  <c:v>20.5</c:v>
                </c:pt>
                <c:pt idx="29" formatCode="0.0">
                  <c:v>22.3</c:v>
                </c:pt>
                <c:pt idx="30" formatCode="0.0">
                  <c:v>24</c:v>
                </c:pt>
                <c:pt idx="31" formatCode="0.0">
                  <c:v>25.3</c:v>
                </c:pt>
                <c:pt idx="32" formatCode="0.0">
                  <c:v>24.1</c:v>
                </c:pt>
                <c:pt idx="33" formatCode="General">
                  <c:v>34.9</c:v>
                </c:pt>
              </c:numCache>
            </c:numRef>
          </c:val>
          <c:smooth val="0"/>
          <c:extLst>
            <c:ext xmlns:c16="http://schemas.microsoft.com/office/drawing/2014/chart" uri="{C3380CC4-5D6E-409C-BE32-E72D297353CC}">
              <c16:uniqueId val="{00000004-16BD-481C-8982-B29B4B30AF12}"/>
            </c:ext>
          </c:extLst>
        </c:ser>
        <c:ser>
          <c:idx val="5"/>
          <c:order val="5"/>
          <c:tx>
            <c:strRef>
              <c:f>'výkonnost odvětví 3'!$AC$10</c:f>
              <c:strCache>
                <c:ptCount val="1"/>
                <c:pt idx="0">
                  <c:v>Bariéra růstu: nedostatek pracovníků</c:v>
                </c:pt>
              </c:strCache>
            </c:strRef>
          </c:tx>
          <c:spPr>
            <a:ln w="15875">
              <a:solidFill>
                <a:schemeClr val="accent3">
                  <a:lumMod val="75000"/>
                </a:schemeClr>
              </a:solidFill>
              <a:prstDash val="dash"/>
            </a:ln>
          </c:spPr>
          <c:marker>
            <c:symbol val="none"/>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3'!$AC$39:$AC$72</c:f>
              <c:numCache>
                <c:formatCode>#\ ##0.0</c:formatCode>
                <c:ptCount val="34"/>
                <c:pt idx="0">
                  <c:v>13.7</c:v>
                </c:pt>
                <c:pt idx="1">
                  <c:v>14.9</c:v>
                </c:pt>
                <c:pt idx="2">
                  <c:v>21.8</c:v>
                </c:pt>
                <c:pt idx="3">
                  <c:v>21.3</c:v>
                </c:pt>
                <c:pt idx="4">
                  <c:v>26.7</c:v>
                </c:pt>
                <c:pt idx="5">
                  <c:v>30.2</c:v>
                </c:pt>
                <c:pt idx="6">
                  <c:v>28.6</c:v>
                </c:pt>
                <c:pt idx="7">
                  <c:v>38.6</c:v>
                </c:pt>
                <c:pt idx="8">
                  <c:v>36</c:v>
                </c:pt>
                <c:pt idx="9">
                  <c:v>43.4</c:v>
                </c:pt>
                <c:pt idx="10">
                  <c:v>50.7</c:v>
                </c:pt>
                <c:pt idx="11">
                  <c:v>46.7</c:v>
                </c:pt>
                <c:pt idx="12">
                  <c:v>51.2</c:v>
                </c:pt>
                <c:pt idx="13">
                  <c:v>46</c:v>
                </c:pt>
                <c:pt idx="14">
                  <c:v>36.1</c:v>
                </c:pt>
                <c:pt idx="15" formatCode="0.0">
                  <c:v>32.299999999999997</c:v>
                </c:pt>
                <c:pt idx="16">
                  <c:v>47.3</c:v>
                </c:pt>
                <c:pt idx="17">
                  <c:v>31.7</c:v>
                </c:pt>
                <c:pt idx="18">
                  <c:v>41.7</c:v>
                </c:pt>
                <c:pt idx="19">
                  <c:v>42.8</c:v>
                </c:pt>
                <c:pt idx="20">
                  <c:v>56.4</c:v>
                </c:pt>
                <c:pt idx="21">
                  <c:v>44.3</c:v>
                </c:pt>
                <c:pt idx="22">
                  <c:v>39.799999999999997</c:v>
                </c:pt>
                <c:pt idx="23">
                  <c:v>47.7</c:v>
                </c:pt>
                <c:pt idx="24">
                  <c:v>39</c:v>
                </c:pt>
                <c:pt idx="25">
                  <c:v>35.5</c:v>
                </c:pt>
                <c:pt idx="26">
                  <c:v>30.6</c:v>
                </c:pt>
                <c:pt idx="27">
                  <c:v>31.2</c:v>
                </c:pt>
                <c:pt idx="28" formatCode="0.0">
                  <c:v>53.5</c:v>
                </c:pt>
                <c:pt idx="29" formatCode="0.0">
                  <c:v>46.7</c:v>
                </c:pt>
                <c:pt idx="30" formatCode="0.0">
                  <c:v>42.5</c:v>
                </c:pt>
                <c:pt idx="31" formatCode="0.0">
                  <c:v>42.2</c:v>
                </c:pt>
                <c:pt idx="32" formatCode="0.0">
                  <c:v>54.4</c:v>
                </c:pt>
                <c:pt idx="33" formatCode="General">
                  <c:v>49.5</c:v>
                </c:pt>
              </c:numCache>
            </c:numRef>
          </c:val>
          <c:smooth val="0"/>
          <c:extLst>
            <c:ext xmlns:c16="http://schemas.microsoft.com/office/drawing/2014/chart" uri="{C3380CC4-5D6E-409C-BE32-E72D297353CC}">
              <c16:uniqueId val="{00000005-16BD-481C-8982-B29B4B30AF12}"/>
            </c:ext>
          </c:extLst>
        </c:ser>
        <c:ser>
          <c:idx val="6"/>
          <c:order val="6"/>
          <c:tx>
            <c:strRef>
              <c:f>'výkonnost odvětví 3'!$AD$10</c:f>
              <c:strCache>
                <c:ptCount val="1"/>
                <c:pt idx="0">
                  <c:v>Bariéra růstu: nedost. materiálu a vybavení</c:v>
                </c:pt>
              </c:strCache>
            </c:strRef>
          </c:tx>
          <c:spPr>
            <a:ln w="15875">
              <a:solidFill>
                <a:srgbClr val="37DD3B"/>
              </a:solidFill>
              <a:prstDash val="sysDash"/>
            </a:ln>
          </c:spPr>
          <c:marker>
            <c:symbol val="none"/>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3'!$AD$39:$AD$72</c:f>
              <c:numCache>
                <c:formatCode>#\ ##0.0</c:formatCode>
                <c:ptCount val="34"/>
                <c:pt idx="0">
                  <c:v>0.3</c:v>
                </c:pt>
                <c:pt idx="1">
                  <c:v>0.3</c:v>
                </c:pt>
                <c:pt idx="2">
                  <c:v>3.3</c:v>
                </c:pt>
                <c:pt idx="3">
                  <c:v>4.2</c:v>
                </c:pt>
                <c:pt idx="4">
                  <c:v>5.5</c:v>
                </c:pt>
                <c:pt idx="5">
                  <c:v>1.2</c:v>
                </c:pt>
                <c:pt idx="6">
                  <c:v>6.8</c:v>
                </c:pt>
                <c:pt idx="7">
                  <c:v>3.5</c:v>
                </c:pt>
                <c:pt idx="8">
                  <c:v>4.3</c:v>
                </c:pt>
                <c:pt idx="9">
                  <c:v>5.7</c:v>
                </c:pt>
                <c:pt idx="10">
                  <c:v>5.3</c:v>
                </c:pt>
                <c:pt idx="11">
                  <c:v>4</c:v>
                </c:pt>
                <c:pt idx="12">
                  <c:v>1.9</c:v>
                </c:pt>
                <c:pt idx="13">
                  <c:v>3.4</c:v>
                </c:pt>
                <c:pt idx="14">
                  <c:v>1.3</c:v>
                </c:pt>
                <c:pt idx="15">
                  <c:v>0.8</c:v>
                </c:pt>
                <c:pt idx="16">
                  <c:v>1.3</c:v>
                </c:pt>
                <c:pt idx="17">
                  <c:v>4.3</c:v>
                </c:pt>
                <c:pt idx="18">
                  <c:v>16.3</c:v>
                </c:pt>
                <c:pt idx="19">
                  <c:v>22.8</c:v>
                </c:pt>
                <c:pt idx="20">
                  <c:v>24.7</c:v>
                </c:pt>
                <c:pt idx="21">
                  <c:v>41.3</c:v>
                </c:pt>
                <c:pt idx="22">
                  <c:v>38.6</c:v>
                </c:pt>
                <c:pt idx="23">
                  <c:v>23.4</c:v>
                </c:pt>
                <c:pt idx="24">
                  <c:v>19.5</c:v>
                </c:pt>
                <c:pt idx="25">
                  <c:v>17</c:v>
                </c:pt>
                <c:pt idx="26">
                  <c:v>13</c:v>
                </c:pt>
                <c:pt idx="27">
                  <c:v>13.9</c:v>
                </c:pt>
                <c:pt idx="28" formatCode="0.0">
                  <c:v>22.5</c:v>
                </c:pt>
                <c:pt idx="29" formatCode="0.0">
                  <c:v>22.2</c:v>
                </c:pt>
                <c:pt idx="30" formatCode="0.0">
                  <c:v>22.2</c:v>
                </c:pt>
                <c:pt idx="31" formatCode="0.0">
                  <c:v>18</c:v>
                </c:pt>
                <c:pt idx="32" formatCode="0.0">
                  <c:v>15.5</c:v>
                </c:pt>
                <c:pt idx="33" formatCode="General">
                  <c:v>5.3</c:v>
                </c:pt>
              </c:numCache>
            </c:numRef>
          </c:val>
          <c:smooth val="0"/>
          <c:extLst>
            <c:ext xmlns:c16="http://schemas.microsoft.com/office/drawing/2014/chart" uri="{C3380CC4-5D6E-409C-BE32-E72D297353CC}">
              <c16:uniqueId val="{00000006-16BD-481C-8982-B29B4B30AF12}"/>
            </c:ext>
          </c:extLst>
        </c:ser>
        <c:ser>
          <c:idx val="7"/>
          <c:order val="7"/>
          <c:tx>
            <c:strRef>
              <c:f>'výkonnost odvětví 3'!$AE$10</c:f>
              <c:strCache>
                <c:ptCount val="1"/>
                <c:pt idx="0">
                  <c:v>Saldo indikátoru důvěry ve stavebnictví</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3'!$AE$39:$AE$72</c:f>
              <c:numCache>
                <c:formatCode>0.0</c:formatCode>
                <c:ptCount val="34"/>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numCache>
            </c:numRef>
          </c:val>
          <c:smooth val="0"/>
          <c:extLst>
            <c:ext xmlns:c16="http://schemas.microsoft.com/office/drawing/2014/chart" uri="{C3380CC4-5D6E-409C-BE32-E72D297353CC}">
              <c16:uniqueId val="{00000007-16BD-481C-8982-B29B4B30AF12}"/>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Zakázky, příspěvky k změně stavební produkce</a:t>
                </a:r>
              </a:p>
            </c:rich>
          </c:tx>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Saldo důvěry, bariéry růstu</a:t>
                </a:r>
              </a:p>
            </c:rich>
          </c:tx>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Doprava a skladování (p. b.)</c:v>
                </c:pt>
              </c:strCache>
            </c:strRef>
          </c:tx>
          <c:spPr>
            <a:solidFill>
              <a:srgbClr val="92D050"/>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růstu-4'!$D$54:$D$87</c:f>
              <c:numCache>
                <c:formatCode>0.0</c:formatCode>
                <c:ptCount val="34"/>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0.66616000559529998</c:v>
                </c:pt>
              </c:numCache>
            </c:numRef>
          </c:val>
          <c:extLst>
            <c:ext xmlns:c16="http://schemas.microsoft.com/office/drawing/2014/chart" uri="{C3380CC4-5D6E-409C-BE32-E72D297353CC}">
              <c16:uniqueId val="{00000000-7116-4326-BA45-1AF8E00D8FF4}"/>
            </c:ext>
          </c:extLst>
        </c:ser>
        <c:ser>
          <c:idx val="1"/>
          <c:order val="2"/>
          <c:tx>
            <c:strRef>
              <c:f>'Služby-příspěvky k růstu-4'!$E$33</c:f>
              <c:strCache>
                <c:ptCount val="1"/>
                <c:pt idx="0">
                  <c:v>Ubytování, stravování a pohostinství (p. b.)</c:v>
                </c:pt>
              </c:strCache>
            </c:strRef>
          </c:tx>
          <c:spPr>
            <a:solidFill>
              <a:srgbClr val="00B0F0"/>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růstu-4'!$E$54:$E$87</c:f>
              <c:numCache>
                <c:formatCode>0.0</c:formatCode>
                <c:ptCount val="34"/>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-7.5028071131934729E-2</c:v>
                </c:pt>
              </c:numCache>
            </c:numRef>
          </c:val>
          <c:extLst>
            <c:ext xmlns:c16="http://schemas.microsoft.com/office/drawing/2014/chart" uri="{C3380CC4-5D6E-409C-BE32-E72D297353CC}">
              <c16:uniqueId val="{00000001-7116-4326-BA45-1AF8E00D8FF4}"/>
            </c:ext>
          </c:extLst>
        </c:ser>
        <c:ser>
          <c:idx val="2"/>
          <c:order val="3"/>
          <c:tx>
            <c:strRef>
              <c:f>'Služby-příspěvky k růstu-4'!$F$33</c:f>
              <c:strCache>
                <c:ptCount val="1"/>
                <c:pt idx="0">
                  <c:v>Informační a komunikační činnosti (p. b.)</c:v>
                </c:pt>
              </c:strCache>
            </c:strRef>
          </c:tx>
          <c:spPr>
            <a:solidFill>
              <a:srgbClr val="E6E100"/>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růstu-4'!$F$54:$F$87</c:f>
              <c:numCache>
                <c:formatCode>0.0</c:formatCode>
                <c:ptCount val="34"/>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1.085668398347295</c:v>
                </c:pt>
              </c:numCache>
            </c:numRef>
          </c:val>
          <c:extLst>
            <c:ext xmlns:c16="http://schemas.microsoft.com/office/drawing/2014/chart" uri="{C3380CC4-5D6E-409C-BE32-E72D297353CC}">
              <c16:uniqueId val="{00000002-7116-4326-BA45-1AF8E00D8FF4}"/>
            </c:ext>
          </c:extLst>
        </c:ser>
        <c:ser>
          <c:idx val="4"/>
          <c:order val="4"/>
          <c:tx>
            <c:strRef>
              <c:f>'Služby-příspěvky k růstu-4'!$G$33</c:f>
              <c:strCache>
                <c:ptCount val="1"/>
                <c:pt idx="0">
                  <c:v>Činnosti v oblasti nemovitostí (p. b.)</c:v>
                </c:pt>
              </c:strCache>
            </c:strRef>
          </c:tx>
          <c:spPr>
            <a:solidFill>
              <a:schemeClr val="accent5">
                <a:lumMod val="60000"/>
                <a:lumOff val="40000"/>
              </a:schemeClr>
            </a:solidFill>
            <a:ln>
              <a:noFill/>
              <a:prstDash val="sysDash"/>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růstu-4'!$G$54:$G$87</c:f>
              <c:numCache>
                <c:formatCode>0.0</c:formatCode>
                <c:ptCount val="34"/>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numCache>
            </c:numRef>
          </c:val>
          <c:extLst>
            <c:ext xmlns:c16="http://schemas.microsoft.com/office/drawing/2014/chart" uri="{C3380CC4-5D6E-409C-BE32-E72D297353CC}">
              <c16:uniqueId val="{00000003-7116-4326-BA45-1AF8E00D8FF4}"/>
            </c:ext>
          </c:extLst>
        </c:ser>
        <c:ser>
          <c:idx val="5"/>
          <c:order val="5"/>
          <c:tx>
            <c:strRef>
              <c:f>'Služby-příspěvky k růstu-4'!$H$33</c:f>
              <c:strCache>
                <c:ptCount val="1"/>
                <c:pt idx="0">
                  <c:v>Profesní, vědecké a technické činnosti (p. b.)</c:v>
                </c:pt>
              </c:strCache>
            </c:strRef>
          </c:tx>
          <c:spPr>
            <a:solidFill>
              <a:schemeClr val="accent6">
                <a:lumMod val="60000"/>
                <a:lumOff val="40000"/>
              </a:schemeClr>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růstu-4'!$H$54:$H$87</c:f>
              <c:numCache>
                <c:formatCode>0.0</c:formatCode>
                <c:ptCount val="34"/>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1.0187824730555113</c:v>
                </c:pt>
              </c:numCache>
            </c:numRef>
          </c:val>
          <c:extLst>
            <c:ext xmlns:c16="http://schemas.microsoft.com/office/drawing/2014/chart" uri="{C3380CC4-5D6E-409C-BE32-E72D297353CC}">
              <c16:uniqueId val="{00000004-7116-4326-BA45-1AF8E00D8FF4}"/>
            </c:ext>
          </c:extLst>
        </c:ser>
        <c:ser>
          <c:idx val="6"/>
          <c:order val="6"/>
          <c:tx>
            <c:strRef>
              <c:f>'Služby-příspěvky k růstu-4'!$I$33</c:f>
              <c:strCache>
                <c:ptCount val="1"/>
                <c:pt idx="0">
                  <c:v>Administr. a podpůrné čin. (příspěvek v p. b.)</c:v>
                </c:pt>
              </c:strCache>
            </c:strRef>
          </c:tx>
          <c:spPr>
            <a:solidFill>
              <a:schemeClr val="accent1">
                <a:lumMod val="20000"/>
                <a:lumOff val="80000"/>
              </a:schemeClr>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růstu-4'!$I$54:$I$87</c:f>
              <c:numCache>
                <c:formatCode>0.0</c:formatCode>
                <c:ptCount val="34"/>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0.18087243153538646</c:v>
                </c:pt>
              </c:numCache>
            </c:numRef>
          </c:val>
          <c:extLst>
            <c:ext xmlns:c16="http://schemas.microsoft.com/office/drawing/2014/chart" uri="{C3380CC4-5D6E-409C-BE32-E72D297353CC}">
              <c16:uniqueId val="{00000005-7116-4326-BA45-1AF8E00D8FF4}"/>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Služby celkem (meziroční růst v %)</c:v>
                </c:pt>
              </c:strCache>
            </c:strRef>
          </c:tx>
          <c:spPr>
            <a:ln>
              <a:noFill/>
            </a:ln>
          </c:spPr>
          <c:marker>
            <c:symbol val="dash"/>
            <c:size val="7"/>
            <c:spPr>
              <a:solidFill>
                <a:schemeClr val="tx1">
                  <a:lumMod val="95000"/>
                  <a:lumOff val="5000"/>
                </a:schemeClr>
              </a:solidFill>
              <a:ln>
                <a:noFill/>
              </a:ln>
            </c:spPr>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růstu-4'!$C$54:$C$87</c:f>
              <c:numCache>
                <c:formatCode>0.0</c:formatCode>
                <c:ptCount val="34"/>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-6.4687228738000044</c:v>
                </c:pt>
                <c:pt idx="17" formatCode="##0.0">
                  <c:v>14.451370275100004</c:v>
                </c:pt>
                <c:pt idx="18" formatCode="##0.0">
                  <c:v>9.8536325624999961</c:v>
                </c:pt>
                <c:pt idx="19" formatCode="##0.0">
                  <c:v>12.454620942199995</c:v>
                </c:pt>
                <c:pt idx="20" formatCode="##0.0">
                  <c:v>13.596558912000006</c:v>
                </c:pt>
                <c:pt idx="21" formatCode="##0.0">
                  <c:v>12.572966648600001</c:v>
                </c:pt>
                <c:pt idx="22" formatCode="##0.0">
                  <c:v>6.8797967353000047</c:v>
                </c:pt>
                <c:pt idx="23" formatCode="##0.0">
                  <c:v>3.1398287747000069</c:v>
                </c:pt>
                <c:pt idx="24" formatCode="##0.0">
                  <c:v>1.6063797247000053</c:v>
                </c:pt>
                <c:pt idx="25" formatCode="##0.0">
                  <c:v>-1.6359107435999931</c:v>
                </c:pt>
                <c:pt idx="26" formatCode="##0.0">
                  <c:v>-3.8473384750000008</c:v>
                </c:pt>
                <c:pt idx="27" formatCode="##0.0">
                  <c:v>-2.1909684113000054</c:v>
                </c:pt>
                <c:pt idx="28" formatCode="##0.0">
                  <c:v>1.1931789974999987</c:v>
                </c:pt>
                <c:pt idx="29" formatCode="##0.0">
                  <c:v>2.8819790006999995</c:v>
                </c:pt>
                <c:pt idx="30" formatCode="##0.0">
                  <c:v>2.8448000146999988</c:v>
                </c:pt>
                <c:pt idx="31" formatCode="##0.0">
                  <c:v>2.1314936261999975</c:v>
                </c:pt>
                <c:pt idx="32" formatCode="##0.0">
                  <c:v>3.0582907990449768</c:v>
                </c:pt>
              </c:numCache>
            </c:numRef>
          </c:val>
          <c:smooth val="0"/>
          <c:extLst>
            <c:ext xmlns:c16="http://schemas.microsoft.com/office/drawing/2014/chart" uri="{C3380CC4-5D6E-409C-BE32-E72D297353CC}">
              <c16:uniqueId val="{00000006-7116-4326-BA45-1AF8E00D8FF4}"/>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Saldo indikátoru důvěry ve službách</c:v>
                </c:pt>
              </c:strCache>
            </c:strRef>
          </c:tx>
          <c:spPr>
            <a:ln w="3175">
              <a:solidFill>
                <a:schemeClr val="bg1">
                  <a:lumMod val="50000"/>
                </a:schemeClr>
              </a:solid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růstu-4'!$J$54:$J$87</c:f>
              <c:numCache>
                <c:formatCode>#\ ##0.0</c:formatCode>
                <c:ptCount val="34"/>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numCache>
            </c:numRef>
          </c:val>
          <c:smooth val="0"/>
          <c:extLst>
            <c:ext xmlns:c16="http://schemas.microsoft.com/office/drawing/2014/chart" uri="{C3380CC4-5D6E-409C-BE32-E72D297353CC}">
              <c16:uniqueId val="{00000007-7116-4326-BA45-1AF8E00D8FF4}"/>
            </c:ext>
          </c:extLst>
        </c:ser>
        <c:ser>
          <c:idx val="8"/>
          <c:order val="8"/>
          <c:tx>
            <c:strRef>
              <c:f>'Služby-příspěvky k růstu-4'!$K$33</c:f>
              <c:strCache>
                <c:ptCount val="1"/>
                <c:pt idx="0">
                  <c:v>Bariéra růstu: nedostatečná poptávka</c:v>
                </c:pt>
              </c:strCache>
            </c:strRef>
          </c:tx>
          <c:spPr>
            <a:ln w="15875">
              <a:solidFill>
                <a:srgbClr val="CA945E"/>
              </a:solidFill>
              <a:prstDash val="solid"/>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růstu-4'!$K$54:$K$87</c:f>
              <c:numCache>
                <c:formatCode>#\ ##0.0</c:formatCode>
                <c:ptCount val="34"/>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numCache>
            </c:numRef>
          </c:val>
          <c:smooth val="0"/>
          <c:extLst>
            <c:ext xmlns:c16="http://schemas.microsoft.com/office/drawing/2014/chart" uri="{C3380CC4-5D6E-409C-BE32-E72D297353CC}">
              <c16:uniqueId val="{00000008-7116-4326-BA45-1AF8E00D8FF4}"/>
            </c:ext>
          </c:extLst>
        </c:ser>
        <c:ser>
          <c:idx val="9"/>
          <c:order val="9"/>
          <c:tx>
            <c:strRef>
              <c:f>'Služby-příspěvky k růstu-4'!$L$33</c:f>
              <c:strCache>
                <c:ptCount val="1"/>
                <c:pt idx="0">
                  <c:v>Bariéra růstu: nedostatek pracovníků</c:v>
                </c:pt>
              </c:strCache>
            </c:strRef>
          </c:tx>
          <c:spPr>
            <a:ln w="15875">
              <a:solidFill>
                <a:srgbClr val="CA945E"/>
              </a:solidFill>
              <a:prstDash val="sysDash"/>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růstu-4'!$L$54:$L$87</c:f>
              <c:numCache>
                <c:formatCode>#\ ##0.0</c:formatCode>
                <c:ptCount val="34"/>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numCache>
            </c:numRef>
          </c:val>
          <c:smooth val="0"/>
          <c:extLst>
            <c:ext xmlns:c16="http://schemas.microsoft.com/office/drawing/2014/chart" uri="{C3380CC4-5D6E-409C-BE32-E72D297353CC}">
              <c16:uniqueId val="{00000009-7116-4326-BA45-1AF8E00D8FF4}"/>
            </c:ext>
          </c:extLst>
        </c:ser>
        <c:ser>
          <c:idx val="10"/>
          <c:order val="10"/>
          <c:tx>
            <c:strRef>
              <c:f>'Služby-příspěvky k růstu-4'!$M$33</c:f>
              <c:strCache>
                <c:ptCount val="1"/>
                <c:pt idx="0">
                  <c:v>Tržby celkem (báze 2021=100, stálé ceny)</c:v>
                </c:pt>
              </c:strCache>
            </c:strRef>
          </c:tx>
          <c:spPr>
            <a:ln w="15875">
              <a:solidFill>
                <a:schemeClr val="tx1"/>
              </a:solidFill>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růstu-4'!$M$54:$M$87</c:f>
              <c:numCache>
                <c:formatCode>0.0</c:formatCode>
                <c:ptCount val="34"/>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92.805155896700001</c:v>
                </c:pt>
                <c:pt idx="17">
                  <c:v>97.9701970367</c:v>
                </c:pt>
                <c:pt idx="18">
                  <c:v>102.3745371233</c:v>
                </c:pt>
                <c:pt idx="19">
                  <c:v>104.40597880670001</c:v>
                </c:pt>
                <c:pt idx="20">
                  <c:v>106.2737186433</c:v>
                </c:pt>
                <c:pt idx="21">
                  <c:v>108.9542557867</c:v>
                </c:pt>
                <c:pt idx="22">
                  <c:v>109.4682935367</c:v>
                </c:pt>
                <c:pt idx="23">
                  <c:v>108.85482369</c:v>
                </c:pt>
                <c:pt idx="24">
                  <c:v>107.92439769329999</c:v>
                </c:pt>
                <c:pt idx="25">
                  <c:v>106.58012399</c:v>
                </c:pt>
                <c:pt idx="26">
                  <c:v>105.9635746</c:v>
                </c:pt>
                <c:pt idx="27">
                  <c:v>106.7192864467</c:v>
                </c:pt>
                <c:pt idx="28">
                  <c:v>108.61891412999999</c:v>
                </c:pt>
                <c:pt idx="29">
                  <c:v>109.2937022167</c:v>
                </c:pt>
                <c:pt idx="30">
                  <c:v>109.1590391133</c:v>
                </c:pt>
                <c:pt idx="31">
                  <c:v>109.61096876329999</c:v>
                </c:pt>
                <c:pt idx="32">
                  <c:v>111.6090457467</c:v>
                </c:pt>
              </c:numCache>
            </c:numRef>
          </c:val>
          <c:smooth val="0"/>
          <c:extLst>
            <c:ext xmlns:c16="http://schemas.microsoft.com/office/drawing/2014/chart" uri="{C3380CC4-5D6E-409C-BE32-E72D297353CC}">
              <c16:uniqueId val="{0000000A-7116-4326-BA45-1AF8E00D8FF4}"/>
            </c:ext>
          </c:extLst>
        </c:ser>
        <c:ser>
          <c:idx val="11"/>
          <c:order val="11"/>
          <c:tx>
            <c:strRef>
              <c:f>'Služby-příspěvky k růstu-4'!$N$33</c:f>
              <c:strCache>
                <c:ptCount val="1"/>
                <c:pt idx="0">
                  <c:v>Tržby celkem (báze 2021=100, běžné ceny)</c:v>
                </c:pt>
              </c:strCache>
            </c:strRef>
          </c:tx>
          <c:spPr>
            <a:ln w="15875">
              <a:solidFill>
                <a:schemeClr val="bg2">
                  <a:lumMod val="25000"/>
                </a:schemeClr>
              </a:solidFill>
              <a:prstDash val="sysDash"/>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růstu-4'!$N$54:$N$87</c:f>
              <c:numCache>
                <c:formatCode>0.0</c:formatCode>
                <c:ptCount val="34"/>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92.163581273299997</c:v>
                </c:pt>
                <c:pt idx="17">
                  <c:v>97.138855239999998</c:v>
                </c:pt>
                <c:pt idx="18">
                  <c:v>102.3639752067</c:v>
                </c:pt>
                <c:pt idx="19">
                  <c:v>105.9497634233</c:v>
                </c:pt>
                <c:pt idx="20">
                  <c:v>109.8553198133</c:v>
                </c:pt>
                <c:pt idx="21">
                  <c:v>114.9659659133</c:v>
                </c:pt>
                <c:pt idx="22">
                  <c:v>118.03167678</c:v>
                </c:pt>
                <c:pt idx="23">
                  <c:v>119.45798805</c:v>
                </c:pt>
                <c:pt idx="24">
                  <c:v>120.6388644533</c:v>
                </c:pt>
                <c:pt idx="25">
                  <c:v>121.1910763333</c:v>
                </c:pt>
                <c:pt idx="26">
                  <c:v>121.8410136033</c:v>
                </c:pt>
                <c:pt idx="27">
                  <c:v>124.05454134670001</c:v>
                </c:pt>
                <c:pt idx="28">
                  <c:v>127.17208728999999</c:v>
                </c:pt>
                <c:pt idx="29">
                  <c:v>128.7493868</c:v>
                </c:pt>
                <c:pt idx="30">
                  <c:v>129.75736211</c:v>
                </c:pt>
                <c:pt idx="31">
                  <c:v>131.40642788330001</c:v>
                </c:pt>
                <c:pt idx="32">
                  <c:v>134.37270574670001</c:v>
                </c:pt>
              </c:numCache>
            </c:numRef>
          </c:val>
          <c:smooth val="0"/>
          <c:extLst>
            <c:ext xmlns:c16="http://schemas.microsoft.com/office/drawing/2014/chart" uri="{C3380CC4-5D6E-409C-BE32-E72D297353CC}">
              <c16:uniqueId val="{0000000B-7116-4326-BA45-1AF8E00D8FF4}"/>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a:t>Tržby (příspěvky k</a:t>
                </a:r>
                <a:r>
                  <a:rPr lang="cs-CZ" sz="700" b="0" i="1" baseline="0"/>
                  <a:t> meziroční změně)</a:t>
                </a:r>
                <a:endParaRPr lang="cs-CZ" sz="700" b="0" i="1"/>
              </a:p>
            </c:rich>
          </c:tx>
          <c:layout>
            <c:manualLayout>
              <c:xMode val="edge"/>
              <c:yMode val="edge"/>
              <c:x val="0"/>
              <c:y val="0.1364926551121953"/>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baseline="0">
                    <a:effectLst/>
                  </a:rPr>
                  <a:t>Tržby (báze 2021=100)</a:t>
                </a:r>
                <a:r>
                  <a:rPr lang="cs-CZ" sz="700" b="0" i="1"/>
                  <a:t>,</a:t>
                </a:r>
                <a:r>
                  <a:rPr lang="cs-CZ" sz="700" b="0" i="1" baseline="0"/>
                  <a:t> s</a:t>
                </a:r>
                <a:r>
                  <a:rPr lang="cs-CZ" sz="700" b="0" i="1"/>
                  <a:t>aldo důvěry, bariéry růstu</a:t>
                </a:r>
              </a:p>
            </c:rich>
          </c:tx>
          <c:layout>
            <c:manualLayout>
              <c:xMode val="edge"/>
              <c:yMode val="edge"/>
              <c:x val="0.97059962406015032"/>
              <c:y val="7.2968499427262329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2723143649596989"/>
        </c:manualLayout>
      </c:layout>
      <c:barChart>
        <c:barDir val="col"/>
        <c:grouping val="stacked"/>
        <c:varyColors val="0"/>
        <c:ser>
          <c:idx val="0"/>
          <c:order val="1"/>
          <c:tx>
            <c:strRef>
              <c:f>'výkonnost odvětví 5a'!$E$66</c:f>
              <c:strCache>
                <c:ptCount val="1"/>
                <c:pt idx="0">
                  <c:v>Maloobchod s potravinami (příspěvek)</c:v>
                </c:pt>
              </c:strCache>
            </c:strRef>
          </c:tx>
          <c:spPr>
            <a:solidFill>
              <a:srgbClr val="92D050"/>
            </a:solidFill>
            <a:ln w="15875">
              <a:noFill/>
            </a:ln>
          </c:spPr>
          <c:invertIfNegative val="0"/>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5a'!$E$75:$E$108</c:f>
              <c:numCache>
                <c:formatCode>#\ ##0.0</c:formatCode>
                <c:ptCount val="34"/>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-0.59124788205452006</c:v>
                </c:pt>
                <c:pt idx="17">
                  <c:v>0.4839656119634429</c:v>
                </c:pt>
                <c:pt idx="18">
                  <c:v>-0.29778844566171148</c:v>
                </c:pt>
                <c:pt idx="19">
                  <c:v>4.1336822826291359E-3</c:v>
                </c:pt>
                <c:pt idx="20">
                  <c:v>-5.9460626707302566E-2</c:v>
                </c:pt>
                <c:pt idx="21">
                  <c:v>-1.1057068225597677</c:v>
                </c:pt>
                <c:pt idx="22">
                  <c:v>-2.2869716135096678</c:v>
                </c:pt>
                <c:pt idx="23">
                  <c:v>-3.2411090829580149</c:v>
                </c:pt>
                <c:pt idx="24">
                  <c:v>-3.1064419221512631</c:v>
                </c:pt>
                <c:pt idx="25">
                  <c:v>-2.8495086359951731</c:v>
                </c:pt>
                <c:pt idx="26">
                  <c:v>-1.6905708641468127</c:v>
                </c:pt>
                <c:pt idx="27">
                  <c:v>-0.73611529794229535</c:v>
                </c:pt>
                <c:pt idx="28">
                  <c:v>0.871995961199449</c:v>
                </c:pt>
                <c:pt idx="29">
                  <c:v>1.1091406035905247</c:v>
                </c:pt>
                <c:pt idx="30">
                  <c:v>0.86156119991048841</c:v>
                </c:pt>
                <c:pt idx="31">
                  <c:v>0.64928175423417944</c:v>
                </c:pt>
                <c:pt idx="32">
                  <c:v>0.37843531543722064</c:v>
                </c:pt>
              </c:numCache>
            </c:numRef>
          </c:val>
          <c:extLst>
            <c:ext xmlns:c16="http://schemas.microsoft.com/office/drawing/2014/chart" uri="{C3380CC4-5D6E-409C-BE32-E72D297353CC}">
              <c16:uniqueId val="{00000000-83A6-4F80-BB54-33EE3537A950}"/>
            </c:ext>
          </c:extLst>
        </c:ser>
        <c:ser>
          <c:idx val="1"/>
          <c:order val="2"/>
          <c:tx>
            <c:strRef>
              <c:f>'výkonnost odvětví 5a'!$F$66</c:f>
              <c:strCache>
                <c:ptCount val="1"/>
                <c:pt idx="0">
                  <c:v>Mal. s nepotravinářským zbož. (příspěvek)</c:v>
                </c:pt>
              </c:strCache>
            </c:strRef>
          </c:tx>
          <c:spPr>
            <a:solidFill>
              <a:schemeClr val="accent1">
                <a:lumMod val="40000"/>
                <a:lumOff val="60000"/>
              </a:schemeClr>
            </a:solidFill>
            <a:ln w="15875">
              <a:noFill/>
            </a:ln>
          </c:spPr>
          <c:invertIfNegative val="0"/>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5a'!$F$75:$F$108</c:f>
              <c:numCache>
                <c:formatCode>#\ ##0.0</c:formatCode>
                <c:ptCount val="34"/>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5.4029743770420899E-2</c:v>
                </c:pt>
                <c:pt idx="17">
                  <c:v>5.5742337491085943</c:v>
                </c:pt>
                <c:pt idx="18">
                  <c:v>3.6276471424244705</c:v>
                </c:pt>
                <c:pt idx="19">
                  <c:v>5.6665982848734799</c:v>
                </c:pt>
                <c:pt idx="20">
                  <c:v>5.9891803475537211</c:v>
                </c:pt>
                <c:pt idx="21">
                  <c:v>-0.95229813505306915</c:v>
                </c:pt>
                <c:pt idx="22">
                  <c:v>-3.9413440238596249</c:v>
                </c:pt>
                <c:pt idx="23">
                  <c:v>-5.6373195308595392</c:v>
                </c:pt>
                <c:pt idx="24">
                  <c:v>-4.7876967929179841</c:v>
                </c:pt>
                <c:pt idx="25">
                  <c:v>-4.4874173140978284</c:v>
                </c:pt>
                <c:pt idx="26">
                  <c:v>-2.4565555200653062</c:v>
                </c:pt>
                <c:pt idx="27">
                  <c:v>0.45513862527637328</c:v>
                </c:pt>
                <c:pt idx="28">
                  <c:v>2.793535239278305</c:v>
                </c:pt>
                <c:pt idx="29">
                  <c:v>2.5906061949549422</c:v>
                </c:pt>
                <c:pt idx="30">
                  <c:v>3.3615744099687399</c:v>
                </c:pt>
                <c:pt idx="31">
                  <c:v>3.5078250022696706</c:v>
                </c:pt>
                <c:pt idx="32">
                  <c:v>2.1601266517982176</c:v>
                </c:pt>
              </c:numCache>
            </c:numRef>
          </c:val>
          <c:extLst>
            <c:ext xmlns:c16="http://schemas.microsoft.com/office/drawing/2014/chart" uri="{C3380CC4-5D6E-409C-BE32-E72D297353CC}">
              <c16:uniqueId val="{00000001-83A6-4F80-BB54-33EE3537A950}"/>
            </c:ext>
          </c:extLst>
        </c:ser>
        <c:ser>
          <c:idx val="4"/>
          <c:order val="3"/>
          <c:tx>
            <c:strRef>
              <c:f>'výkonnost odvětví 5a'!$G$66</c:f>
              <c:strCache>
                <c:ptCount val="1"/>
                <c:pt idx="0">
                  <c:v>Maloobchodní prodej PHM (příspěvek)</c:v>
                </c:pt>
              </c:strCache>
            </c:strRef>
          </c:tx>
          <c:spPr>
            <a:solidFill>
              <a:schemeClr val="accent6">
                <a:lumMod val="40000"/>
                <a:lumOff val="60000"/>
              </a:schemeClr>
            </a:solidFill>
            <a:ln w="15875">
              <a:noFill/>
            </a:ln>
          </c:spPr>
          <c:invertIfNegative val="0"/>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5a'!$G$75:$G$108</c:f>
              <c:numCache>
                <c:formatCode>#\ ##0.0</c:formatCode>
                <c:ptCount val="34"/>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-0.7267129429144159</c:v>
                </c:pt>
                <c:pt idx="17">
                  <c:v>1.0687667159023886</c:v>
                </c:pt>
                <c:pt idx="18">
                  <c:v>0.36939655224499973</c:v>
                </c:pt>
                <c:pt idx="19">
                  <c:v>0.92377434700444716</c:v>
                </c:pt>
                <c:pt idx="20">
                  <c:v>1.2433107434537765</c:v>
                </c:pt>
                <c:pt idx="21">
                  <c:v>-0.71068345918502218</c:v>
                </c:pt>
                <c:pt idx="22">
                  <c:v>-1.449036889253237</c:v>
                </c:pt>
                <c:pt idx="23">
                  <c:v>-0.43073074954824858</c:v>
                </c:pt>
                <c:pt idx="24">
                  <c:v>9.6764714002876506E-2</c:v>
                </c:pt>
                <c:pt idx="25">
                  <c:v>1.0467664527517087</c:v>
                </c:pt>
                <c:pt idx="26">
                  <c:v>1.0248110626516078</c:v>
                </c:pt>
                <c:pt idx="27">
                  <c:v>0.21072245582890298</c:v>
                </c:pt>
                <c:pt idx="28">
                  <c:v>0.6015840576571756</c:v>
                </c:pt>
                <c:pt idx="29">
                  <c:v>0.24965966030720593</c:v>
                </c:pt>
                <c:pt idx="30">
                  <c:v>0.43553730019254372</c:v>
                </c:pt>
                <c:pt idx="31">
                  <c:v>1.077758632826024</c:v>
                </c:pt>
                <c:pt idx="32">
                  <c:v>0.90806214191800128</c:v>
                </c:pt>
              </c:numCache>
            </c:numRef>
          </c:val>
          <c:extLst>
            <c:ext xmlns:c16="http://schemas.microsoft.com/office/drawing/2014/chart" uri="{C3380CC4-5D6E-409C-BE32-E72D297353CC}">
              <c16:uniqueId val="{00000002-83A6-4F80-BB54-33EE3537A950}"/>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Maloobchod celkem (meziroční růst)</c:v>
                </c:pt>
              </c:strCache>
            </c:strRef>
          </c:tx>
          <c:spPr>
            <a:ln>
              <a:noFill/>
            </a:ln>
          </c:spPr>
          <c:marker>
            <c:symbol val="dash"/>
            <c:size val="7"/>
            <c:spPr>
              <a:solidFill>
                <a:schemeClr val="tx1">
                  <a:lumMod val="85000"/>
                  <a:lumOff val="15000"/>
                </a:schemeClr>
              </a:solidFill>
              <a:ln w="6350">
                <a:noFill/>
              </a:ln>
            </c:spPr>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5a'!$D$75:$D$108</c:f>
              <c:numCache>
                <c:formatCode>#\ ##0.0</c:formatCode>
                <c:ptCount val="34"/>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-1.3285315309999959</c:v>
                </c:pt>
                <c:pt idx="17">
                  <c:v>6.9574766841000013</c:v>
                </c:pt>
                <c:pt idx="18">
                  <c:v>3.5831450535000045</c:v>
                </c:pt>
                <c:pt idx="19">
                  <c:v>6.4952675711000012</c:v>
                </c:pt>
                <c:pt idx="20">
                  <c:v>6.7669831906000013</c:v>
                </c:pt>
                <c:pt idx="21">
                  <c:v>-2.8094420269000011</c:v>
                </c:pt>
                <c:pt idx="22">
                  <c:v>-7.6564866969000036</c:v>
                </c:pt>
                <c:pt idx="23">
                  <c:v>-9.3099523022000028</c:v>
                </c:pt>
                <c:pt idx="24">
                  <c:v>-7.7791631502000058</c:v>
                </c:pt>
                <c:pt idx="25">
                  <c:v>-6.276214944000003</c:v>
                </c:pt>
                <c:pt idx="26">
                  <c:v>-3.1402159043000069</c:v>
                </c:pt>
                <c:pt idx="27">
                  <c:v>-0.1337760827999972</c:v>
                </c:pt>
                <c:pt idx="28">
                  <c:v>4.2636214249999966</c:v>
                </c:pt>
                <c:pt idx="29">
                  <c:v>3.9499605056000036</c:v>
                </c:pt>
                <c:pt idx="30">
                  <c:v>4.6584527212000069</c:v>
                </c:pt>
                <c:pt idx="31">
                  <c:v>5.233865848700006</c:v>
                </c:pt>
                <c:pt idx="32">
                  <c:v>3.4325505445000033</c:v>
                </c:pt>
              </c:numCache>
            </c:numRef>
          </c:val>
          <c:smooth val="0"/>
          <c:extLst>
            <c:ext xmlns:c16="http://schemas.microsoft.com/office/drawing/2014/chart" uri="{C3380CC4-5D6E-409C-BE32-E72D297353CC}">
              <c16:uniqueId val="{00000003-83A6-4F80-BB54-33EE3537A950}"/>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Maloobchod, bez motor. segm. (2021=100)</c:v>
                </c:pt>
              </c:strCache>
            </c:strRef>
          </c:tx>
          <c:spPr>
            <a:ln w="15875">
              <a:solidFill>
                <a:schemeClr val="tx1">
                  <a:lumMod val="95000"/>
                  <a:lumOff val="5000"/>
                </a:schemeClr>
              </a:solidFill>
              <a:prstDash val="solid"/>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5a'!$H$75:$H$108</c:f>
              <c:numCache>
                <c:formatCode>#\ ##0.0</c:formatCode>
                <c:ptCount val="34"/>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92.936786446699998</c:v>
                </c:pt>
                <c:pt idx="17">
                  <c:v>100.64450039</c:v>
                </c:pt>
                <c:pt idx="18">
                  <c:v>102.0896726133</c:v>
                </c:pt>
                <c:pt idx="19">
                  <c:v>101.60595981</c:v>
                </c:pt>
                <c:pt idx="20">
                  <c:v>99.550098210000002</c:v>
                </c:pt>
                <c:pt idx="21">
                  <c:v>97.724116789999997</c:v>
                </c:pt>
                <c:pt idx="22">
                  <c:v>94.9028601033</c:v>
                </c:pt>
                <c:pt idx="23">
                  <c:v>92.893259369999996</c:v>
                </c:pt>
                <c:pt idx="24">
                  <c:v>91.601528373299999</c:v>
                </c:pt>
                <c:pt idx="25">
                  <c:v>91.308813223300007</c:v>
                </c:pt>
                <c:pt idx="26">
                  <c:v>91.858489843300006</c:v>
                </c:pt>
                <c:pt idx="27">
                  <c:v>92.843242770000003</c:v>
                </c:pt>
                <c:pt idx="28">
                  <c:v>95.015490996699995</c:v>
                </c:pt>
                <c:pt idx="29">
                  <c:v>95.207632043299995</c:v>
                </c:pt>
                <c:pt idx="30">
                  <c:v>96.386744096699999</c:v>
                </c:pt>
                <c:pt idx="31">
                  <c:v>97.382750913300001</c:v>
                </c:pt>
                <c:pt idx="32">
                  <c:v>98.323982323300001</c:v>
                </c:pt>
              </c:numCache>
            </c:numRef>
          </c:val>
          <c:smooth val="0"/>
          <c:extLst>
            <c:ext xmlns:c16="http://schemas.microsoft.com/office/drawing/2014/chart" uri="{C3380CC4-5D6E-409C-BE32-E72D297353CC}">
              <c16:uniqueId val="{00000004-83A6-4F80-BB54-33EE3537A950}"/>
            </c:ext>
          </c:extLst>
        </c:ser>
        <c:ser>
          <c:idx val="2"/>
          <c:order val="5"/>
          <c:tx>
            <c:strRef>
              <c:f>'výkonnost odvětví 5a'!$I$66</c:f>
              <c:strCache>
                <c:ptCount val="1"/>
                <c:pt idx="0">
                  <c:v>z toho: maloobchod.prodej PHM (2021=100)</c:v>
                </c:pt>
              </c:strCache>
            </c:strRef>
          </c:tx>
          <c:spPr>
            <a:ln w="15875">
              <a:solidFill>
                <a:schemeClr val="bg2">
                  <a:lumMod val="50000"/>
                </a:schemeClr>
              </a:solidFill>
              <a:prstDash val="sysDash"/>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5a'!$I$75:$I$108</c:f>
              <c:numCache>
                <c:formatCode>#\ ##0.0</c:formatCode>
                <c:ptCount val="34"/>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96.031828829999995</c:v>
                </c:pt>
                <c:pt idx="17">
                  <c:v>100.95759809</c:v>
                </c:pt>
                <c:pt idx="18">
                  <c:v>102.18692368000001</c:v>
                </c:pt>
                <c:pt idx="19">
                  <c:v>100.0334384367</c:v>
                </c:pt>
                <c:pt idx="20">
                  <c:v>100.55566192329999</c:v>
                </c:pt>
                <c:pt idx="21">
                  <c:v>95.842524453300001</c:v>
                </c:pt>
                <c:pt idx="22">
                  <c:v>95.153175219999994</c:v>
                </c:pt>
                <c:pt idx="23">
                  <c:v>97.9829819367</c:v>
                </c:pt>
                <c:pt idx="24">
                  <c:v>98.912534003299996</c:v>
                </c:pt>
                <c:pt idx="25">
                  <c:v>101.9899073933</c:v>
                </c:pt>
                <c:pt idx="26">
                  <c:v>102.9187584133</c:v>
                </c:pt>
                <c:pt idx="27">
                  <c:v>101.77844038000001</c:v>
                </c:pt>
                <c:pt idx="28">
                  <c:v>104.3204885067</c:v>
                </c:pt>
                <c:pt idx="29">
                  <c:v>104.74668124</c:v>
                </c:pt>
                <c:pt idx="30">
                  <c:v>106.9458482133</c:v>
                </c:pt>
                <c:pt idx="31">
                  <c:v>110.53501823329999</c:v>
                </c:pt>
                <c:pt idx="32">
                  <c:v>112.4500797333</c:v>
                </c:pt>
              </c:numCache>
            </c:numRef>
          </c:val>
          <c:smooth val="0"/>
          <c:extLst>
            <c:ext xmlns:c16="http://schemas.microsoft.com/office/drawing/2014/chart" uri="{C3380CC4-5D6E-409C-BE32-E72D297353CC}">
              <c16:uniqueId val="{00000005-83A6-4F80-BB54-33EE3537A950}"/>
            </c:ext>
          </c:extLst>
        </c:ser>
        <c:ser>
          <c:idx val="6"/>
          <c:order val="6"/>
          <c:tx>
            <c:strRef>
              <c:f>'výkonnost odvětví 5a'!$J$66</c:f>
              <c:strCache>
                <c:ptCount val="1"/>
                <c:pt idx="0">
                  <c:v>Obchod a opravy motor. vozidel (2021=100)</c:v>
                </c:pt>
              </c:strCache>
            </c:strRef>
          </c:tx>
          <c:spPr>
            <a:ln w="15875">
              <a:solidFill>
                <a:srgbClr val="984807"/>
              </a:solidFill>
              <a:prstDash val="solid"/>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5a'!$J$75:$J$108</c:f>
              <c:numCache>
                <c:formatCode>#\ ##0.0</c:formatCode>
                <c:ptCount val="34"/>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101.3786522067</c:v>
                </c:pt>
                <c:pt idx="17">
                  <c:v>101.2385575433</c:v>
                </c:pt>
                <c:pt idx="18">
                  <c:v>98.594019923299996</c:v>
                </c:pt>
                <c:pt idx="19">
                  <c:v>97.3414849567</c:v>
                </c:pt>
                <c:pt idx="20">
                  <c:v>96.555552473299997</c:v>
                </c:pt>
                <c:pt idx="21">
                  <c:v>95.519935136699999</c:v>
                </c:pt>
                <c:pt idx="22">
                  <c:v>95.537536773300005</c:v>
                </c:pt>
                <c:pt idx="23">
                  <c:v>96.022149956700005</c:v>
                </c:pt>
                <c:pt idx="24">
                  <c:v>98.772763029999993</c:v>
                </c:pt>
                <c:pt idx="25">
                  <c:v>99.512744310000002</c:v>
                </c:pt>
                <c:pt idx="26">
                  <c:v>100.9376896667</c:v>
                </c:pt>
                <c:pt idx="27">
                  <c:v>101.45566558669999</c:v>
                </c:pt>
                <c:pt idx="28">
                  <c:v>101.25838905329999</c:v>
                </c:pt>
                <c:pt idx="29">
                  <c:v>100.65591535670001</c:v>
                </c:pt>
                <c:pt idx="30">
                  <c:v>100.8233156467</c:v>
                </c:pt>
                <c:pt idx="31">
                  <c:v>101.7732303933</c:v>
                </c:pt>
                <c:pt idx="32">
                  <c:v>102.7253238333</c:v>
                </c:pt>
              </c:numCache>
            </c:numRef>
          </c:val>
          <c:smooth val="0"/>
          <c:extLst>
            <c:ext xmlns:c16="http://schemas.microsoft.com/office/drawing/2014/chart" uri="{C3380CC4-5D6E-409C-BE32-E72D297353CC}">
              <c16:uniqueId val="{00000006-83A6-4F80-BB54-33EE3537A950}"/>
            </c:ext>
          </c:extLst>
        </c:ser>
        <c:ser>
          <c:idx val="7"/>
          <c:order val="7"/>
          <c:tx>
            <c:strRef>
              <c:f>'výkonnost odvětví 5a'!$K$66</c:f>
              <c:strCache>
                <c:ptCount val="1"/>
              </c:strCache>
            </c:strRef>
          </c:tx>
          <c:spPr>
            <a:ln w="3175">
              <a:noFill/>
              <a:prstDash val="sysDash"/>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5a'!$K$75:$K$108</c:f>
              <c:numCache>
                <c:formatCode>#\ ##0.0</c:formatCode>
                <c:ptCount val="34"/>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-6.460044980148083E-2</c:v>
                </c:pt>
                <c:pt idx="17">
                  <c:v>-0.16948939287442455</c:v>
                </c:pt>
                <c:pt idx="18">
                  <c:v>-0.11611019550775409</c:v>
                </c:pt>
                <c:pt idx="19">
                  <c:v>-9.9238743060554913E-2</c:v>
                </c:pt>
                <c:pt idx="20">
                  <c:v>-0.40604727370019367</c:v>
                </c:pt>
                <c:pt idx="21">
                  <c:v>-4.0753610102142068E-2</c:v>
                </c:pt>
                <c:pt idx="22">
                  <c:v>2.0865829722525708E-2</c:v>
                </c:pt>
                <c:pt idx="23">
                  <c:v>-7.9293883419967459E-4</c:v>
                </c:pt>
                <c:pt idx="24">
                  <c:v>1.8210850866364925E-2</c:v>
                </c:pt>
                <c:pt idx="25">
                  <c:v>1.3944553341289856E-2</c:v>
                </c:pt>
                <c:pt idx="26">
                  <c:v>-1.7900582739495796E-2</c:v>
                </c:pt>
                <c:pt idx="27">
                  <c:v>-6.3521865962978097E-2</c:v>
                </c:pt>
                <c:pt idx="28">
                  <c:v>-3.493833134933011E-3</c:v>
                </c:pt>
                <c:pt idx="29">
                  <c:v>5.5404674733078307E-4</c:v>
                </c:pt>
                <c:pt idx="30">
                  <c:v>-2.2018887176494806E-4</c:v>
                </c:pt>
                <c:pt idx="31">
                  <c:v>-9.9954062986795655E-4</c:v>
                </c:pt>
              </c:numCache>
            </c:numRef>
          </c:val>
          <c:smooth val="0"/>
          <c:extLst>
            <c:ext xmlns:c16="http://schemas.microsoft.com/office/drawing/2014/chart" uri="{C3380CC4-5D6E-409C-BE32-E72D297353CC}">
              <c16:uniqueId val="{00000007-83A6-4F80-BB54-33EE3537A950}"/>
            </c:ext>
          </c:extLst>
        </c:ser>
        <c:ser>
          <c:idx val="8"/>
          <c:order val="8"/>
          <c:tx>
            <c:strRef>
              <c:f>'výkonnost odvětví 5a'!$L$66</c:f>
              <c:strCache>
                <c:ptCount val="1"/>
                <c:pt idx="0">
                  <c:v>Saldo indikátoru důvěry spotřebitelů</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5a'!$L$75:$L$108</c:f>
              <c:numCache>
                <c:formatCode>0.0</c:formatCode>
                <c:ptCount val="34"/>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numCache>
            </c:numRef>
          </c:val>
          <c:smooth val="0"/>
          <c:extLst>
            <c:ext xmlns:c16="http://schemas.microsoft.com/office/drawing/2014/chart" uri="{C3380CC4-5D6E-409C-BE32-E72D297353CC}">
              <c16:uniqueId val="{00000008-83A6-4F80-BB54-33EE3537A950}"/>
            </c:ext>
          </c:extLst>
        </c:ser>
        <c:ser>
          <c:idx val="9"/>
          <c:order val="9"/>
          <c:tx>
            <c:strRef>
              <c:f>'výkonnost odvětví 5a'!$M$66</c:f>
              <c:strCache>
                <c:ptCount val="1"/>
                <c:pt idx="0">
                  <c:v>Saldo indikátoru důvěry obchodníků</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5a'!$M$75:$M$108</c:f>
              <c:numCache>
                <c:formatCode>0.0</c:formatCode>
                <c:ptCount val="34"/>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numCache>
            </c:numRef>
          </c:val>
          <c:smooth val="0"/>
          <c:extLst>
            <c:ext xmlns:c16="http://schemas.microsoft.com/office/drawing/2014/chart" uri="{C3380CC4-5D6E-409C-BE32-E72D297353CC}">
              <c16:uniqueId val="{00000009-83A6-4F80-BB54-33EE3537A950}"/>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Tržby</a:t>
                </a:r>
                <a:r>
                  <a:rPr lang="cs-CZ" sz="750" b="0" i="1" baseline="0"/>
                  <a:t> (příspěvky k meziroč. změně)</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Tržby</a:t>
                </a:r>
                <a:r>
                  <a:rPr lang="cs-CZ" sz="750" b="0" i="1" baseline="0">
                    <a:latin typeface="Arial" panose="020B0604020202020204" pitchFamily="34" charset="0"/>
                    <a:cs typeface="Arial" panose="020B0604020202020204" pitchFamily="34" charset="0"/>
                  </a:rPr>
                  <a:t> (rok 2021=100), </a:t>
                </a:r>
                <a:r>
                  <a:rPr lang="cs-CZ" sz="750" b="0" i="1" u="none" strike="noStrike" baseline="0">
                    <a:effectLst/>
                    <a:latin typeface="Arial" panose="020B0604020202020204" pitchFamily="34" charset="0"/>
                    <a:cs typeface="Arial" panose="020B0604020202020204" pitchFamily="34" charset="0"/>
                  </a:rPr>
                  <a:t>saldo důvěry</a:t>
                </a:r>
                <a:endParaRPr lang="cs-CZ" sz="750" b="0" i="1">
                  <a:latin typeface="Arial" panose="020B0604020202020204" pitchFamily="34" charset="0"/>
                  <a:cs typeface="Arial" panose="020B0604020202020204" pitchFamily="34" charset="0"/>
                </a:endParaRPr>
              </a:p>
            </c:rich>
          </c:tx>
          <c:layout>
            <c:manualLayout>
              <c:xMode val="edge"/>
              <c:yMode val="edge"/>
              <c:x val="0.96896265019335537"/>
              <c:y val="0.1743397117509615"/>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Bilance</c:v>
                </c:pt>
              </c:strCache>
            </c:strRef>
          </c:tx>
          <c:spPr>
            <a:solidFill>
              <a:srgbClr val="A6A6A6"/>
            </a:solidFill>
            <a:ln>
              <a:noFill/>
            </a:ln>
            <a:effectLst/>
          </c:spPr>
          <c:invertIfNegative val="0"/>
          <c:cat>
            <c:multiLvlStrRef>
              <c:f>'Vnější vztahy'!$A$11:$B$31</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'Vnější vztahy'!$E$11:$E$31</c:f>
              <c:numCache>
                <c:formatCode>0.0</c:formatCode>
                <c:ptCount val="21"/>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83.039238627000003</c:v>
                </c:pt>
                <c:pt idx="17">
                  <c:v>71.788561597000012</c:v>
                </c:pt>
                <c:pt idx="18">
                  <c:v>28.060848259</c:v>
                </c:pt>
                <c:pt idx="19">
                  <c:v>42.766267121999995</c:v>
                </c:pt>
                <c:pt idx="20">
                  <c:v>83.015868870999995</c:v>
                </c:pt>
              </c:numCache>
            </c:numRef>
          </c:val>
          <c:extLst>
            <c:ext xmlns:c16="http://schemas.microsoft.com/office/drawing/2014/chart" uri="{C3380CC4-5D6E-409C-BE32-E72D297353CC}">
              <c16:uniqueId val="{00000000-10B4-418A-AAEC-41AD0477D3A3}"/>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Vývoz</c:v>
                </c:pt>
              </c:strCache>
            </c:strRef>
          </c:tx>
          <c:spPr>
            <a:ln w="28575" cap="rnd">
              <a:noFill/>
              <a:round/>
            </a:ln>
            <a:effectLst/>
          </c:spPr>
          <c:marker>
            <c:symbol val="dash"/>
            <c:size val="9"/>
            <c:spPr>
              <a:solidFill>
                <a:srgbClr val="0071BC"/>
              </a:solidFill>
              <a:ln w="9525">
                <a:noFill/>
              </a:ln>
              <a:effectLst/>
            </c:spPr>
          </c:marker>
          <c:cat>
            <c:multiLvlStrRef>
              <c:f>'Vnější vztahy'!$A$11:$B$31</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'Vnější vztahy'!$C$11:$C$31</c:f>
              <c:numCache>
                <c:formatCode>0.0</c:formatCode>
                <c:ptCount val="21"/>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-0.29047972690000279</c:v>
                </c:pt>
                <c:pt idx="17" formatCode="General">
                  <c:v>4.3557410849000036</c:v>
                </c:pt>
                <c:pt idx="18" formatCode="General">
                  <c:v>10.418200127099993</c:v>
                </c:pt>
                <c:pt idx="19" formatCode="General">
                  <c:v>4.596495509600004</c:v>
                </c:pt>
                <c:pt idx="20" formatCode="General">
                  <c:v>6.2383240693000062</c:v>
                </c:pt>
              </c:numCache>
            </c:numRef>
          </c:val>
          <c:smooth val="0"/>
          <c:extLst>
            <c:ext xmlns:c16="http://schemas.microsoft.com/office/drawing/2014/chart" uri="{C3380CC4-5D6E-409C-BE32-E72D297353CC}">
              <c16:uniqueId val="{00000001-10B4-418A-AAEC-41AD0477D3A3}"/>
            </c:ext>
          </c:extLst>
        </c:ser>
        <c:ser>
          <c:idx val="1"/>
          <c:order val="1"/>
          <c:tx>
            <c:strRef>
              <c:f>'Vnější vztahy'!$D$6</c:f>
              <c:strCache>
                <c:ptCount val="1"/>
                <c:pt idx="0">
                  <c:v>Dovoz</c:v>
                </c:pt>
              </c:strCache>
            </c:strRef>
          </c:tx>
          <c:spPr>
            <a:ln w="28575" cap="rnd">
              <a:noFill/>
              <a:round/>
            </a:ln>
            <a:effectLst/>
          </c:spPr>
          <c:marker>
            <c:symbol val="dash"/>
            <c:size val="9"/>
            <c:spPr>
              <a:solidFill>
                <a:srgbClr val="BD1B21"/>
              </a:solidFill>
              <a:ln w="9525">
                <a:noFill/>
              </a:ln>
              <a:effectLst/>
            </c:spPr>
          </c:marker>
          <c:cat>
            <c:multiLvlStrRef>
              <c:f>'Vnější vztahy'!$A$11:$B$31</c:f>
              <c:multiLvlStrCache>
                <c:ptCount val="21"/>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lvl>
                <c:lvl>
                  <c:pt idx="0">
                    <c:v>2020</c:v>
                  </c:pt>
                  <c:pt idx="4">
                    <c:v>2021</c:v>
                  </c:pt>
                  <c:pt idx="8">
                    <c:v>2022</c:v>
                  </c:pt>
                  <c:pt idx="12">
                    <c:v>2023</c:v>
                  </c:pt>
                  <c:pt idx="16">
                    <c:v>2024</c:v>
                  </c:pt>
                  <c:pt idx="20">
                    <c:v>2025</c:v>
                  </c:pt>
                </c:lvl>
              </c:multiLvlStrCache>
            </c:multiLvlStrRef>
          </c:cat>
          <c:val>
            <c:numRef>
              <c:f>'Vnější vztahy'!$D$11:$D$31</c:f>
              <c:numCache>
                <c:formatCode>0.0</c:formatCode>
                <c:ptCount val="21"/>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-4.0799463495000055</c:v>
                </c:pt>
                <c:pt idx="17" formatCode="General">
                  <c:v>1.2534421651999992</c:v>
                </c:pt>
                <c:pt idx="18" formatCode="General">
                  <c:v>7.5379561156999983</c:v>
                </c:pt>
                <c:pt idx="19" formatCode="General">
                  <c:v>5.1523941088999976</c:v>
                </c:pt>
                <c:pt idx="20" formatCode="General">
                  <c:v>6.7246342530000049</c:v>
                </c:pt>
              </c:numCache>
            </c:numRef>
          </c:val>
          <c:smooth val="0"/>
          <c:extLst>
            <c:ext xmlns:c16="http://schemas.microsoft.com/office/drawing/2014/chart" uri="{C3380CC4-5D6E-409C-BE32-E72D297353CC}">
              <c16:uniqueId val="{00000002-10B4-418A-AAEC-41AD0477D3A3}"/>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1E7681AD-41B0-431A-9D34-CF6700A12FAC}">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b8c0c86d-151e-4fca-b0d5-747e6692fa1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791BE-E9BE-4D95-B980-029E199F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18113</Words>
  <Characters>106872</Characters>
  <Application>Microsoft Office Word</Application>
  <DocSecurity>0</DocSecurity>
  <Lines>890</Lines>
  <Paragraphs>249</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5</cp:revision>
  <cp:lastPrinted>2014-07-17T14:07:00Z</cp:lastPrinted>
  <dcterms:created xsi:type="dcterms:W3CDTF">2025-06-16T10:26:00Z</dcterms:created>
  <dcterms:modified xsi:type="dcterms:W3CDTF">2025-06-16T10:37:00Z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