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0CE3" w14:textId="77777777" w:rsidR="00126009" w:rsidRDefault="00126009" w:rsidP="00376E59">
      <w:pPr>
        <w:jc w:val="center"/>
        <w:rPr>
          <w:rFonts w:eastAsia="MS Gothic"/>
          <w:b/>
          <w:bCs/>
          <w:sz w:val="32"/>
          <w:szCs w:val="28"/>
        </w:rPr>
      </w:pPr>
      <w:r w:rsidRPr="00126009">
        <w:rPr>
          <w:rFonts w:eastAsia="MS Gothic"/>
          <w:b/>
          <w:bCs/>
          <w:sz w:val="32"/>
          <w:szCs w:val="28"/>
        </w:rPr>
        <w:t>ÚVOD</w:t>
      </w:r>
    </w:p>
    <w:p w14:paraId="4ED9B99D" w14:textId="4C96494C" w:rsidR="00376E59" w:rsidRPr="005244A3" w:rsidRDefault="00376E59" w:rsidP="00425D80">
      <w:pPr>
        <w:ind w:firstLine="709"/>
        <w:jc w:val="both"/>
        <w:rPr>
          <w:rFonts w:cs="Arial"/>
          <w:szCs w:val="20"/>
          <w:u w:val="single"/>
        </w:rPr>
      </w:pPr>
      <w:r w:rsidRPr="00F5115B">
        <w:rPr>
          <w:rFonts w:cs="Arial"/>
          <w:szCs w:val="20"/>
        </w:rPr>
        <w:t>Pro odborné pracovníky i širokou veřejnost jsou určeny dlouhodobé časové řady zachycující vývoj zemědělství v České republice za období let 1918 až 202</w:t>
      </w:r>
      <w:r>
        <w:rPr>
          <w:rFonts w:cs="Arial"/>
          <w:szCs w:val="20"/>
        </w:rPr>
        <w:t>5.</w:t>
      </w:r>
      <w:r w:rsidRPr="00F5115B">
        <w:rPr>
          <w:rFonts w:cs="Arial"/>
          <w:szCs w:val="20"/>
        </w:rPr>
        <w:t xml:space="preserve"> Současné vydání</w:t>
      </w:r>
      <w:r>
        <w:rPr>
          <w:rFonts w:cs="Arial"/>
          <w:szCs w:val="20"/>
        </w:rPr>
        <w:t xml:space="preserve"> údajů v elektronické podobě</w:t>
      </w:r>
      <w:r w:rsidRPr="00F5115B">
        <w:rPr>
          <w:rFonts w:cs="Arial"/>
          <w:szCs w:val="20"/>
        </w:rPr>
        <w:t xml:space="preserve">, na rozdíl od </w:t>
      </w:r>
      <w:r>
        <w:rPr>
          <w:rFonts w:cs="Arial"/>
          <w:szCs w:val="20"/>
        </w:rPr>
        <w:t xml:space="preserve">tištěné publikace z roku 2018, </w:t>
      </w:r>
      <w:r w:rsidRPr="00F5115B">
        <w:rPr>
          <w:rFonts w:cs="Arial"/>
          <w:szCs w:val="20"/>
        </w:rPr>
        <w:t>neobsah</w:t>
      </w:r>
      <w:r>
        <w:rPr>
          <w:rFonts w:cs="Arial"/>
          <w:szCs w:val="20"/>
        </w:rPr>
        <w:t xml:space="preserve">uje ekonomické výsledky odvětví. Ty jsou </w:t>
      </w:r>
      <w:r w:rsidRPr="00F5115B">
        <w:rPr>
          <w:rFonts w:cs="Arial"/>
          <w:szCs w:val="20"/>
        </w:rPr>
        <w:t>uživatelům k</w:t>
      </w:r>
      <w:r>
        <w:rPr>
          <w:rFonts w:cs="Arial"/>
          <w:szCs w:val="20"/>
        </w:rPr>
        <w:t> </w:t>
      </w:r>
      <w:r w:rsidRPr="00F5115B">
        <w:rPr>
          <w:rFonts w:cs="Arial"/>
          <w:szCs w:val="20"/>
        </w:rPr>
        <w:t>dispozici</w:t>
      </w:r>
      <w:r>
        <w:rPr>
          <w:rFonts w:cs="Arial"/>
          <w:szCs w:val="20"/>
        </w:rPr>
        <w:t xml:space="preserve"> formou </w:t>
      </w:r>
      <w:r w:rsidRPr="00F5115B">
        <w:rPr>
          <w:rFonts w:cs="Arial"/>
          <w:szCs w:val="20"/>
        </w:rPr>
        <w:t xml:space="preserve">Souhrnného zemědělského účtu </w:t>
      </w:r>
      <w:r>
        <w:rPr>
          <w:rFonts w:cs="Arial"/>
          <w:szCs w:val="20"/>
        </w:rPr>
        <w:t xml:space="preserve">počínaje rokem 1998 </w:t>
      </w:r>
      <w:r w:rsidRPr="00F5115B">
        <w:rPr>
          <w:rFonts w:cs="Arial"/>
          <w:szCs w:val="20"/>
        </w:rPr>
        <w:t xml:space="preserve">samostatně:  </w:t>
      </w:r>
      <w:hyperlink r:id="rId11" w:history="1">
        <w:r w:rsidRPr="00F5115B">
          <w:rPr>
            <w:rStyle w:val="Hypertextovodkaz"/>
            <w:rFonts w:eastAsia="MS Gothic" w:cs="Arial"/>
            <w:color w:val="auto"/>
            <w:szCs w:val="20"/>
          </w:rPr>
          <w:t>Zemědělství - časové řady | Produkty</w:t>
        </w:r>
      </w:hyperlink>
      <w:r w:rsidRPr="00F5115B">
        <w:rPr>
          <w:rFonts w:cs="Arial"/>
          <w:szCs w:val="20"/>
        </w:rPr>
        <w:t>.</w:t>
      </w:r>
    </w:p>
    <w:p w14:paraId="64FF49A1" w14:textId="3E5436E9" w:rsidR="00376E59" w:rsidRPr="00F5115B" w:rsidRDefault="00376E59" w:rsidP="00425D80">
      <w:pPr>
        <w:ind w:firstLine="709"/>
        <w:jc w:val="both"/>
        <w:rPr>
          <w:rFonts w:cs="Arial"/>
          <w:szCs w:val="20"/>
        </w:rPr>
      </w:pPr>
      <w:r>
        <w:rPr>
          <w:rFonts w:cs="Arial"/>
          <w:szCs w:val="20"/>
        </w:rPr>
        <w:t>Více než 100leté časové řady umožňují postihnout dlouhodobé vývojové trendy. V případech, kdy u ukazatelů docházelo v průběhu let k úpravě jejich metodického popisu, je na změnu upozorněno poznámkami pod tabulkou.</w:t>
      </w:r>
      <w:r w:rsidRPr="00F5115B">
        <w:rPr>
          <w:rFonts w:cs="Arial"/>
          <w:szCs w:val="20"/>
        </w:rPr>
        <w:t xml:space="preserve"> Detailní aktuální metodický výklad pro statistiku rostlinné a živočišné výroby je dostupný pod odkazy: </w:t>
      </w:r>
      <w:hyperlink r:id="rId12" w:history="1">
        <w:r w:rsidRPr="00F5115B">
          <w:rPr>
            <w:rStyle w:val="Hypertextovodkaz"/>
            <w:rFonts w:eastAsia="MS Gothic" w:cs="Arial"/>
            <w:color w:val="auto"/>
            <w:szCs w:val="20"/>
          </w:rPr>
          <w:t>Metodika statistiky rostlinné výroby | Statistika</w:t>
        </w:r>
      </w:hyperlink>
      <w:r w:rsidRPr="00F5115B">
        <w:rPr>
          <w:rFonts w:cs="Arial"/>
          <w:szCs w:val="20"/>
        </w:rPr>
        <w:t xml:space="preserve">,  </w:t>
      </w:r>
      <w:hyperlink r:id="rId13" w:history="1">
        <w:r w:rsidRPr="00F5115B">
          <w:rPr>
            <w:rStyle w:val="Hypertextovodkaz"/>
            <w:rFonts w:eastAsia="MS Gothic" w:cs="Arial"/>
            <w:color w:val="auto"/>
            <w:szCs w:val="20"/>
          </w:rPr>
          <w:t>Metodika statistiky živočišné výroby | Statistika</w:t>
        </w:r>
      </w:hyperlink>
      <w:r w:rsidRPr="00F5115B">
        <w:rPr>
          <w:rFonts w:cs="Arial"/>
          <w:szCs w:val="20"/>
        </w:rPr>
        <w:t>.</w:t>
      </w:r>
    </w:p>
    <w:p w14:paraId="0AAB29DF" w14:textId="758D1346" w:rsidR="00376E59" w:rsidRPr="00F5115B" w:rsidRDefault="00376E59" w:rsidP="00425D80">
      <w:pPr>
        <w:ind w:firstLine="709"/>
        <w:jc w:val="both"/>
        <w:rPr>
          <w:rFonts w:cs="Arial"/>
          <w:szCs w:val="20"/>
        </w:rPr>
      </w:pPr>
      <w:r w:rsidRPr="00F5115B">
        <w:rPr>
          <w:rFonts w:cs="Arial"/>
          <w:szCs w:val="20"/>
        </w:rPr>
        <w:t>Mimo dílčích metodických změn</w:t>
      </w:r>
      <w:r>
        <w:rPr>
          <w:rFonts w:cs="Arial"/>
          <w:szCs w:val="20"/>
        </w:rPr>
        <w:t>,</w:t>
      </w:r>
      <w:r w:rsidRPr="00F5115B">
        <w:rPr>
          <w:rFonts w:cs="Arial"/>
          <w:szCs w:val="20"/>
        </w:rPr>
        <w:t xml:space="preserve"> týkajících se jednotlivých proměnných</w:t>
      </w:r>
      <w:r>
        <w:rPr>
          <w:rFonts w:cs="Arial"/>
          <w:szCs w:val="20"/>
        </w:rPr>
        <w:t>,</w:t>
      </w:r>
      <w:r w:rsidRPr="00F5115B">
        <w:rPr>
          <w:rFonts w:cs="Arial"/>
          <w:szCs w:val="20"/>
        </w:rPr>
        <w:t xml:space="preserve"> je třeba upozornit na přechod ze zjišťování za zemědělství celkem</w:t>
      </w:r>
      <w:r>
        <w:rPr>
          <w:rFonts w:cs="Arial"/>
          <w:szCs w:val="20"/>
        </w:rPr>
        <w:t xml:space="preserve"> </w:t>
      </w:r>
      <w:r w:rsidRPr="00F5115B">
        <w:rPr>
          <w:rFonts w:cs="Arial"/>
          <w:szCs w:val="20"/>
        </w:rPr>
        <w:t>na šetření sektoru zemědělství, ke kterému došlo mezi lety 2001 a 2002 (v tabulkách vyznačeno). Jednalo se, v</w:t>
      </w:r>
      <w:r>
        <w:rPr>
          <w:rFonts w:cs="Arial"/>
          <w:szCs w:val="20"/>
        </w:rPr>
        <w:t> rámci přípravy</w:t>
      </w:r>
      <w:r w:rsidRPr="00F5115B">
        <w:rPr>
          <w:rFonts w:cs="Arial"/>
          <w:szCs w:val="20"/>
        </w:rPr>
        <w:t xml:space="preserve"> na členství v Evropské unii, o</w:t>
      </w:r>
      <w:r>
        <w:rPr>
          <w:rFonts w:cs="Arial"/>
          <w:szCs w:val="20"/>
        </w:rPr>
        <w:t> </w:t>
      </w:r>
      <w:r w:rsidRPr="00F5115B">
        <w:rPr>
          <w:rFonts w:cs="Arial"/>
          <w:szCs w:val="20"/>
        </w:rPr>
        <w:t>harmonizaci národní a</w:t>
      </w:r>
      <w:r>
        <w:rPr>
          <w:rFonts w:cs="Arial"/>
          <w:szCs w:val="20"/>
        </w:rPr>
        <w:t> </w:t>
      </w:r>
      <w:r w:rsidRPr="00F5115B">
        <w:rPr>
          <w:rFonts w:cs="Arial"/>
          <w:szCs w:val="20"/>
        </w:rPr>
        <w:t>unijní metodiky. V ta</w:t>
      </w:r>
      <w:r>
        <w:rPr>
          <w:rFonts w:cs="Arial"/>
          <w:szCs w:val="20"/>
        </w:rPr>
        <w:t>bulkách, respektive u vybraných</w:t>
      </w:r>
      <w:r w:rsidRPr="00F5115B">
        <w:rPr>
          <w:rFonts w:cs="Arial"/>
          <w:szCs w:val="20"/>
        </w:rPr>
        <w:t xml:space="preserve"> proměnných, kde přerušení časové řady mezi lety 2001 a 2002 není vyznačeno, jso</w:t>
      </w:r>
      <w:r>
        <w:rPr>
          <w:rFonts w:cs="Arial"/>
          <w:szCs w:val="20"/>
        </w:rPr>
        <w:t>u zveřejněny společně</w:t>
      </w:r>
      <w:r w:rsidRPr="00F5115B">
        <w:rPr>
          <w:rFonts w:cs="Arial"/>
          <w:szCs w:val="20"/>
        </w:rPr>
        <w:t xml:space="preserve"> údaje za zemědělský sektor a za sektor d</w:t>
      </w:r>
      <w:r>
        <w:rPr>
          <w:rFonts w:cs="Arial"/>
          <w:szCs w:val="20"/>
        </w:rPr>
        <w:t>omácností. Sektor domácností navyšuje celkovou zemědělskou výrobu zejména u ovoce a zeleniny, brambor, malochovem hospodářských zvířat a výrobou vajec.</w:t>
      </w:r>
    </w:p>
    <w:p w14:paraId="6371FCAB" w14:textId="77777777" w:rsidR="00376E59" w:rsidRDefault="00376E59" w:rsidP="00425D80">
      <w:pPr>
        <w:autoSpaceDE w:val="0"/>
        <w:autoSpaceDN w:val="0"/>
        <w:adjustRightInd w:val="0"/>
        <w:ind w:firstLine="709"/>
        <w:jc w:val="both"/>
        <w:rPr>
          <w:rFonts w:cs="Arial"/>
          <w:szCs w:val="20"/>
        </w:rPr>
      </w:pPr>
      <w:r w:rsidRPr="00F5115B">
        <w:rPr>
          <w:rFonts w:cs="Arial"/>
          <w:szCs w:val="20"/>
        </w:rPr>
        <w:t>Zdrojem dat, pokud není uvedeno jinak, jsou statistická zjišťování Českého statistického úřadu. Bilance půdy je pře</w:t>
      </w:r>
      <w:r>
        <w:rPr>
          <w:rFonts w:cs="Arial"/>
          <w:szCs w:val="20"/>
        </w:rPr>
        <w:t>bírána</w:t>
      </w:r>
      <w:r w:rsidRPr="00F5115B">
        <w:rPr>
          <w:rFonts w:cs="Arial"/>
          <w:szCs w:val="20"/>
        </w:rPr>
        <w:t xml:space="preserve"> od Českého úřadu zeměměřického a katastrálního, který eviduje zemědělskou půdu na základě vlastnických práv, v některých případech bez ohledu na je</w:t>
      </w:r>
      <w:r>
        <w:rPr>
          <w:rFonts w:cs="Arial"/>
          <w:szCs w:val="20"/>
        </w:rPr>
        <w:t>jí aktuální</w:t>
      </w:r>
      <w:r w:rsidRPr="00F5115B">
        <w:rPr>
          <w:rFonts w:cs="Arial"/>
          <w:szCs w:val="20"/>
        </w:rPr>
        <w:t xml:space="preserve"> využití. Naproti tomu Český statistický úřad sleduje a uvádí obhospodařovanou zemědělskou půdu</w:t>
      </w:r>
      <w:r>
        <w:rPr>
          <w:rFonts w:cs="Arial"/>
          <w:szCs w:val="20"/>
        </w:rPr>
        <w:t>.</w:t>
      </w:r>
    </w:p>
    <w:p w14:paraId="26F70FDA" w14:textId="5F975940" w:rsidR="00376E59" w:rsidRPr="00641614" w:rsidRDefault="00376E59" w:rsidP="00425D80">
      <w:pPr>
        <w:autoSpaceDE w:val="0"/>
        <w:autoSpaceDN w:val="0"/>
        <w:adjustRightInd w:val="0"/>
        <w:ind w:firstLine="709"/>
        <w:jc w:val="both"/>
        <w:rPr>
          <w:rFonts w:cs="Arial"/>
          <w:szCs w:val="20"/>
        </w:rPr>
      </w:pPr>
      <w:r>
        <w:rPr>
          <w:rFonts w:cs="Arial"/>
          <w:szCs w:val="20"/>
        </w:rPr>
        <w:t xml:space="preserve">V několika posledních letech se daří v rámci modernizace postupů při sestavování zemědělských statistik zvyšovat podíl využití administrativních zdrojů dat. Vedle pozitiv pro zpravodajské jednotky přinášejí tyto zdroje údajů, vedené primárně za jiným účelem než statistickým, určitá omezení například v zavedených termínech publikování, či ukončení časové řady u proměnných, jejichž data nelze z administrativních podkladů zajistit. </w:t>
      </w:r>
      <w:r w:rsidRPr="00641614">
        <w:rPr>
          <w:rFonts w:cs="Arial"/>
          <w:szCs w:val="20"/>
        </w:rPr>
        <w:t>V</w:t>
      </w:r>
      <w:r>
        <w:rPr>
          <w:rFonts w:cs="Arial"/>
          <w:szCs w:val="20"/>
        </w:rPr>
        <w:t> </w:t>
      </w:r>
      <w:r w:rsidRPr="00641614">
        <w:rPr>
          <w:rFonts w:cs="Arial"/>
          <w:szCs w:val="20"/>
        </w:rPr>
        <w:t>poznámce</w:t>
      </w:r>
      <w:r>
        <w:rPr>
          <w:rFonts w:cs="Arial"/>
          <w:szCs w:val="20"/>
        </w:rPr>
        <w:t xml:space="preserve"> uvedené</w:t>
      </w:r>
      <w:r w:rsidRPr="00641614">
        <w:rPr>
          <w:rFonts w:cs="Arial"/>
          <w:szCs w:val="20"/>
        </w:rPr>
        <w:t xml:space="preserve"> v Katalogu produktů </w:t>
      </w:r>
      <w:r>
        <w:rPr>
          <w:rFonts w:cs="Arial"/>
          <w:szCs w:val="20"/>
        </w:rPr>
        <w:t xml:space="preserve">k publikaci </w:t>
      </w:r>
      <w:r w:rsidRPr="00641614">
        <w:rPr>
          <w:rFonts w:cs="Arial"/>
          <w:szCs w:val="20"/>
        </w:rPr>
        <w:t>proto na aktualizaci či doplnění vyd</w:t>
      </w:r>
      <w:r>
        <w:rPr>
          <w:rFonts w:cs="Arial"/>
          <w:szCs w:val="20"/>
        </w:rPr>
        <w:t xml:space="preserve">aných </w:t>
      </w:r>
      <w:r w:rsidRPr="00641614">
        <w:rPr>
          <w:rFonts w:cs="Arial"/>
          <w:szCs w:val="20"/>
        </w:rPr>
        <w:t>časových řad upozorňujeme. Stavy ovcí a koz k 31. 12. 2025 budou doplněny do časových řad 15. 5. 2026. Ke stejnému datu aktualizujeme také stavy skotu, do té doby uvádíme stavy skotu k 31. 12. 2025 předběžné.</w:t>
      </w:r>
      <w:r w:rsidR="00367748">
        <w:rPr>
          <w:rFonts w:cs="Arial"/>
          <w:szCs w:val="20"/>
        </w:rPr>
        <w:t xml:space="preserve"> </w:t>
      </w:r>
      <w:r w:rsidRPr="00641614">
        <w:rPr>
          <w:rFonts w:cs="Arial"/>
          <w:szCs w:val="20"/>
        </w:rPr>
        <w:t xml:space="preserve">Počínaje rokem 2025 (přechod na administrativní zdroj) je ukončena časová </w:t>
      </w:r>
      <w:r>
        <w:rPr>
          <w:rFonts w:cs="Arial"/>
          <w:szCs w:val="20"/>
        </w:rPr>
        <w:t xml:space="preserve">řada </w:t>
      </w:r>
      <w:r w:rsidRPr="00641614">
        <w:rPr>
          <w:rFonts w:cs="Arial"/>
          <w:szCs w:val="20"/>
        </w:rPr>
        <w:t xml:space="preserve">části ukazatelů </w:t>
      </w:r>
      <w:r>
        <w:rPr>
          <w:rFonts w:cs="Arial"/>
          <w:szCs w:val="20"/>
        </w:rPr>
        <w:t>u </w:t>
      </w:r>
      <w:r w:rsidRPr="00641614">
        <w:rPr>
          <w:rFonts w:cs="Arial"/>
          <w:szCs w:val="20"/>
        </w:rPr>
        <w:t>přežvýkavců (členění býků na plemenné a ostatní, jalovic</w:t>
      </w:r>
      <w:r>
        <w:rPr>
          <w:rFonts w:cs="Arial"/>
          <w:szCs w:val="20"/>
        </w:rPr>
        <w:t xml:space="preserve"> na</w:t>
      </w:r>
      <w:r w:rsidRPr="00641614">
        <w:rPr>
          <w:rFonts w:cs="Arial"/>
          <w:szCs w:val="20"/>
        </w:rPr>
        <w:t xml:space="preserve"> zapuštěné a nezapuštěné, podrobnější členění ovcí a koz). Osevní plochy zemědělských plodin podle stavu k 31. 5. 2026 budou doplněny </w:t>
      </w:r>
      <w:r>
        <w:rPr>
          <w:rFonts w:cs="Arial"/>
          <w:szCs w:val="20"/>
        </w:rPr>
        <w:t xml:space="preserve">do publikace </w:t>
      </w:r>
      <w:r w:rsidRPr="00641614">
        <w:rPr>
          <w:rFonts w:cs="Arial"/>
          <w:szCs w:val="20"/>
        </w:rPr>
        <w:t>8. 7. 2026</w:t>
      </w:r>
      <w:r>
        <w:rPr>
          <w:rFonts w:cs="Arial"/>
          <w:szCs w:val="20"/>
        </w:rPr>
        <w:t>.</w:t>
      </w:r>
    </w:p>
    <w:p w14:paraId="7D958F76" w14:textId="77777777" w:rsidR="00126009" w:rsidRDefault="00126009" w:rsidP="00126009">
      <w:pPr>
        <w:autoSpaceDE w:val="0"/>
        <w:autoSpaceDN w:val="0"/>
        <w:adjustRightInd w:val="0"/>
        <w:spacing w:after="0" w:line="240" w:lineRule="auto"/>
        <w:rPr>
          <w:rFonts w:cs="Arial"/>
          <w:b/>
          <w:bCs/>
          <w:szCs w:val="20"/>
        </w:rPr>
      </w:pPr>
    </w:p>
    <w:p w14:paraId="68F99487" w14:textId="7B750FF9" w:rsidR="00376E59" w:rsidRDefault="00376E59" w:rsidP="00126009">
      <w:pPr>
        <w:autoSpaceDE w:val="0"/>
        <w:autoSpaceDN w:val="0"/>
        <w:adjustRightInd w:val="0"/>
        <w:spacing w:after="0" w:line="240" w:lineRule="auto"/>
        <w:rPr>
          <w:rFonts w:cs="Arial"/>
          <w:b/>
          <w:bCs/>
          <w:szCs w:val="20"/>
        </w:rPr>
      </w:pPr>
    </w:p>
    <w:p w14:paraId="0190AD67" w14:textId="77777777" w:rsidR="00376E59" w:rsidRDefault="00376E59" w:rsidP="00126009">
      <w:pPr>
        <w:autoSpaceDE w:val="0"/>
        <w:autoSpaceDN w:val="0"/>
        <w:adjustRightInd w:val="0"/>
        <w:spacing w:after="0" w:line="240" w:lineRule="auto"/>
        <w:rPr>
          <w:rFonts w:cs="Arial"/>
          <w:b/>
          <w:bCs/>
          <w:szCs w:val="20"/>
        </w:rPr>
      </w:pPr>
    </w:p>
    <w:p w14:paraId="23812F8A" w14:textId="77777777" w:rsidR="008849DB" w:rsidRDefault="008849DB">
      <w:pPr>
        <w:spacing w:after="0" w:line="240" w:lineRule="auto"/>
        <w:rPr>
          <w:rFonts w:eastAsia="MS Gothic" w:cs="Arial"/>
          <w:b/>
          <w:bCs/>
          <w:sz w:val="32"/>
          <w:szCs w:val="32"/>
        </w:rPr>
      </w:pPr>
      <w:r>
        <w:rPr>
          <w:rFonts w:eastAsia="MS Gothic" w:cs="Arial"/>
          <w:b/>
          <w:bCs/>
          <w:sz w:val="32"/>
          <w:szCs w:val="32"/>
        </w:rPr>
        <w:br w:type="page"/>
      </w:r>
    </w:p>
    <w:p w14:paraId="24F9DC33" w14:textId="67E0509B" w:rsidR="00126009" w:rsidRPr="009E3F0F" w:rsidRDefault="00126009" w:rsidP="008849DB">
      <w:pPr>
        <w:rPr>
          <w:rFonts w:cs="Arial"/>
          <w:bCs/>
          <w:szCs w:val="20"/>
        </w:rPr>
      </w:pPr>
      <w:r w:rsidRPr="008849DB">
        <w:rPr>
          <w:rFonts w:eastAsia="MS Gothic" w:cs="Arial"/>
          <w:b/>
          <w:bCs/>
          <w:sz w:val="32"/>
          <w:szCs w:val="32"/>
        </w:rPr>
        <w:lastRenderedPageBreak/>
        <w:t>Zemědělský sektor</w:t>
      </w:r>
    </w:p>
    <w:p w14:paraId="20815C35" w14:textId="77777777" w:rsidR="00126009" w:rsidRDefault="00126009" w:rsidP="00425D80">
      <w:pPr>
        <w:autoSpaceDE w:val="0"/>
        <w:autoSpaceDN w:val="0"/>
        <w:adjustRightInd w:val="0"/>
        <w:spacing w:after="0"/>
        <w:rPr>
          <w:rFonts w:cs="Arial"/>
          <w:szCs w:val="20"/>
        </w:rPr>
      </w:pPr>
      <w:r w:rsidRPr="00931A7F">
        <w:rPr>
          <w:rFonts w:cs="Arial"/>
          <w:szCs w:val="20"/>
        </w:rPr>
        <w:t>Od roku 2002 je základní evidenční jednotkou v zemědělské statistice zemědělský subjekt vymezený alespo</w:t>
      </w:r>
      <w:r>
        <w:rPr>
          <w:rFonts w:cs="Arial"/>
          <w:szCs w:val="20"/>
        </w:rPr>
        <w:t xml:space="preserve">ň </w:t>
      </w:r>
      <w:r w:rsidRPr="00931A7F">
        <w:rPr>
          <w:rFonts w:cs="Arial"/>
          <w:szCs w:val="20"/>
        </w:rPr>
        <w:t>jednou z uvedených prahových hodnot:</w:t>
      </w:r>
    </w:p>
    <w:p w14:paraId="1DBB2244" w14:textId="77777777" w:rsidR="00126009" w:rsidRPr="00931A7F" w:rsidRDefault="00126009" w:rsidP="00126009">
      <w:pPr>
        <w:autoSpaceDE w:val="0"/>
        <w:autoSpaceDN w:val="0"/>
        <w:adjustRightInd w:val="0"/>
        <w:spacing w:after="0" w:line="240" w:lineRule="auto"/>
        <w:rPr>
          <w:rFonts w:cs="Arial"/>
          <w:szCs w:val="20"/>
        </w:rPr>
      </w:pPr>
    </w:p>
    <w:p w14:paraId="2F1E4958" w14:textId="77777777" w:rsidR="00126009" w:rsidRPr="00931A7F" w:rsidRDefault="00126009" w:rsidP="00A37F22">
      <w:pPr>
        <w:autoSpaceDE w:val="0"/>
        <w:autoSpaceDN w:val="0"/>
        <w:adjustRightInd w:val="0"/>
        <w:spacing w:after="120" w:line="240" w:lineRule="auto"/>
        <w:rPr>
          <w:rFonts w:cs="Arial"/>
          <w:szCs w:val="20"/>
        </w:rPr>
      </w:pPr>
      <w:r w:rsidRPr="00931A7F">
        <w:rPr>
          <w:rFonts w:cs="Arial"/>
          <w:szCs w:val="20"/>
        </w:rPr>
        <w:t>výměra – od 1 ha obhospodařované zemědělské půdy</w:t>
      </w:r>
    </w:p>
    <w:p w14:paraId="37F0891D" w14:textId="77777777" w:rsidR="00126009" w:rsidRPr="00931A7F" w:rsidRDefault="00126009" w:rsidP="00A37F22">
      <w:pPr>
        <w:autoSpaceDE w:val="0"/>
        <w:autoSpaceDN w:val="0"/>
        <w:adjustRightInd w:val="0"/>
        <w:spacing w:after="120" w:line="240" w:lineRule="auto"/>
        <w:ind w:firstLine="708"/>
        <w:rPr>
          <w:rFonts w:cs="Arial"/>
          <w:szCs w:val="20"/>
        </w:rPr>
      </w:pPr>
      <w:r>
        <w:rPr>
          <w:rFonts w:cs="Arial"/>
          <w:szCs w:val="20"/>
        </w:rPr>
        <w:t xml:space="preserve">   </w:t>
      </w:r>
      <w:r w:rsidRPr="00931A7F">
        <w:rPr>
          <w:rFonts w:cs="Arial"/>
          <w:szCs w:val="20"/>
        </w:rPr>
        <w:t>od 1 500 m</w:t>
      </w:r>
      <w:r w:rsidRPr="00946B35">
        <w:rPr>
          <w:rFonts w:cs="Arial"/>
          <w:szCs w:val="20"/>
          <w:vertAlign w:val="superscript"/>
        </w:rPr>
        <w:t>2</w:t>
      </w:r>
      <w:r w:rsidRPr="00931A7F">
        <w:rPr>
          <w:rFonts w:cs="Arial"/>
          <w:szCs w:val="20"/>
        </w:rPr>
        <w:t xml:space="preserve"> pěstovaných intenzivních plodin (sady, zelenina, květiny)</w:t>
      </w:r>
    </w:p>
    <w:p w14:paraId="21C8F6B4" w14:textId="77777777" w:rsidR="00126009" w:rsidRPr="00931A7F" w:rsidRDefault="00126009" w:rsidP="00A37F22">
      <w:pPr>
        <w:autoSpaceDE w:val="0"/>
        <w:autoSpaceDN w:val="0"/>
        <w:adjustRightInd w:val="0"/>
        <w:spacing w:after="120" w:line="240" w:lineRule="auto"/>
        <w:ind w:firstLine="708"/>
        <w:rPr>
          <w:rFonts w:cs="Arial"/>
          <w:szCs w:val="20"/>
        </w:rPr>
      </w:pPr>
      <w:r>
        <w:rPr>
          <w:rFonts w:cs="Arial"/>
          <w:szCs w:val="20"/>
        </w:rPr>
        <w:t xml:space="preserve">   </w:t>
      </w:r>
      <w:r w:rsidRPr="00931A7F">
        <w:rPr>
          <w:rFonts w:cs="Arial"/>
          <w:szCs w:val="20"/>
        </w:rPr>
        <w:t>od 1 000 m</w:t>
      </w:r>
      <w:r w:rsidRPr="00946B35">
        <w:rPr>
          <w:rFonts w:cs="Arial"/>
          <w:szCs w:val="20"/>
          <w:vertAlign w:val="superscript"/>
        </w:rPr>
        <w:t>2</w:t>
      </w:r>
      <w:r w:rsidRPr="00931A7F">
        <w:rPr>
          <w:rFonts w:cs="Arial"/>
          <w:szCs w:val="20"/>
        </w:rPr>
        <w:t xml:space="preserve"> vinic</w:t>
      </w:r>
    </w:p>
    <w:p w14:paraId="35AD10B6" w14:textId="77777777" w:rsidR="00126009" w:rsidRDefault="00126009" w:rsidP="00A37F22">
      <w:pPr>
        <w:autoSpaceDE w:val="0"/>
        <w:autoSpaceDN w:val="0"/>
        <w:adjustRightInd w:val="0"/>
        <w:spacing w:after="120" w:line="240" w:lineRule="auto"/>
        <w:ind w:firstLine="708"/>
        <w:rPr>
          <w:rFonts w:cs="Arial"/>
          <w:szCs w:val="20"/>
        </w:rPr>
      </w:pPr>
      <w:r>
        <w:rPr>
          <w:rFonts w:cs="Arial"/>
          <w:szCs w:val="20"/>
        </w:rPr>
        <w:t xml:space="preserve">   </w:t>
      </w:r>
      <w:r w:rsidRPr="00931A7F">
        <w:rPr>
          <w:rFonts w:cs="Arial"/>
          <w:szCs w:val="20"/>
        </w:rPr>
        <w:t>od 300 m</w:t>
      </w:r>
      <w:r w:rsidRPr="00946B35">
        <w:rPr>
          <w:rFonts w:cs="Arial"/>
          <w:szCs w:val="20"/>
          <w:vertAlign w:val="superscript"/>
        </w:rPr>
        <w:t>2</w:t>
      </w:r>
      <w:r w:rsidRPr="00931A7F">
        <w:rPr>
          <w:rFonts w:cs="Arial"/>
          <w:szCs w:val="20"/>
        </w:rPr>
        <w:t xml:space="preserve"> skleníků a pařenišť</w:t>
      </w:r>
    </w:p>
    <w:p w14:paraId="4B66EE3C" w14:textId="77777777" w:rsidR="00126009" w:rsidRPr="00931A7F" w:rsidRDefault="00126009" w:rsidP="00A37F22">
      <w:pPr>
        <w:autoSpaceDE w:val="0"/>
        <w:autoSpaceDN w:val="0"/>
        <w:adjustRightInd w:val="0"/>
        <w:spacing w:after="120" w:line="240" w:lineRule="auto"/>
        <w:rPr>
          <w:rFonts w:cs="Arial"/>
          <w:szCs w:val="20"/>
        </w:rPr>
      </w:pPr>
      <w:r w:rsidRPr="00931A7F">
        <w:rPr>
          <w:rFonts w:cs="Arial"/>
          <w:szCs w:val="20"/>
        </w:rPr>
        <w:t>chov –</w:t>
      </w:r>
      <w:r>
        <w:rPr>
          <w:rFonts w:cs="Arial"/>
          <w:szCs w:val="20"/>
        </w:rPr>
        <w:t xml:space="preserve">     </w:t>
      </w:r>
      <w:r w:rsidRPr="00931A7F">
        <w:rPr>
          <w:rFonts w:cs="Arial"/>
          <w:szCs w:val="20"/>
        </w:rPr>
        <w:t>od 1 ks skotu</w:t>
      </w:r>
    </w:p>
    <w:p w14:paraId="46CE3EA6" w14:textId="77777777" w:rsidR="00126009" w:rsidRPr="00931A7F" w:rsidRDefault="00126009" w:rsidP="00A37F22">
      <w:pPr>
        <w:autoSpaceDE w:val="0"/>
        <w:autoSpaceDN w:val="0"/>
        <w:adjustRightInd w:val="0"/>
        <w:spacing w:after="120" w:line="240" w:lineRule="auto"/>
        <w:ind w:firstLine="708"/>
        <w:rPr>
          <w:rFonts w:cs="Arial"/>
          <w:szCs w:val="20"/>
        </w:rPr>
      </w:pPr>
      <w:r>
        <w:rPr>
          <w:rFonts w:cs="Arial"/>
          <w:szCs w:val="20"/>
        </w:rPr>
        <w:t xml:space="preserve">   </w:t>
      </w:r>
      <w:r w:rsidRPr="00931A7F">
        <w:rPr>
          <w:rFonts w:cs="Arial"/>
          <w:szCs w:val="20"/>
        </w:rPr>
        <w:t>od 2 ks prasat</w:t>
      </w:r>
    </w:p>
    <w:p w14:paraId="714651C0" w14:textId="77777777" w:rsidR="00126009" w:rsidRPr="00931A7F" w:rsidRDefault="00126009" w:rsidP="00A37F22">
      <w:pPr>
        <w:autoSpaceDE w:val="0"/>
        <w:autoSpaceDN w:val="0"/>
        <w:adjustRightInd w:val="0"/>
        <w:spacing w:after="120" w:line="240" w:lineRule="auto"/>
        <w:ind w:firstLine="708"/>
        <w:rPr>
          <w:rFonts w:cs="Arial"/>
          <w:szCs w:val="20"/>
        </w:rPr>
      </w:pPr>
      <w:r>
        <w:rPr>
          <w:rFonts w:cs="Arial"/>
          <w:szCs w:val="20"/>
        </w:rPr>
        <w:t xml:space="preserve">   </w:t>
      </w:r>
      <w:r w:rsidRPr="00931A7F">
        <w:rPr>
          <w:rFonts w:cs="Arial"/>
          <w:szCs w:val="20"/>
        </w:rPr>
        <w:t>od 4 ks ovcí a koz</w:t>
      </w:r>
    </w:p>
    <w:p w14:paraId="31BB1EB9" w14:textId="77777777" w:rsidR="00126009" w:rsidRPr="00931A7F" w:rsidRDefault="00126009" w:rsidP="00A37F22">
      <w:pPr>
        <w:autoSpaceDE w:val="0"/>
        <w:autoSpaceDN w:val="0"/>
        <w:adjustRightInd w:val="0"/>
        <w:spacing w:after="120" w:line="240" w:lineRule="auto"/>
        <w:ind w:firstLine="708"/>
        <w:rPr>
          <w:rFonts w:cs="Arial"/>
          <w:szCs w:val="20"/>
        </w:rPr>
      </w:pPr>
      <w:r>
        <w:rPr>
          <w:rFonts w:cs="Arial"/>
          <w:szCs w:val="20"/>
        </w:rPr>
        <w:t xml:space="preserve">   </w:t>
      </w:r>
      <w:r w:rsidRPr="00931A7F">
        <w:rPr>
          <w:rFonts w:cs="Arial"/>
          <w:szCs w:val="20"/>
        </w:rPr>
        <w:t>od 50 ks drůbeže</w:t>
      </w:r>
    </w:p>
    <w:p w14:paraId="72966F4D" w14:textId="77777777" w:rsidR="00126009" w:rsidRDefault="00126009" w:rsidP="00A37F22">
      <w:pPr>
        <w:autoSpaceDE w:val="0"/>
        <w:autoSpaceDN w:val="0"/>
        <w:adjustRightInd w:val="0"/>
        <w:spacing w:after="120" w:line="240" w:lineRule="auto"/>
        <w:ind w:firstLine="708"/>
        <w:rPr>
          <w:rFonts w:cs="Arial"/>
          <w:szCs w:val="20"/>
        </w:rPr>
      </w:pPr>
      <w:r>
        <w:rPr>
          <w:rFonts w:cs="Arial"/>
          <w:szCs w:val="20"/>
        </w:rPr>
        <w:t xml:space="preserve">   </w:t>
      </w:r>
      <w:r w:rsidRPr="00931A7F">
        <w:rPr>
          <w:rFonts w:cs="Arial"/>
          <w:szCs w:val="20"/>
        </w:rPr>
        <w:t>od 100 ks králíků</w:t>
      </w:r>
    </w:p>
    <w:p w14:paraId="3E12DC17" w14:textId="77777777" w:rsidR="008849DB" w:rsidRDefault="008849DB" w:rsidP="00126009">
      <w:pPr>
        <w:rPr>
          <w:rFonts w:eastAsia="MS Gothic" w:cs="Arial"/>
          <w:b/>
          <w:bCs/>
          <w:sz w:val="32"/>
          <w:szCs w:val="32"/>
        </w:rPr>
      </w:pPr>
    </w:p>
    <w:p w14:paraId="21B397AD" w14:textId="2E0983D2" w:rsidR="00126009" w:rsidRPr="008849DB" w:rsidRDefault="00126009" w:rsidP="00126009">
      <w:pPr>
        <w:rPr>
          <w:rFonts w:eastAsia="MS Gothic" w:cs="Arial"/>
          <w:b/>
          <w:bCs/>
          <w:sz w:val="32"/>
          <w:szCs w:val="32"/>
        </w:rPr>
      </w:pPr>
      <w:r w:rsidRPr="008849DB">
        <w:rPr>
          <w:rFonts w:eastAsia="MS Gothic" w:cs="Arial"/>
          <w:b/>
          <w:bCs/>
          <w:sz w:val="32"/>
          <w:szCs w:val="32"/>
        </w:rPr>
        <w:t>Použité zkratky v tabulkách publikace</w:t>
      </w:r>
    </w:p>
    <w:p w14:paraId="01CE9B06" w14:textId="47751309" w:rsidR="00126009" w:rsidRPr="00453C3B" w:rsidRDefault="00126009" w:rsidP="00126009">
      <w:pPr>
        <w:ind w:left="1410" w:hanging="1410"/>
        <w:rPr>
          <w:rFonts w:cs="Arial"/>
          <w:szCs w:val="20"/>
        </w:rPr>
      </w:pPr>
      <w:r>
        <w:rPr>
          <w:rFonts w:cs="Arial"/>
          <w:szCs w:val="20"/>
        </w:rPr>
        <w:t>ALI</w:t>
      </w:r>
      <w:r w:rsidRPr="00453C3B">
        <w:rPr>
          <w:rFonts w:cs="Arial"/>
          <w:szCs w:val="20"/>
        </w:rPr>
        <w:tab/>
      </w:r>
      <w:r>
        <w:rPr>
          <w:rFonts w:cs="Arial"/>
          <w:szCs w:val="20"/>
        </w:rPr>
        <w:tab/>
      </w:r>
      <w:r w:rsidRPr="004E794D">
        <w:rPr>
          <w:rFonts w:cs="Arial"/>
          <w:szCs w:val="20"/>
        </w:rPr>
        <w:t>Agricultural Labour Input; ukazatel pro měření objemu práce vykonané v zemědělství, výpočet se provádí podle standardizované metodiky EU a vyjadřuje se v tzv. ročních pracovních jednotkách (Annual Work Unit, používaná zkratka AWU)</w:t>
      </w:r>
    </w:p>
    <w:p w14:paraId="6E1DDA1E" w14:textId="778463FE" w:rsidR="00126009" w:rsidRPr="00453C3B" w:rsidRDefault="00126009" w:rsidP="00126009">
      <w:pPr>
        <w:ind w:left="705" w:hanging="705"/>
        <w:rPr>
          <w:rFonts w:cs="Arial"/>
          <w:szCs w:val="20"/>
        </w:rPr>
      </w:pPr>
      <w:r w:rsidRPr="00453C3B">
        <w:rPr>
          <w:rFonts w:cs="Arial"/>
          <w:szCs w:val="20"/>
        </w:rPr>
        <w:t>AWU</w:t>
      </w:r>
      <w:r w:rsidRPr="00453C3B">
        <w:rPr>
          <w:rFonts w:cs="Arial"/>
          <w:szCs w:val="20"/>
        </w:rPr>
        <w:tab/>
      </w:r>
      <w:r>
        <w:rPr>
          <w:rFonts w:cs="Arial"/>
          <w:szCs w:val="20"/>
        </w:rPr>
        <w:tab/>
      </w:r>
      <w:r>
        <w:rPr>
          <w:rFonts w:cs="Arial"/>
          <w:szCs w:val="20"/>
        </w:rPr>
        <w:tab/>
      </w:r>
      <w:r w:rsidRPr="004E794D">
        <w:rPr>
          <w:rFonts w:cs="Arial"/>
          <w:szCs w:val="20"/>
        </w:rPr>
        <w:t>Annual Work Unit; roční pracovní jednotka (vyjadřující 1 800 hodin odpracovaných za rok)</w:t>
      </w:r>
    </w:p>
    <w:p w14:paraId="0A459FCC" w14:textId="77777777" w:rsidR="00126009" w:rsidRDefault="00126009" w:rsidP="00126009">
      <w:pPr>
        <w:rPr>
          <w:rFonts w:cs="Arial"/>
          <w:szCs w:val="20"/>
        </w:rPr>
      </w:pPr>
      <w:r w:rsidRPr="00453C3B">
        <w:rPr>
          <w:rFonts w:cs="Arial"/>
          <w:szCs w:val="20"/>
        </w:rPr>
        <w:t>CZ-NACE</w:t>
      </w:r>
      <w:r w:rsidRPr="00453C3B">
        <w:rPr>
          <w:rFonts w:cs="Arial"/>
          <w:szCs w:val="20"/>
        </w:rPr>
        <w:tab/>
      </w:r>
      <w:r w:rsidRPr="004E794D">
        <w:rPr>
          <w:rFonts w:cs="Arial"/>
          <w:szCs w:val="20"/>
        </w:rPr>
        <w:t>Statistical Classification of Economic Activities; Klasifikace ekonomických činností</w:t>
      </w:r>
    </w:p>
    <w:p w14:paraId="009E97B7" w14:textId="77777777" w:rsidR="00126009" w:rsidRDefault="00126009" w:rsidP="00126009">
      <w:pPr>
        <w:rPr>
          <w:rFonts w:eastAsia="MS Gothic" w:cs="Arial"/>
          <w:b/>
          <w:bCs/>
          <w:szCs w:val="20"/>
        </w:rPr>
      </w:pPr>
    </w:p>
    <w:p w14:paraId="5F2F0897" w14:textId="77777777" w:rsidR="00126009" w:rsidRPr="008849DB" w:rsidRDefault="00126009" w:rsidP="00126009">
      <w:pPr>
        <w:rPr>
          <w:rFonts w:eastAsia="MS Gothic" w:cs="Arial"/>
          <w:b/>
          <w:bCs/>
          <w:sz w:val="32"/>
          <w:szCs w:val="32"/>
        </w:rPr>
      </w:pPr>
      <w:r w:rsidRPr="008849DB">
        <w:rPr>
          <w:rFonts w:eastAsia="MS Gothic" w:cs="Arial"/>
          <w:b/>
          <w:bCs/>
          <w:sz w:val="32"/>
          <w:szCs w:val="32"/>
        </w:rPr>
        <w:t>Použité značky v tabulkách publikace</w:t>
      </w:r>
    </w:p>
    <w:p w14:paraId="2A698324" w14:textId="71682E57" w:rsidR="00126009" w:rsidRPr="00453C3B" w:rsidRDefault="00126009" w:rsidP="00126009">
      <w:pPr>
        <w:rPr>
          <w:rFonts w:cs="Arial"/>
          <w:szCs w:val="20"/>
        </w:rPr>
      </w:pPr>
      <w:r w:rsidRPr="00453C3B">
        <w:rPr>
          <w:rFonts w:cs="Arial"/>
          <w:szCs w:val="20"/>
        </w:rPr>
        <w:t>-</w:t>
      </w:r>
      <w:r w:rsidRPr="00453C3B">
        <w:rPr>
          <w:rFonts w:cs="Arial"/>
          <w:szCs w:val="20"/>
        </w:rPr>
        <w:tab/>
      </w:r>
      <w:r>
        <w:rPr>
          <w:rFonts w:cs="Arial"/>
          <w:szCs w:val="20"/>
        </w:rPr>
        <w:tab/>
      </w:r>
      <w:r w:rsidRPr="00453C3B">
        <w:rPr>
          <w:rFonts w:cs="Arial"/>
          <w:szCs w:val="20"/>
        </w:rPr>
        <w:t>ležatá čárka na místě čísla značí, že se jev nevyskytoval</w:t>
      </w:r>
    </w:p>
    <w:p w14:paraId="2CD8CBCE" w14:textId="44C6A9EE" w:rsidR="00126009" w:rsidRPr="00453C3B" w:rsidRDefault="00126009" w:rsidP="00126009">
      <w:pPr>
        <w:rPr>
          <w:rFonts w:cs="Arial"/>
          <w:szCs w:val="20"/>
        </w:rPr>
      </w:pPr>
      <w:r w:rsidRPr="00453C3B">
        <w:rPr>
          <w:rFonts w:cs="Arial"/>
          <w:szCs w:val="20"/>
        </w:rPr>
        <w:t>.</w:t>
      </w:r>
      <w:r w:rsidRPr="00453C3B">
        <w:rPr>
          <w:rFonts w:cs="Arial"/>
          <w:szCs w:val="20"/>
        </w:rPr>
        <w:tab/>
      </w:r>
      <w:r>
        <w:rPr>
          <w:rFonts w:cs="Arial"/>
          <w:szCs w:val="20"/>
        </w:rPr>
        <w:tab/>
      </w:r>
      <w:r w:rsidRPr="00453C3B">
        <w:rPr>
          <w:rFonts w:cs="Arial"/>
          <w:szCs w:val="20"/>
        </w:rPr>
        <w:t>tečka na místě čísla značí, že údaj není k dispozici nebo je nespolehlivý</w:t>
      </w:r>
    </w:p>
    <w:p w14:paraId="377AEDBD" w14:textId="77777777" w:rsidR="00126009" w:rsidRDefault="00126009" w:rsidP="00126009">
      <w:pPr>
        <w:autoSpaceDE w:val="0"/>
        <w:autoSpaceDN w:val="0"/>
        <w:adjustRightInd w:val="0"/>
        <w:spacing w:after="0" w:line="240" w:lineRule="auto"/>
        <w:rPr>
          <w:rFonts w:cs="Arial"/>
          <w:szCs w:val="20"/>
        </w:rPr>
      </w:pPr>
    </w:p>
    <w:p w14:paraId="298DFBCF" w14:textId="77777777" w:rsidR="008849DB" w:rsidRPr="00FA1948" w:rsidRDefault="008849DB" w:rsidP="008849DB">
      <w:pPr>
        <w:rPr>
          <w:rFonts w:cs="Arial"/>
        </w:rPr>
      </w:pPr>
      <w:r w:rsidRPr="00FA1948">
        <w:rPr>
          <w:rFonts w:cs="Arial"/>
        </w:rPr>
        <w:t>Výpočty v tabulkách jsou prováděny z nezaokrouhlených údajů (vč. součtů).</w:t>
      </w:r>
    </w:p>
    <w:p w14:paraId="01FF4B33" w14:textId="77777777" w:rsidR="00126009" w:rsidRDefault="00126009" w:rsidP="00126009">
      <w:pPr>
        <w:autoSpaceDE w:val="0"/>
        <w:autoSpaceDN w:val="0"/>
        <w:adjustRightInd w:val="0"/>
        <w:spacing w:after="0" w:line="240" w:lineRule="auto"/>
        <w:rPr>
          <w:rFonts w:cs="Arial"/>
          <w:szCs w:val="20"/>
        </w:rPr>
      </w:pPr>
    </w:p>
    <w:p w14:paraId="39F48758" w14:textId="77777777" w:rsidR="00126009" w:rsidRPr="00931A7F" w:rsidRDefault="00126009" w:rsidP="00126009">
      <w:pPr>
        <w:autoSpaceDE w:val="0"/>
        <w:autoSpaceDN w:val="0"/>
        <w:adjustRightInd w:val="0"/>
        <w:spacing w:after="0" w:line="240" w:lineRule="auto"/>
        <w:ind w:firstLine="708"/>
        <w:rPr>
          <w:rFonts w:cs="Arial"/>
          <w:szCs w:val="20"/>
        </w:rPr>
      </w:pPr>
    </w:p>
    <w:p w14:paraId="30834C44" w14:textId="77777777" w:rsidR="00126009" w:rsidRPr="00126009" w:rsidRDefault="00126009" w:rsidP="00126009">
      <w:pPr>
        <w:jc w:val="both"/>
      </w:pPr>
    </w:p>
    <w:sectPr w:rsidR="00126009" w:rsidRPr="00126009" w:rsidSect="006F5416">
      <w:headerReference w:type="even" r:id="rId14"/>
      <w:headerReference w:type="default" r:id="rId15"/>
      <w:footerReference w:type="even" r:id="rId16"/>
      <w:footerReference w:type="default" r:id="rId17"/>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C694" w14:textId="77777777" w:rsidR="0076305F" w:rsidRDefault="0076305F" w:rsidP="00E71A58">
      <w:r>
        <w:separator/>
      </w:r>
    </w:p>
  </w:endnote>
  <w:endnote w:type="continuationSeparator" w:id="0">
    <w:p w14:paraId="789DE4D6" w14:textId="77777777" w:rsidR="0076305F" w:rsidRDefault="0076305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A9C3" w14:textId="65124035"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5729ED">
      <w:rPr>
        <w:szCs w:val="16"/>
      </w:rPr>
      <w:t>2</w:t>
    </w:r>
    <w:r w:rsidR="005647BF" w:rsidRPr="00932443">
      <w:rPr>
        <w:szCs w:val="16"/>
      </w:rPr>
      <w:fldChar w:fldCharType="end"/>
    </w:r>
    <w:r w:rsidR="005647BF" w:rsidRPr="00932443">
      <w:rPr>
        <w:szCs w:val="16"/>
      </w:rPr>
      <w:tab/>
    </w:r>
    <w:r w:rsidR="00D84560">
      <w:rPr>
        <w:rStyle w:val="ZpatChar"/>
        <w:szCs w:val="16"/>
      </w:rPr>
      <w:t>1918-2025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B40F" w14:textId="1A599975"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126009">
      <w:rPr>
        <w:rStyle w:val="ZpatChar"/>
        <w:szCs w:val="16"/>
      </w:rPr>
      <w:t>1918-2025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5729ED">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041C" w14:textId="77777777" w:rsidR="0076305F" w:rsidRDefault="0076305F" w:rsidP="00E71A58">
      <w:r>
        <w:separator/>
      </w:r>
    </w:p>
  </w:footnote>
  <w:footnote w:type="continuationSeparator" w:id="0">
    <w:p w14:paraId="32CFC1D9" w14:textId="77777777" w:rsidR="0076305F" w:rsidRDefault="0076305F"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9E35" w14:textId="77777777" w:rsidR="00D84560" w:rsidRPr="00126009" w:rsidRDefault="00D84560" w:rsidP="00D84560">
    <w:pPr>
      <w:spacing w:after="0"/>
      <w:rPr>
        <w:rFonts w:eastAsia="Calibri"/>
        <w:i/>
        <w:sz w:val="16"/>
        <w:szCs w:val="22"/>
        <w:lang w:val="en-GB" w:eastAsia="en-US"/>
      </w:rPr>
    </w:pPr>
    <w:r>
      <w:rPr>
        <w:rFonts w:eastAsia="Calibri"/>
        <w:sz w:val="16"/>
        <w:szCs w:val="22"/>
        <w:lang w:eastAsia="en-US"/>
      </w:rPr>
      <w:t xml:space="preserve">České zemědělství očima statistiky / </w:t>
    </w:r>
    <w:r>
      <w:rPr>
        <w:rFonts w:eastAsia="Calibri"/>
        <w:i/>
        <w:sz w:val="16"/>
        <w:szCs w:val="22"/>
        <w:lang w:val="en-GB" w:eastAsia="en-US"/>
      </w:rPr>
      <w:t>Czech Agriculture Through S</w:t>
    </w:r>
    <w:r w:rsidRPr="003D43AF">
      <w:rPr>
        <w:rFonts w:eastAsia="Calibri"/>
        <w:i/>
        <w:sz w:val="16"/>
        <w:szCs w:val="22"/>
        <w:lang w:val="en-GB" w:eastAsia="en-US"/>
      </w:rPr>
      <w:t>tatistics</w:t>
    </w:r>
  </w:p>
  <w:p w14:paraId="2BBFC1F3" w14:textId="77777777" w:rsidR="00515C74" w:rsidRPr="002978AA" w:rsidRDefault="00515C74" w:rsidP="002978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5DD5" w14:textId="3AA6A425" w:rsidR="00B5752E" w:rsidRPr="00126009" w:rsidRDefault="00126009" w:rsidP="00126009">
    <w:pPr>
      <w:spacing w:after="0"/>
      <w:rPr>
        <w:rFonts w:eastAsia="Calibri"/>
        <w:i/>
        <w:sz w:val="16"/>
        <w:szCs w:val="22"/>
        <w:lang w:val="en-GB" w:eastAsia="en-US"/>
      </w:rPr>
    </w:pPr>
    <w:r>
      <w:rPr>
        <w:rFonts w:eastAsia="Calibri"/>
        <w:sz w:val="16"/>
        <w:szCs w:val="22"/>
        <w:lang w:eastAsia="en-US"/>
      </w:rPr>
      <w:t xml:space="preserve">České zemědělství očima statistiky / </w:t>
    </w:r>
    <w:r>
      <w:rPr>
        <w:rFonts w:eastAsia="Calibri"/>
        <w:i/>
        <w:sz w:val="16"/>
        <w:szCs w:val="22"/>
        <w:lang w:val="en-GB" w:eastAsia="en-US"/>
      </w:rPr>
      <w:t>Czech Agriculture Through S</w:t>
    </w:r>
    <w:r w:rsidRPr="003D43AF">
      <w:rPr>
        <w:rFonts w:eastAsia="Calibri"/>
        <w:i/>
        <w:sz w:val="16"/>
        <w:szCs w:val="22"/>
        <w:lang w:val="en-GB" w:eastAsia="en-US"/>
      </w:rPr>
      <w:t>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7007889">
    <w:abstractNumId w:val="11"/>
  </w:num>
  <w:num w:numId="2" w16cid:durableId="1198469416">
    <w:abstractNumId w:val="8"/>
  </w:num>
  <w:num w:numId="3" w16cid:durableId="113521200">
    <w:abstractNumId w:val="3"/>
  </w:num>
  <w:num w:numId="4" w16cid:durableId="1031417635">
    <w:abstractNumId w:val="2"/>
  </w:num>
  <w:num w:numId="5" w16cid:durableId="738551534">
    <w:abstractNumId w:val="1"/>
  </w:num>
  <w:num w:numId="6" w16cid:durableId="305864826">
    <w:abstractNumId w:val="0"/>
  </w:num>
  <w:num w:numId="7" w16cid:durableId="442960612">
    <w:abstractNumId w:val="9"/>
  </w:num>
  <w:num w:numId="8" w16cid:durableId="1747995708">
    <w:abstractNumId w:val="7"/>
  </w:num>
  <w:num w:numId="9" w16cid:durableId="791674981">
    <w:abstractNumId w:val="6"/>
  </w:num>
  <w:num w:numId="10" w16cid:durableId="1129473417">
    <w:abstractNumId w:val="5"/>
  </w:num>
  <w:num w:numId="11" w16cid:durableId="996109234">
    <w:abstractNumId w:val="4"/>
  </w:num>
  <w:num w:numId="12" w16cid:durableId="1287202502">
    <w:abstractNumId w:val="10"/>
  </w:num>
  <w:num w:numId="13" w16cid:durableId="1086195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47A58"/>
    <w:rsid w:val="000522E4"/>
    <w:rsid w:val="000610E1"/>
    <w:rsid w:val="00062EC5"/>
    <w:rsid w:val="00062F22"/>
    <w:rsid w:val="0006356D"/>
    <w:rsid w:val="000712B3"/>
    <w:rsid w:val="0008263E"/>
    <w:rsid w:val="00082C19"/>
    <w:rsid w:val="00085395"/>
    <w:rsid w:val="00087634"/>
    <w:rsid w:val="00087F2B"/>
    <w:rsid w:val="000974D1"/>
    <w:rsid w:val="0009799E"/>
    <w:rsid w:val="000A1183"/>
    <w:rsid w:val="000A256D"/>
    <w:rsid w:val="000A2922"/>
    <w:rsid w:val="000A3A2C"/>
    <w:rsid w:val="000A45C4"/>
    <w:rsid w:val="000A6469"/>
    <w:rsid w:val="000A6B6F"/>
    <w:rsid w:val="000B75F9"/>
    <w:rsid w:val="000C3408"/>
    <w:rsid w:val="000C36D4"/>
    <w:rsid w:val="000C6AFD"/>
    <w:rsid w:val="000D5637"/>
    <w:rsid w:val="000E6FBD"/>
    <w:rsid w:val="00100F5C"/>
    <w:rsid w:val="00104C4C"/>
    <w:rsid w:val="0011500A"/>
    <w:rsid w:val="0012192F"/>
    <w:rsid w:val="00125D69"/>
    <w:rsid w:val="00126009"/>
    <w:rsid w:val="001261C2"/>
    <w:rsid w:val="001405FA"/>
    <w:rsid w:val="001425C3"/>
    <w:rsid w:val="0014572F"/>
    <w:rsid w:val="00147381"/>
    <w:rsid w:val="00153F1B"/>
    <w:rsid w:val="0016256B"/>
    <w:rsid w:val="00163793"/>
    <w:rsid w:val="001706D6"/>
    <w:rsid w:val="001714F2"/>
    <w:rsid w:val="00172143"/>
    <w:rsid w:val="00184B08"/>
    <w:rsid w:val="00185010"/>
    <w:rsid w:val="001A552F"/>
    <w:rsid w:val="001B0E1F"/>
    <w:rsid w:val="001B2CA9"/>
    <w:rsid w:val="001B3110"/>
    <w:rsid w:val="001B4729"/>
    <w:rsid w:val="001B6C09"/>
    <w:rsid w:val="001C05CD"/>
    <w:rsid w:val="001C400A"/>
    <w:rsid w:val="001D68B2"/>
    <w:rsid w:val="001E414B"/>
    <w:rsid w:val="001F109A"/>
    <w:rsid w:val="001F4597"/>
    <w:rsid w:val="002118B9"/>
    <w:rsid w:val="002152CC"/>
    <w:rsid w:val="00217C5B"/>
    <w:rsid w:val="0022139E"/>
    <w:rsid w:val="002252E0"/>
    <w:rsid w:val="002255F6"/>
    <w:rsid w:val="00227850"/>
    <w:rsid w:val="00227A53"/>
    <w:rsid w:val="00230C6E"/>
    <w:rsid w:val="002350E0"/>
    <w:rsid w:val="00236443"/>
    <w:rsid w:val="002436BA"/>
    <w:rsid w:val="00244A15"/>
    <w:rsid w:val="00244BCC"/>
    <w:rsid w:val="00247319"/>
    <w:rsid w:val="0024799E"/>
    <w:rsid w:val="00250D11"/>
    <w:rsid w:val="00253C0F"/>
    <w:rsid w:val="00264FAA"/>
    <w:rsid w:val="00271465"/>
    <w:rsid w:val="00282FCD"/>
    <w:rsid w:val="002841AD"/>
    <w:rsid w:val="00285412"/>
    <w:rsid w:val="002978AA"/>
    <w:rsid w:val="002A0A50"/>
    <w:rsid w:val="002A16D4"/>
    <w:rsid w:val="002A230C"/>
    <w:rsid w:val="002C43BD"/>
    <w:rsid w:val="002C624A"/>
    <w:rsid w:val="002D0E59"/>
    <w:rsid w:val="002D2A13"/>
    <w:rsid w:val="002D73B4"/>
    <w:rsid w:val="002E02A1"/>
    <w:rsid w:val="002E4E4C"/>
    <w:rsid w:val="00303224"/>
    <w:rsid w:val="00304771"/>
    <w:rsid w:val="003052D4"/>
    <w:rsid w:val="00306C5B"/>
    <w:rsid w:val="00312ABD"/>
    <w:rsid w:val="00314D9F"/>
    <w:rsid w:val="00317217"/>
    <w:rsid w:val="003209D6"/>
    <w:rsid w:val="00321924"/>
    <w:rsid w:val="00323428"/>
    <w:rsid w:val="00324905"/>
    <w:rsid w:val="0032656E"/>
    <w:rsid w:val="003306DF"/>
    <w:rsid w:val="00332190"/>
    <w:rsid w:val="003350AC"/>
    <w:rsid w:val="00344668"/>
    <w:rsid w:val="003462D9"/>
    <w:rsid w:val="003469F5"/>
    <w:rsid w:val="00360C86"/>
    <w:rsid w:val="003657F3"/>
    <w:rsid w:val="00367748"/>
    <w:rsid w:val="0037122C"/>
    <w:rsid w:val="0037192A"/>
    <w:rsid w:val="00376E59"/>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5D35"/>
    <w:rsid w:val="003F7D23"/>
    <w:rsid w:val="00407C13"/>
    <w:rsid w:val="00410638"/>
    <w:rsid w:val="00416F0B"/>
    <w:rsid w:val="00425D80"/>
    <w:rsid w:val="00432A58"/>
    <w:rsid w:val="00434617"/>
    <w:rsid w:val="00440900"/>
    <w:rsid w:val="00443472"/>
    <w:rsid w:val="004441A0"/>
    <w:rsid w:val="00454A3F"/>
    <w:rsid w:val="00460FB3"/>
    <w:rsid w:val="00467833"/>
    <w:rsid w:val="004710A6"/>
    <w:rsid w:val="00476240"/>
    <w:rsid w:val="00476439"/>
    <w:rsid w:val="0047735C"/>
    <w:rsid w:val="004776BC"/>
    <w:rsid w:val="0048139F"/>
    <w:rsid w:val="00481E40"/>
    <w:rsid w:val="00484ECE"/>
    <w:rsid w:val="004915CB"/>
    <w:rsid w:val="004924DC"/>
    <w:rsid w:val="004977C5"/>
    <w:rsid w:val="004A14E4"/>
    <w:rsid w:val="004A2B68"/>
    <w:rsid w:val="004A3212"/>
    <w:rsid w:val="004A61C5"/>
    <w:rsid w:val="004A77DF"/>
    <w:rsid w:val="004B1417"/>
    <w:rsid w:val="004B17E0"/>
    <w:rsid w:val="004B55B7"/>
    <w:rsid w:val="004B6468"/>
    <w:rsid w:val="004C384C"/>
    <w:rsid w:val="004C3867"/>
    <w:rsid w:val="004C4CD0"/>
    <w:rsid w:val="004C70DC"/>
    <w:rsid w:val="004D0211"/>
    <w:rsid w:val="004D0794"/>
    <w:rsid w:val="004E07A4"/>
    <w:rsid w:val="004E3900"/>
    <w:rsid w:val="004E6D37"/>
    <w:rsid w:val="004F06F5"/>
    <w:rsid w:val="004F2791"/>
    <w:rsid w:val="004F33A0"/>
    <w:rsid w:val="00500097"/>
    <w:rsid w:val="00510757"/>
    <w:rsid w:val="005108C0"/>
    <w:rsid w:val="00511873"/>
    <w:rsid w:val="00512A2F"/>
    <w:rsid w:val="00513B7E"/>
    <w:rsid w:val="00515C74"/>
    <w:rsid w:val="0052007E"/>
    <w:rsid w:val="0052337A"/>
    <w:rsid w:val="00525137"/>
    <w:rsid w:val="005251DD"/>
    <w:rsid w:val="00532CE7"/>
    <w:rsid w:val="0053324C"/>
    <w:rsid w:val="00534A28"/>
    <w:rsid w:val="00541508"/>
    <w:rsid w:val="005471AC"/>
    <w:rsid w:val="005522C6"/>
    <w:rsid w:val="0055599F"/>
    <w:rsid w:val="00556D68"/>
    <w:rsid w:val="005647BF"/>
    <w:rsid w:val="00564872"/>
    <w:rsid w:val="00566047"/>
    <w:rsid w:val="0056636C"/>
    <w:rsid w:val="005729ED"/>
    <w:rsid w:val="0057364B"/>
    <w:rsid w:val="00574773"/>
    <w:rsid w:val="00580013"/>
    <w:rsid w:val="00583FFD"/>
    <w:rsid w:val="005867D3"/>
    <w:rsid w:val="00590238"/>
    <w:rsid w:val="005911BE"/>
    <w:rsid w:val="00593152"/>
    <w:rsid w:val="005A0C5A"/>
    <w:rsid w:val="005A10F2"/>
    <w:rsid w:val="005A21E0"/>
    <w:rsid w:val="005A28FF"/>
    <w:rsid w:val="005A3DF8"/>
    <w:rsid w:val="005A5549"/>
    <w:rsid w:val="005B121D"/>
    <w:rsid w:val="005B22C0"/>
    <w:rsid w:val="005B76A7"/>
    <w:rsid w:val="005C06ED"/>
    <w:rsid w:val="005C58D1"/>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0E0"/>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78D8"/>
    <w:rsid w:val="006C113F"/>
    <w:rsid w:val="006C123E"/>
    <w:rsid w:val="006C56D4"/>
    <w:rsid w:val="006C6924"/>
    <w:rsid w:val="006C7CA6"/>
    <w:rsid w:val="006D3E8A"/>
    <w:rsid w:val="006D61F6"/>
    <w:rsid w:val="006E1CD1"/>
    <w:rsid w:val="006E279A"/>
    <w:rsid w:val="006E313B"/>
    <w:rsid w:val="006F5416"/>
    <w:rsid w:val="006F6B1A"/>
    <w:rsid w:val="00706AD4"/>
    <w:rsid w:val="007140BE"/>
    <w:rsid w:val="007202BA"/>
    <w:rsid w:val="007211F5"/>
    <w:rsid w:val="00725BB5"/>
    <w:rsid w:val="00727857"/>
    <w:rsid w:val="00730AE8"/>
    <w:rsid w:val="00733FBE"/>
    <w:rsid w:val="00734624"/>
    <w:rsid w:val="007411FE"/>
    <w:rsid w:val="00741493"/>
    <w:rsid w:val="00752180"/>
    <w:rsid w:val="00755202"/>
    <w:rsid w:val="00755D3A"/>
    <w:rsid w:val="007578D3"/>
    <w:rsid w:val="007609C6"/>
    <w:rsid w:val="0076175D"/>
    <w:rsid w:val="0076305F"/>
    <w:rsid w:val="0076521E"/>
    <w:rsid w:val="007661E9"/>
    <w:rsid w:val="00776169"/>
    <w:rsid w:val="00776527"/>
    <w:rsid w:val="00780EF1"/>
    <w:rsid w:val="007854BA"/>
    <w:rsid w:val="00790764"/>
    <w:rsid w:val="0079453C"/>
    <w:rsid w:val="00794677"/>
    <w:rsid w:val="0079585A"/>
    <w:rsid w:val="007A6EE6"/>
    <w:rsid w:val="007B6689"/>
    <w:rsid w:val="007D24CE"/>
    <w:rsid w:val="007D283C"/>
    <w:rsid w:val="007D40DF"/>
    <w:rsid w:val="007E7E61"/>
    <w:rsid w:val="007F0845"/>
    <w:rsid w:val="008037F1"/>
    <w:rsid w:val="00807C82"/>
    <w:rsid w:val="00816905"/>
    <w:rsid w:val="00821FF6"/>
    <w:rsid w:val="00825C4D"/>
    <w:rsid w:val="0083143E"/>
    <w:rsid w:val="00831CDE"/>
    <w:rsid w:val="00834304"/>
    <w:rsid w:val="00834FAA"/>
    <w:rsid w:val="00836086"/>
    <w:rsid w:val="0084708F"/>
    <w:rsid w:val="008477C8"/>
    <w:rsid w:val="0085114D"/>
    <w:rsid w:val="00852217"/>
    <w:rsid w:val="0085463F"/>
    <w:rsid w:val="00854709"/>
    <w:rsid w:val="00855408"/>
    <w:rsid w:val="00856D65"/>
    <w:rsid w:val="008615FD"/>
    <w:rsid w:val="00861B41"/>
    <w:rsid w:val="008632EF"/>
    <w:rsid w:val="00863434"/>
    <w:rsid w:val="00865E4C"/>
    <w:rsid w:val="0086642C"/>
    <w:rsid w:val="008701E4"/>
    <w:rsid w:val="00873E41"/>
    <w:rsid w:val="00875A32"/>
    <w:rsid w:val="00876086"/>
    <w:rsid w:val="008767E4"/>
    <w:rsid w:val="008849DB"/>
    <w:rsid w:val="008873D4"/>
    <w:rsid w:val="00893E85"/>
    <w:rsid w:val="00894031"/>
    <w:rsid w:val="008A003B"/>
    <w:rsid w:val="008B7C02"/>
    <w:rsid w:val="008B7D2B"/>
    <w:rsid w:val="008C0049"/>
    <w:rsid w:val="008C0E88"/>
    <w:rsid w:val="008D02E1"/>
    <w:rsid w:val="008D1E6A"/>
    <w:rsid w:val="008D2A16"/>
    <w:rsid w:val="008E2C57"/>
    <w:rsid w:val="008E31FF"/>
    <w:rsid w:val="008E6F06"/>
    <w:rsid w:val="008F029B"/>
    <w:rsid w:val="008F3FC9"/>
    <w:rsid w:val="008F4536"/>
    <w:rsid w:val="008F4ED3"/>
    <w:rsid w:val="008F585B"/>
    <w:rsid w:val="009003A8"/>
    <w:rsid w:val="00902500"/>
    <w:rsid w:val="00902EFF"/>
    <w:rsid w:val="00906401"/>
    <w:rsid w:val="0091155E"/>
    <w:rsid w:val="00912A92"/>
    <w:rsid w:val="0091728D"/>
    <w:rsid w:val="0092180B"/>
    <w:rsid w:val="00921F14"/>
    <w:rsid w:val="00924AC8"/>
    <w:rsid w:val="0092597A"/>
    <w:rsid w:val="00932443"/>
    <w:rsid w:val="0093309C"/>
    <w:rsid w:val="0093572B"/>
    <w:rsid w:val="00937AE2"/>
    <w:rsid w:val="0094427A"/>
    <w:rsid w:val="00947F2C"/>
    <w:rsid w:val="00973A2C"/>
    <w:rsid w:val="00974923"/>
    <w:rsid w:val="00980D3D"/>
    <w:rsid w:val="00987A30"/>
    <w:rsid w:val="00992CF3"/>
    <w:rsid w:val="00995A66"/>
    <w:rsid w:val="009968D6"/>
    <w:rsid w:val="009A1CAB"/>
    <w:rsid w:val="009A1CEB"/>
    <w:rsid w:val="009A60D1"/>
    <w:rsid w:val="009B10A8"/>
    <w:rsid w:val="009B61E6"/>
    <w:rsid w:val="009B6FD3"/>
    <w:rsid w:val="009C1750"/>
    <w:rsid w:val="009C2E29"/>
    <w:rsid w:val="009C554B"/>
    <w:rsid w:val="009C719E"/>
    <w:rsid w:val="009D3ACD"/>
    <w:rsid w:val="009D3B35"/>
    <w:rsid w:val="009E3DE9"/>
    <w:rsid w:val="009E5273"/>
    <w:rsid w:val="009E5DDB"/>
    <w:rsid w:val="009F4CA7"/>
    <w:rsid w:val="009F7A0A"/>
    <w:rsid w:val="00A10D66"/>
    <w:rsid w:val="00A14114"/>
    <w:rsid w:val="00A14678"/>
    <w:rsid w:val="00A16413"/>
    <w:rsid w:val="00A23E43"/>
    <w:rsid w:val="00A30F65"/>
    <w:rsid w:val="00A37F22"/>
    <w:rsid w:val="00A418BC"/>
    <w:rsid w:val="00A46DE0"/>
    <w:rsid w:val="00A50D73"/>
    <w:rsid w:val="00A52CAD"/>
    <w:rsid w:val="00A53FC7"/>
    <w:rsid w:val="00A62CE1"/>
    <w:rsid w:val="00A6741E"/>
    <w:rsid w:val="00A75E40"/>
    <w:rsid w:val="00A75E66"/>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112E"/>
    <w:rsid w:val="00B2379C"/>
    <w:rsid w:val="00B2687D"/>
    <w:rsid w:val="00B32DDB"/>
    <w:rsid w:val="00B34528"/>
    <w:rsid w:val="00B34D9A"/>
    <w:rsid w:val="00B35250"/>
    <w:rsid w:val="00B3611A"/>
    <w:rsid w:val="00B402FC"/>
    <w:rsid w:val="00B46604"/>
    <w:rsid w:val="00B530CD"/>
    <w:rsid w:val="00B55F5E"/>
    <w:rsid w:val="00B572E3"/>
    <w:rsid w:val="00B5752E"/>
    <w:rsid w:val="00B63A11"/>
    <w:rsid w:val="00B64C24"/>
    <w:rsid w:val="00B6608F"/>
    <w:rsid w:val="00B669BA"/>
    <w:rsid w:val="00B679FB"/>
    <w:rsid w:val="00B7083B"/>
    <w:rsid w:val="00B731DA"/>
    <w:rsid w:val="00B76D1E"/>
    <w:rsid w:val="00B80EC6"/>
    <w:rsid w:val="00B86681"/>
    <w:rsid w:val="00B87147"/>
    <w:rsid w:val="00B92D1D"/>
    <w:rsid w:val="00B938C5"/>
    <w:rsid w:val="00B95940"/>
    <w:rsid w:val="00BB46F3"/>
    <w:rsid w:val="00BB4CB1"/>
    <w:rsid w:val="00BB4F98"/>
    <w:rsid w:val="00BB6190"/>
    <w:rsid w:val="00BC7154"/>
    <w:rsid w:val="00BD366B"/>
    <w:rsid w:val="00BD6D50"/>
    <w:rsid w:val="00BE18B9"/>
    <w:rsid w:val="00BE2495"/>
    <w:rsid w:val="00BF1578"/>
    <w:rsid w:val="00C21F94"/>
    <w:rsid w:val="00C27913"/>
    <w:rsid w:val="00C33B68"/>
    <w:rsid w:val="00C36A79"/>
    <w:rsid w:val="00C405D4"/>
    <w:rsid w:val="00C4513B"/>
    <w:rsid w:val="00C47179"/>
    <w:rsid w:val="00C52764"/>
    <w:rsid w:val="00C54697"/>
    <w:rsid w:val="00C56BB4"/>
    <w:rsid w:val="00C631AB"/>
    <w:rsid w:val="00C73885"/>
    <w:rsid w:val="00C747B1"/>
    <w:rsid w:val="00C82191"/>
    <w:rsid w:val="00C85545"/>
    <w:rsid w:val="00C90CF4"/>
    <w:rsid w:val="00C92EB6"/>
    <w:rsid w:val="00C93389"/>
    <w:rsid w:val="00CA0B86"/>
    <w:rsid w:val="00CA5C5B"/>
    <w:rsid w:val="00CB13DE"/>
    <w:rsid w:val="00CB237E"/>
    <w:rsid w:val="00CB265C"/>
    <w:rsid w:val="00CB4930"/>
    <w:rsid w:val="00CB52F3"/>
    <w:rsid w:val="00CC1523"/>
    <w:rsid w:val="00CC2E7D"/>
    <w:rsid w:val="00CC50CD"/>
    <w:rsid w:val="00CD10A5"/>
    <w:rsid w:val="00CD2076"/>
    <w:rsid w:val="00CD77D4"/>
    <w:rsid w:val="00CE529F"/>
    <w:rsid w:val="00CE670B"/>
    <w:rsid w:val="00CF4FF5"/>
    <w:rsid w:val="00CF51EC"/>
    <w:rsid w:val="00CF5EE1"/>
    <w:rsid w:val="00CF73AE"/>
    <w:rsid w:val="00D040DD"/>
    <w:rsid w:val="00D07BA7"/>
    <w:rsid w:val="00D13986"/>
    <w:rsid w:val="00D15ECA"/>
    <w:rsid w:val="00D235B7"/>
    <w:rsid w:val="00D25F28"/>
    <w:rsid w:val="00D26C30"/>
    <w:rsid w:val="00D27973"/>
    <w:rsid w:val="00D50F46"/>
    <w:rsid w:val="00D55763"/>
    <w:rsid w:val="00D66223"/>
    <w:rsid w:val="00D7476B"/>
    <w:rsid w:val="00D8084C"/>
    <w:rsid w:val="00D8217B"/>
    <w:rsid w:val="00D84560"/>
    <w:rsid w:val="00D9314B"/>
    <w:rsid w:val="00DA7C0C"/>
    <w:rsid w:val="00DB2EC8"/>
    <w:rsid w:val="00DB4304"/>
    <w:rsid w:val="00DB55DD"/>
    <w:rsid w:val="00DC5B3B"/>
    <w:rsid w:val="00DD129F"/>
    <w:rsid w:val="00DE5D97"/>
    <w:rsid w:val="00DF0709"/>
    <w:rsid w:val="00DF42FF"/>
    <w:rsid w:val="00E01C0E"/>
    <w:rsid w:val="00E03F9A"/>
    <w:rsid w:val="00E04694"/>
    <w:rsid w:val="00E12B1E"/>
    <w:rsid w:val="00E17262"/>
    <w:rsid w:val="00E253A2"/>
    <w:rsid w:val="00E3309D"/>
    <w:rsid w:val="00E50156"/>
    <w:rsid w:val="00E53470"/>
    <w:rsid w:val="00E539F6"/>
    <w:rsid w:val="00E6519D"/>
    <w:rsid w:val="00E67696"/>
    <w:rsid w:val="00E71A58"/>
    <w:rsid w:val="00E72A7A"/>
    <w:rsid w:val="00E746E0"/>
    <w:rsid w:val="00E75C94"/>
    <w:rsid w:val="00E92785"/>
    <w:rsid w:val="00E93820"/>
    <w:rsid w:val="00EA0C68"/>
    <w:rsid w:val="00EA32BC"/>
    <w:rsid w:val="00EB3701"/>
    <w:rsid w:val="00EB4511"/>
    <w:rsid w:val="00EC03D7"/>
    <w:rsid w:val="00EC459B"/>
    <w:rsid w:val="00EC5BF6"/>
    <w:rsid w:val="00ED62C6"/>
    <w:rsid w:val="00ED64C1"/>
    <w:rsid w:val="00EE2730"/>
    <w:rsid w:val="00EE3446"/>
    <w:rsid w:val="00EE3E78"/>
    <w:rsid w:val="00EE4B1B"/>
    <w:rsid w:val="00EE6D04"/>
    <w:rsid w:val="00EF150D"/>
    <w:rsid w:val="00EF159F"/>
    <w:rsid w:val="00EF1F5A"/>
    <w:rsid w:val="00EF47BF"/>
    <w:rsid w:val="00F04811"/>
    <w:rsid w:val="00F0488C"/>
    <w:rsid w:val="00F10F11"/>
    <w:rsid w:val="00F15AAA"/>
    <w:rsid w:val="00F15BEF"/>
    <w:rsid w:val="00F24407"/>
    <w:rsid w:val="00F24FAA"/>
    <w:rsid w:val="00F25A29"/>
    <w:rsid w:val="00F3364D"/>
    <w:rsid w:val="00F367FA"/>
    <w:rsid w:val="00F437CC"/>
    <w:rsid w:val="00F47067"/>
    <w:rsid w:val="00F525EB"/>
    <w:rsid w:val="00F63DDE"/>
    <w:rsid w:val="00F63FB7"/>
    <w:rsid w:val="00F649D2"/>
    <w:rsid w:val="00F6602B"/>
    <w:rsid w:val="00F668BA"/>
    <w:rsid w:val="00F73A0C"/>
    <w:rsid w:val="00F756DB"/>
    <w:rsid w:val="00F8454F"/>
    <w:rsid w:val="00F85066"/>
    <w:rsid w:val="00F9393D"/>
    <w:rsid w:val="00FA5D4D"/>
    <w:rsid w:val="00FA6DE3"/>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022AE45E"/>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metodika-statistiky-zivocisne-vyrob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metodika-statistiky-rostlinne-vyrob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produkty/zem_c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3.xml><?xml version="1.0" encoding="utf-8"?>
<ds:datastoreItem xmlns:ds="http://schemas.openxmlformats.org/officeDocument/2006/customXml" ds:itemID="{C04AF07E-3E20-425D-8E57-92D07419C69A}">
  <ds:schemaRefs>
    <ds:schemaRef ds:uri="http://schemas.openxmlformats.org/officeDocument/2006/bibliography"/>
  </ds:schemaRefs>
</ds:datastoreItem>
</file>

<file path=customXml/itemProps4.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621</Words>
  <Characters>3669</Characters>
  <Application>Microsoft Office Word</Application>
  <DocSecurity>0</DocSecurity>
  <Lines>30</Lines>
  <Paragraphs>8</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4282</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20</cp:revision>
  <cp:lastPrinted>2014-07-17T14:07:00Z</cp:lastPrinted>
  <dcterms:created xsi:type="dcterms:W3CDTF">2026-02-03T15:15:00Z</dcterms:created>
  <dcterms:modified xsi:type="dcterms:W3CDTF">2026-03-10T13:46:00Z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