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D4" w:rsidRPr="009110F7" w:rsidRDefault="00935BD4" w:rsidP="001554C2">
      <w:pPr>
        <w:pStyle w:val="Nadpis11"/>
      </w:pPr>
      <w:bookmarkStart w:id="0" w:name="_Toc532558283"/>
      <w:r w:rsidRPr="009110F7">
        <w:t>3</w:t>
      </w:r>
      <w:r w:rsidR="001554C2" w:rsidRPr="009110F7">
        <w:t xml:space="preserve">. </w:t>
      </w:r>
      <w:bookmarkStart w:id="1" w:name="_Toc454185150"/>
      <w:bookmarkStart w:id="2" w:name="_Toc493683635"/>
      <w:r w:rsidRPr="009110F7">
        <w:t>Výkonnost odvětví</w:t>
      </w:r>
      <w:bookmarkEnd w:id="0"/>
      <w:bookmarkEnd w:id="1"/>
      <w:bookmarkEnd w:id="2"/>
    </w:p>
    <w:tbl>
      <w:tblPr>
        <w:tblW w:w="9639" w:type="dxa"/>
        <w:tblInd w:w="-15" w:type="dxa"/>
        <w:tblCellMar>
          <w:left w:w="0" w:type="dxa"/>
          <w:right w:w="0" w:type="dxa"/>
        </w:tblCellMar>
        <w:tblLook w:val="00A0"/>
      </w:tblPr>
      <w:tblGrid>
        <w:gridCol w:w="1839"/>
        <w:gridCol w:w="233"/>
        <w:gridCol w:w="7567"/>
      </w:tblGrid>
      <w:tr w:rsidR="0083630F" w:rsidRPr="00B4411A" w:rsidTr="00D726A9">
        <w:trPr>
          <w:trHeight w:val="145"/>
        </w:trPr>
        <w:tc>
          <w:tcPr>
            <w:tcW w:w="1839" w:type="dxa"/>
            <w:shd w:val="clear" w:color="auto" w:fill="auto"/>
            <w:tcMar>
              <w:left w:w="0" w:type="dxa"/>
            </w:tcMar>
          </w:tcPr>
          <w:p w:rsidR="0083630F" w:rsidRDefault="0083630F" w:rsidP="0083630F">
            <w:pPr>
              <w:pStyle w:val="Marginlie"/>
            </w:pPr>
            <w:r>
              <w:t>Za zpomalením růstu HPH během roku 2018 stálo oslabení zahraniční poptávky, jež se promítlo do výkonu tuzemského průmyslu.</w:t>
            </w: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B4411A" w:rsidRDefault="0083630F" w:rsidP="0083630F">
            <w:pPr>
              <w:spacing w:after="200"/>
              <w:rPr>
                <w:spacing w:val="-4"/>
              </w:rPr>
            </w:pPr>
            <w:r>
              <w:t>Výkon všech odvětví ekonomiky vyjádřený pomocí hrubé přidané hodnoty (HPH)</w:t>
            </w:r>
            <w:r>
              <w:rPr>
                <w:rStyle w:val="Znakapoznpodarou"/>
                <w:spacing w:val="-4"/>
              </w:rPr>
              <w:footnoteReference w:id="1"/>
            </w:r>
            <w:r>
              <w:t xml:space="preserve"> i</w:t>
            </w:r>
            <w:r>
              <w:rPr>
                <w:spacing w:val="-4"/>
              </w:rPr>
              <w:t> </w:t>
            </w:r>
            <w:r>
              <w:t xml:space="preserve">přes náznaky zpomalování nadále rostl. Ve 3. čtvrtletí 2018 byl oproti úrovni předchozích </w:t>
            </w:r>
            <w:r w:rsidR="002418D5">
              <w:t xml:space="preserve">tří </w:t>
            </w:r>
            <w:r>
              <w:t>měsíců o 0,6 % vyšší. Šlo o příznivější výsledek než ve 2. čtvrtletí, kdy růstové tempo dosáhlo bezmála dvouletého minima (0,4 %). Za letošním vývojem stálo zpomalení růstu zahraniční poptávky</w:t>
            </w:r>
            <w:r>
              <w:rPr>
                <w:rStyle w:val="Znakapoznpodarou"/>
              </w:rPr>
              <w:footnoteReference w:id="2"/>
            </w:r>
            <w:r>
              <w:t xml:space="preserve">, které se odrazilo primárně na výkonu tuzemského průmyslu. </w:t>
            </w:r>
            <w:proofErr w:type="spellStart"/>
            <w:r>
              <w:rPr>
                <w:spacing w:val="-4"/>
              </w:rPr>
              <w:t>Mezikvartální</w:t>
            </w:r>
            <w:proofErr w:type="spellEnd"/>
            <w:r>
              <w:rPr>
                <w:spacing w:val="-4"/>
              </w:rPr>
              <w:t xml:space="preserve"> růst ale přetrvával v tuzemské ekonomice již dvacet dva čtvrtletí v řadě, v úhrnu se za toto období HPH navýšila o 19,6 %.</w:t>
            </w:r>
          </w:p>
        </w:tc>
      </w:tr>
      <w:tr w:rsidR="0083630F" w:rsidRPr="00B4411A" w:rsidTr="00D726A9">
        <w:trPr>
          <w:trHeight w:val="145"/>
        </w:trPr>
        <w:tc>
          <w:tcPr>
            <w:tcW w:w="1839" w:type="dxa"/>
            <w:shd w:val="clear" w:color="auto" w:fill="auto"/>
            <w:tcMar>
              <w:left w:w="0" w:type="dxa"/>
            </w:tcMar>
          </w:tcPr>
          <w:p w:rsidR="0083630F" w:rsidRPr="0085454F" w:rsidRDefault="0083630F" w:rsidP="0083630F">
            <w:pPr>
              <w:pStyle w:val="Marginlie"/>
              <w:rPr>
                <w:spacing w:val="-3"/>
              </w:rPr>
            </w:pPr>
            <w:r>
              <w:rPr>
                <w:spacing w:val="-3"/>
              </w:rPr>
              <w:t xml:space="preserve">HPH rostla </w:t>
            </w:r>
            <w:r w:rsidRPr="0085454F">
              <w:rPr>
                <w:spacing w:val="-3"/>
              </w:rPr>
              <w:t>ne</w:t>
            </w:r>
            <w:r>
              <w:rPr>
                <w:spacing w:val="-3"/>
              </w:rPr>
              <w:t>jvyšším tempem v informačních a</w:t>
            </w:r>
            <w:r w:rsidRPr="0085454F">
              <w:rPr>
                <w:spacing w:val="-3"/>
              </w:rPr>
              <w:t> komunikačních činnostech, ve finančním sektoru a nově též ve stavebnictví.</w:t>
            </w: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r>
              <w:t>Na nižších výkonech zemědělství se podepsala slabší úroda hlavních plodin.</w:t>
            </w: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B4411A" w:rsidRDefault="0083630F" w:rsidP="0083630F">
            <w:pPr>
              <w:spacing w:after="200"/>
              <w:rPr>
                <w:spacing w:val="-4"/>
              </w:rPr>
            </w:pPr>
            <w:r>
              <w:rPr>
                <w:spacing w:val="-4"/>
              </w:rPr>
              <w:t>V úhrnu za tři letošní čtvrtletí HPH meziročně posílila o 3,0 %, v samotném 3. čtvrtletí o 2,4 %. Zatímco v 1. čtvrtletí přispívaly k jejímu růstu zpracovatelský průmysl i služby jako celek zhruba podobným dílem, v následující části roku již výrazně dominovaly služby, neboť vliv zpracovatelského průmyslu byl nejslabší o</w:t>
            </w:r>
            <w:r w:rsidRPr="00FB75ED">
              <w:rPr>
                <w:spacing w:val="-4"/>
                <w:szCs w:val="20"/>
              </w:rPr>
              <w:t xml:space="preserve">d konce roku 2013. </w:t>
            </w:r>
            <w:r w:rsidRPr="00FB75ED">
              <w:rPr>
                <w:color w:val="0D0D0D" w:themeColor="text1" w:themeTint="F2"/>
                <w:szCs w:val="20"/>
              </w:rPr>
              <w:t>Ve 3.</w:t>
            </w:r>
            <w:r>
              <w:rPr>
                <w:spacing w:val="-4"/>
              </w:rPr>
              <w:t> </w:t>
            </w:r>
            <w:r w:rsidRPr="00FB75ED">
              <w:rPr>
                <w:color w:val="0D0D0D" w:themeColor="text1" w:themeTint="F2"/>
                <w:szCs w:val="20"/>
              </w:rPr>
              <w:t>čtvrtletí 2018 činil meziroční růst HPH ve zpracovatelském průmyslu jen 1,0 %. Projevilo se jak oslabení zahraniční poptávky, tak i vliv velmi vysoké loňské základny (kdy růst HPH o 13,1 % byl nejlepším výsledkem po 4</w:t>
            </w:r>
            <w:r w:rsidR="00CE6833">
              <w:rPr>
                <w:color w:val="0D0D0D" w:themeColor="text1" w:themeTint="F2"/>
                <w:szCs w:val="20"/>
              </w:rPr>
              <w:t>.</w:t>
            </w:r>
            <w:r w:rsidRPr="00FB75ED">
              <w:rPr>
                <w:color w:val="0D0D0D" w:themeColor="text1" w:themeTint="F2"/>
                <w:szCs w:val="20"/>
              </w:rPr>
              <w:t xml:space="preserve"> čtvrtletí 2006). Pokles zaznamenal váhově dominantní obor výroby dopravních prostředků (tvořící bezmála čtvrtinu HPH zpracovatelského průmyslu). Dařilo se naopak zejména výrobě počítačů, elektronických a optických přístrojů, dále produkci elektrických zařízení či výrobě kovů a kovodělných výrobků. </w:t>
            </w:r>
            <w:r w:rsidRPr="00FB75ED">
              <w:rPr>
                <w:spacing w:val="-4"/>
                <w:szCs w:val="20"/>
              </w:rPr>
              <w:t>Na</w:t>
            </w:r>
            <w:r>
              <w:rPr>
                <w:spacing w:val="-4"/>
              </w:rPr>
              <w:t xml:space="preserve"> růstu služeb v 1. až 3. čtvrtletí (o 2,9 %) se téměř z poloviny podílelo uskupení o</w:t>
            </w:r>
            <w:r w:rsidRPr="0059285E">
              <w:rPr>
                <w:spacing w:val="-4"/>
              </w:rPr>
              <w:t>bchod, doprava, ubytování a pohostinství</w:t>
            </w:r>
            <w:r>
              <w:rPr>
                <w:spacing w:val="-4"/>
              </w:rPr>
              <w:t xml:space="preserve">. Nejsilnější tempo si ale podržely dynamické obory – </w:t>
            </w:r>
            <w:r>
              <w:rPr>
                <w:rFonts w:cs="Arial"/>
                <w:spacing w:val="-4"/>
              </w:rPr>
              <w:t xml:space="preserve">informační </w:t>
            </w:r>
            <w:r w:rsidR="004A26A5">
              <w:rPr>
                <w:rFonts w:cs="Arial"/>
                <w:spacing w:val="-4"/>
              </w:rPr>
              <w:t>a </w:t>
            </w:r>
            <w:r>
              <w:rPr>
                <w:rFonts w:cs="Arial"/>
                <w:spacing w:val="-4"/>
              </w:rPr>
              <w:t xml:space="preserve">komunikační činnosti (+6,6 %) </w:t>
            </w:r>
            <w:r w:rsidR="004A26A5">
              <w:rPr>
                <w:rFonts w:cs="Arial"/>
                <w:spacing w:val="-4"/>
              </w:rPr>
              <w:t>i </w:t>
            </w:r>
            <w:r>
              <w:rPr>
                <w:rFonts w:cs="Arial"/>
                <w:spacing w:val="-4"/>
              </w:rPr>
              <w:t>peněžnictví a pojišťovnictví (+5,2 %). Naopak v činnostech v oblasti nemovitostí i ve významném segmentu služeb s dominantní rolí veřejného sektoru přetrvával (podobně jako vloni) nevýrazný růst</w:t>
            </w:r>
            <w:r>
              <w:rPr>
                <w:rStyle w:val="Znakapoznpodarou"/>
                <w:spacing w:val="-4"/>
              </w:rPr>
              <w:footnoteReference w:id="3"/>
            </w:r>
            <w:r>
              <w:rPr>
                <w:rFonts w:cs="Arial"/>
                <w:spacing w:val="-4"/>
              </w:rPr>
              <w:t>. Zásadní obrat zaznamenalo stavebnictví. Jestliže za celý loňský rok zde HPH o</w:t>
            </w:r>
            <w:r>
              <w:rPr>
                <w:spacing w:val="-4"/>
              </w:rPr>
              <w:t> </w:t>
            </w:r>
            <w:r>
              <w:rPr>
                <w:rFonts w:cs="Arial"/>
                <w:spacing w:val="-4"/>
              </w:rPr>
              <w:t>2,5 % poklesla, v 1. až 3. čtvrtletí 2018 se její růst blížil 6 % (obdobné tempo bylo naposledy zaznamenáno před jedenácti lety). V zemědělství, lesnictví a rybářství se loňský pokles HPH letos mírně prohloubil (na 3,3 %), což patrně souviselo se slabšími sklizněmi. Vytrvalé sucho, které kulminovalo v letním období, citelně poznamenalo hektarové výnosy drtivé většiny obilnin</w:t>
            </w:r>
            <w:r>
              <w:rPr>
                <w:rStyle w:val="Znakapoznpodarou"/>
                <w:spacing w:val="-4"/>
              </w:rPr>
              <w:footnoteReference w:id="4"/>
            </w:r>
            <w:r>
              <w:rPr>
                <w:rFonts w:cs="Arial"/>
                <w:spacing w:val="-4"/>
              </w:rPr>
              <w:t xml:space="preserve"> (vyjma ovsa, žita a jarní pšenice), okopanin, pícnin, luskovin, chmele či zeleniny. Naopak teplé počasí velmi svědčilo ovocnářství, dařilo se také</w:t>
            </w:r>
            <w:r>
              <w:rPr>
                <w:spacing w:val="-4"/>
              </w:rPr>
              <w:t xml:space="preserve"> </w:t>
            </w:r>
            <w:r>
              <w:rPr>
                <w:rFonts w:cs="Arial"/>
                <w:spacing w:val="-4"/>
              </w:rPr>
              <w:t>řepce.</w:t>
            </w:r>
          </w:p>
        </w:tc>
      </w:tr>
      <w:tr w:rsidR="0083630F" w:rsidRPr="00B4411A" w:rsidTr="00D726A9">
        <w:trPr>
          <w:trHeight w:val="145"/>
        </w:trPr>
        <w:tc>
          <w:tcPr>
            <w:tcW w:w="1839" w:type="dxa"/>
            <w:shd w:val="clear" w:color="auto" w:fill="auto"/>
            <w:tcMar>
              <w:left w:w="0" w:type="dxa"/>
            </w:tcMar>
          </w:tcPr>
          <w:p w:rsidR="0083630F" w:rsidRDefault="0083630F" w:rsidP="0083630F">
            <w:pPr>
              <w:pStyle w:val="Marginlie"/>
            </w:pPr>
            <w:r>
              <w:t>Tempo růstu průmyslové produkce se proti loňskému roku snížilo na polovinu. Výrazně k tomu přispěly automobilový a chemický průmysl.</w:t>
            </w: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B4411A" w:rsidRDefault="0083630F" w:rsidP="0083630F">
            <w:pPr>
              <w:spacing w:after="200"/>
              <w:rPr>
                <w:spacing w:val="-4"/>
              </w:rPr>
            </w:pPr>
            <w:r>
              <w:rPr>
                <w:spacing w:val="-4"/>
              </w:rPr>
              <w:t>Zvolňování tempa růstu průmyslu potvrzují i podnikové</w:t>
            </w:r>
            <w:r w:rsidRPr="002533E1">
              <w:rPr>
                <w:spacing w:val="-4"/>
              </w:rPr>
              <w:t xml:space="preserve"> statistik</w:t>
            </w:r>
            <w:r>
              <w:rPr>
                <w:spacing w:val="-4"/>
              </w:rPr>
              <w:t>y. I</w:t>
            </w:r>
            <w:r>
              <w:rPr>
                <w:color w:val="000000" w:themeColor="text1"/>
                <w:spacing w:val="-4"/>
              </w:rPr>
              <w:t>ndex průmyslové</w:t>
            </w:r>
            <w:r w:rsidRPr="008D59A9">
              <w:rPr>
                <w:color w:val="000000" w:themeColor="text1"/>
                <w:spacing w:val="-4"/>
              </w:rPr>
              <w:t xml:space="preserve"> produkce</w:t>
            </w:r>
            <w:r w:rsidRPr="008D59A9">
              <w:rPr>
                <w:color w:val="000000" w:themeColor="text1"/>
                <w:spacing w:val="-4"/>
                <w:vertAlign w:val="superscript"/>
              </w:rPr>
              <w:footnoteReference w:id="5"/>
            </w:r>
            <w:r>
              <w:rPr>
                <w:color w:val="000000" w:themeColor="text1"/>
                <w:spacing w:val="-4"/>
              </w:rPr>
              <w:t xml:space="preserve"> vzrostl v 1. až 3. čtvrtletí meziročně o 3,3 %</w:t>
            </w:r>
            <w:r>
              <w:rPr>
                <w:rStyle w:val="Znakapoznpodarou"/>
                <w:color w:val="000000" w:themeColor="text1"/>
                <w:spacing w:val="-4"/>
              </w:rPr>
              <w:footnoteReference w:id="6"/>
            </w:r>
            <w:r>
              <w:rPr>
                <w:color w:val="000000" w:themeColor="text1"/>
                <w:spacing w:val="-4"/>
              </w:rPr>
              <w:t>, tedy polovičním tempem než ve stejném období loňského roku. Na tomto vývoji se podílelo hlavně výrazné zpomalení ve výrobě motorových vozidel (i některých příbuzných oborech) a v chemickém průmyslu. Jestliže v chemickém průmyslu</w:t>
            </w:r>
            <w:r>
              <w:rPr>
                <w:rStyle w:val="Znakapoznpodarou"/>
                <w:color w:val="000000" w:themeColor="text1"/>
                <w:spacing w:val="-4"/>
              </w:rPr>
              <w:footnoteReference w:id="7"/>
            </w:r>
            <w:r>
              <w:rPr>
                <w:color w:val="000000" w:themeColor="text1"/>
                <w:spacing w:val="-4"/>
              </w:rPr>
              <w:t xml:space="preserve"> dlouhodobé kolísání produkce odráželo vliv odstávek výrobních zařízení (plánovaných i neplánovaných), v automobilovém průmyslu souviselo </w:t>
            </w:r>
            <w:r>
              <w:rPr>
                <w:color w:val="000000" w:themeColor="text1"/>
                <w:spacing w:val="-4"/>
              </w:rPr>
              <w:lastRenderedPageBreak/>
              <w:t>primárně s oslabením dynamiky zahraniční poptávky. I přes toto citelné zpomalení si průmysl jako celek letos udržel solidní růst, a to i díky své výrazné oborové diverzifikaci</w:t>
            </w:r>
            <w:r>
              <w:rPr>
                <w:rStyle w:val="Znakapoznpodarou"/>
                <w:color w:val="000000" w:themeColor="text1"/>
                <w:spacing w:val="-4"/>
              </w:rPr>
              <w:footnoteReference w:id="8"/>
            </w:r>
            <w:r>
              <w:rPr>
                <w:color w:val="000000" w:themeColor="text1"/>
                <w:spacing w:val="-4"/>
              </w:rPr>
              <w:t>.</w:t>
            </w:r>
          </w:p>
        </w:tc>
      </w:tr>
      <w:tr w:rsidR="0083630F" w:rsidRPr="00F704D2" w:rsidTr="00D726A9">
        <w:trPr>
          <w:trHeight w:val="170"/>
        </w:trPr>
        <w:tc>
          <w:tcPr>
            <w:tcW w:w="1839" w:type="dxa"/>
            <w:vMerge w:val="restart"/>
            <w:shd w:val="clear" w:color="auto" w:fill="auto"/>
            <w:tcMar>
              <w:left w:w="0" w:type="dxa"/>
            </w:tcMar>
          </w:tcPr>
          <w:p w:rsidR="0083630F" w:rsidRDefault="0083630F" w:rsidP="0083630F">
            <w:pPr>
              <w:pStyle w:val="Marginlie"/>
            </w:pPr>
          </w:p>
        </w:tc>
        <w:tc>
          <w:tcPr>
            <w:tcW w:w="233" w:type="dxa"/>
            <w:vMerge w:val="restart"/>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D922A1" w:rsidRDefault="0083630F" w:rsidP="0083630F">
            <w:pPr>
              <w:spacing w:after="0"/>
              <w:rPr>
                <w:b/>
              </w:rPr>
            </w:pPr>
            <w:r w:rsidRPr="00C06323">
              <w:rPr>
                <w:rFonts w:cs="Arial"/>
                <w:b/>
                <w:bCs/>
                <w:color w:val="000000"/>
                <w:szCs w:val="20"/>
              </w:rPr>
              <w:t xml:space="preserve">Graf </w:t>
            </w:r>
            <w:proofErr w:type="gramStart"/>
            <w:r w:rsidRPr="00C06323">
              <w:rPr>
                <w:rFonts w:cs="Arial"/>
                <w:b/>
                <w:bCs/>
                <w:color w:val="000000"/>
                <w:szCs w:val="20"/>
              </w:rPr>
              <w:t xml:space="preserve">č. </w:t>
            </w:r>
            <w:r>
              <w:rPr>
                <w:rFonts w:cs="Arial"/>
                <w:b/>
                <w:bCs/>
                <w:color w:val="000000"/>
                <w:szCs w:val="20"/>
              </w:rPr>
              <w:t>5</w:t>
            </w:r>
            <w:r w:rsidRPr="00631BC9">
              <w:rPr>
                <w:rFonts w:cs="Arial"/>
                <w:b/>
                <w:bCs/>
                <w:color w:val="000000"/>
                <w:sz w:val="18"/>
                <w:szCs w:val="18"/>
              </w:rPr>
              <w:t xml:space="preserve"> </w:t>
            </w:r>
            <w:r>
              <w:rPr>
                <w:rFonts w:cs="Arial"/>
                <w:b/>
                <w:bCs/>
                <w:color w:val="000000"/>
                <w:sz w:val="18"/>
                <w:szCs w:val="18"/>
              </w:rPr>
              <w:t xml:space="preserve"> </w:t>
            </w:r>
            <w:r>
              <w:rPr>
                <w:b/>
              </w:rPr>
              <w:t>Příspěvky</w:t>
            </w:r>
            <w:proofErr w:type="gramEnd"/>
            <w:r>
              <w:rPr>
                <w:b/>
              </w:rPr>
              <w:t xml:space="preserve"> dílčích odvětví k meziroční změně průmyslové produkce</w:t>
            </w:r>
          </w:p>
          <w:p w:rsidR="0083630F" w:rsidRPr="00F704D2" w:rsidRDefault="0083630F" w:rsidP="0083630F">
            <w:pPr>
              <w:spacing w:after="0"/>
              <w:jc w:val="left"/>
              <w:rPr>
                <w:rFonts w:cs="Arial"/>
                <w:bCs/>
              </w:rPr>
            </w:pPr>
            <w:r>
              <w:t>(v procentních bodech, očištěno o kalendářní vlivy</w:t>
            </w:r>
            <w:r w:rsidRPr="001D04BA">
              <w:t>)</w:t>
            </w:r>
          </w:p>
        </w:tc>
      </w:tr>
      <w:tr w:rsidR="0083630F" w:rsidTr="00D726A9">
        <w:trPr>
          <w:trHeight w:val="170"/>
        </w:trPr>
        <w:tc>
          <w:tcPr>
            <w:tcW w:w="1839" w:type="dxa"/>
            <w:vMerge/>
            <w:shd w:val="clear" w:color="auto" w:fill="auto"/>
            <w:tcMar>
              <w:left w:w="0" w:type="dxa"/>
            </w:tcMar>
          </w:tcPr>
          <w:p w:rsidR="0083630F" w:rsidRDefault="0083630F" w:rsidP="0083630F">
            <w:pPr>
              <w:pStyle w:val="Marginlie"/>
            </w:pPr>
          </w:p>
        </w:tc>
        <w:tc>
          <w:tcPr>
            <w:tcW w:w="233" w:type="dxa"/>
            <w:vMerge/>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Default="0083630F" w:rsidP="0083630F">
            <w:pPr>
              <w:spacing w:after="0"/>
            </w:pPr>
            <w:r w:rsidRPr="00F7605E">
              <w:rPr>
                <w:noProof/>
              </w:rPr>
              <w:drawing>
                <wp:inline distT="0" distB="0" distL="0" distR="0">
                  <wp:extent cx="4793993" cy="3562460"/>
                  <wp:effectExtent l="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3630F" w:rsidRPr="007B3A78" w:rsidTr="00D726A9">
        <w:trPr>
          <w:trHeight w:val="170"/>
        </w:trPr>
        <w:tc>
          <w:tcPr>
            <w:tcW w:w="1839" w:type="dxa"/>
            <w:vMerge/>
            <w:shd w:val="clear" w:color="auto" w:fill="auto"/>
            <w:tcMar>
              <w:left w:w="0" w:type="dxa"/>
            </w:tcMar>
          </w:tcPr>
          <w:p w:rsidR="0083630F" w:rsidRDefault="0083630F" w:rsidP="0083630F">
            <w:pPr>
              <w:pStyle w:val="Marginlie"/>
            </w:pPr>
          </w:p>
        </w:tc>
        <w:tc>
          <w:tcPr>
            <w:tcW w:w="233" w:type="dxa"/>
            <w:vMerge/>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7B3A78" w:rsidRDefault="0083630F" w:rsidP="0083630F">
            <w:pPr>
              <w:spacing w:after="200" w:line="240" w:lineRule="auto"/>
              <w:jc w:val="left"/>
              <w:rPr>
                <w:rFonts w:cs="Arial"/>
                <w:sz w:val="14"/>
                <w:szCs w:val="14"/>
              </w:rPr>
            </w:pPr>
            <w:r w:rsidRPr="00535F78">
              <w:rPr>
                <w:rFonts w:cs="Arial"/>
                <w:sz w:val="14"/>
                <w:szCs w:val="14"/>
              </w:rPr>
              <w:t xml:space="preserve">Zdroj: </w:t>
            </w:r>
            <w:r>
              <w:rPr>
                <w:rFonts w:cs="Arial"/>
                <w:sz w:val="14"/>
                <w:szCs w:val="14"/>
              </w:rPr>
              <w:t>ČSÚ</w:t>
            </w:r>
          </w:p>
        </w:tc>
      </w:tr>
      <w:tr w:rsidR="0083630F" w:rsidRPr="00263965" w:rsidTr="00D726A9">
        <w:trPr>
          <w:trHeight w:val="145"/>
        </w:trPr>
        <w:tc>
          <w:tcPr>
            <w:tcW w:w="1839" w:type="dxa"/>
            <w:shd w:val="clear" w:color="auto" w:fill="auto"/>
            <w:tcMar>
              <w:left w:w="0" w:type="dxa"/>
            </w:tcMar>
          </w:tcPr>
          <w:p w:rsidR="0083630F" w:rsidRDefault="0083630F" w:rsidP="0083630F">
            <w:pPr>
              <w:pStyle w:val="Marginlie"/>
            </w:pPr>
            <w:r>
              <w:t>Meziroční růst produkce výrobců motorových vozidel se ve 3. čtvrtletí po více než pěti letech zastavil.</w:t>
            </w: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263965" w:rsidRDefault="0083630F" w:rsidP="0083630F">
            <w:pPr>
              <w:spacing w:after="220"/>
              <w:rPr>
                <w:spacing w:val="-4"/>
              </w:rPr>
            </w:pPr>
            <w:r w:rsidRPr="00263965">
              <w:rPr>
                <w:spacing w:val="-4"/>
              </w:rPr>
              <w:t xml:space="preserve">Produkce v odvětví výroby motorových vozidel vzrostla za tři čtvrtletí </w:t>
            </w:r>
            <w:r>
              <w:rPr>
                <w:spacing w:val="-4"/>
              </w:rPr>
              <w:t xml:space="preserve">meziročně </w:t>
            </w:r>
            <w:r w:rsidR="00157CC9">
              <w:rPr>
                <w:spacing w:val="-4"/>
              </w:rPr>
              <w:t>o 1,5</w:t>
            </w:r>
            <w:r w:rsidRPr="00263965">
              <w:rPr>
                <w:spacing w:val="-4"/>
              </w:rPr>
              <w:t xml:space="preserve"> % (o rok dříve o</w:t>
            </w:r>
            <w:r w:rsidRPr="00263965">
              <w:rPr>
                <w:color w:val="000000" w:themeColor="text1"/>
                <w:spacing w:val="-4"/>
              </w:rPr>
              <w:t> </w:t>
            </w:r>
            <w:r w:rsidRPr="00263965">
              <w:rPr>
                <w:spacing w:val="-4"/>
              </w:rPr>
              <w:t>9,9</w:t>
            </w:r>
            <w:r w:rsidRPr="00263965">
              <w:rPr>
                <w:color w:val="000000" w:themeColor="text1"/>
                <w:spacing w:val="-4"/>
              </w:rPr>
              <w:t> </w:t>
            </w:r>
            <w:r w:rsidRPr="00263965">
              <w:rPr>
                <w:spacing w:val="-4"/>
              </w:rPr>
              <w:t>%), v samotném 3. čtvrtletí vy</w:t>
            </w:r>
            <w:r>
              <w:rPr>
                <w:spacing w:val="-4"/>
              </w:rPr>
              <w:t>kázala dokonce mírný pokles (0,1</w:t>
            </w:r>
            <w:r w:rsidRPr="00263965">
              <w:rPr>
                <w:spacing w:val="-4"/>
              </w:rPr>
              <w:t xml:space="preserve"> %, první od ukončení recese ve 2. čtvrtletí 2013). Slabší výsledek na sklonku letního období mohl souviset s naplněním skladovacích kapacit v souvislosti se zavedením </w:t>
            </w:r>
            <w:r w:rsidR="001F2F90">
              <w:rPr>
                <w:spacing w:val="-4"/>
              </w:rPr>
              <w:t>nových</w:t>
            </w:r>
            <w:r w:rsidR="001F2F90" w:rsidRPr="00263965">
              <w:rPr>
                <w:spacing w:val="-4"/>
              </w:rPr>
              <w:t xml:space="preserve"> </w:t>
            </w:r>
            <w:r w:rsidRPr="00263965">
              <w:rPr>
                <w:spacing w:val="-4"/>
              </w:rPr>
              <w:t>přísnějších emisních norem</w:t>
            </w:r>
            <w:r w:rsidRPr="00263965">
              <w:rPr>
                <w:rStyle w:val="Znakapoznpodarou"/>
                <w:spacing w:val="-4"/>
              </w:rPr>
              <w:footnoteReference w:id="9"/>
            </w:r>
            <w:r w:rsidRPr="00263965">
              <w:rPr>
                <w:spacing w:val="-4"/>
              </w:rPr>
              <w:t>. V dlouhodobějším pohledu pak výkon odvětví (ale i celého průmyslu) limitovala i napjatá situace na pracovním trhu projevující se obtížemi při náboru nových pracovníků. Jen velmi mírný letošní růst automobilového průmyslu dokládají i údaje o fyzické produkci</w:t>
            </w:r>
            <w:r w:rsidRPr="00263965">
              <w:rPr>
                <w:rStyle w:val="Znakapoznpodarou"/>
                <w:spacing w:val="-4"/>
              </w:rPr>
              <w:footnoteReference w:id="10"/>
            </w:r>
            <w:r w:rsidRPr="00263965">
              <w:rPr>
                <w:spacing w:val="-4"/>
              </w:rPr>
              <w:t xml:space="preserve">. Tento vývoj se promítl i do letošní produkce gumárenství </w:t>
            </w:r>
            <w:r>
              <w:rPr>
                <w:spacing w:val="-4"/>
              </w:rPr>
              <w:t>a</w:t>
            </w:r>
            <w:r w:rsidRPr="00263965">
              <w:rPr>
                <w:spacing w:val="-4"/>
              </w:rPr>
              <w:t xml:space="preserve"> </w:t>
            </w:r>
            <w:proofErr w:type="spellStart"/>
            <w:r w:rsidRPr="00263965">
              <w:rPr>
                <w:spacing w:val="-4"/>
              </w:rPr>
              <w:t>pla</w:t>
            </w:r>
            <w:r w:rsidR="00157CC9">
              <w:rPr>
                <w:spacing w:val="-4"/>
              </w:rPr>
              <w:t>stikářství</w:t>
            </w:r>
            <w:proofErr w:type="spellEnd"/>
            <w:r w:rsidR="00157CC9">
              <w:rPr>
                <w:spacing w:val="-4"/>
              </w:rPr>
              <w:t xml:space="preserve"> (+0,8</w:t>
            </w:r>
            <w:r>
              <w:rPr>
                <w:spacing w:val="-4"/>
              </w:rPr>
              <w:t xml:space="preserve"> %, ve stejném období loňského roku</w:t>
            </w:r>
            <w:r w:rsidRPr="00263965">
              <w:rPr>
                <w:spacing w:val="-4"/>
              </w:rPr>
              <w:t xml:space="preserve"> </w:t>
            </w:r>
            <w:r>
              <w:rPr>
                <w:spacing w:val="-4"/>
              </w:rPr>
              <w:t>+</w:t>
            </w:r>
            <w:r w:rsidR="00157CC9">
              <w:rPr>
                <w:spacing w:val="-4"/>
              </w:rPr>
              <w:t>7,6</w:t>
            </w:r>
            <w:r w:rsidRPr="00263965">
              <w:rPr>
                <w:spacing w:val="-4"/>
              </w:rPr>
              <w:t xml:space="preserve"> %). Naopak v jiném subdodavatelském odvětví automobilového průmyslu – výrobě elektrických zařízení – zůstalo letos loňské tempo </w:t>
            </w:r>
            <w:r>
              <w:rPr>
                <w:spacing w:val="-4"/>
              </w:rPr>
              <w:t xml:space="preserve">prakticky </w:t>
            </w:r>
            <w:r w:rsidRPr="00263965">
              <w:rPr>
                <w:spacing w:val="-4"/>
              </w:rPr>
              <w:t xml:space="preserve">zachováno (+7,1 %). </w:t>
            </w:r>
          </w:p>
        </w:tc>
      </w:tr>
      <w:tr w:rsidR="0083630F" w:rsidRPr="00263965" w:rsidTr="00D726A9">
        <w:trPr>
          <w:trHeight w:val="145"/>
        </w:trPr>
        <w:tc>
          <w:tcPr>
            <w:tcW w:w="1839" w:type="dxa"/>
            <w:shd w:val="clear" w:color="auto" w:fill="auto"/>
            <w:tcMar>
              <w:left w:w="0" w:type="dxa"/>
            </w:tcMar>
          </w:tcPr>
          <w:p w:rsidR="0083630F" w:rsidRDefault="0083630F" w:rsidP="0083630F">
            <w:pPr>
              <w:pStyle w:val="Marginlie"/>
            </w:pPr>
            <w:r>
              <w:t>Silný růst produkce přetrvával již druhým rokem ve výrobě počítačů, elektronických a optických přístrojů. K růstu průmyslu letos přispěla nejvíce kovovýroba.</w:t>
            </w:r>
          </w:p>
        </w:tc>
        <w:tc>
          <w:tcPr>
            <w:tcW w:w="233" w:type="dxa"/>
            <w:shd w:val="clear" w:color="auto" w:fill="auto"/>
            <w:tcMar>
              <w:left w:w="0" w:type="dxa"/>
            </w:tcMar>
          </w:tcPr>
          <w:p w:rsidR="0083630F" w:rsidRPr="002A4B98" w:rsidRDefault="0083630F" w:rsidP="0083630F">
            <w:pPr>
              <w:pStyle w:val="Textpoznpodarou"/>
              <w:jc w:val="both"/>
              <w:rPr>
                <w:spacing w:val="-3"/>
              </w:rPr>
            </w:pPr>
          </w:p>
        </w:tc>
        <w:tc>
          <w:tcPr>
            <w:tcW w:w="7567" w:type="dxa"/>
            <w:shd w:val="clear" w:color="auto" w:fill="auto"/>
            <w:tcMar>
              <w:left w:w="0" w:type="dxa"/>
            </w:tcMar>
          </w:tcPr>
          <w:p w:rsidR="0083630F" w:rsidRPr="00263965" w:rsidRDefault="0083630F" w:rsidP="0083630F">
            <w:pPr>
              <w:pStyle w:val="Textpoznpodarou"/>
              <w:spacing w:after="220" w:line="276" w:lineRule="auto"/>
              <w:jc w:val="both"/>
              <w:rPr>
                <w:b/>
                <w:spacing w:val="-4"/>
              </w:rPr>
            </w:pPr>
            <w:r w:rsidRPr="00263965">
              <w:rPr>
                <w:rFonts w:cs="Arial"/>
                <w:color w:val="0D0D0D" w:themeColor="text1" w:themeTint="F2"/>
                <w:spacing w:val="-4"/>
              </w:rPr>
              <w:t xml:space="preserve">Nejdynamičtějším průmyslovým oborem byla v 1. až 3. čtvrtletí výrazně exportně orientovaná výroba </w:t>
            </w:r>
            <w:r w:rsidRPr="00263965">
              <w:rPr>
                <w:spacing w:val="-4"/>
              </w:rPr>
              <w:t>počítačů a elektronických a optických přístrojů (s růstem produkce o</w:t>
            </w:r>
            <w:r w:rsidRPr="00263965">
              <w:rPr>
                <w:color w:val="000000" w:themeColor="text1"/>
                <w:spacing w:val="-4"/>
              </w:rPr>
              <w:t> </w:t>
            </w:r>
            <w:r w:rsidR="00157CC9">
              <w:rPr>
                <w:spacing w:val="-4"/>
              </w:rPr>
              <w:t>14</w:t>
            </w:r>
            <w:r w:rsidRPr="00263965">
              <w:rPr>
                <w:spacing w:val="-4"/>
              </w:rPr>
              <w:t xml:space="preserve"> %, za dva roky pak</w:t>
            </w:r>
            <w:r>
              <w:rPr>
                <w:spacing w:val="-4"/>
              </w:rPr>
              <w:t xml:space="preserve"> o</w:t>
            </w:r>
            <w:r w:rsidRPr="00263965">
              <w:rPr>
                <w:spacing w:val="-4"/>
              </w:rPr>
              <w:t xml:space="preserve"> 28 %). K meziročnímu růstu průmyslové produkce ale nejvíce přispělo váhově významné odvětví kovovýroby (příspěvek 0,5 p. </w:t>
            </w:r>
            <w:proofErr w:type="spellStart"/>
            <w:r w:rsidRPr="00263965">
              <w:rPr>
                <w:spacing w:val="-4"/>
              </w:rPr>
              <w:t>b</w:t>
            </w:r>
            <w:proofErr w:type="spellEnd"/>
            <w:r w:rsidRPr="00263965">
              <w:rPr>
                <w:spacing w:val="-4"/>
              </w:rPr>
              <w:t xml:space="preserve">. </w:t>
            </w:r>
            <w:proofErr w:type="gramStart"/>
            <w:r w:rsidRPr="00263965">
              <w:rPr>
                <w:spacing w:val="-4"/>
              </w:rPr>
              <w:t>při</w:t>
            </w:r>
            <w:proofErr w:type="gramEnd"/>
            <w:r w:rsidRPr="00263965">
              <w:rPr>
                <w:spacing w:val="-4"/>
              </w:rPr>
              <w:t xml:space="preserve"> růstu odvětví o</w:t>
            </w:r>
            <w:r w:rsidRPr="00263965">
              <w:rPr>
                <w:color w:val="000000" w:themeColor="text1"/>
                <w:spacing w:val="-4"/>
              </w:rPr>
              <w:t> </w:t>
            </w:r>
            <w:r>
              <w:rPr>
                <w:spacing w:val="-4"/>
              </w:rPr>
              <w:t>4,9</w:t>
            </w:r>
            <w:r w:rsidR="00EA2841" w:rsidRPr="00263965">
              <w:rPr>
                <w:color w:val="000000" w:themeColor="text1"/>
                <w:spacing w:val="-4"/>
              </w:rPr>
              <w:t> </w:t>
            </w:r>
            <w:r w:rsidRPr="00263965">
              <w:rPr>
                <w:spacing w:val="-4"/>
              </w:rPr>
              <w:t xml:space="preserve">%). Podobným tempem se navyšovala produkce i ve strojírenství. Již druhým rokem v řadě se rostoucí poptávka po stavebních materiálech odrážela ve svižném růstu odvětví ostatních nekovových minerálních výrobků. Vyšší tuzemská poptávka přispěla </w:t>
            </w:r>
            <w:r w:rsidRPr="00263965">
              <w:rPr>
                <w:spacing w:val="-4"/>
              </w:rPr>
              <w:lastRenderedPageBreak/>
              <w:t xml:space="preserve">také k oživení </w:t>
            </w:r>
            <w:r w:rsidR="00157CC9">
              <w:rPr>
                <w:spacing w:val="-4"/>
              </w:rPr>
              <w:t>hutnictví a slévárenství (+5,7</w:t>
            </w:r>
            <w:r w:rsidRPr="00263965">
              <w:rPr>
                <w:spacing w:val="-4"/>
              </w:rPr>
              <w:t xml:space="preserve"> %, nejvyšší tempo za posledních sedm let). Nao</w:t>
            </w:r>
            <w:r>
              <w:rPr>
                <w:spacing w:val="-4"/>
              </w:rPr>
              <w:t xml:space="preserve">pak skromnější dynamiku vykazovalo </w:t>
            </w:r>
            <w:r w:rsidRPr="00263965">
              <w:rPr>
                <w:spacing w:val="-4"/>
              </w:rPr>
              <w:t xml:space="preserve">dlouhodobě potravinářství, jež je tradičně zaměřené primárně na tuzemský trh. Již pátým rokem v řadě zde růst produkce zaostal za tempem v celém průmyslu. Slabší výkony tohoto odvětví </w:t>
            </w:r>
            <w:r w:rsidR="008641AC">
              <w:rPr>
                <w:spacing w:val="-4"/>
              </w:rPr>
              <w:t>souvisejí</w:t>
            </w:r>
            <w:r w:rsidR="008641AC" w:rsidRPr="00263965">
              <w:rPr>
                <w:spacing w:val="-4"/>
              </w:rPr>
              <w:t xml:space="preserve"> </w:t>
            </w:r>
            <w:r w:rsidRPr="00263965">
              <w:rPr>
                <w:spacing w:val="-4"/>
              </w:rPr>
              <w:t>s prohlubujícím se negativním saldem zahraničního obchodu s potravinářskými výrobky.</w:t>
            </w:r>
          </w:p>
        </w:tc>
      </w:tr>
      <w:tr w:rsidR="0083630F" w:rsidRPr="00B35056" w:rsidTr="00D726A9">
        <w:trPr>
          <w:trHeight w:val="145"/>
        </w:trPr>
        <w:tc>
          <w:tcPr>
            <w:tcW w:w="1839" w:type="dxa"/>
            <w:shd w:val="clear" w:color="auto" w:fill="auto"/>
            <w:tcMar>
              <w:left w:w="0" w:type="dxa"/>
            </w:tcMar>
          </w:tcPr>
          <w:p w:rsidR="0083630F" w:rsidRDefault="0083630F" w:rsidP="0083630F">
            <w:pPr>
              <w:pStyle w:val="Marginlie"/>
            </w:pPr>
            <w:r>
              <w:lastRenderedPageBreak/>
              <w:t>Produkci nadále navyšovala i většina menších zpracovatelských odvětví. K</w:t>
            </w:r>
            <w:r>
              <w:rPr>
                <w:color w:val="0D0D0D" w:themeColor="text1" w:themeTint="F2"/>
                <w:spacing w:val="-4"/>
              </w:rPr>
              <w:t> </w:t>
            </w:r>
            <w:r>
              <w:t>dlouhodobému útlumu se vrátil kožedělný průmysl.</w:t>
            </w: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r>
              <w:t>Po šesti letech se zastavil pokles produkce v těžbě a</w:t>
            </w:r>
            <w:r>
              <w:rPr>
                <w:color w:val="0D0D0D" w:themeColor="text1" w:themeTint="F2"/>
                <w:spacing w:val="-4"/>
              </w:rPr>
              <w:t> </w:t>
            </w:r>
            <w:r>
              <w:t>dobývání.</w:t>
            </w:r>
          </w:p>
        </w:tc>
        <w:tc>
          <w:tcPr>
            <w:tcW w:w="233" w:type="dxa"/>
            <w:shd w:val="clear" w:color="auto" w:fill="auto"/>
            <w:tcMar>
              <w:left w:w="0" w:type="dxa"/>
            </w:tcMar>
          </w:tcPr>
          <w:p w:rsidR="0083630F" w:rsidRPr="002A4B98" w:rsidRDefault="0083630F" w:rsidP="0083630F">
            <w:pPr>
              <w:pStyle w:val="Textpoznpodarou"/>
              <w:jc w:val="both"/>
              <w:rPr>
                <w:spacing w:val="-3"/>
              </w:rPr>
            </w:pPr>
          </w:p>
        </w:tc>
        <w:tc>
          <w:tcPr>
            <w:tcW w:w="7567" w:type="dxa"/>
            <w:shd w:val="clear" w:color="auto" w:fill="auto"/>
            <w:tcMar>
              <w:left w:w="0" w:type="dxa"/>
            </w:tcMar>
          </w:tcPr>
          <w:p w:rsidR="0083630F" w:rsidRPr="00B35056" w:rsidRDefault="0083630F" w:rsidP="0083630F">
            <w:pPr>
              <w:pStyle w:val="Textpoznpodarou"/>
              <w:spacing w:after="220" w:line="276" w:lineRule="auto"/>
              <w:jc w:val="both"/>
              <w:rPr>
                <w:spacing w:val="-3"/>
              </w:rPr>
            </w:pPr>
            <w:r>
              <w:rPr>
                <w:spacing w:val="-3"/>
              </w:rPr>
              <w:t>Nadále se dařilo</w:t>
            </w:r>
            <w:r w:rsidRPr="00B35056">
              <w:rPr>
                <w:spacing w:val="-3"/>
              </w:rPr>
              <w:t xml:space="preserve"> i většině menších zpracovatelských oborů</w:t>
            </w:r>
            <w:r>
              <w:rPr>
                <w:spacing w:val="-3"/>
              </w:rPr>
              <w:t xml:space="preserve"> – výrobě oděvů, textilií, zpracování dřeva, nábytkářství i </w:t>
            </w:r>
            <w:proofErr w:type="gramStart"/>
            <w:r>
              <w:rPr>
                <w:spacing w:val="-3"/>
              </w:rPr>
              <w:t>farmacii</w:t>
            </w:r>
            <w:proofErr w:type="gramEnd"/>
            <w:r>
              <w:rPr>
                <w:spacing w:val="-3"/>
              </w:rPr>
              <w:t>. To platilo i o produkci nápojů, kde meziroční růst v 1. až 3. čtvrtletí o</w:t>
            </w:r>
            <w:r w:rsidRPr="00263965">
              <w:rPr>
                <w:spacing w:val="-4"/>
              </w:rPr>
              <w:t> </w:t>
            </w:r>
            <w:r w:rsidR="00157CC9">
              <w:rPr>
                <w:spacing w:val="-3"/>
              </w:rPr>
              <w:t>5</w:t>
            </w:r>
            <w:r>
              <w:rPr>
                <w:spacing w:val="-3"/>
              </w:rPr>
              <w:t>,</w:t>
            </w:r>
            <w:r w:rsidR="00157CC9">
              <w:rPr>
                <w:spacing w:val="-3"/>
              </w:rPr>
              <w:t>0</w:t>
            </w:r>
            <w:r w:rsidRPr="00263965">
              <w:rPr>
                <w:spacing w:val="-4"/>
              </w:rPr>
              <w:t> </w:t>
            </w:r>
            <w:r>
              <w:rPr>
                <w:spacing w:val="-3"/>
              </w:rPr>
              <w:t xml:space="preserve">% (podpořený i dlouhým horkým letním obdobím) představoval nejlepší výsledek po roce 2007. Po nepříznivém loňském vývoji letos opět rostly výkony výrobců ostatních (zejména kolejových) dopravních prostředků, podobně jako </w:t>
            </w:r>
            <w:r>
              <w:rPr>
                <w:color w:val="0D0D0D" w:themeColor="text1" w:themeTint="F2"/>
                <w:spacing w:val="-4"/>
              </w:rPr>
              <w:t xml:space="preserve">v ostatním zpracovatelském průmyslu (jenž zahrnuje např. sportovní potřeby, hračky, hudební nástroje či bižuterii). Po krátkém loňském oživení se k dlouhodobému útlumu vrátilo nejmenší zpracovatelské odvětví – kožedělný průmysl, což se vedle produkce promítlo i v zaměstnanosti. V těžebním průmyslu se letos po šesti letech pokles produkce zastavil, neboť růst ve váhově okrajovém segmentu těžby stavebních materiálů převážil nepříznivý vývoj v těžbě a úpravě </w:t>
            </w:r>
            <w:proofErr w:type="gramStart"/>
            <w:r>
              <w:rPr>
                <w:color w:val="0D0D0D" w:themeColor="text1" w:themeTint="F2"/>
                <w:spacing w:val="-4"/>
              </w:rPr>
              <w:t xml:space="preserve">uhlí </w:t>
            </w:r>
            <w:r w:rsidR="003A5889">
              <w:rPr>
                <w:color w:val="0D0D0D" w:themeColor="text1" w:themeTint="F2"/>
                <w:spacing w:val="-4"/>
              </w:rPr>
              <w:t>(–</w:t>
            </w:r>
            <w:r w:rsidR="00157CC9">
              <w:rPr>
                <w:color w:val="0D0D0D" w:themeColor="text1" w:themeTint="F2"/>
                <w:spacing w:val="-4"/>
              </w:rPr>
              <w:t>2,9</w:t>
            </w:r>
            <w:proofErr w:type="gramEnd"/>
            <w:r>
              <w:rPr>
                <w:color w:val="0D0D0D" w:themeColor="text1" w:themeTint="F2"/>
                <w:spacing w:val="-4"/>
              </w:rPr>
              <w:t xml:space="preserve"> %)</w:t>
            </w:r>
            <w:r>
              <w:rPr>
                <w:rStyle w:val="Znakapoznpodarou"/>
                <w:color w:val="0D0D0D" w:themeColor="text1" w:themeTint="F2"/>
                <w:spacing w:val="-4"/>
              </w:rPr>
              <w:footnoteReference w:id="11"/>
            </w:r>
            <w:r>
              <w:rPr>
                <w:color w:val="0D0D0D" w:themeColor="text1" w:themeTint="F2"/>
                <w:spacing w:val="-4"/>
              </w:rPr>
              <w:t>. Již druhým rokem v řadě rostla produkce ener</w:t>
            </w:r>
            <w:r w:rsidR="00157CC9">
              <w:rPr>
                <w:color w:val="0D0D0D" w:themeColor="text1" w:themeTint="F2"/>
                <w:spacing w:val="-4"/>
              </w:rPr>
              <w:t>getiky, o letošní růst o 0,2</w:t>
            </w:r>
            <w:r>
              <w:rPr>
                <w:color w:val="0D0D0D" w:themeColor="text1" w:themeTint="F2"/>
                <w:spacing w:val="-4"/>
              </w:rPr>
              <w:t xml:space="preserve"> % se zasloužily vyšší výkony jaderných elektráren, z menší části i větrných a fotovoltaických zařízení. </w:t>
            </w:r>
          </w:p>
        </w:tc>
      </w:tr>
      <w:tr w:rsidR="0083630F" w:rsidRPr="002A4B98"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Pr="002A4B98" w:rsidRDefault="0083630F" w:rsidP="0083630F">
            <w:pPr>
              <w:pStyle w:val="Textpoznpodarou"/>
              <w:jc w:val="both"/>
              <w:rPr>
                <w:spacing w:val="-3"/>
              </w:rPr>
            </w:pPr>
          </w:p>
        </w:tc>
        <w:tc>
          <w:tcPr>
            <w:tcW w:w="7567" w:type="dxa"/>
            <w:shd w:val="clear" w:color="auto" w:fill="auto"/>
            <w:tcMar>
              <w:left w:w="0" w:type="dxa"/>
            </w:tcMar>
          </w:tcPr>
          <w:p w:rsidR="00D922A1" w:rsidRDefault="0083630F" w:rsidP="0083630F">
            <w:pPr>
              <w:pStyle w:val="Textpoznpodarou"/>
              <w:spacing w:line="276" w:lineRule="auto"/>
              <w:rPr>
                <w:b/>
                <w:spacing w:val="-3"/>
              </w:rPr>
            </w:pPr>
            <w:r w:rsidRPr="002A4B98">
              <w:rPr>
                <w:b/>
                <w:spacing w:val="-3"/>
              </w:rPr>
              <w:t xml:space="preserve">Graf </w:t>
            </w:r>
            <w:proofErr w:type="gramStart"/>
            <w:r w:rsidRPr="002A4B98">
              <w:rPr>
                <w:b/>
                <w:spacing w:val="-3"/>
              </w:rPr>
              <w:t>č. 6  Nové</w:t>
            </w:r>
            <w:proofErr w:type="gramEnd"/>
            <w:r w:rsidRPr="002A4B98">
              <w:rPr>
                <w:b/>
                <w:spacing w:val="-3"/>
              </w:rPr>
              <w:t xml:space="preserve"> zakázky v automobilovém průmyslu, v průmyslu celkem</w:t>
            </w:r>
          </w:p>
          <w:p w:rsidR="0083630F" w:rsidRPr="002A4B98" w:rsidRDefault="0083630F" w:rsidP="0083630F">
            <w:pPr>
              <w:pStyle w:val="Textpoznpodarou"/>
              <w:spacing w:line="276" w:lineRule="auto"/>
              <w:rPr>
                <w:spacing w:val="-3"/>
              </w:rPr>
            </w:pPr>
            <w:r w:rsidRPr="002A4B98">
              <w:rPr>
                <w:bCs/>
                <w:spacing w:val="-3"/>
              </w:rPr>
              <w:t xml:space="preserve">(v běžných cenách, </w:t>
            </w:r>
            <w:r w:rsidRPr="002A4B98">
              <w:rPr>
                <w:spacing w:val="-3"/>
              </w:rPr>
              <w:t>meziročně</w:t>
            </w:r>
            <w:r w:rsidRPr="002A4B98">
              <w:rPr>
                <w:bCs/>
                <w:spacing w:val="-3"/>
              </w:rPr>
              <w:t xml:space="preserve"> v %)</w:t>
            </w:r>
            <w:r>
              <w:rPr>
                <w:bCs/>
                <w:spacing w:val="-3"/>
              </w:rPr>
              <w:t>,</w:t>
            </w:r>
            <w:r w:rsidRPr="002A4B98">
              <w:rPr>
                <w:b/>
                <w:spacing w:val="-3"/>
              </w:rPr>
              <w:t xml:space="preserve"> saldo indikátoru důvěry v</w:t>
            </w:r>
            <w:r>
              <w:rPr>
                <w:b/>
                <w:spacing w:val="-3"/>
              </w:rPr>
              <w:t> </w:t>
            </w:r>
            <w:r w:rsidRPr="002A4B98">
              <w:rPr>
                <w:b/>
                <w:spacing w:val="-3"/>
              </w:rPr>
              <w:t>průmyslu</w:t>
            </w:r>
            <w:r>
              <w:rPr>
                <w:b/>
                <w:spacing w:val="-3"/>
              </w:rPr>
              <w:t>*</w:t>
            </w:r>
            <w:r w:rsidRPr="002A4B98">
              <w:rPr>
                <w:b/>
                <w:spacing w:val="-3"/>
              </w:rPr>
              <w:t xml:space="preserve"> </w:t>
            </w:r>
            <w:r w:rsidRPr="002A4B98">
              <w:rPr>
                <w:spacing w:val="-3"/>
              </w:rPr>
              <w:t>(v bodech)</w:t>
            </w:r>
            <w:r>
              <w:rPr>
                <w:spacing w:val="-3"/>
              </w:rPr>
              <w:t xml:space="preserve"> </w:t>
            </w:r>
            <w:r w:rsidRPr="00176851">
              <w:rPr>
                <w:b/>
                <w:spacing w:val="-3"/>
              </w:rPr>
              <w:t>a využití výrobních kapacit v průmyslu*</w:t>
            </w:r>
            <w:r>
              <w:rPr>
                <w:spacing w:val="-3"/>
              </w:rPr>
              <w:t xml:space="preserve"> (v %)</w:t>
            </w:r>
          </w:p>
        </w:tc>
      </w:tr>
      <w:tr w:rsidR="0083630F" w:rsidRPr="00970E6F"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970E6F" w:rsidRDefault="0083630F" w:rsidP="0083630F">
            <w:pPr>
              <w:spacing w:after="0" w:line="240" w:lineRule="auto"/>
              <w:rPr>
                <w:spacing w:val="-2"/>
                <w:szCs w:val="20"/>
              </w:rPr>
            </w:pPr>
            <w:r w:rsidRPr="00176851">
              <w:rPr>
                <w:noProof/>
                <w:spacing w:val="-2"/>
                <w:szCs w:val="20"/>
              </w:rPr>
              <w:drawing>
                <wp:inline distT="0" distB="0" distL="0" distR="0">
                  <wp:extent cx="4730750" cy="3371850"/>
                  <wp:effectExtent l="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3630F" w:rsidRPr="00DE6706"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DE6706" w:rsidRDefault="0083630F" w:rsidP="0083630F">
            <w:pPr>
              <w:spacing w:after="220" w:line="240" w:lineRule="auto"/>
              <w:rPr>
                <w:rFonts w:cs="Arial"/>
                <w:sz w:val="14"/>
                <w:szCs w:val="14"/>
              </w:rPr>
            </w:pPr>
            <w:r>
              <w:rPr>
                <w:rFonts w:cs="Arial"/>
                <w:sz w:val="14"/>
                <w:szCs w:val="14"/>
              </w:rPr>
              <w:t xml:space="preserve">*Údaje jsou sezónně očištěny.    </w:t>
            </w:r>
            <w:r w:rsidRPr="00535F78">
              <w:rPr>
                <w:rFonts w:cs="Arial"/>
                <w:sz w:val="14"/>
                <w:szCs w:val="14"/>
              </w:rPr>
              <w:t xml:space="preserve">Zdroj: </w:t>
            </w:r>
            <w:r>
              <w:rPr>
                <w:rFonts w:cs="Arial"/>
                <w:sz w:val="14"/>
                <w:szCs w:val="14"/>
              </w:rPr>
              <w:t>ČSÚ</w:t>
            </w:r>
          </w:p>
        </w:tc>
      </w:tr>
      <w:tr w:rsidR="0083630F" w:rsidRPr="002A4B98" w:rsidTr="00D726A9">
        <w:trPr>
          <w:trHeight w:val="145"/>
        </w:trPr>
        <w:tc>
          <w:tcPr>
            <w:tcW w:w="1839" w:type="dxa"/>
            <w:shd w:val="clear" w:color="auto" w:fill="auto"/>
            <w:tcMar>
              <w:left w:w="0" w:type="dxa"/>
            </w:tcMar>
          </w:tcPr>
          <w:p w:rsidR="0083630F" w:rsidRDefault="0083630F" w:rsidP="0083630F">
            <w:pPr>
              <w:pStyle w:val="Marginlie"/>
            </w:pPr>
            <w:r>
              <w:t>Průmyslové zakázky rostly ve 3. čtvrtletí ve farmacii a</w:t>
            </w:r>
            <w:r>
              <w:rPr>
                <w:color w:val="0D0D0D" w:themeColor="text1" w:themeTint="F2"/>
                <w:spacing w:val="-4"/>
              </w:rPr>
              <w:t> </w:t>
            </w:r>
            <w:r>
              <w:t xml:space="preserve">výrobě počítačů, elektronických a optických přístrojů. Během podzimu se pak zlepšilo postavení </w:t>
            </w:r>
            <w:r>
              <w:lastRenderedPageBreak/>
              <w:t>automobilového průmyslu.</w:t>
            </w:r>
          </w:p>
        </w:tc>
        <w:tc>
          <w:tcPr>
            <w:tcW w:w="233" w:type="dxa"/>
            <w:shd w:val="clear" w:color="auto" w:fill="auto"/>
            <w:tcMar>
              <w:left w:w="0" w:type="dxa"/>
            </w:tcMar>
          </w:tcPr>
          <w:p w:rsidR="0083630F" w:rsidRPr="002A4B98" w:rsidRDefault="0083630F" w:rsidP="0083630F">
            <w:pPr>
              <w:pStyle w:val="Textpoznpodarou"/>
              <w:jc w:val="both"/>
              <w:rPr>
                <w:spacing w:val="-3"/>
              </w:rPr>
            </w:pPr>
          </w:p>
        </w:tc>
        <w:tc>
          <w:tcPr>
            <w:tcW w:w="7567" w:type="dxa"/>
            <w:shd w:val="clear" w:color="auto" w:fill="auto"/>
            <w:tcMar>
              <w:left w:w="0" w:type="dxa"/>
            </w:tcMar>
          </w:tcPr>
          <w:p w:rsidR="0083630F" w:rsidRPr="002A4B98" w:rsidRDefault="0083630F" w:rsidP="0083630F">
            <w:pPr>
              <w:pStyle w:val="Textpoznpodarou"/>
              <w:spacing w:after="220" w:line="276" w:lineRule="auto"/>
              <w:jc w:val="both"/>
              <w:rPr>
                <w:b/>
                <w:spacing w:val="-3"/>
              </w:rPr>
            </w:pPr>
            <w:r>
              <w:rPr>
                <w:color w:val="0D0D0D" w:themeColor="text1" w:themeTint="F2"/>
                <w:spacing w:val="-4"/>
              </w:rPr>
              <w:t>Solidní vyhlídky pro průmyslové podniky naznačoval vývoj nových zakázek. Jejich hodnota ve 3. čtvrtletí meziročně posílila o 3,8 % – nejvíce ve výrobě</w:t>
            </w:r>
            <w:r w:rsidRPr="008E2C10">
              <w:rPr>
                <w:color w:val="0D0D0D" w:themeColor="text1" w:themeTint="F2"/>
                <w:spacing w:val="-4"/>
              </w:rPr>
              <w:t xml:space="preserve"> počíta</w:t>
            </w:r>
            <w:r>
              <w:rPr>
                <w:color w:val="0D0D0D" w:themeColor="text1" w:themeTint="F2"/>
                <w:spacing w:val="-4"/>
              </w:rPr>
              <w:t xml:space="preserve">čů, elektronických a optických </w:t>
            </w:r>
            <w:r w:rsidRPr="008E2C10">
              <w:rPr>
                <w:color w:val="0D0D0D" w:themeColor="text1" w:themeTint="F2"/>
                <w:spacing w:val="-4"/>
              </w:rPr>
              <w:t xml:space="preserve">přístrojů </w:t>
            </w:r>
            <w:r>
              <w:rPr>
                <w:color w:val="0D0D0D" w:themeColor="text1" w:themeTint="F2"/>
                <w:spacing w:val="-4"/>
              </w:rPr>
              <w:t xml:space="preserve">a dále i ve farmacii (v obou případech </w:t>
            </w:r>
            <w:r w:rsidR="002340EF">
              <w:rPr>
                <w:color w:val="0D0D0D" w:themeColor="text1" w:themeTint="F2"/>
                <w:spacing w:val="-4"/>
              </w:rPr>
              <w:t xml:space="preserve">o </w:t>
            </w:r>
            <w:r>
              <w:rPr>
                <w:color w:val="0D0D0D" w:themeColor="text1" w:themeTint="F2"/>
                <w:spacing w:val="-4"/>
              </w:rPr>
              <w:t>osminu). Drobný pokles signalizovalo ze sledovaných odvětví jen oděvnictví, v chemickém průmyslu a výrobě motorových vozidel</w:t>
            </w:r>
            <w:r>
              <w:rPr>
                <w:rStyle w:val="Znakapoznpodarou"/>
                <w:color w:val="0D0D0D" w:themeColor="text1" w:themeTint="F2"/>
                <w:spacing w:val="-4"/>
              </w:rPr>
              <w:footnoteReference w:id="12"/>
            </w:r>
            <w:r>
              <w:rPr>
                <w:color w:val="0D0D0D" w:themeColor="text1" w:themeTint="F2"/>
                <w:spacing w:val="-4"/>
              </w:rPr>
              <w:t xml:space="preserve"> zakázky stagnovaly. Bez výraznějších výkyvů </w:t>
            </w:r>
            <w:r>
              <w:rPr>
                <w:color w:val="0D0D0D" w:themeColor="text1" w:themeTint="F2"/>
                <w:spacing w:val="-4"/>
              </w:rPr>
              <w:lastRenderedPageBreak/>
              <w:t xml:space="preserve">zůstalo letos i </w:t>
            </w:r>
            <w:r>
              <w:rPr>
                <w:rFonts w:cs="Arial"/>
                <w:color w:val="0D0D0D" w:themeColor="text1" w:themeTint="F2"/>
                <w:spacing w:val="-4"/>
              </w:rPr>
              <w:t>saldo indikátoru důvěry v průmyslu. Byť v červenci sestoupilo na třináct</w:t>
            </w:r>
            <w:r w:rsidR="00157CC9">
              <w:rPr>
                <w:rFonts w:cs="Arial"/>
                <w:color w:val="0D0D0D" w:themeColor="text1" w:themeTint="F2"/>
                <w:spacing w:val="-4"/>
              </w:rPr>
              <w:t>iměsíční minimum, nadále setrváva</w:t>
            </w:r>
            <w:r>
              <w:rPr>
                <w:rFonts w:cs="Arial"/>
                <w:color w:val="0D0D0D" w:themeColor="text1" w:themeTint="F2"/>
                <w:spacing w:val="-4"/>
              </w:rPr>
              <w:t>lo v pozitivním pásmu. Hlavní bariérou růstu průmyslu zůstává již od poloviny loňského roku nedostatek zaměstnanců, na počátku 4</w:t>
            </w:r>
            <w:r w:rsidR="00506603">
              <w:rPr>
                <w:rFonts w:cs="Arial"/>
                <w:color w:val="0D0D0D" w:themeColor="text1" w:themeTint="F2"/>
                <w:spacing w:val="-4"/>
              </w:rPr>
              <w:t>. </w:t>
            </w:r>
            <w:r>
              <w:rPr>
                <w:rFonts w:cs="Arial"/>
                <w:color w:val="0D0D0D" w:themeColor="text1" w:themeTint="F2"/>
                <w:spacing w:val="-4"/>
              </w:rPr>
              <w:t xml:space="preserve">čtvrtletí 2018 </w:t>
            </w:r>
            <w:r w:rsidR="00506603">
              <w:rPr>
                <w:rFonts w:cs="Arial"/>
                <w:color w:val="0D0D0D" w:themeColor="text1" w:themeTint="F2"/>
                <w:spacing w:val="-4"/>
              </w:rPr>
              <w:t xml:space="preserve">ji </w:t>
            </w:r>
            <w:r>
              <w:rPr>
                <w:rFonts w:cs="Arial"/>
                <w:color w:val="0D0D0D" w:themeColor="text1" w:themeTint="F2"/>
                <w:spacing w:val="-4"/>
              </w:rPr>
              <w:t>takto označilo 45 % podniků (tento podíl však zůstává v letošním roce již stabilní). Nedostatečná poptávka omezovala třetinu podniků. Využití produkčních kapacit průmyslu přesáhlo ve 2. pololetí 86 %, šlo o nejvyšší hodnotu po roce 2009.</w:t>
            </w:r>
          </w:p>
        </w:tc>
      </w:tr>
      <w:tr w:rsidR="0083630F" w:rsidRPr="00D95458" w:rsidTr="00D726A9">
        <w:trPr>
          <w:trHeight w:val="145"/>
        </w:trPr>
        <w:tc>
          <w:tcPr>
            <w:tcW w:w="1839" w:type="dxa"/>
            <w:shd w:val="clear" w:color="auto" w:fill="auto"/>
            <w:tcMar>
              <w:left w:w="0" w:type="dxa"/>
            </w:tcMar>
          </w:tcPr>
          <w:p w:rsidR="0083630F" w:rsidRDefault="0083630F" w:rsidP="0083630F">
            <w:pPr>
              <w:pStyle w:val="Marginlie"/>
            </w:pPr>
            <w:r>
              <w:lastRenderedPageBreak/>
              <w:t>Tempo růstu stavební produkce v průběhu roku sílilo. Dařilo se jak pozemnímu, tak i inženýrskému stavitelství.</w:t>
            </w: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D95458" w:rsidRDefault="0083630F" w:rsidP="00157CC9">
            <w:pPr>
              <w:spacing w:after="200"/>
              <w:rPr>
                <w:spacing w:val="-3"/>
              </w:rPr>
            </w:pPr>
            <w:r>
              <w:rPr>
                <w:spacing w:val="-3"/>
              </w:rPr>
              <w:t>Růst výkonu stavebnictví v průběhu roku 2018 zrychloval. Zatímco v 1. čtvrtletí vzrostla stavební produkce</w:t>
            </w:r>
            <w:r>
              <w:rPr>
                <w:rStyle w:val="Znakapoznpodarou"/>
                <w:spacing w:val="-4"/>
              </w:rPr>
              <w:footnoteReference w:id="13"/>
            </w:r>
            <w:r>
              <w:rPr>
                <w:spacing w:val="-3"/>
              </w:rPr>
              <w:t xml:space="preserve"> mezikvartálně o rovná 2 %, v následujícím čtvrtletí o 3,2 % a ve 3. čtvrtletí o 3,3 %. Celé odvětví těžilo vedle příznivých teplotních podmínek hlavně z dlouhodobějšího růstu národního hospodářství doprovázeného posilováním veřejných investic, které vycházelo především ze zrychleného čerpání prostředků z rozpočtu EU. Za tři čtvrtletí vzrostla stavební produkce meziročně o 10,3 %, vyšší tempo bylo ve stejném období roku zaznamenáno naposledy v roce 2004. Zatímco loni navyšovalo výkon celého odvětví jen pozemní stavitelství, letos s ním, pokud jde o tempo, dokázalo držet krok i inženýrské stavitelství.</w:t>
            </w:r>
          </w:p>
        </w:tc>
      </w:tr>
      <w:tr w:rsidR="0083630F" w:rsidRPr="001800C4"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D922A1" w:rsidRDefault="0083630F" w:rsidP="0083630F">
            <w:pPr>
              <w:pStyle w:val="Textpoznpodarou"/>
              <w:spacing w:line="276" w:lineRule="auto"/>
              <w:rPr>
                <w:bCs/>
              </w:rPr>
            </w:pPr>
            <w:r>
              <w:rPr>
                <w:b/>
              </w:rPr>
              <w:t xml:space="preserve">Graf </w:t>
            </w:r>
            <w:proofErr w:type="gramStart"/>
            <w:r>
              <w:rPr>
                <w:b/>
              </w:rPr>
              <w:t>č. 7  Stavební</w:t>
            </w:r>
            <w:proofErr w:type="gramEnd"/>
            <w:r>
              <w:rPr>
                <w:b/>
              </w:rPr>
              <w:t xml:space="preserve"> produkce*, hodnota nových zakázek </w:t>
            </w:r>
            <w:r>
              <w:rPr>
                <w:bCs/>
              </w:rPr>
              <w:t>(</w:t>
            </w:r>
            <w:r w:rsidRPr="00540CB3">
              <w:rPr>
                <w:spacing w:val="-2"/>
              </w:rPr>
              <w:t>meziročně</w:t>
            </w:r>
            <w:r w:rsidRPr="00540CB3">
              <w:rPr>
                <w:bCs/>
                <w:spacing w:val="-2"/>
              </w:rPr>
              <w:t xml:space="preserve"> v %)</w:t>
            </w:r>
          </w:p>
          <w:p w:rsidR="0083630F" w:rsidRPr="001800C4" w:rsidRDefault="0083630F" w:rsidP="0083630F">
            <w:pPr>
              <w:pStyle w:val="Textpoznpodarou"/>
              <w:spacing w:line="276" w:lineRule="auto"/>
              <w:rPr>
                <w:bCs/>
              </w:rPr>
            </w:pPr>
            <w:r w:rsidRPr="006B4FFB">
              <w:rPr>
                <w:b/>
              </w:rPr>
              <w:t>a</w:t>
            </w:r>
            <w:r>
              <w:rPr>
                <w:b/>
              </w:rPr>
              <w:t xml:space="preserve"> saldo indikátoru důvěry ve stavebnictví</w:t>
            </w:r>
            <w:r w:rsidRPr="002A4B98">
              <w:rPr>
                <w:spacing w:val="-3"/>
              </w:rPr>
              <w:t xml:space="preserve"> (v bodech)</w:t>
            </w:r>
          </w:p>
        </w:tc>
      </w:tr>
      <w:tr w:rsidR="0083630F" w:rsidRPr="00B4411A"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B4411A" w:rsidRDefault="0083630F" w:rsidP="0083630F">
            <w:pPr>
              <w:spacing w:after="0"/>
              <w:rPr>
                <w:spacing w:val="-4"/>
              </w:rPr>
            </w:pPr>
            <w:r w:rsidRPr="002B796F">
              <w:rPr>
                <w:noProof/>
                <w:spacing w:val="-4"/>
              </w:rPr>
              <w:drawing>
                <wp:inline distT="0" distB="0" distL="0" distR="0">
                  <wp:extent cx="4733925" cy="3552825"/>
                  <wp:effectExtent l="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83630F" w:rsidRPr="004621FE"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972326" w:rsidRDefault="0083630F" w:rsidP="0083630F">
            <w:pPr>
              <w:spacing w:after="0" w:line="240" w:lineRule="auto"/>
              <w:rPr>
                <w:rFonts w:cs="Arial"/>
                <w:sz w:val="14"/>
                <w:szCs w:val="14"/>
              </w:rPr>
            </w:pPr>
            <w:r w:rsidRPr="00972326">
              <w:rPr>
                <w:sz w:val="14"/>
                <w:szCs w:val="14"/>
              </w:rPr>
              <w:t>*</w:t>
            </w:r>
            <w:r>
              <w:rPr>
                <w:sz w:val="14"/>
                <w:szCs w:val="14"/>
              </w:rPr>
              <w:t>O</w:t>
            </w:r>
            <w:r w:rsidRPr="00972326">
              <w:rPr>
                <w:sz w:val="14"/>
                <w:szCs w:val="14"/>
              </w:rPr>
              <w:t xml:space="preserve">čištěno o </w:t>
            </w:r>
            <w:r>
              <w:rPr>
                <w:sz w:val="14"/>
                <w:szCs w:val="14"/>
              </w:rPr>
              <w:t>vliv různého počtu pracovních dní.</w:t>
            </w:r>
          </w:p>
          <w:p w:rsidR="0083630F" w:rsidRPr="004621FE" w:rsidRDefault="0083630F" w:rsidP="00157CC9">
            <w:pPr>
              <w:spacing w:after="180"/>
              <w:rPr>
                <w:rFonts w:cs="Arial"/>
                <w:color w:val="0D0D0D" w:themeColor="text1" w:themeTint="F2"/>
                <w:spacing w:val="-4"/>
              </w:rPr>
            </w:pPr>
            <w:r w:rsidRPr="00535F78">
              <w:rPr>
                <w:rFonts w:cs="Arial"/>
                <w:sz w:val="14"/>
                <w:szCs w:val="14"/>
              </w:rPr>
              <w:t xml:space="preserve">Zdroj: </w:t>
            </w:r>
            <w:r>
              <w:rPr>
                <w:rFonts w:cs="Arial"/>
                <w:sz w:val="14"/>
                <w:szCs w:val="14"/>
              </w:rPr>
              <w:t>ČSÚ</w:t>
            </w:r>
          </w:p>
        </w:tc>
      </w:tr>
      <w:tr w:rsidR="0083630F" w:rsidRPr="005813A9" w:rsidTr="00D726A9">
        <w:trPr>
          <w:trHeight w:val="145"/>
        </w:trPr>
        <w:tc>
          <w:tcPr>
            <w:tcW w:w="1839" w:type="dxa"/>
            <w:shd w:val="clear" w:color="auto" w:fill="auto"/>
            <w:tcMar>
              <w:left w:w="0" w:type="dxa"/>
            </w:tcMar>
          </w:tcPr>
          <w:p w:rsidR="0083630F" w:rsidRDefault="0083630F" w:rsidP="0083630F">
            <w:pPr>
              <w:pStyle w:val="Marginlie"/>
              <w:rPr>
                <w:spacing w:val="-4"/>
              </w:rPr>
            </w:pPr>
            <w:r>
              <w:rPr>
                <w:spacing w:val="-4"/>
              </w:rPr>
              <w:t>Počet zahájených bytů vzrostl na devítileté maximum především zásluhou výstavby rodinných domů.</w:t>
            </w:r>
          </w:p>
          <w:p w:rsidR="005301A6" w:rsidRDefault="005301A6" w:rsidP="005301A6">
            <w:pPr>
              <w:pStyle w:val="Marginlie"/>
              <w:spacing w:line="240" w:lineRule="auto"/>
              <w:rPr>
                <w:spacing w:val="-4"/>
              </w:rPr>
            </w:pPr>
          </w:p>
          <w:p w:rsidR="0083630F" w:rsidRPr="00F30C65" w:rsidRDefault="0083630F" w:rsidP="0083630F">
            <w:pPr>
              <w:pStyle w:val="Marginlie"/>
              <w:rPr>
                <w:spacing w:val="-4"/>
              </w:rPr>
            </w:pPr>
            <w:r>
              <w:rPr>
                <w:spacing w:val="-4"/>
              </w:rPr>
              <w:t>Počet zahájených bytů v Praze v posledních letech výrazně zaostává za migračním přírůstkem obyvatel.</w:t>
            </w:r>
          </w:p>
        </w:tc>
        <w:tc>
          <w:tcPr>
            <w:tcW w:w="233" w:type="dxa"/>
            <w:shd w:val="clear" w:color="auto" w:fill="auto"/>
            <w:tcMar>
              <w:left w:w="0" w:type="dxa"/>
            </w:tcMar>
          </w:tcPr>
          <w:p w:rsidR="0083630F" w:rsidRPr="009110F7" w:rsidRDefault="0083630F" w:rsidP="0083630F">
            <w:pPr>
              <w:pStyle w:val="Textpoznpodarou"/>
              <w:jc w:val="both"/>
              <w:rPr>
                <w:spacing w:val="-4"/>
              </w:rPr>
            </w:pPr>
          </w:p>
        </w:tc>
        <w:tc>
          <w:tcPr>
            <w:tcW w:w="7567" w:type="dxa"/>
            <w:shd w:val="clear" w:color="auto" w:fill="auto"/>
            <w:tcMar>
              <w:left w:w="0" w:type="dxa"/>
            </w:tcMar>
          </w:tcPr>
          <w:p w:rsidR="0083630F" w:rsidRPr="005813A9" w:rsidRDefault="0083630F" w:rsidP="0083630F">
            <w:pPr>
              <w:spacing w:after="200"/>
              <w:rPr>
                <w:color w:val="0D0D0D" w:themeColor="text1" w:themeTint="F2"/>
                <w:spacing w:val="-3"/>
                <w:szCs w:val="20"/>
              </w:rPr>
            </w:pPr>
            <w:r w:rsidRPr="005813A9">
              <w:rPr>
                <w:color w:val="0D0D0D" w:themeColor="text1" w:themeTint="F2"/>
                <w:spacing w:val="-3"/>
                <w:szCs w:val="20"/>
              </w:rPr>
              <w:t>Pokračoval postupný rozvoj bytové výstavby. Počet zahájených bytů v 1. až 3. čtvrtletí 2018 dosáhl 24,7 tis. (maximum za posledních devět let). Meziročně posílil o 6,0 %, především zásluhou vyšší četnosti rodinných domů a bytů ve stavebně upravených nebytových pros</w:t>
            </w:r>
            <w:r w:rsidR="00157CC9">
              <w:rPr>
                <w:color w:val="0D0D0D" w:themeColor="text1" w:themeTint="F2"/>
                <w:spacing w:val="-3"/>
                <w:szCs w:val="20"/>
              </w:rPr>
              <w:t xml:space="preserve">torách. V kategorii </w:t>
            </w:r>
            <w:r w:rsidRPr="005813A9">
              <w:rPr>
                <w:color w:val="0D0D0D" w:themeColor="text1" w:themeTint="F2"/>
                <w:spacing w:val="-3"/>
                <w:szCs w:val="20"/>
              </w:rPr>
              <w:t>bytů v b</w:t>
            </w:r>
            <w:r w:rsidR="00157CC9">
              <w:rPr>
                <w:color w:val="0D0D0D" w:themeColor="text1" w:themeTint="F2"/>
                <w:spacing w:val="-3"/>
                <w:szCs w:val="20"/>
              </w:rPr>
              <w:t>ytových domech</w:t>
            </w:r>
            <w:r w:rsidRPr="005813A9">
              <w:rPr>
                <w:color w:val="0D0D0D" w:themeColor="text1" w:themeTint="F2"/>
                <w:spacing w:val="-3"/>
                <w:szCs w:val="20"/>
              </w:rPr>
              <w:t xml:space="preserve"> byl růst jen mírný (1,4 %), absolutní počet bytů nedosáhl ani poloviny ze stejného období roku 2008. K vyššímu počtu všech bytů přispěla nejvíce výstavba ve Středočeském kraji a na Vysočině. V Praze počet zahá</w:t>
            </w:r>
            <w:r>
              <w:rPr>
                <w:color w:val="0D0D0D" w:themeColor="text1" w:themeTint="F2"/>
                <w:spacing w:val="-3"/>
                <w:szCs w:val="20"/>
              </w:rPr>
              <w:t>jených bytů meziročně klesl o</w:t>
            </w:r>
            <w:r w:rsidRPr="005813A9">
              <w:rPr>
                <w:color w:val="0D0D0D" w:themeColor="text1" w:themeTint="F2"/>
                <w:spacing w:val="-3"/>
                <w:szCs w:val="20"/>
              </w:rPr>
              <w:t> </w:t>
            </w:r>
            <w:r>
              <w:rPr>
                <w:color w:val="0D0D0D" w:themeColor="text1" w:themeTint="F2"/>
                <w:spacing w:val="-3"/>
                <w:szCs w:val="20"/>
              </w:rPr>
              <w:t>6</w:t>
            </w:r>
            <w:r w:rsidRPr="005813A9">
              <w:rPr>
                <w:color w:val="0D0D0D" w:themeColor="text1" w:themeTint="F2"/>
                <w:spacing w:val="-3"/>
                <w:szCs w:val="20"/>
              </w:rPr>
              <w:t xml:space="preserve"> % (k růstu </w:t>
            </w:r>
            <w:r w:rsidR="00157CC9">
              <w:rPr>
                <w:color w:val="0D0D0D" w:themeColor="text1" w:themeTint="F2"/>
                <w:spacing w:val="-3"/>
                <w:szCs w:val="20"/>
              </w:rPr>
              <w:t>ale došlo např.</w:t>
            </w:r>
            <w:r w:rsidR="005301A6">
              <w:rPr>
                <w:color w:val="0D0D0D" w:themeColor="text1" w:themeTint="F2"/>
                <w:spacing w:val="-3"/>
                <w:szCs w:val="20"/>
              </w:rPr>
              <w:t xml:space="preserve"> u</w:t>
            </w:r>
            <w:r w:rsidR="005301A6" w:rsidRPr="005813A9">
              <w:rPr>
                <w:color w:val="0D0D0D" w:themeColor="text1" w:themeTint="F2"/>
                <w:spacing w:val="-3"/>
                <w:szCs w:val="20"/>
              </w:rPr>
              <w:t> </w:t>
            </w:r>
            <w:r w:rsidRPr="005813A9">
              <w:rPr>
                <w:color w:val="0D0D0D" w:themeColor="text1" w:themeTint="F2"/>
                <w:spacing w:val="-3"/>
                <w:szCs w:val="20"/>
              </w:rPr>
              <w:t>násta</w:t>
            </w:r>
            <w:r w:rsidR="00157CC9">
              <w:rPr>
                <w:color w:val="0D0D0D" w:themeColor="text1" w:themeTint="F2"/>
                <w:spacing w:val="-3"/>
                <w:szCs w:val="20"/>
              </w:rPr>
              <w:t>veb, přístaveb i vestaveb či</w:t>
            </w:r>
            <w:r w:rsidRPr="005813A9">
              <w:rPr>
                <w:color w:val="0D0D0D" w:themeColor="text1" w:themeTint="F2"/>
                <w:spacing w:val="-3"/>
                <w:szCs w:val="20"/>
              </w:rPr>
              <w:t xml:space="preserve"> bytů po úpravě nebytových prostor) na 2,7 tis. Výrazně tak zaostal za celkovým přírůstkem obyvatel (8,1 tis.). Rostoucí napětí na </w:t>
            </w:r>
            <w:r w:rsidRPr="005813A9">
              <w:rPr>
                <w:color w:val="0D0D0D" w:themeColor="text1" w:themeTint="F2"/>
                <w:spacing w:val="-3"/>
                <w:szCs w:val="20"/>
              </w:rPr>
              <w:lastRenderedPageBreak/>
              <w:t>rezidenčním trhu se v metropoli odráží v prudkém růstu realizovaných cen nových bytů i nájmů</w:t>
            </w:r>
            <w:r w:rsidRPr="005813A9">
              <w:rPr>
                <w:rStyle w:val="Znakapoznpodarou"/>
                <w:color w:val="0D0D0D" w:themeColor="text1" w:themeTint="F2"/>
                <w:spacing w:val="-3"/>
                <w:szCs w:val="20"/>
              </w:rPr>
              <w:footnoteReference w:id="14"/>
            </w:r>
            <w:r w:rsidRPr="005813A9">
              <w:rPr>
                <w:color w:val="0D0D0D" w:themeColor="text1" w:themeTint="F2"/>
                <w:spacing w:val="-3"/>
                <w:szCs w:val="20"/>
              </w:rPr>
              <w:t>.</w:t>
            </w:r>
          </w:p>
        </w:tc>
      </w:tr>
      <w:tr w:rsidR="0083630F" w:rsidRPr="00AF37C3" w:rsidTr="00D726A9">
        <w:trPr>
          <w:trHeight w:val="145"/>
        </w:trPr>
        <w:tc>
          <w:tcPr>
            <w:tcW w:w="1839" w:type="dxa"/>
            <w:shd w:val="clear" w:color="auto" w:fill="auto"/>
            <w:tcMar>
              <w:left w:w="0" w:type="dxa"/>
            </w:tcMar>
          </w:tcPr>
          <w:p w:rsidR="0083630F" w:rsidRPr="00F30C65" w:rsidRDefault="0083630F" w:rsidP="0083630F">
            <w:pPr>
              <w:pStyle w:val="Marginlie"/>
              <w:rPr>
                <w:spacing w:val="-4"/>
              </w:rPr>
            </w:pPr>
            <w:r>
              <w:rPr>
                <w:spacing w:val="-4"/>
              </w:rPr>
              <w:lastRenderedPageBreak/>
              <w:t xml:space="preserve">Pokračoval svižný růst nových </w:t>
            </w:r>
            <w:r w:rsidR="00CE14BE">
              <w:rPr>
                <w:spacing w:val="-4"/>
              </w:rPr>
              <w:t xml:space="preserve">stavebních </w:t>
            </w:r>
            <w:r>
              <w:rPr>
                <w:spacing w:val="-4"/>
              </w:rPr>
              <w:t xml:space="preserve">zakázek, především v první polovině roku. Nálada podnikatelů ve stavebnictví se </w:t>
            </w:r>
            <w:r w:rsidR="006B79EA">
              <w:rPr>
                <w:spacing w:val="-4"/>
              </w:rPr>
              <w:t xml:space="preserve">významně </w:t>
            </w:r>
            <w:r>
              <w:rPr>
                <w:spacing w:val="-4"/>
              </w:rPr>
              <w:t>zlepšila, stavební podniky ale výrazně trápí nedostatek volné pracovní síly.</w:t>
            </w:r>
          </w:p>
        </w:tc>
        <w:tc>
          <w:tcPr>
            <w:tcW w:w="233" w:type="dxa"/>
            <w:shd w:val="clear" w:color="auto" w:fill="auto"/>
            <w:tcMar>
              <w:left w:w="0" w:type="dxa"/>
            </w:tcMar>
          </w:tcPr>
          <w:p w:rsidR="0083630F" w:rsidRPr="009110F7" w:rsidRDefault="0083630F" w:rsidP="0083630F">
            <w:pPr>
              <w:pStyle w:val="Textpoznpodarou"/>
              <w:jc w:val="both"/>
              <w:rPr>
                <w:spacing w:val="-4"/>
              </w:rPr>
            </w:pPr>
          </w:p>
        </w:tc>
        <w:tc>
          <w:tcPr>
            <w:tcW w:w="7567" w:type="dxa"/>
            <w:shd w:val="clear" w:color="auto" w:fill="auto"/>
            <w:tcMar>
              <w:left w:w="0" w:type="dxa"/>
            </w:tcMar>
          </w:tcPr>
          <w:p w:rsidR="0083630F" w:rsidRPr="00AF37C3" w:rsidRDefault="0083630F" w:rsidP="0083630F">
            <w:pPr>
              <w:spacing w:after="200"/>
              <w:rPr>
                <w:color w:val="0D0D0D" w:themeColor="text1" w:themeTint="F2"/>
                <w:spacing w:val="-4"/>
                <w:szCs w:val="20"/>
              </w:rPr>
            </w:pPr>
            <w:r w:rsidRPr="00AF37C3">
              <w:rPr>
                <w:color w:val="0D0D0D" w:themeColor="text1" w:themeTint="F2"/>
                <w:spacing w:val="-4"/>
                <w:szCs w:val="20"/>
              </w:rPr>
              <w:t xml:space="preserve">Růst hodnoty nových stavebních zakázek v tuzemsku (u </w:t>
            </w:r>
            <w:r w:rsidRPr="00AF37C3">
              <w:rPr>
                <w:szCs w:val="20"/>
              </w:rPr>
              <w:t>podniků s</w:t>
            </w:r>
            <w:r w:rsidR="006B79EA">
              <w:rPr>
                <w:szCs w:val="20"/>
              </w:rPr>
              <w:t xml:space="preserve"> </w:t>
            </w:r>
            <w:r w:rsidRPr="00AF37C3">
              <w:rPr>
                <w:szCs w:val="20"/>
              </w:rPr>
              <w:t xml:space="preserve">50 a více zaměstnanci) </w:t>
            </w:r>
            <w:r w:rsidRPr="00AF37C3">
              <w:rPr>
                <w:color w:val="0D0D0D" w:themeColor="text1" w:themeTint="F2"/>
                <w:spacing w:val="-4"/>
                <w:szCs w:val="20"/>
              </w:rPr>
              <w:t xml:space="preserve">během 1. pololetí akceleroval. Za tři čtvrtletí vzrostl meziročně o 21,5 % (bez významnějších rozdílů mezi pozemním a inženýrským stavitelstvím). </w:t>
            </w:r>
            <w:r>
              <w:rPr>
                <w:color w:val="0D0D0D" w:themeColor="text1" w:themeTint="F2"/>
                <w:spacing w:val="-4"/>
                <w:szCs w:val="20"/>
              </w:rPr>
              <w:t>V samotném 3.</w:t>
            </w:r>
            <w:r w:rsidR="005301A6" w:rsidRPr="005813A9">
              <w:rPr>
                <w:color w:val="0D0D0D" w:themeColor="text1" w:themeTint="F2"/>
                <w:spacing w:val="-3"/>
                <w:szCs w:val="20"/>
              </w:rPr>
              <w:t> </w:t>
            </w:r>
            <w:r>
              <w:rPr>
                <w:color w:val="0D0D0D" w:themeColor="text1" w:themeTint="F2"/>
                <w:spacing w:val="-4"/>
                <w:szCs w:val="20"/>
              </w:rPr>
              <w:t>čtvrtletí ale tempo růstu zakázek zvolnilo (na 5,3 %). Postupně se zvyšovala i průměrná velikost nově uzavřených zakázek (</w:t>
            </w:r>
            <w:r w:rsidR="00157CC9">
              <w:rPr>
                <w:color w:val="0D0D0D" w:themeColor="text1" w:themeTint="F2"/>
                <w:spacing w:val="-4"/>
                <w:szCs w:val="20"/>
              </w:rPr>
              <w:t xml:space="preserve">v 1. až 3. čtvrtletí </w:t>
            </w:r>
            <w:r>
              <w:rPr>
                <w:color w:val="0D0D0D" w:themeColor="text1" w:themeTint="F2"/>
                <w:spacing w:val="-4"/>
                <w:szCs w:val="20"/>
              </w:rPr>
              <w:t>na 3,9 mil. korun, o rok dříve 3,2</w:t>
            </w:r>
            <w:r>
              <w:rPr>
                <w:color w:val="0D0D0D" w:themeColor="text1" w:themeTint="F2"/>
                <w:spacing w:val="-4"/>
              </w:rPr>
              <w:t> </w:t>
            </w:r>
            <w:r>
              <w:rPr>
                <w:color w:val="0D0D0D" w:themeColor="text1" w:themeTint="F2"/>
                <w:spacing w:val="-4"/>
                <w:szCs w:val="20"/>
              </w:rPr>
              <w:t xml:space="preserve">mil.). Indikátor důvěry manažerů stavebních podniků se již bezmála dva roky zlepšoval. V listopadu 2018 dokonce opustil záporné pásmo (poprvé od září 2008). Podíl stavebních podniků považujících nedostatečnou poptávku za bariéru růstu se od počátku letošního roku snížil na polovinu (v říjnu činil 24 % a vyrovnal historické minimum z konjunktury minulé dekády). Naopak podíl podniků, které sužoval nedostatek pracovníků, se za stejné období zdvojnásobil (na 40 %). </w:t>
            </w:r>
          </w:p>
        </w:tc>
      </w:tr>
      <w:tr w:rsidR="0083630F" w:rsidRPr="00A16220"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A16220" w:rsidRDefault="0083630F" w:rsidP="0083630F">
            <w:pPr>
              <w:pStyle w:val="Textpoznpodarou"/>
              <w:spacing w:line="276" w:lineRule="auto"/>
              <w:rPr>
                <w:b/>
                <w:spacing w:val="-2"/>
              </w:rPr>
            </w:pPr>
            <w:r>
              <w:rPr>
                <w:b/>
              </w:rPr>
              <w:t xml:space="preserve">Graf </w:t>
            </w:r>
            <w:proofErr w:type="gramStart"/>
            <w:r>
              <w:rPr>
                <w:b/>
              </w:rPr>
              <w:t xml:space="preserve">č. 8  </w:t>
            </w:r>
            <w:r>
              <w:rPr>
                <w:b/>
                <w:spacing w:val="-2"/>
              </w:rPr>
              <w:t>Tržby</w:t>
            </w:r>
            <w:proofErr w:type="gramEnd"/>
            <w:r>
              <w:rPr>
                <w:b/>
                <w:spacing w:val="-2"/>
              </w:rPr>
              <w:t xml:space="preserve"> ve vybraných sekcích služeb </w:t>
            </w:r>
            <w:r w:rsidRPr="00E62A33">
              <w:rPr>
                <w:bCs/>
                <w:spacing w:val="-2"/>
              </w:rPr>
              <w:t xml:space="preserve">(reálně, </w:t>
            </w:r>
            <w:r>
              <w:rPr>
                <w:bCs/>
                <w:spacing w:val="-2"/>
              </w:rPr>
              <w:t xml:space="preserve">sezónně </w:t>
            </w:r>
            <w:r w:rsidRPr="00E62A33">
              <w:rPr>
                <w:rFonts w:cs="Arial"/>
                <w:spacing w:val="-2"/>
              </w:rPr>
              <w:t xml:space="preserve">očištěno, </w:t>
            </w:r>
            <w:r>
              <w:rPr>
                <w:spacing w:val="-2"/>
              </w:rPr>
              <w:t>úroveň roku 2015</w:t>
            </w:r>
            <w:r w:rsidR="00CE14BE">
              <w:rPr>
                <w:spacing w:val="-2"/>
              </w:rPr>
              <w:t xml:space="preserve"> </w:t>
            </w:r>
            <w:r>
              <w:rPr>
                <w:spacing w:val="-2"/>
              </w:rPr>
              <w:t>=</w:t>
            </w:r>
            <w:r w:rsidR="00CE14BE">
              <w:rPr>
                <w:spacing w:val="-2"/>
              </w:rPr>
              <w:t xml:space="preserve"> </w:t>
            </w:r>
            <w:r>
              <w:rPr>
                <w:spacing w:val="-2"/>
              </w:rPr>
              <w:t>100</w:t>
            </w:r>
            <w:r w:rsidRPr="00E62A33">
              <w:rPr>
                <w:bCs/>
                <w:spacing w:val="-2"/>
              </w:rPr>
              <w:t>)</w:t>
            </w:r>
            <w:r>
              <w:rPr>
                <w:bCs/>
                <w:spacing w:val="-2"/>
              </w:rPr>
              <w:t xml:space="preserve"> </w:t>
            </w:r>
            <w:r>
              <w:rPr>
                <w:b/>
                <w:spacing w:val="-2"/>
              </w:rPr>
              <w:t xml:space="preserve">a </w:t>
            </w:r>
            <w:r w:rsidRPr="002A4B98">
              <w:rPr>
                <w:b/>
                <w:spacing w:val="-3"/>
              </w:rPr>
              <w:t>saldo indikátoru důvěry v</w:t>
            </w:r>
            <w:r>
              <w:rPr>
                <w:b/>
                <w:spacing w:val="-3"/>
              </w:rPr>
              <w:t>e vybraných službách*</w:t>
            </w:r>
            <w:r w:rsidRPr="002A4B98">
              <w:rPr>
                <w:b/>
                <w:spacing w:val="-3"/>
              </w:rPr>
              <w:t xml:space="preserve"> </w:t>
            </w:r>
            <w:r w:rsidRPr="002A4B98">
              <w:rPr>
                <w:spacing w:val="-3"/>
              </w:rPr>
              <w:t>(v bodech)</w:t>
            </w:r>
          </w:p>
        </w:tc>
      </w:tr>
      <w:tr w:rsidR="0083630F" w:rsidRPr="00535F78"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535F78" w:rsidRDefault="00A925B1" w:rsidP="0083630F">
            <w:pPr>
              <w:spacing w:after="200"/>
              <w:rPr>
                <w:rFonts w:cs="Arial"/>
                <w:sz w:val="14"/>
                <w:szCs w:val="14"/>
              </w:rPr>
            </w:pPr>
            <w:r w:rsidRPr="00A925B1">
              <w:rPr>
                <w:rFonts w:cs="Arial"/>
                <w:noProof/>
                <w:sz w:val="14"/>
                <w:szCs w:val="14"/>
              </w:rPr>
              <w:drawing>
                <wp:inline distT="0" distB="0" distL="0" distR="0">
                  <wp:extent cx="4785863" cy="3623095"/>
                  <wp:effectExtent l="19050" t="0" r="0" b="0"/>
                  <wp:docPr id="3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3630F" w:rsidRPr="00535F78" w:rsidTr="00D726A9">
        <w:trPr>
          <w:trHeight w:val="145"/>
        </w:trPr>
        <w:tc>
          <w:tcPr>
            <w:tcW w:w="1839" w:type="dxa"/>
            <w:shd w:val="clear" w:color="auto" w:fill="auto"/>
            <w:tcMar>
              <w:left w:w="0" w:type="dxa"/>
            </w:tcMar>
          </w:tcPr>
          <w:p w:rsidR="0083630F" w:rsidRDefault="0083630F" w:rsidP="0083630F">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83630F" w:rsidRPr="00535F78" w:rsidRDefault="0083630F" w:rsidP="0083630F">
            <w:pPr>
              <w:spacing w:after="200" w:line="240" w:lineRule="auto"/>
              <w:rPr>
                <w:rFonts w:cs="Arial"/>
                <w:sz w:val="14"/>
                <w:szCs w:val="14"/>
              </w:rPr>
            </w:pPr>
            <w:r>
              <w:rPr>
                <w:rFonts w:cs="Arial"/>
                <w:sz w:val="14"/>
                <w:szCs w:val="14"/>
              </w:rPr>
              <w:t xml:space="preserve">*Údaje jsou sezónně očištěny, zahrnuje i finanční sektor.                                                                                 </w:t>
            </w:r>
            <w:r w:rsidRPr="00535F78">
              <w:rPr>
                <w:rFonts w:cs="Arial"/>
                <w:sz w:val="14"/>
                <w:szCs w:val="14"/>
              </w:rPr>
              <w:t xml:space="preserve">Zdroj: </w:t>
            </w:r>
            <w:r>
              <w:rPr>
                <w:rFonts w:cs="Arial"/>
                <w:sz w:val="14"/>
                <w:szCs w:val="14"/>
              </w:rPr>
              <w:t>ČSÚ</w:t>
            </w:r>
          </w:p>
        </w:tc>
      </w:tr>
      <w:tr w:rsidR="0083630F" w:rsidRPr="00535F78" w:rsidTr="00D726A9">
        <w:trPr>
          <w:trHeight w:val="145"/>
        </w:trPr>
        <w:tc>
          <w:tcPr>
            <w:tcW w:w="1839" w:type="dxa"/>
            <w:shd w:val="clear" w:color="auto" w:fill="auto"/>
            <w:tcMar>
              <w:left w:w="0" w:type="dxa"/>
            </w:tcMar>
          </w:tcPr>
          <w:p w:rsidR="00D726A9" w:rsidRDefault="00D726A9" w:rsidP="00D726A9">
            <w:pPr>
              <w:pStyle w:val="Marginlie"/>
            </w:pPr>
            <w:r>
              <w:t xml:space="preserve"> Tržby vzrostly napříč většinou odvětví služeb. Pokračoval dynamický růst dopravy a skladování, ale i informačních a</w:t>
            </w:r>
            <w:r>
              <w:rPr>
                <w:spacing w:val="-4"/>
              </w:rPr>
              <w:t> </w:t>
            </w:r>
            <w:r>
              <w:t>komunikačních činností.</w:t>
            </w:r>
          </w:p>
          <w:p w:rsidR="00D726A9" w:rsidRDefault="00D726A9" w:rsidP="00D726A9">
            <w:pPr>
              <w:pStyle w:val="Marginlie"/>
            </w:pPr>
          </w:p>
          <w:p w:rsidR="00D726A9" w:rsidRDefault="00D726A9" w:rsidP="00D726A9">
            <w:pPr>
              <w:pStyle w:val="Marginlie"/>
            </w:pPr>
          </w:p>
          <w:p w:rsidR="005301A6" w:rsidRDefault="005301A6" w:rsidP="00D726A9">
            <w:pPr>
              <w:pStyle w:val="Marginlie"/>
            </w:pPr>
          </w:p>
          <w:p w:rsidR="00D7397C" w:rsidRDefault="00D7397C" w:rsidP="00D726A9">
            <w:pPr>
              <w:pStyle w:val="Marginlie"/>
            </w:pPr>
          </w:p>
          <w:p w:rsidR="005301A6" w:rsidRDefault="005301A6" w:rsidP="00D726A9">
            <w:pPr>
              <w:pStyle w:val="Marginlie"/>
            </w:pPr>
          </w:p>
          <w:p w:rsidR="00D726A9" w:rsidRPr="00E3163F" w:rsidRDefault="00D726A9" w:rsidP="00D726A9">
            <w:pPr>
              <w:pStyle w:val="Marginlie"/>
              <w:rPr>
                <w:spacing w:val="-3"/>
              </w:rPr>
            </w:pPr>
            <w:r w:rsidRPr="00E3163F">
              <w:rPr>
                <w:spacing w:val="-3"/>
              </w:rPr>
              <w:lastRenderedPageBreak/>
              <w:t>Tržby v ubytování, stravování a pohostinství rostly vlivem nebývale vysoké loňské základny jen mírně. Rozvoj cestovního ruchu pokračoval, délka pobytu hostů v Česku se ale dále zkracovala.</w:t>
            </w:r>
          </w:p>
          <w:p w:rsidR="0083630F" w:rsidRDefault="0083630F" w:rsidP="00D726A9">
            <w:pPr>
              <w:pStyle w:val="Marginlie"/>
            </w:pPr>
          </w:p>
        </w:tc>
        <w:tc>
          <w:tcPr>
            <w:tcW w:w="233" w:type="dxa"/>
            <w:shd w:val="clear" w:color="auto" w:fill="auto"/>
            <w:tcMar>
              <w:left w:w="0" w:type="dxa"/>
            </w:tcMar>
          </w:tcPr>
          <w:p w:rsidR="0083630F" w:rsidRDefault="0083630F" w:rsidP="0083630F">
            <w:pPr>
              <w:pStyle w:val="Textpoznpodarou"/>
              <w:jc w:val="both"/>
              <w:rPr>
                <w:spacing w:val="-4"/>
              </w:rPr>
            </w:pPr>
          </w:p>
        </w:tc>
        <w:tc>
          <w:tcPr>
            <w:tcW w:w="7567" w:type="dxa"/>
            <w:shd w:val="clear" w:color="auto" w:fill="auto"/>
            <w:tcMar>
              <w:left w:w="0" w:type="dxa"/>
            </w:tcMar>
          </w:tcPr>
          <w:p w:rsidR="00601EEF" w:rsidRPr="00157CC9" w:rsidRDefault="0083630F">
            <w:pPr>
              <w:spacing w:after="220"/>
              <w:rPr>
                <w:color w:val="0D0D0D" w:themeColor="text1" w:themeTint="F2"/>
                <w:spacing w:val="-2"/>
              </w:rPr>
            </w:pPr>
            <w:r>
              <w:rPr>
                <w:spacing w:val="-4"/>
              </w:rPr>
              <w:t>Tržby</w:t>
            </w:r>
            <w:r w:rsidRPr="00E476F6">
              <w:rPr>
                <w:spacing w:val="-4"/>
              </w:rPr>
              <w:t xml:space="preserve"> </w:t>
            </w:r>
            <w:r w:rsidRPr="00E476F6">
              <w:rPr>
                <w:color w:val="0D0D0D" w:themeColor="text1" w:themeTint="F2"/>
                <w:spacing w:val="-4"/>
              </w:rPr>
              <w:t>ve vybraných službách</w:t>
            </w:r>
            <w:r w:rsidRPr="00E476F6">
              <w:rPr>
                <w:color w:val="0D0D0D" w:themeColor="text1" w:themeTint="F2"/>
                <w:spacing w:val="-4"/>
                <w:vertAlign w:val="superscript"/>
              </w:rPr>
              <w:footnoteReference w:id="15"/>
            </w:r>
            <w:r>
              <w:rPr>
                <w:color w:val="0D0D0D" w:themeColor="text1" w:themeTint="F2"/>
                <w:spacing w:val="-4"/>
              </w:rPr>
              <w:t xml:space="preserve"> v 1. až 3 čtvrtletí vzrostly meziročně o 3,</w:t>
            </w:r>
            <w:r w:rsidR="00157CC9">
              <w:rPr>
                <w:color w:val="0D0D0D" w:themeColor="text1" w:themeTint="F2"/>
                <w:spacing w:val="-4"/>
              </w:rPr>
              <w:t>5</w:t>
            </w:r>
            <w:r>
              <w:rPr>
                <w:color w:val="0D0D0D" w:themeColor="text1" w:themeTint="F2"/>
                <w:spacing w:val="-4"/>
              </w:rPr>
              <w:t xml:space="preserve"> %. </w:t>
            </w:r>
            <w:r w:rsidR="00D726A9">
              <w:rPr>
                <w:color w:val="0D0D0D" w:themeColor="text1" w:themeTint="F2"/>
                <w:spacing w:val="-4"/>
              </w:rPr>
              <w:t>Přestože posílení tržeb zaznamenaly všechny odvětvové sekce (vyjma činností v oblasti nemovitostí, kde o 1,0 % klesly), na růstu služeb se z drtivé většiny podílela pouze dvě hlavní odvětví – doprava a skladování a také informační a komunikační činnosti. V dopravě a skladování posílily tržby o 5,5 %, nejvíce za posledních jedenáct let. Dařilo se všem druhům dopravy, nejvíce váhově okrajo</w:t>
            </w:r>
            <w:r w:rsidR="00157CC9">
              <w:rPr>
                <w:color w:val="0D0D0D" w:themeColor="text1" w:themeTint="F2"/>
                <w:spacing w:val="-4"/>
              </w:rPr>
              <w:t>vému segmentu vodní dopravy (+14,5</w:t>
            </w:r>
            <w:r w:rsidR="00D726A9">
              <w:rPr>
                <w:color w:val="0D0D0D" w:themeColor="text1" w:themeTint="F2"/>
                <w:spacing w:val="-4"/>
              </w:rPr>
              <w:t> %)</w:t>
            </w:r>
            <w:r w:rsidR="00D726A9">
              <w:rPr>
                <w:rStyle w:val="Znakapoznpodarou"/>
                <w:color w:val="0D0D0D" w:themeColor="text1" w:themeTint="F2"/>
                <w:spacing w:val="-4"/>
              </w:rPr>
              <w:footnoteReference w:id="16"/>
            </w:r>
            <w:r w:rsidR="00D726A9">
              <w:rPr>
                <w:color w:val="0D0D0D" w:themeColor="text1" w:themeTint="F2"/>
                <w:spacing w:val="-4"/>
              </w:rPr>
              <w:t>. Pozemní doprava i skladování profitovaly z rozvoje průmyslu i vnitřního a zahraničního</w:t>
            </w:r>
            <w:r w:rsidR="00157CC9">
              <w:rPr>
                <w:color w:val="0D0D0D" w:themeColor="text1" w:themeTint="F2"/>
                <w:spacing w:val="-4"/>
              </w:rPr>
              <w:t xml:space="preserve"> ochodu. Růst tržeb</w:t>
            </w:r>
            <w:r w:rsidR="00D726A9">
              <w:rPr>
                <w:color w:val="0D0D0D" w:themeColor="text1" w:themeTint="F2"/>
                <w:spacing w:val="-4"/>
              </w:rPr>
              <w:t xml:space="preserve"> (především ve vnitrostátní dopravě) souvisel s vyšší mobilitou obyvatel poháněnou i rekordní výší zaměstnanosti. Výkon v dlouhodobě </w:t>
            </w:r>
            <w:r w:rsidR="00D726A9">
              <w:rPr>
                <w:color w:val="0D0D0D" w:themeColor="text1" w:themeTint="F2"/>
                <w:spacing w:val="-4"/>
              </w:rPr>
              <w:lastRenderedPageBreak/>
              <w:t>dynamickém odvětví informačních a komun</w:t>
            </w:r>
            <w:r w:rsidR="00157CC9">
              <w:rPr>
                <w:color w:val="0D0D0D" w:themeColor="text1" w:themeTint="F2"/>
                <w:spacing w:val="-4"/>
              </w:rPr>
              <w:t>ikačních činností zrychlil (+5,8</w:t>
            </w:r>
            <w:r w:rsidR="00D726A9">
              <w:rPr>
                <w:color w:val="0D0D0D" w:themeColor="text1" w:themeTint="F2"/>
                <w:spacing w:val="-4"/>
              </w:rPr>
              <w:t xml:space="preserve"> %, o rok dříve +4,4 %). </w:t>
            </w:r>
            <w:r w:rsidR="00D726A9">
              <w:rPr>
                <w:color w:val="0D0D0D" w:themeColor="text1" w:themeTint="F2"/>
                <w:spacing w:val="-2"/>
              </w:rPr>
              <w:t>N</w:t>
            </w:r>
            <w:r w:rsidR="00D726A9" w:rsidRPr="005E4BC9">
              <w:rPr>
                <w:color w:val="0D0D0D" w:themeColor="text1" w:themeTint="F2"/>
                <w:spacing w:val="-2"/>
              </w:rPr>
              <w:t xml:space="preserve">ejvíce </w:t>
            </w:r>
            <w:r w:rsidR="00D726A9">
              <w:rPr>
                <w:color w:val="0D0D0D" w:themeColor="text1" w:themeTint="F2"/>
                <w:spacing w:val="-2"/>
              </w:rPr>
              <w:t>se projevil</w:t>
            </w:r>
            <w:r w:rsidR="00D726A9" w:rsidRPr="005E4BC9">
              <w:rPr>
                <w:color w:val="0D0D0D" w:themeColor="text1" w:themeTint="F2"/>
                <w:spacing w:val="-2"/>
              </w:rPr>
              <w:t xml:space="preserve"> vliv činností v oblasti IT (programování, správa počítačového vybavení), vyšší výkony ale letos zaznamenaly všechny odvětvové oddíly </w:t>
            </w:r>
            <w:r w:rsidR="00D726A9">
              <w:rPr>
                <w:color w:val="0D0D0D" w:themeColor="text1" w:themeTint="F2"/>
                <w:spacing w:val="-2"/>
              </w:rPr>
              <w:t>vyjma filmového a hudebního průmyslu</w:t>
            </w:r>
            <w:r w:rsidR="00D726A9">
              <w:rPr>
                <w:rStyle w:val="Znakapoznpodarou"/>
                <w:color w:val="0D0D0D" w:themeColor="text1" w:themeTint="F2"/>
                <w:spacing w:val="-2"/>
              </w:rPr>
              <w:footnoteReference w:id="17"/>
            </w:r>
            <w:r w:rsidR="00D726A9">
              <w:rPr>
                <w:color w:val="0D0D0D" w:themeColor="text1" w:themeTint="F2"/>
                <w:spacing w:val="-2"/>
              </w:rPr>
              <w:t>. V odvětví ubytování, stravování a pohostinství rostly letos tržby jen o</w:t>
            </w:r>
            <w:r w:rsidR="00D726A9">
              <w:rPr>
                <w:color w:val="0D0D0D" w:themeColor="text1" w:themeTint="F2"/>
                <w:spacing w:val="-4"/>
              </w:rPr>
              <w:t> </w:t>
            </w:r>
            <w:r w:rsidR="00157CC9">
              <w:rPr>
                <w:color w:val="0D0D0D" w:themeColor="text1" w:themeTint="F2"/>
                <w:spacing w:val="-2"/>
              </w:rPr>
              <w:t>1,2 % (o rok dříve o 11,3</w:t>
            </w:r>
            <w:r w:rsidR="00D726A9">
              <w:rPr>
                <w:color w:val="0D0D0D" w:themeColor="text1" w:themeTint="F2"/>
                <w:spacing w:val="-2"/>
              </w:rPr>
              <w:t xml:space="preserve"> %). V pozadí tohoto vývoje stál</w:t>
            </w:r>
            <w:r w:rsidR="00D726A9" w:rsidRPr="005E4BC9">
              <w:rPr>
                <w:color w:val="0D0D0D" w:themeColor="text1" w:themeTint="F2"/>
                <w:spacing w:val="-2"/>
              </w:rPr>
              <w:t xml:space="preserve"> efekt vysoké </w:t>
            </w:r>
            <w:r w:rsidR="00D726A9" w:rsidRPr="002F2BC6">
              <w:rPr>
                <w:color w:val="0D0D0D" w:themeColor="text1" w:themeTint="F2"/>
                <w:spacing w:val="-2"/>
              </w:rPr>
              <w:t>srovnávací základny</w:t>
            </w:r>
            <w:r w:rsidR="00D726A9" w:rsidRPr="002F2BC6">
              <w:rPr>
                <w:rStyle w:val="Znakapoznpodarou"/>
                <w:color w:val="0D0D0D" w:themeColor="text1" w:themeTint="F2"/>
                <w:spacing w:val="-2"/>
              </w:rPr>
              <w:footnoteReference w:id="18"/>
            </w:r>
            <w:r w:rsidR="00D726A9" w:rsidRPr="002F2BC6">
              <w:rPr>
                <w:color w:val="0D0D0D" w:themeColor="text1" w:themeTint="F2"/>
                <w:spacing w:val="-2"/>
              </w:rPr>
              <w:t xml:space="preserve"> ovlivněné i legislativními změnami souvisejícími s výběrem daně.</w:t>
            </w:r>
            <w:r w:rsidR="00D726A9">
              <w:rPr>
                <w:color w:val="0D0D0D" w:themeColor="text1" w:themeTint="F2"/>
                <w:spacing w:val="-2"/>
              </w:rPr>
              <w:t xml:space="preserve"> V p</w:t>
            </w:r>
            <w:r w:rsidR="00D726A9" w:rsidRPr="005E4BC9">
              <w:rPr>
                <w:color w:val="0D0D0D" w:themeColor="text1" w:themeTint="F2"/>
                <w:spacing w:val="-2"/>
              </w:rPr>
              <w:t>rofesní</w:t>
            </w:r>
            <w:r w:rsidR="00D726A9">
              <w:rPr>
                <w:color w:val="0D0D0D" w:themeColor="text1" w:themeTint="F2"/>
                <w:spacing w:val="-2"/>
              </w:rPr>
              <w:t>ch, vědeckých a technických činnostech rostly tržby jen o 1,7 % především vlivem slabého růstu architektonických a</w:t>
            </w:r>
            <w:r w:rsidR="00D726A9">
              <w:rPr>
                <w:color w:val="0D0D0D" w:themeColor="text1" w:themeTint="F2"/>
                <w:spacing w:val="-4"/>
              </w:rPr>
              <w:t> </w:t>
            </w:r>
            <w:r w:rsidR="00D726A9">
              <w:rPr>
                <w:color w:val="0D0D0D" w:themeColor="text1" w:themeTint="F2"/>
                <w:spacing w:val="-2"/>
              </w:rPr>
              <w:t>inženýrských</w:t>
            </w:r>
            <w:r w:rsidR="00D726A9" w:rsidRPr="00AD4650">
              <w:rPr>
                <w:color w:val="0D0D0D" w:themeColor="text1" w:themeTint="F2"/>
                <w:spacing w:val="-2"/>
              </w:rPr>
              <w:t xml:space="preserve"> činnost</w:t>
            </w:r>
            <w:r w:rsidR="00D726A9">
              <w:rPr>
                <w:color w:val="0D0D0D" w:themeColor="text1" w:themeTint="F2"/>
                <w:spacing w:val="-2"/>
              </w:rPr>
              <w:t>í i poklesu tržeb za reklamu. Dařilo se naopak p</w:t>
            </w:r>
            <w:r w:rsidR="00D726A9" w:rsidRPr="00AD4650">
              <w:rPr>
                <w:color w:val="0D0D0D" w:themeColor="text1" w:themeTint="F2"/>
                <w:spacing w:val="-2"/>
              </w:rPr>
              <w:t>oradenství v</w:t>
            </w:r>
            <w:r w:rsidR="00D726A9">
              <w:rPr>
                <w:color w:val="0D0D0D" w:themeColor="text1" w:themeTint="F2"/>
                <w:spacing w:val="-4"/>
              </w:rPr>
              <w:t> </w:t>
            </w:r>
            <w:r w:rsidR="00D726A9" w:rsidRPr="00AD4650">
              <w:rPr>
                <w:color w:val="0D0D0D" w:themeColor="text1" w:themeTint="F2"/>
                <w:spacing w:val="-2"/>
              </w:rPr>
              <w:t>oblasti řízení</w:t>
            </w:r>
            <w:r w:rsidR="00D726A9">
              <w:rPr>
                <w:color w:val="0D0D0D" w:themeColor="text1" w:themeTint="F2"/>
                <w:spacing w:val="-2"/>
              </w:rPr>
              <w:t>, účetnickým a auditorským</w:t>
            </w:r>
            <w:r w:rsidR="00D726A9" w:rsidRPr="00AD4650">
              <w:rPr>
                <w:color w:val="0D0D0D" w:themeColor="text1" w:themeTint="F2"/>
                <w:spacing w:val="-2"/>
              </w:rPr>
              <w:t xml:space="preserve"> činnost</w:t>
            </w:r>
            <w:r w:rsidR="00D726A9">
              <w:rPr>
                <w:color w:val="0D0D0D" w:themeColor="text1" w:themeTint="F2"/>
                <w:spacing w:val="-2"/>
              </w:rPr>
              <w:t>em</w:t>
            </w:r>
            <w:r w:rsidR="00E4665D">
              <w:rPr>
                <w:color w:val="0D0D0D" w:themeColor="text1" w:themeTint="F2"/>
                <w:spacing w:val="-2"/>
              </w:rPr>
              <w:t>, daňovému poradenství</w:t>
            </w:r>
            <w:r w:rsidR="00D726A9">
              <w:rPr>
                <w:color w:val="0D0D0D" w:themeColor="text1" w:themeTint="F2"/>
                <w:spacing w:val="-2"/>
              </w:rPr>
              <w:t xml:space="preserve"> či průzkumu trhu a veřejného mínění. Růst tržeb administr</w:t>
            </w:r>
            <w:r w:rsidR="00E4665D">
              <w:rPr>
                <w:color w:val="0D0D0D" w:themeColor="text1" w:themeTint="F2"/>
                <w:spacing w:val="-2"/>
              </w:rPr>
              <w:t>ativních a podpůrných činností</w:t>
            </w:r>
            <w:r w:rsidR="00D726A9">
              <w:rPr>
                <w:color w:val="0D0D0D" w:themeColor="text1" w:themeTint="F2"/>
                <w:spacing w:val="-2"/>
              </w:rPr>
              <w:t xml:space="preserve"> (+3,3 %) byl tažen zejména č</w:t>
            </w:r>
            <w:r w:rsidR="00D726A9" w:rsidRPr="00AD4650">
              <w:rPr>
                <w:color w:val="0D0D0D" w:themeColor="text1" w:themeTint="F2"/>
                <w:spacing w:val="-2"/>
              </w:rPr>
              <w:t>innost</w:t>
            </w:r>
            <w:r w:rsidR="00D726A9">
              <w:rPr>
                <w:color w:val="0D0D0D" w:themeColor="text1" w:themeTint="F2"/>
                <w:spacing w:val="-2"/>
              </w:rPr>
              <w:t xml:space="preserve">mi v oblasti pronájmu </w:t>
            </w:r>
            <w:r w:rsidR="00D726A9" w:rsidRPr="00AD4650">
              <w:rPr>
                <w:color w:val="0D0D0D" w:themeColor="text1" w:themeTint="F2"/>
                <w:spacing w:val="-2"/>
              </w:rPr>
              <w:t>a operativního leasingu</w:t>
            </w:r>
            <w:r w:rsidR="00D726A9">
              <w:rPr>
                <w:color w:val="0D0D0D" w:themeColor="text1" w:themeTint="F2"/>
                <w:spacing w:val="-2"/>
              </w:rPr>
              <w:t>.</w:t>
            </w:r>
          </w:p>
        </w:tc>
      </w:tr>
      <w:tr w:rsidR="00D726A9" w:rsidRPr="00535F78" w:rsidTr="00D726A9">
        <w:trPr>
          <w:trHeight w:val="145"/>
        </w:trPr>
        <w:tc>
          <w:tcPr>
            <w:tcW w:w="1839" w:type="dxa"/>
            <w:shd w:val="clear" w:color="auto" w:fill="auto"/>
            <w:tcMar>
              <w:left w:w="0" w:type="dxa"/>
            </w:tcMar>
          </w:tcPr>
          <w:p w:rsidR="00D726A9" w:rsidRDefault="00D726A9" w:rsidP="0083630F">
            <w:pPr>
              <w:pStyle w:val="Marginlie"/>
            </w:pPr>
            <w:r>
              <w:lastRenderedPageBreak/>
              <w:t xml:space="preserve">Tempo růstu maloobchodních tržeb v průběhu roku mírně zvolňovalo, přesto zůstávalo vysoké, zejména v evropském srovnání. </w:t>
            </w:r>
          </w:p>
        </w:tc>
        <w:tc>
          <w:tcPr>
            <w:tcW w:w="233" w:type="dxa"/>
            <w:shd w:val="clear" w:color="auto" w:fill="auto"/>
            <w:tcMar>
              <w:left w:w="0" w:type="dxa"/>
            </w:tcMar>
          </w:tcPr>
          <w:p w:rsidR="00D726A9" w:rsidRDefault="00D726A9" w:rsidP="0083630F">
            <w:pPr>
              <w:pStyle w:val="Textpoznpodarou"/>
              <w:jc w:val="both"/>
              <w:rPr>
                <w:spacing w:val="-4"/>
              </w:rPr>
            </w:pPr>
          </w:p>
        </w:tc>
        <w:tc>
          <w:tcPr>
            <w:tcW w:w="7567" w:type="dxa"/>
            <w:shd w:val="clear" w:color="auto" w:fill="auto"/>
            <w:tcMar>
              <w:left w:w="0" w:type="dxa"/>
            </w:tcMar>
          </w:tcPr>
          <w:p w:rsidR="00601EEF" w:rsidRDefault="00D726A9">
            <w:pPr>
              <w:spacing w:after="200"/>
              <w:rPr>
                <w:spacing w:val="-4"/>
              </w:rPr>
            </w:pPr>
            <w:r>
              <w:rPr>
                <w:spacing w:val="-4"/>
              </w:rPr>
              <w:t xml:space="preserve">Svižný růst příjmů domácností doprovázený velmi optimistickou náladou spotřebitelů (jež dosáhla vrcholu na přelomu jarního a letního období) vyústil v 1. až 3. čtvrtletí v téměř 5% meziroční růst maloobchodních tržeb. Růstové tempo v průběhu roku mírně zvolňovalo, přesto bylo ve 3. čtvrtletí ve srovnání s EU skoro dvojnásobné. </w:t>
            </w:r>
            <w:r>
              <w:rPr>
                <w:color w:val="0D0D0D" w:themeColor="text1" w:themeTint="F2"/>
                <w:spacing w:val="-4"/>
              </w:rPr>
              <w:t xml:space="preserve">K růstu maloobchodu přispěl tradičně nejvíce prodej </w:t>
            </w:r>
            <w:proofErr w:type="spellStart"/>
            <w:r>
              <w:rPr>
                <w:color w:val="0D0D0D" w:themeColor="text1" w:themeTint="F2"/>
                <w:spacing w:val="-4"/>
              </w:rPr>
              <w:t>nepotravinářského</w:t>
            </w:r>
            <w:proofErr w:type="spellEnd"/>
            <w:r>
              <w:rPr>
                <w:color w:val="0D0D0D" w:themeColor="text1" w:themeTint="F2"/>
                <w:spacing w:val="-4"/>
              </w:rPr>
              <w:t xml:space="preserve"> zboží, jehož tempo za tři čtvrtletí činilo 7,3 %. Tržby rostly letos ve všech hlavních skupinách specializovaných prodejen. Dařilo se hlavně prodeji počítačového a komunikačního</w:t>
            </w:r>
            <w:r w:rsidRPr="00FA70D3">
              <w:rPr>
                <w:color w:val="0D0D0D" w:themeColor="text1" w:themeTint="F2"/>
                <w:spacing w:val="-4"/>
              </w:rPr>
              <w:t xml:space="preserve"> zařízení</w:t>
            </w:r>
            <w:r>
              <w:rPr>
                <w:color w:val="0D0D0D" w:themeColor="text1" w:themeTint="F2"/>
                <w:spacing w:val="-4"/>
              </w:rPr>
              <w:t>, kde rostly tržby dvojciferným tempem již druhým rokem v řadě. Naopak jen minimálního posílení dosáhl maloobchod s </w:t>
            </w:r>
            <w:r w:rsidRPr="00D02D00">
              <w:rPr>
                <w:color w:val="0D0D0D" w:themeColor="text1" w:themeTint="F2"/>
                <w:spacing w:val="-4"/>
              </w:rPr>
              <w:t>potravinami ve specializovaných prodejnách</w:t>
            </w:r>
            <w:r w:rsidR="00157CC9">
              <w:rPr>
                <w:color w:val="0D0D0D" w:themeColor="text1" w:themeTint="F2"/>
                <w:spacing w:val="-4"/>
              </w:rPr>
              <w:t xml:space="preserve"> (+0,3</w:t>
            </w:r>
            <w:r>
              <w:rPr>
                <w:color w:val="0D0D0D" w:themeColor="text1" w:themeTint="F2"/>
                <w:spacing w:val="-4"/>
              </w:rPr>
              <w:t xml:space="preserve"> %, o rok dříve +3,0 %).</w:t>
            </w:r>
          </w:p>
        </w:tc>
      </w:tr>
      <w:tr w:rsidR="00D726A9" w:rsidRPr="009110F7" w:rsidTr="00D726A9">
        <w:trPr>
          <w:trHeight w:val="145"/>
        </w:trPr>
        <w:tc>
          <w:tcPr>
            <w:tcW w:w="1839" w:type="dxa"/>
            <w:shd w:val="clear" w:color="auto" w:fill="auto"/>
            <w:tcMar>
              <w:left w:w="0" w:type="dxa"/>
            </w:tcMar>
          </w:tcPr>
          <w:p w:rsidR="00D726A9" w:rsidRPr="009110F7" w:rsidRDefault="00D726A9" w:rsidP="0089754C">
            <w:pPr>
              <w:pStyle w:val="Marginlie"/>
            </w:pPr>
          </w:p>
        </w:tc>
        <w:tc>
          <w:tcPr>
            <w:tcW w:w="233" w:type="dxa"/>
            <w:shd w:val="clear" w:color="auto" w:fill="auto"/>
            <w:tcMar>
              <w:left w:w="0" w:type="dxa"/>
            </w:tcMar>
          </w:tcPr>
          <w:p w:rsidR="00D726A9" w:rsidRPr="009110F7" w:rsidRDefault="00D726A9" w:rsidP="0089754C">
            <w:pPr>
              <w:pStyle w:val="Textpoznpodarou"/>
              <w:jc w:val="both"/>
              <w:rPr>
                <w:spacing w:val="-4"/>
              </w:rPr>
            </w:pPr>
          </w:p>
        </w:tc>
        <w:tc>
          <w:tcPr>
            <w:tcW w:w="7567" w:type="dxa"/>
            <w:shd w:val="clear" w:color="auto" w:fill="auto"/>
            <w:tcMar>
              <w:left w:w="0" w:type="dxa"/>
            </w:tcMar>
          </w:tcPr>
          <w:p w:rsidR="00D726A9" w:rsidRPr="00A925B1" w:rsidRDefault="00D726A9" w:rsidP="00A925B1">
            <w:pPr>
              <w:spacing w:after="0" w:line="240" w:lineRule="auto"/>
              <w:rPr>
                <w:b/>
                <w:spacing w:val="-4"/>
              </w:rPr>
            </w:pPr>
            <w:r w:rsidRPr="00A925B1">
              <w:rPr>
                <w:b/>
                <w:spacing w:val="-4"/>
              </w:rPr>
              <w:t xml:space="preserve">Graf </w:t>
            </w:r>
            <w:proofErr w:type="gramStart"/>
            <w:r w:rsidRPr="00A925B1">
              <w:rPr>
                <w:b/>
                <w:spacing w:val="-4"/>
              </w:rPr>
              <w:t>č. 9  Tržby</w:t>
            </w:r>
            <w:proofErr w:type="gramEnd"/>
            <w:r w:rsidRPr="00A925B1">
              <w:rPr>
                <w:b/>
                <w:spacing w:val="-4"/>
              </w:rPr>
              <w:t xml:space="preserve"> za maloobchod a prodej a opravy motorových vozidel</w:t>
            </w:r>
          </w:p>
          <w:p w:rsidR="00D726A9" w:rsidRPr="00A925B1" w:rsidRDefault="00D726A9" w:rsidP="0089754C">
            <w:pPr>
              <w:spacing w:after="0"/>
              <w:rPr>
                <w:spacing w:val="-4"/>
              </w:rPr>
            </w:pPr>
            <w:r w:rsidRPr="00A925B1">
              <w:rPr>
                <w:spacing w:val="-4"/>
              </w:rPr>
              <w:t>(reálně, očištěno od vlivu počtu pracovních dnů, meziročně v %)</w:t>
            </w:r>
          </w:p>
        </w:tc>
      </w:tr>
      <w:tr w:rsidR="00D726A9" w:rsidRPr="009110F7" w:rsidTr="00D726A9">
        <w:trPr>
          <w:trHeight w:val="145"/>
        </w:trPr>
        <w:tc>
          <w:tcPr>
            <w:tcW w:w="1839" w:type="dxa"/>
            <w:shd w:val="clear" w:color="auto" w:fill="auto"/>
            <w:tcMar>
              <w:left w:w="0" w:type="dxa"/>
            </w:tcMar>
          </w:tcPr>
          <w:p w:rsidR="00D726A9" w:rsidRPr="009110F7" w:rsidRDefault="00D726A9" w:rsidP="0089754C">
            <w:pPr>
              <w:pStyle w:val="Marginlie"/>
            </w:pPr>
          </w:p>
        </w:tc>
        <w:tc>
          <w:tcPr>
            <w:tcW w:w="233" w:type="dxa"/>
            <w:shd w:val="clear" w:color="auto" w:fill="auto"/>
            <w:tcMar>
              <w:left w:w="0" w:type="dxa"/>
            </w:tcMar>
          </w:tcPr>
          <w:p w:rsidR="00D726A9" w:rsidRPr="009110F7" w:rsidRDefault="00D726A9" w:rsidP="0089754C">
            <w:pPr>
              <w:pStyle w:val="Textpoznpodarou"/>
              <w:jc w:val="both"/>
              <w:rPr>
                <w:spacing w:val="-4"/>
              </w:rPr>
            </w:pPr>
          </w:p>
        </w:tc>
        <w:tc>
          <w:tcPr>
            <w:tcW w:w="7567" w:type="dxa"/>
            <w:shd w:val="clear" w:color="auto" w:fill="auto"/>
            <w:tcMar>
              <w:left w:w="0" w:type="dxa"/>
            </w:tcMar>
          </w:tcPr>
          <w:p w:rsidR="00D726A9" w:rsidRPr="00A925B1" w:rsidRDefault="002A603E" w:rsidP="0089754C">
            <w:pPr>
              <w:spacing w:after="0"/>
              <w:rPr>
                <w:spacing w:val="-4"/>
              </w:rPr>
            </w:pPr>
            <w:r>
              <w:rPr>
                <w:noProof/>
                <w:spacing w:val="-4"/>
              </w:rPr>
              <w:drawing>
                <wp:inline distT="0" distB="0" distL="0" distR="0">
                  <wp:extent cx="4732935" cy="3364992"/>
                  <wp:effectExtent l="1905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726A9" w:rsidRPr="009110F7" w:rsidTr="00D726A9">
        <w:trPr>
          <w:trHeight w:val="145"/>
        </w:trPr>
        <w:tc>
          <w:tcPr>
            <w:tcW w:w="1839" w:type="dxa"/>
            <w:shd w:val="clear" w:color="auto" w:fill="auto"/>
            <w:tcMar>
              <w:left w:w="0" w:type="dxa"/>
            </w:tcMar>
          </w:tcPr>
          <w:p w:rsidR="00D726A9" w:rsidRPr="009110F7" w:rsidRDefault="00D726A9" w:rsidP="0089754C">
            <w:pPr>
              <w:pStyle w:val="Marginlie"/>
            </w:pPr>
          </w:p>
        </w:tc>
        <w:tc>
          <w:tcPr>
            <w:tcW w:w="233" w:type="dxa"/>
            <w:shd w:val="clear" w:color="auto" w:fill="auto"/>
            <w:tcMar>
              <w:left w:w="0" w:type="dxa"/>
            </w:tcMar>
          </w:tcPr>
          <w:p w:rsidR="00D726A9" w:rsidRPr="009110F7" w:rsidRDefault="00D726A9" w:rsidP="0089754C">
            <w:pPr>
              <w:pStyle w:val="Textpoznpodarou"/>
              <w:jc w:val="both"/>
              <w:rPr>
                <w:spacing w:val="-4"/>
              </w:rPr>
            </w:pPr>
          </w:p>
        </w:tc>
        <w:tc>
          <w:tcPr>
            <w:tcW w:w="7567" w:type="dxa"/>
            <w:shd w:val="clear" w:color="auto" w:fill="auto"/>
            <w:tcMar>
              <w:left w:w="0" w:type="dxa"/>
            </w:tcMar>
          </w:tcPr>
          <w:p w:rsidR="00D726A9" w:rsidRPr="00A925B1" w:rsidRDefault="00D726A9" w:rsidP="00A925B1">
            <w:pPr>
              <w:spacing w:after="0"/>
              <w:rPr>
                <w:spacing w:val="-4"/>
                <w:sz w:val="14"/>
                <w:szCs w:val="14"/>
              </w:rPr>
            </w:pPr>
            <w:r w:rsidRPr="00A925B1">
              <w:rPr>
                <w:spacing w:val="-4"/>
                <w:sz w:val="14"/>
                <w:szCs w:val="14"/>
              </w:rPr>
              <w:t>Zdroj: ČSÚ</w:t>
            </w:r>
          </w:p>
        </w:tc>
      </w:tr>
    </w:tbl>
    <w:p w:rsidR="0083630F" w:rsidRPr="0083630F" w:rsidRDefault="0083630F" w:rsidP="00D7397C">
      <w:pPr>
        <w:pStyle w:val="Nadpis11"/>
        <w:rPr>
          <w:sz w:val="2"/>
          <w:szCs w:val="2"/>
        </w:rPr>
      </w:pPr>
    </w:p>
    <w:p w:rsidR="00A50D73" w:rsidRPr="009110F7" w:rsidRDefault="00A50D73" w:rsidP="00E1444C">
      <w:pPr>
        <w:rPr>
          <w:sz w:val="2"/>
          <w:szCs w:val="2"/>
        </w:rPr>
      </w:pPr>
    </w:p>
    <w:sectPr w:rsidR="00A50D73" w:rsidRPr="009110F7" w:rsidSect="00D7397C">
      <w:headerReference w:type="even" r:id="rId14"/>
      <w:headerReference w:type="default" r:id="rId15"/>
      <w:footerReference w:type="even" r:id="rId16"/>
      <w:footerReference w:type="default" r:id="rId17"/>
      <w:pgSz w:w="11906" w:h="16838" w:code="9"/>
      <w:pgMar w:top="1134" w:right="1134" w:bottom="1418" w:left="1134" w:header="680" w:footer="737" w:gutter="0"/>
      <w:pgNumType w:start="9"/>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2CEEF" w15:done="0"/>
  <w15:commentEx w15:paraId="510EBE5F" w15:done="0"/>
  <w15:commentEx w15:paraId="2BBC27AD" w15:done="0"/>
  <w15:commentEx w15:paraId="64F0BE47" w15:done="0"/>
  <w15:commentEx w15:paraId="061FEE45" w15:done="0"/>
  <w15:commentEx w15:paraId="180AB565" w15:done="0"/>
  <w15:commentEx w15:paraId="4FDB8EDF" w15:done="0"/>
  <w15:commentEx w15:paraId="6709F746" w15:done="0"/>
  <w15:commentEx w15:paraId="2323FC13" w15:done="0"/>
  <w15:commentEx w15:paraId="28C26757" w15:done="0"/>
  <w15:commentEx w15:paraId="28F690F6" w15:done="0"/>
  <w15:commentEx w15:paraId="72A0F35B" w15:done="0"/>
  <w15:commentEx w15:paraId="17D51B1D" w15:done="0"/>
  <w15:commentEx w15:paraId="1905EDB9" w15:done="0"/>
  <w15:commentEx w15:paraId="769B3E23" w15:done="0"/>
  <w15:commentEx w15:paraId="4941CE09" w15:done="0"/>
  <w15:commentEx w15:paraId="3F6235A8" w15:done="0"/>
  <w15:commentEx w15:paraId="57663E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2CEEF" w16cid:durableId="1FBE60B2"/>
  <w16cid:commentId w16cid:paraId="510EBE5F" w16cid:durableId="1FBE6564"/>
  <w16cid:commentId w16cid:paraId="2BBC27AD" w16cid:durableId="1FBE6E48"/>
  <w16cid:commentId w16cid:paraId="64F0BE47" w16cid:durableId="1FBE7339"/>
  <w16cid:commentId w16cid:paraId="061FEE45" w16cid:durableId="1FBE868D"/>
  <w16cid:commentId w16cid:paraId="180AB565" w16cid:durableId="1FBE8A4D"/>
  <w16cid:commentId w16cid:paraId="4FDB8EDF" w16cid:durableId="1FBE88D5"/>
  <w16cid:commentId w16cid:paraId="6709F746" w16cid:durableId="1FBE975B"/>
  <w16cid:commentId w16cid:paraId="2323FC13" w16cid:durableId="1FBE984D"/>
  <w16cid:commentId w16cid:paraId="28C26757" w16cid:durableId="1FBE9A64"/>
  <w16cid:commentId w16cid:paraId="28F690F6" w16cid:durableId="1FBEA05F"/>
  <w16cid:commentId w16cid:paraId="72A0F35B" w16cid:durableId="1FBF3BF8"/>
  <w16cid:commentId w16cid:paraId="17D51B1D" w16cid:durableId="1FBF3D1F"/>
  <w16cid:commentId w16cid:paraId="1905EDB9" w16cid:durableId="1FBFAD59"/>
  <w16cid:commentId w16cid:paraId="769B3E23" w16cid:durableId="1FBFC02F"/>
  <w16cid:commentId w16cid:paraId="4941CE09" w16cid:durableId="1FBFC811"/>
  <w16cid:commentId w16cid:paraId="3F6235A8" w16cid:durableId="1FC0B704"/>
  <w16cid:commentId w16cid:paraId="57663EE7" w16cid:durableId="1FC114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FE9" w:rsidRDefault="009D4FE9" w:rsidP="00E71A58">
      <w:r>
        <w:separator/>
      </w:r>
    </w:p>
  </w:endnote>
  <w:endnote w:type="continuationSeparator" w:id="0">
    <w:p w:rsidR="009D4FE9" w:rsidRDefault="009D4FE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Pr="00932443" w:rsidRDefault="00157CC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AB50F8" w:rsidRPr="00932443">
      <w:rPr>
        <w:szCs w:val="16"/>
      </w:rPr>
      <w:fldChar w:fldCharType="begin"/>
    </w:r>
    <w:r w:rsidRPr="00932443">
      <w:rPr>
        <w:szCs w:val="16"/>
      </w:rPr>
      <w:instrText>PAGE   \* MERGEFORMAT</w:instrText>
    </w:r>
    <w:r w:rsidR="00AB50F8" w:rsidRPr="00932443">
      <w:rPr>
        <w:szCs w:val="16"/>
      </w:rPr>
      <w:fldChar w:fldCharType="separate"/>
    </w:r>
    <w:r w:rsidR="00D7397C">
      <w:rPr>
        <w:szCs w:val="16"/>
      </w:rPr>
      <w:t>10</w:t>
    </w:r>
    <w:r w:rsidR="00AB50F8" w:rsidRPr="00932443">
      <w:rPr>
        <w:szCs w:val="16"/>
      </w:rPr>
      <w:fldChar w:fldCharType="end"/>
    </w:r>
    <w:r w:rsidRPr="00932443">
      <w:rPr>
        <w:szCs w:val="16"/>
      </w:rPr>
      <w:tab/>
    </w:r>
    <w:r>
      <w:t>1. až 3. čtvrtletí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Pr="00932443" w:rsidRDefault="00157CC9"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6"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t>1. až 3. čtvrtletí 2018</w:t>
    </w:r>
    <w:r w:rsidRPr="00932443">
      <w:rPr>
        <w:szCs w:val="16"/>
      </w:rPr>
      <w:tab/>
    </w:r>
    <w:r w:rsidR="00AB50F8" w:rsidRPr="00932443">
      <w:rPr>
        <w:rStyle w:val="ZpatChar"/>
        <w:szCs w:val="16"/>
      </w:rPr>
      <w:fldChar w:fldCharType="begin"/>
    </w:r>
    <w:r w:rsidRPr="00932443">
      <w:rPr>
        <w:rStyle w:val="ZpatChar"/>
        <w:szCs w:val="16"/>
      </w:rPr>
      <w:instrText>PAGE   \* MERGEFORMAT</w:instrText>
    </w:r>
    <w:r w:rsidR="00AB50F8" w:rsidRPr="00932443">
      <w:rPr>
        <w:rStyle w:val="ZpatChar"/>
        <w:szCs w:val="16"/>
      </w:rPr>
      <w:fldChar w:fldCharType="separate"/>
    </w:r>
    <w:r w:rsidR="00D7397C">
      <w:rPr>
        <w:rStyle w:val="ZpatChar"/>
        <w:szCs w:val="16"/>
      </w:rPr>
      <w:t>9</w:t>
    </w:r>
    <w:r w:rsidR="00AB50F8"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FE9" w:rsidRDefault="009D4FE9" w:rsidP="00E71A58">
      <w:r>
        <w:separator/>
      </w:r>
    </w:p>
  </w:footnote>
  <w:footnote w:type="continuationSeparator" w:id="0">
    <w:p w:rsidR="009D4FE9" w:rsidRDefault="009D4FE9" w:rsidP="00E71A58">
      <w:r>
        <w:continuationSeparator/>
      </w:r>
    </w:p>
  </w:footnote>
  <w:footnote w:id="1">
    <w:p w:rsidR="00157CC9" w:rsidRPr="00FB58F4" w:rsidRDefault="00157CC9" w:rsidP="0083630F">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 HPH jsou vyjádřeny ve stálých cenách a v očištění o sezónní a kalendářní vlivy.</w:t>
      </w:r>
    </w:p>
  </w:footnote>
  <w:footnote w:id="2">
    <w:p w:rsidR="00157CC9" w:rsidRPr="00FB58F4" w:rsidRDefault="00157CC9" w:rsidP="0083630F">
      <w:pPr>
        <w:pStyle w:val="Textpoznpodarou"/>
        <w:jc w:val="both"/>
        <w:rPr>
          <w:rFonts w:cs="Arial"/>
          <w:color w:val="0D0D0D" w:themeColor="text1" w:themeTint="F2"/>
          <w:sz w:val="16"/>
          <w:szCs w:val="16"/>
        </w:rPr>
      </w:pPr>
      <w:r w:rsidRPr="00FB58F4">
        <w:rPr>
          <w:rStyle w:val="Znakapoznpodarou"/>
          <w:rFonts w:cs="Arial"/>
          <w:color w:val="0D0D0D" w:themeColor="text1" w:themeTint="F2"/>
          <w:sz w:val="16"/>
          <w:szCs w:val="16"/>
        </w:rPr>
        <w:footnoteRef/>
      </w:r>
      <w:r w:rsidRPr="00FB58F4">
        <w:rPr>
          <w:rFonts w:cs="Arial"/>
          <w:color w:val="0D0D0D" w:themeColor="text1" w:themeTint="F2"/>
          <w:sz w:val="16"/>
          <w:szCs w:val="16"/>
        </w:rPr>
        <w:t xml:space="preserve"> Méně příznivý vývoj byl z pohledu tuzemského hospodářství patrný především v některých klíčových exportních destinacích. Tempo HPH v německé ekonomice oslabovalo již od konce loňského roku a ve 3. čtvrtletí docílilo </w:t>
      </w:r>
      <w:r>
        <w:rPr>
          <w:rFonts w:cs="Arial"/>
          <w:color w:val="0D0D0D" w:themeColor="text1" w:themeTint="F2"/>
          <w:sz w:val="16"/>
          <w:szCs w:val="16"/>
        </w:rPr>
        <w:t xml:space="preserve">nejslabšího </w:t>
      </w:r>
      <w:proofErr w:type="spellStart"/>
      <w:r>
        <w:rPr>
          <w:rFonts w:cs="Arial"/>
          <w:color w:val="0D0D0D" w:themeColor="text1" w:themeTint="F2"/>
          <w:sz w:val="16"/>
          <w:szCs w:val="16"/>
        </w:rPr>
        <w:t>mezikvartálního</w:t>
      </w:r>
      <w:proofErr w:type="spellEnd"/>
      <w:r>
        <w:rPr>
          <w:rFonts w:cs="Arial"/>
          <w:color w:val="0D0D0D" w:themeColor="text1" w:themeTint="F2"/>
          <w:sz w:val="16"/>
          <w:szCs w:val="16"/>
        </w:rPr>
        <w:t xml:space="preserve"> </w:t>
      </w:r>
      <w:proofErr w:type="gramStart"/>
      <w:r>
        <w:rPr>
          <w:rFonts w:cs="Arial"/>
          <w:color w:val="0D0D0D" w:themeColor="text1" w:themeTint="F2"/>
          <w:sz w:val="16"/>
          <w:szCs w:val="16"/>
        </w:rPr>
        <w:t>výsledku</w:t>
      </w:r>
      <w:r>
        <w:rPr>
          <w:rFonts w:cs="Arial"/>
          <w:color w:val="0D0D0D" w:themeColor="text1" w:themeTint="F2"/>
          <w:sz w:val="16"/>
          <w:szCs w:val="16"/>
        </w:rPr>
        <w:br/>
      </w:r>
      <w:r w:rsidRPr="00FB58F4">
        <w:rPr>
          <w:rFonts w:cs="Arial"/>
          <w:color w:val="0D0D0D" w:themeColor="text1" w:themeTint="F2"/>
          <w:sz w:val="16"/>
          <w:szCs w:val="16"/>
        </w:rPr>
        <w:t>(</w:t>
      </w:r>
      <w:r>
        <w:rPr>
          <w:rFonts w:cs="Arial"/>
          <w:color w:val="0D0D0D" w:themeColor="text1" w:themeTint="F2"/>
          <w:sz w:val="16"/>
          <w:szCs w:val="16"/>
        </w:rPr>
        <w:t>–</w:t>
      </w:r>
      <w:r w:rsidRPr="00FB58F4">
        <w:rPr>
          <w:rFonts w:cs="Arial"/>
          <w:color w:val="0D0D0D" w:themeColor="text1" w:themeTint="F2"/>
          <w:sz w:val="16"/>
          <w:szCs w:val="16"/>
        </w:rPr>
        <w:t>0,1</w:t>
      </w:r>
      <w:proofErr w:type="gramEnd"/>
      <w:r>
        <w:rPr>
          <w:rFonts w:cs="Arial"/>
          <w:color w:val="0D0D0D" w:themeColor="text1" w:themeTint="F2"/>
          <w:sz w:val="16"/>
          <w:szCs w:val="16"/>
        </w:rPr>
        <w:t> </w:t>
      </w:r>
      <w:r w:rsidRPr="00FB58F4">
        <w:rPr>
          <w:rFonts w:cs="Arial"/>
          <w:color w:val="0D0D0D" w:themeColor="text1" w:themeTint="F2"/>
          <w:sz w:val="16"/>
          <w:szCs w:val="16"/>
        </w:rPr>
        <w:t>%) za tři a půl roku. Stejného tempa růstu HPH dosáhla v tomto období také italská ekonomika. Zvolnění růstu bylo patrné v</w:t>
      </w:r>
      <w:r>
        <w:rPr>
          <w:rFonts w:cs="Arial"/>
          <w:color w:val="0D0D0D" w:themeColor="text1" w:themeTint="F2"/>
          <w:sz w:val="16"/>
          <w:szCs w:val="16"/>
        </w:rPr>
        <w:t> </w:t>
      </w:r>
      <w:r w:rsidRPr="00FB58F4">
        <w:rPr>
          <w:rFonts w:cs="Arial"/>
          <w:color w:val="0D0D0D" w:themeColor="text1" w:themeTint="F2"/>
          <w:sz w:val="16"/>
          <w:szCs w:val="16"/>
        </w:rPr>
        <w:t>celé</w:t>
      </w:r>
      <w:r>
        <w:rPr>
          <w:rFonts w:cs="Arial"/>
          <w:color w:val="0D0D0D" w:themeColor="text1" w:themeTint="F2"/>
          <w:sz w:val="16"/>
          <w:szCs w:val="16"/>
        </w:rPr>
        <w:t> </w:t>
      </w:r>
      <w:r w:rsidRPr="00FB58F4">
        <w:rPr>
          <w:rFonts w:cs="Arial"/>
          <w:color w:val="0D0D0D" w:themeColor="text1" w:themeTint="F2"/>
          <w:sz w:val="16"/>
          <w:szCs w:val="16"/>
        </w:rPr>
        <w:t>EU.</w:t>
      </w:r>
    </w:p>
  </w:footnote>
  <w:footnote w:id="3">
    <w:p w:rsidR="00157CC9" w:rsidRPr="00FB58F4" w:rsidRDefault="00157CC9" w:rsidP="0083630F">
      <w:pPr>
        <w:pStyle w:val="Textpoznpodarou"/>
        <w:jc w:val="both"/>
        <w:rPr>
          <w:rFonts w:cs="Arial"/>
          <w:color w:val="0D0D0D" w:themeColor="text1" w:themeTint="F2"/>
          <w:sz w:val="16"/>
          <w:szCs w:val="16"/>
        </w:rPr>
      </w:pPr>
      <w:r w:rsidRPr="00FB58F4">
        <w:rPr>
          <w:rStyle w:val="Znakapoznpodarou"/>
          <w:rFonts w:cs="Arial"/>
          <w:color w:val="0D0D0D" w:themeColor="text1" w:themeTint="F2"/>
          <w:sz w:val="16"/>
          <w:szCs w:val="16"/>
        </w:rPr>
        <w:footnoteRef/>
      </w:r>
      <w:r w:rsidRPr="00FB58F4">
        <w:rPr>
          <w:rFonts w:cs="Arial"/>
          <w:color w:val="0D0D0D" w:themeColor="text1" w:themeTint="F2"/>
          <w:sz w:val="16"/>
          <w:szCs w:val="16"/>
        </w:rPr>
        <w:t xml:space="preserve"> Vedle toho signalizoval letos (i vloni) mírný pokles </w:t>
      </w:r>
      <w:r>
        <w:rPr>
          <w:rFonts w:cs="Arial"/>
          <w:color w:val="0D0D0D" w:themeColor="text1" w:themeTint="F2"/>
          <w:sz w:val="16"/>
          <w:szCs w:val="16"/>
        </w:rPr>
        <w:t xml:space="preserve">hrubé </w:t>
      </w:r>
      <w:r w:rsidRPr="00FB58F4">
        <w:rPr>
          <w:rFonts w:cs="Arial"/>
          <w:color w:val="0D0D0D" w:themeColor="text1" w:themeTint="F2"/>
          <w:sz w:val="16"/>
          <w:szCs w:val="16"/>
        </w:rPr>
        <w:t>přidané hodnoty váhově okrajový segment služeb – ostatní činnosti. Zahrnuje hlavně kulturní, zábavní a rekreační činnosti, ale také např. i opravy počítačů a výrobků pro osobní potřebu a převážně pro domácnost.</w:t>
      </w:r>
    </w:p>
  </w:footnote>
  <w:footnote w:id="4">
    <w:p w:rsidR="00157CC9" w:rsidRPr="00FB58F4" w:rsidRDefault="00157CC9" w:rsidP="0083630F">
      <w:pPr>
        <w:pStyle w:val="Textpoznpodarou"/>
        <w:jc w:val="both"/>
        <w:rPr>
          <w:rFonts w:cs="Arial"/>
          <w:color w:val="0D0D0D" w:themeColor="text1" w:themeTint="F2"/>
          <w:sz w:val="16"/>
          <w:szCs w:val="16"/>
        </w:rPr>
      </w:pPr>
      <w:r w:rsidRPr="00FB58F4">
        <w:rPr>
          <w:rStyle w:val="Znakapoznpodarou"/>
          <w:rFonts w:cs="Arial"/>
          <w:color w:val="0D0D0D" w:themeColor="text1" w:themeTint="F2"/>
          <w:sz w:val="16"/>
          <w:szCs w:val="16"/>
        </w:rPr>
        <w:footnoteRef/>
      </w:r>
      <w:r w:rsidRPr="00FB58F4">
        <w:rPr>
          <w:rFonts w:cs="Arial"/>
          <w:color w:val="0D0D0D" w:themeColor="text1" w:themeTint="F2"/>
          <w:sz w:val="16"/>
          <w:szCs w:val="16"/>
        </w:rPr>
        <w:t xml:space="preserve"> Celková letošní sklizeň obilovin (dle odhadu z 15. září) činila 6,86 mil. tun. Meziročně klesla o 8 %, oproti průměru let 2008 </w:t>
      </w:r>
      <w:r>
        <w:rPr>
          <w:rFonts w:cs="Arial"/>
          <w:color w:val="0D0D0D" w:themeColor="text1" w:themeTint="F2"/>
          <w:sz w:val="16"/>
          <w:szCs w:val="16"/>
        </w:rPr>
        <w:t>až</w:t>
      </w:r>
      <w:r w:rsidRPr="00FB58F4">
        <w:rPr>
          <w:rFonts w:cs="Arial"/>
          <w:color w:val="0D0D0D" w:themeColor="text1" w:themeTint="F2"/>
          <w:sz w:val="16"/>
          <w:szCs w:val="16"/>
        </w:rPr>
        <w:t xml:space="preserve"> 2017 pak o 13 %. Naopak sklizeň některých druhů ovoce patřila v historii samostatné ČR k rekordním (švestky, vlašské ořechy).</w:t>
      </w:r>
    </w:p>
  </w:footnote>
  <w:footnote w:id="5">
    <w:p w:rsidR="00157CC9" w:rsidRPr="00FB58F4" w:rsidRDefault="00157CC9" w:rsidP="0083630F">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Zahrnutá odvětví: </w:t>
      </w:r>
      <w:r>
        <w:rPr>
          <w:rFonts w:cs="Arial"/>
          <w:color w:val="0D0D0D" w:themeColor="text1" w:themeTint="F2"/>
          <w:spacing w:val="-2"/>
          <w:sz w:val="16"/>
          <w:szCs w:val="16"/>
        </w:rPr>
        <w:t>t</w:t>
      </w:r>
      <w:r w:rsidRPr="00FB58F4">
        <w:rPr>
          <w:rFonts w:cs="Arial"/>
          <w:color w:val="0D0D0D" w:themeColor="text1" w:themeTint="F2"/>
          <w:spacing w:val="-2"/>
          <w:sz w:val="16"/>
          <w:szCs w:val="16"/>
        </w:rPr>
        <w:t xml:space="preserve">ěžba a dobývání, </w:t>
      </w:r>
      <w:r>
        <w:rPr>
          <w:rFonts w:cs="Arial"/>
          <w:color w:val="0D0D0D" w:themeColor="text1" w:themeTint="F2"/>
          <w:spacing w:val="-2"/>
          <w:sz w:val="16"/>
          <w:szCs w:val="16"/>
        </w:rPr>
        <w:t>z</w:t>
      </w:r>
      <w:r w:rsidRPr="00FB58F4">
        <w:rPr>
          <w:rFonts w:cs="Arial"/>
          <w:color w:val="0D0D0D" w:themeColor="text1" w:themeTint="F2"/>
          <w:spacing w:val="-2"/>
          <w:sz w:val="16"/>
          <w:szCs w:val="16"/>
        </w:rPr>
        <w:t xml:space="preserve">pracovatelský průmysl, </w:t>
      </w:r>
      <w:r>
        <w:rPr>
          <w:rFonts w:cs="Arial"/>
          <w:color w:val="0D0D0D" w:themeColor="text1" w:themeTint="F2"/>
          <w:spacing w:val="-2"/>
          <w:sz w:val="16"/>
          <w:szCs w:val="16"/>
        </w:rPr>
        <w:t>e</w:t>
      </w:r>
      <w:r w:rsidRPr="00FB58F4">
        <w:rPr>
          <w:rFonts w:cs="Arial"/>
          <w:color w:val="0D0D0D" w:themeColor="text1" w:themeTint="F2"/>
          <w:spacing w:val="-2"/>
          <w:sz w:val="16"/>
          <w:szCs w:val="16"/>
        </w:rPr>
        <w:t>nergetika. Všechna meziroční tempa produkce (na úrovni odvětvových sekcí i oddílů) jsou očištěna o kalendářní vlivy. Mezičtvrtletní tempa pak kromě toho také o vliv sezónnosti.</w:t>
      </w:r>
    </w:p>
  </w:footnote>
  <w:footnote w:id="6">
    <w:p w:rsidR="00157CC9" w:rsidRPr="00FB58F4" w:rsidRDefault="00157CC9" w:rsidP="0083630F">
      <w:pPr>
        <w:pStyle w:val="Textpoznpodarou"/>
        <w:jc w:val="both"/>
        <w:rPr>
          <w:rFonts w:cs="Arial"/>
          <w:color w:val="0D0D0D" w:themeColor="text1" w:themeTint="F2"/>
          <w:spacing w:val="-3"/>
          <w:sz w:val="16"/>
          <w:szCs w:val="16"/>
        </w:rPr>
      </w:pPr>
      <w:r w:rsidRPr="00FB58F4">
        <w:rPr>
          <w:rStyle w:val="Znakapoznpodarou"/>
          <w:rFonts w:cs="Arial"/>
          <w:color w:val="0D0D0D" w:themeColor="text1" w:themeTint="F2"/>
          <w:sz w:val="16"/>
          <w:szCs w:val="16"/>
        </w:rPr>
        <w:footnoteRef/>
      </w:r>
      <w:r w:rsidRPr="00FB58F4">
        <w:rPr>
          <w:rFonts w:cs="Arial"/>
          <w:color w:val="0D0D0D" w:themeColor="text1" w:themeTint="F2"/>
          <w:sz w:val="16"/>
          <w:szCs w:val="16"/>
        </w:rPr>
        <w:t xml:space="preserve"> </w:t>
      </w:r>
      <w:r w:rsidRPr="00FB58F4">
        <w:rPr>
          <w:rFonts w:cs="Arial"/>
          <w:color w:val="0D0D0D" w:themeColor="text1" w:themeTint="F2"/>
          <w:spacing w:val="-3"/>
          <w:sz w:val="16"/>
          <w:szCs w:val="16"/>
        </w:rPr>
        <w:t>V 1. až 3. čtvrtletí 2018 bylo ve srovnání se stejným obdobím roku 2017 o jeden pracovní den méně. Bez očištění o tento vliv či</w:t>
      </w:r>
      <w:r>
        <w:rPr>
          <w:rFonts w:cs="Arial"/>
          <w:color w:val="0D0D0D" w:themeColor="text1" w:themeTint="F2"/>
          <w:spacing w:val="-3"/>
          <w:sz w:val="16"/>
          <w:szCs w:val="16"/>
        </w:rPr>
        <w:t>nil letos meziroční růst jen 2,8</w:t>
      </w:r>
      <w:r w:rsidRPr="00FB58F4">
        <w:rPr>
          <w:rFonts w:cs="Arial"/>
          <w:color w:val="0D0D0D" w:themeColor="text1" w:themeTint="F2"/>
          <w:spacing w:val="-3"/>
          <w:sz w:val="16"/>
          <w:szCs w:val="16"/>
        </w:rPr>
        <w:t xml:space="preserve"> %</w:t>
      </w:r>
      <w:r>
        <w:rPr>
          <w:rFonts w:cs="Arial"/>
          <w:color w:val="0D0D0D" w:themeColor="text1" w:themeTint="F2"/>
          <w:spacing w:val="-3"/>
          <w:sz w:val="16"/>
          <w:szCs w:val="16"/>
        </w:rPr>
        <w:t>.</w:t>
      </w:r>
    </w:p>
  </w:footnote>
  <w:footnote w:id="7">
    <w:p w:rsidR="00157CC9" w:rsidRPr="0000313D" w:rsidRDefault="00157CC9" w:rsidP="0083630F">
      <w:pPr>
        <w:pStyle w:val="Textpoznpodarou"/>
        <w:jc w:val="both"/>
        <w:rPr>
          <w:sz w:val="16"/>
          <w:szCs w:val="16"/>
        </w:rPr>
      </w:pPr>
      <w:r w:rsidRPr="00FB58F4">
        <w:rPr>
          <w:rStyle w:val="Znakapoznpodarou"/>
          <w:rFonts w:cs="Arial"/>
          <w:color w:val="0D0D0D" w:themeColor="text1" w:themeTint="F2"/>
          <w:sz w:val="16"/>
          <w:szCs w:val="16"/>
        </w:rPr>
        <w:footnoteRef/>
      </w:r>
      <w:r w:rsidRPr="00FB58F4">
        <w:rPr>
          <w:rFonts w:cs="Arial"/>
          <w:color w:val="0D0D0D" w:themeColor="text1" w:themeTint="F2"/>
          <w:sz w:val="16"/>
          <w:szCs w:val="16"/>
        </w:rPr>
        <w:t xml:space="preserve"> Produkce v tomto odvětví v 1. až 3. čtvrtle</w:t>
      </w:r>
      <w:r>
        <w:rPr>
          <w:rFonts w:cs="Arial"/>
          <w:color w:val="0D0D0D" w:themeColor="text1" w:themeTint="F2"/>
          <w:sz w:val="16"/>
          <w:szCs w:val="16"/>
        </w:rPr>
        <w:t>tí 2018 meziročně posílila o 1,7</w:t>
      </w:r>
      <w:r w:rsidRPr="00FB58F4">
        <w:rPr>
          <w:rFonts w:cs="Arial"/>
          <w:color w:val="0D0D0D" w:themeColor="text1" w:themeTint="F2"/>
          <w:sz w:val="16"/>
          <w:szCs w:val="16"/>
        </w:rPr>
        <w:t xml:space="preserve"> %, ve stejném období loňského roku pak </w:t>
      </w:r>
      <w:r>
        <w:rPr>
          <w:rFonts w:cs="Arial"/>
          <w:color w:val="0D0D0D" w:themeColor="text1" w:themeTint="F2"/>
          <w:sz w:val="16"/>
          <w:szCs w:val="16"/>
        </w:rPr>
        <w:t>o </w:t>
      </w:r>
      <w:r w:rsidRPr="00FB58F4">
        <w:rPr>
          <w:rFonts w:cs="Arial"/>
          <w:color w:val="0D0D0D" w:themeColor="text1" w:themeTint="F2"/>
          <w:sz w:val="16"/>
          <w:szCs w:val="16"/>
        </w:rPr>
        <w:t>20,1 %. Nebývale vysoké loňské růstové tempo souviselo s plným obnovením výrobních kapacit (po haváriích, jež omezily výkon celého odvětví v letech 2015 i 2016). Produkce v chemickém průmyslu překonala úroveň před haváriemi (2. čtvrtletí 2015) již na počátku roku 2017. Do nižšího letošního růstu vedle efektu vysoké loňské základny promluvily také odstávky výrobních zařízení na konci letního období. Ve 3.</w:t>
      </w:r>
      <w:r>
        <w:rPr>
          <w:rFonts w:cs="Arial"/>
          <w:color w:val="0D0D0D" w:themeColor="text1" w:themeTint="F2"/>
          <w:sz w:val="16"/>
          <w:szCs w:val="16"/>
        </w:rPr>
        <w:t> </w:t>
      </w:r>
      <w:r w:rsidRPr="00FB58F4">
        <w:rPr>
          <w:rFonts w:cs="Arial"/>
          <w:color w:val="0D0D0D" w:themeColor="text1" w:themeTint="F2"/>
          <w:sz w:val="16"/>
          <w:szCs w:val="16"/>
        </w:rPr>
        <w:t>čtvrtletí klesla mezik</w:t>
      </w:r>
      <w:r>
        <w:rPr>
          <w:rFonts w:cs="Arial"/>
          <w:color w:val="0D0D0D" w:themeColor="text1" w:themeTint="F2"/>
          <w:sz w:val="16"/>
          <w:szCs w:val="16"/>
        </w:rPr>
        <w:t>vartálně produkce o 4,7</w:t>
      </w:r>
      <w:r w:rsidRPr="00FB58F4">
        <w:rPr>
          <w:rFonts w:cs="Arial"/>
          <w:color w:val="0D0D0D" w:themeColor="text1" w:themeTint="F2"/>
          <w:sz w:val="16"/>
          <w:szCs w:val="16"/>
        </w:rPr>
        <w:t xml:space="preserve"> %, nejvíce od konce roku 2015.</w:t>
      </w:r>
    </w:p>
  </w:footnote>
  <w:footnote w:id="8">
    <w:p w:rsidR="00157CC9" w:rsidRPr="005813A9" w:rsidRDefault="00157CC9" w:rsidP="0083630F">
      <w:pPr>
        <w:pStyle w:val="Textpoznpodarou"/>
        <w:jc w:val="both"/>
        <w:rPr>
          <w:rFonts w:cs="Arial"/>
          <w:color w:val="0D0D0D" w:themeColor="text1" w:themeTint="F2"/>
          <w:sz w:val="16"/>
          <w:szCs w:val="16"/>
        </w:rPr>
      </w:pPr>
      <w:r w:rsidRPr="005813A9">
        <w:rPr>
          <w:rStyle w:val="Znakapoznpodarou"/>
          <w:rFonts w:cs="Arial"/>
          <w:color w:val="0D0D0D" w:themeColor="text1" w:themeTint="F2"/>
          <w:sz w:val="16"/>
          <w:szCs w:val="16"/>
        </w:rPr>
        <w:footnoteRef/>
      </w:r>
      <w:r w:rsidRPr="005813A9">
        <w:rPr>
          <w:rFonts w:cs="Arial"/>
          <w:color w:val="0D0D0D" w:themeColor="text1" w:themeTint="F2"/>
          <w:sz w:val="16"/>
          <w:szCs w:val="16"/>
        </w:rPr>
        <w:t xml:space="preserve"> Z téměř 30 hodnocených odvětvových oddílů průmyslu vykázaly za tři letošní čtvrtletí meziroční pokles produkce jen tři – těžba černého a hnědého </w:t>
      </w:r>
      <w:proofErr w:type="gramStart"/>
      <w:r w:rsidRPr="005813A9">
        <w:rPr>
          <w:rFonts w:cs="Arial"/>
          <w:color w:val="0D0D0D" w:themeColor="text1" w:themeTint="F2"/>
          <w:sz w:val="16"/>
          <w:szCs w:val="16"/>
        </w:rPr>
        <w:t>uhlí (</w:t>
      </w:r>
      <w:r>
        <w:rPr>
          <w:rFonts w:cs="Arial"/>
          <w:color w:val="0D0D0D" w:themeColor="text1" w:themeTint="F2"/>
          <w:sz w:val="16"/>
          <w:szCs w:val="16"/>
        </w:rPr>
        <w:t xml:space="preserve">–3 %), </w:t>
      </w:r>
      <w:r w:rsidRPr="005813A9">
        <w:rPr>
          <w:rFonts w:cs="Arial"/>
          <w:color w:val="0D0D0D" w:themeColor="text1" w:themeTint="F2"/>
          <w:sz w:val="16"/>
          <w:szCs w:val="16"/>
        </w:rPr>
        <w:t>kožedělný</w:t>
      </w:r>
      <w:proofErr w:type="gramEnd"/>
      <w:r w:rsidRPr="005813A9">
        <w:rPr>
          <w:rFonts w:cs="Arial"/>
          <w:color w:val="0D0D0D" w:themeColor="text1" w:themeTint="F2"/>
          <w:sz w:val="16"/>
          <w:szCs w:val="16"/>
        </w:rPr>
        <w:t xml:space="preserve"> průmysl (</w:t>
      </w:r>
      <w:r>
        <w:rPr>
          <w:rFonts w:cs="Arial"/>
          <w:color w:val="0D0D0D" w:themeColor="text1" w:themeTint="F2"/>
          <w:sz w:val="16"/>
          <w:szCs w:val="16"/>
        </w:rPr>
        <w:t>–22</w:t>
      </w:r>
      <w:r w:rsidRPr="005813A9">
        <w:rPr>
          <w:rFonts w:cs="Arial"/>
          <w:color w:val="0D0D0D" w:themeColor="text1" w:themeTint="F2"/>
          <w:sz w:val="16"/>
          <w:szCs w:val="16"/>
        </w:rPr>
        <w:t xml:space="preserve"> %) a oprava a instalace strojů a zařízení (</w:t>
      </w:r>
      <w:r>
        <w:rPr>
          <w:rFonts w:cs="Arial"/>
          <w:color w:val="0D0D0D" w:themeColor="text1" w:themeTint="F2"/>
          <w:sz w:val="16"/>
          <w:szCs w:val="16"/>
        </w:rPr>
        <w:t>–2</w:t>
      </w:r>
      <w:r w:rsidRPr="005813A9">
        <w:rPr>
          <w:rFonts w:cs="Arial"/>
          <w:color w:val="0D0D0D" w:themeColor="text1" w:themeTint="F2"/>
          <w:sz w:val="16"/>
          <w:szCs w:val="16"/>
        </w:rPr>
        <w:t xml:space="preserve"> %). Tyto obory se na celkové produkci průmyslu podílely pouze 3 % (dle údajů národních účtů z roku 2017).</w:t>
      </w:r>
    </w:p>
  </w:footnote>
  <w:footnote w:id="9">
    <w:p w:rsidR="00157CC9" w:rsidRPr="005813A9" w:rsidRDefault="00157CC9" w:rsidP="0083630F">
      <w:pPr>
        <w:pStyle w:val="Textpoznpodarou"/>
        <w:jc w:val="both"/>
        <w:rPr>
          <w:rFonts w:cs="Arial"/>
          <w:color w:val="0D0D0D" w:themeColor="text1" w:themeTint="F2"/>
          <w:spacing w:val="-2"/>
          <w:sz w:val="16"/>
          <w:szCs w:val="16"/>
        </w:rPr>
      </w:pPr>
      <w:r w:rsidRPr="005813A9">
        <w:rPr>
          <w:rStyle w:val="Znakapoznpodarou"/>
          <w:rFonts w:cs="Arial"/>
          <w:color w:val="0D0D0D" w:themeColor="text1" w:themeTint="F2"/>
          <w:spacing w:val="-2"/>
          <w:sz w:val="16"/>
          <w:szCs w:val="16"/>
        </w:rPr>
        <w:footnoteRef/>
      </w:r>
      <w:r w:rsidRPr="005813A9">
        <w:rPr>
          <w:rFonts w:cs="Arial"/>
          <w:color w:val="0D0D0D" w:themeColor="text1" w:themeTint="F2"/>
          <w:spacing w:val="-2"/>
          <w:sz w:val="16"/>
          <w:szCs w:val="16"/>
        </w:rPr>
        <w:t xml:space="preserve"> Nový přísnější systém měření emisí a spotřeby paliva, který je v Evropské unii povinný od 1. září, zvýšil časové nároky na testování. Vozidla, která nezískala homologaci dle nových norem, zaplnila výrobní sklady a narušila plynulost odbytu produkce.</w:t>
      </w:r>
    </w:p>
  </w:footnote>
  <w:footnote w:id="10">
    <w:p w:rsidR="00157CC9" w:rsidRPr="00A608B0" w:rsidRDefault="00157CC9" w:rsidP="0083630F">
      <w:pPr>
        <w:pStyle w:val="Textpoznpodarou"/>
        <w:jc w:val="both"/>
        <w:rPr>
          <w:sz w:val="16"/>
          <w:szCs w:val="16"/>
        </w:rPr>
      </w:pPr>
      <w:r w:rsidRPr="005813A9">
        <w:rPr>
          <w:rStyle w:val="Znakapoznpodarou"/>
          <w:rFonts w:cs="Arial"/>
          <w:color w:val="0D0D0D" w:themeColor="text1" w:themeTint="F2"/>
          <w:sz w:val="16"/>
          <w:szCs w:val="16"/>
        </w:rPr>
        <w:footnoteRef/>
      </w:r>
      <w:r w:rsidRPr="005813A9">
        <w:rPr>
          <w:rFonts w:cs="Arial"/>
          <w:color w:val="0D0D0D" w:themeColor="text1" w:themeTint="F2"/>
          <w:sz w:val="16"/>
          <w:szCs w:val="16"/>
        </w:rPr>
        <w:t xml:space="preserve"> Dle údajů Sdružení automobilového průmyslu vzrostl od ledna do září 2018 počet vyrobených osobních automobilů v Česku meziročně o 0,6 % (při dosaženém počtu 1,060 mil. vozů). Jejich prodej na tuzemském trhu i export fakticky stagnoval</w:t>
      </w:r>
      <w:r>
        <w:rPr>
          <w:rFonts w:cs="Arial"/>
          <w:color w:val="0D0D0D" w:themeColor="text1" w:themeTint="F2"/>
          <w:sz w:val="16"/>
          <w:szCs w:val="16"/>
        </w:rPr>
        <w:t>y</w:t>
      </w:r>
      <w:r w:rsidRPr="005813A9">
        <w:rPr>
          <w:rFonts w:cs="Arial"/>
          <w:color w:val="0D0D0D" w:themeColor="text1" w:themeTint="F2"/>
          <w:sz w:val="16"/>
          <w:szCs w:val="16"/>
        </w:rPr>
        <w:t>. Více se letos dařilo výrobě většiny ostatních druhů motorových vozidel.</w:t>
      </w:r>
    </w:p>
  </w:footnote>
  <w:footnote w:id="11">
    <w:p w:rsidR="00157CC9" w:rsidRPr="005813A9" w:rsidRDefault="00157CC9" w:rsidP="0083630F">
      <w:pPr>
        <w:pStyle w:val="Textpoznpodarou"/>
        <w:rPr>
          <w:color w:val="0D0D0D" w:themeColor="text1" w:themeTint="F2"/>
          <w:sz w:val="16"/>
          <w:szCs w:val="16"/>
        </w:rPr>
      </w:pPr>
      <w:r w:rsidRPr="005813A9">
        <w:rPr>
          <w:rStyle w:val="Znakapoznpodarou"/>
          <w:color w:val="0D0D0D" w:themeColor="text1" w:themeTint="F2"/>
          <w:sz w:val="16"/>
          <w:szCs w:val="16"/>
        </w:rPr>
        <w:footnoteRef/>
      </w:r>
      <w:r w:rsidRPr="005813A9">
        <w:rPr>
          <w:color w:val="0D0D0D" w:themeColor="text1" w:themeTint="F2"/>
          <w:sz w:val="16"/>
          <w:szCs w:val="16"/>
        </w:rPr>
        <w:t xml:space="preserve"> Tržby odvětví těžby a úpravy uhlí se díky rostoucím cenám surovin zvyšovaly již druhým rokem v řadě. Nadále ale pokračoval (byť s mírnější intenzitou) útlum zaměstnanosti.</w:t>
      </w:r>
    </w:p>
  </w:footnote>
  <w:footnote w:id="12">
    <w:p w:rsidR="00157CC9" w:rsidRPr="005813A9" w:rsidRDefault="00157CC9" w:rsidP="00157CC9">
      <w:pPr>
        <w:pStyle w:val="Textpoznpodarou"/>
        <w:jc w:val="both"/>
        <w:rPr>
          <w:rFonts w:cs="Arial"/>
          <w:color w:val="0D0D0D" w:themeColor="text1" w:themeTint="F2"/>
          <w:spacing w:val="-2"/>
          <w:sz w:val="16"/>
          <w:szCs w:val="16"/>
        </w:rPr>
      </w:pPr>
      <w:r w:rsidRPr="005813A9">
        <w:rPr>
          <w:rStyle w:val="Znakapoznpodarou"/>
          <w:rFonts w:cs="Arial"/>
          <w:color w:val="0D0D0D" w:themeColor="text1" w:themeTint="F2"/>
          <w:spacing w:val="-2"/>
          <w:sz w:val="16"/>
          <w:szCs w:val="16"/>
        </w:rPr>
        <w:footnoteRef/>
      </w:r>
      <w:r w:rsidRPr="005813A9">
        <w:rPr>
          <w:rFonts w:cs="Arial"/>
          <w:color w:val="0D0D0D" w:themeColor="text1" w:themeTint="F2"/>
          <w:spacing w:val="-2"/>
          <w:sz w:val="16"/>
          <w:szCs w:val="16"/>
        </w:rPr>
        <w:t xml:space="preserve"> Příznivější vývoj naznačují aktuálnější měsíční data. V říjnu vzrostla hodnota zakázek </w:t>
      </w:r>
      <w:r>
        <w:rPr>
          <w:rFonts w:cs="Arial"/>
          <w:color w:val="0D0D0D" w:themeColor="text1" w:themeTint="F2"/>
          <w:spacing w:val="-2"/>
          <w:sz w:val="16"/>
          <w:szCs w:val="16"/>
        </w:rPr>
        <w:t xml:space="preserve">ve výrobě motorových vozidel </w:t>
      </w:r>
      <w:r w:rsidRPr="005813A9">
        <w:rPr>
          <w:rFonts w:cs="Arial"/>
          <w:color w:val="0D0D0D" w:themeColor="text1" w:themeTint="F2"/>
          <w:spacing w:val="-2"/>
          <w:sz w:val="16"/>
          <w:szCs w:val="16"/>
        </w:rPr>
        <w:t>o 14 %, druhým nejvyšším tempem v roce 2018.</w:t>
      </w:r>
    </w:p>
  </w:footnote>
  <w:footnote w:id="13">
    <w:p w:rsidR="00157CC9" w:rsidRPr="00D85B50" w:rsidRDefault="00157CC9" w:rsidP="0083630F">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sidRPr="005813A9">
        <w:rPr>
          <w:rFonts w:cs="Arial"/>
          <w:color w:val="0D0D0D" w:themeColor="text1" w:themeTint="F2"/>
          <w:spacing w:val="-2"/>
          <w:sz w:val="16"/>
          <w:szCs w:val="16"/>
        </w:rPr>
        <w:t xml:space="preserve"> Všechny meziroční údaje o stavební produkci jsou očištěny o kalendářní vlivy, mezičtvrtletní tempa pak kromě toho také o vliv sezónnosti.</w:t>
      </w:r>
    </w:p>
  </w:footnote>
  <w:footnote w:id="14">
    <w:p w:rsidR="00157CC9" w:rsidRPr="00AF37C3" w:rsidRDefault="00157CC9" w:rsidP="0083630F">
      <w:pPr>
        <w:pStyle w:val="Textpoznpodarou"/>
        <w:rPr>
          <w:sz w:val="16"/>
          <w:szCs w:val="16"/>
        </w:rPr>
      </w:pPr>
      <w:r w:rsidRPr="00AF37C3">
        <w:rPr>
          <w:rStyle w:val="Znakapoznpodarou"/>
          <w:sz w:val="16"/>
          <w:szCs w:val="16"/>
        </w:rPr>
        <w:footnoteRef/>
      </w:r>
      <w:r w:rsidRPr="00AF37C3">
        <w:rPr>
          <w:sz w:val="16"/>
          <w:szCs w:val="16"/>
        </w:rPr>
        <w:t xml:space="preserve"> Ve 3. čtvrtletí 2018 činil meziroční růst nájemného z bytů </w:t>
      </w:r>
      <w:r>
        <w:rPr>
          <w:sz w:val="16"/>
          <w:szCs w:val="16"/>
        </w:rPr>
        <w:t xml:space="preserve">v Praze </w:t>
      </w:r>
      <w:r w:rsidRPr="00AF37C3">
        <w:rPr>
          <w:sz w:val="16"/>
          <w:szCs w:val="16"/>
        </w:rPr>
        <w:t>6,3 %, téměř dvojnásobek tempa zaznamenaného v celé ČR.</w:t>
      </w:r>
    </w:p>
  </w:footnote>
  <w:footnote w:id="15">
    <w:p w:rsidR="00157CC9" w:rsidRPr="00DE38E6" w:rsidRDefault="00157CC9" w:rsidP="0083630F">
      <w:pPr>
        <w:spacing w:after="0" w:line="240" w:lineRule="auto"/>
      </w:pPr>
      <w:r w:rsidRPr="004A26AF">
        <w:rPr>
          <w:rStyle w:val="Znakapoznpodarou"/>
          <w:color w:val="0D0D0D" w:themeColor="text1" w:themeTint="F2"/>
          <w:sz w:val="16"/>
          <w:szCs w:val="16"/>
        </w:rPr>
        <w:footnoteRef/>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 kal</w:t>
      </w:r>
      <w:r>
        <w:rPr>
          <w:color w:val="0D0D0D" w:themeColor="text1" w:themeTint="F2"/>
          <w:sz w:val="16"/>
          <w:szCs w:val="16"/>
        </w:rPr>
        <w:t>endářní vlivy, mezičtvrtletní jsou očištěny o sezónní vlivy (včetně vlivu počtu pracovních dnů)</w:t>
      </w:r>
      <w:r w:rsidRPr="004A26AF">
        <w:rPr>
          <w:color w:val="0D0D0D" w:themeColor="text1" w:themeTint="F2"/>
          <w:sz w:val="16"/>
          <w:szCs w:val="16"/>
        </w:rPr>
        <w:t>.</w:t>
      </w:r>
    </w:p>
  </w:footnote>
  <w:footnote w:id="16">
    <w:p w:rsidR="00157CC9" w:rsidRPr="00BA047C" w:rsidRDefault="00157CC9" w:rsidP="00D726A9">
      <w:pPr>
        <w:pStyle w:val="Textpoznpodarou"/>
        <w:rPr>
          <w:sz w:val="16"/>
          <w:szCs w:val="16"/>
        </w:rPr>
      </w:pPr>
      <w:r w:rsidRPr="00BA047C">
        <w:rPr>
          <w:rStyle w:val="Znakapoznpodarou"/>
          <w:sz w:val="16"/>
          <w:szCs w:val="16"/>
        </w:rPr>
        <w:footnoteRef/>
      </w:r>
      <w:r w:rsidRPr="00BA047C">
        <w:rPr>
          <w:sz w:val="16"/>
          <w:szCs w:val="16"/>
        </w:rPr>
        <w:t xml:space="preserve"> Dynamický růst tržeb zde letos souvisel s rozvojem dopravy provozované tuzemskými podniky mimo území ČR. </w:t>
      </w:r>
    </w:p>
  </w:footnote>
  <w:footnote w:id="17">
    <w:p w:rsidR="00157CC9" w:rsidRPr="003D0F48" w:rsidRDefault="00157CC9" w:rsidP="00D726A9">
      <w:pPr>
        <w:pStyle w:val="Textpoznpodarou"/>
        <w:jc w:val="both"/>
        <w:rPr>
          <w:sz w:val="16"/>
          <w:szCs w:val="16"/>
        </w:rPr>
      </w:pPr>
      <w:r w:rsidRPr="003D0F48">
        <w:rPr>
          <w:rStyle w:val="Znakapoznpodarou"/>
          <w:sz w:val="16"/>
          <w:szCs w:val="16"/>
        </w:rPr>
        <w:footnoteRef/>
      </w:r>
      <w:r w:rsidRPr="003D0F48">
        <w:rPr>
          <w:sz w:val="16"/>
          <w:szCs w:val="16"/>
        </w:rPr>
        <w:t xml:space="preserve"> Nižší tržby ve fi</w:t>
      </w:r>
      <w:r>
        <w:rPr>
          <w:sz w:val="16"/>
          <w:szCs w:val="16"/>
        </w:rPr>
        <w:t xml:space="preserve">lmovém a hudebním </w:t>
      </w:r>
      <w:proofErr w:type="gramStart"/>
      <w:r>
        <w:rPr>
          <w:sz w:val="16"/>
          <w:szCs w:val="16"/>
        </w:rPr>
        <w:t>p</w:t>
      </w:r>
      <w:r w:rsidR="00116D3F">
        <w:rPr>
          <w:sz w:val="16"/>
          <w:szCs w:val="16"/>
        </w:rPr>
        <w:t>růmyslu (</w:t>
      </w:r>
      <w:r w:rsidR="00116D3F">
        <w:rPr>
          <w:rFonts w:cs="Arial"/>
          <w:color w:val="0D0D0D" w:themeColor="text1" w:themeTint="F2"/>
          <w:sz w:val="16"/>
          <w:szCs w:val="16"/>
        </w:rPr>
        <w:t>–</w:t>
      </w:r>
      <w:r w:rsidR="00116D3F">
        <w:rPr>
          <w:sz w:val="16"/>
          <w:szCs w:val="16"/>
        </w:rPr>
        <w:t>3,6</w:t>
      </w:r>
      <w:proofErr w:type="gramEnd"/>
      <w:r w:rsidR="00116D3F">
        <w:rPr>
          <w:sz w:val="16"/>
          <w:szCs w:val="16"/>
        </w:rPr>
        <w:t xml:space="preserve"> %, o rok dříve </w:t>
      </w:r>
      <w:r w:rsidR="00116D3F">
        <w:rPr>
          <w:rFonts w:cs="Arial"/>
          <w:color w:val="0D0D0D" w:themeColor="text1" w:themeTint="F2"/>
          <w:sz w:val="16"/>
          <w:szCs w:val="16"/>
        </w:rPr>
        <w:t>–</w:t>
      </w:r>
      <w:r w:rsidR="00116D3F">
        <w:rPr>
          <w:sz w:val="16"/>
          <w:szCs w:val="16"/>
        </w:rPr>
        <w:t>16,5</w:t>
      </w:r>
      <w:r>
        <w:rPr>
          <w:sz w:val="16"/>
          <w:szCs w:val="16"/>
        </w:rPr>
        <w:t xml:space="preserve"> %) souvisely</w:t>
      </w:r>
      <w:r w:rsidRPr="003D0F48">
        <w:rPr>
          <w:sz w:val="16"/>
          <w:szCs w:val="16"/>
        </w:rPr>
        <w:t xml:space="preserve"> s větší nepravidelnosti v zakázkách a ve fakturacích. </w:t>
      </w:r>
      <w:r>
        <w:rPr>
          <w:sz w:val="16"/>
          <w:szCs w:val="16"/>
        </w:rPr>
        <w:t>Samotnému segmentu filmové distribuce se dařilo lépe. Dle údajů Unie filmových distributorů vzrostly tržby ze vstupného v tuzemských kinech v 1. až 3. čtvrtletí meziročně o 3,3 %, počet návštěvníků se ale o 1,8 % snížil.</w:t>
      </w:r>
    </w:p>
  </w:footnote>
  <w:footnote w:id="18">
    <w:p w:rsidR="00157CC9" w:rsidRPr="00FE48E4" w:rsidRDefault="00157CC9" w:rsidP="00D726A9">
      <w:pPr>
        <w:pStyle w:val="Textpoznpodarou"/>
        <w:jc w:val="both"/>
        <w:rPr>
          <w:sz w:val="16"/>
          <w:szCs w:val="16"/>
        </w:rPr>
      </w:pPr>
      <w:r w:rsidRPr="00FE48E4">
        <w:rPr>
          <w:rStyle w:val="Znakapoznpodarou"/>
          <w:sz w:val="16"/>
          <w:szCs w:val="16"/>
        </w:rPr>
        <w:footnoteRef/>
      </w:r>
      <w:r w:rsidRPr="00FE48E4">
        <w:rPr>
          <w:sz w:val="16"/>
          <w:szCs w:val="16"/>
        </w:rPr>
        <w:t xml:space="preserve"> To bylo patrné i v naturálních ukazatelích. Počet přenocování hostů v hromadných ubytovacích zařízeních </w:t>
      </w:r>
      <w:r>
        <w:rPr>
          <w:sz w:val="16"/>
          <w:szCs w:val="16"/>
        </w:rPr>
        <w:t>v ČR rostl ve 2. čtvrtletí 2018 meziročně již jen o 2,2 %. Ve stejném období loňského roku přitom dosahoval růst mimořádných 12,7 %. V úhrnu za tři letošní čtvrtletí vzrostla přenocování o 4,8 %, svižnější tempo vykázala u domácích hostů. Průměrná doba pobytu hostů se nadále zkracovala.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Default="00157CC9" w:rsidP="00937AE2">
    <w:pPr>
      <w:pStyle w:val="Zhlav"/>
    </w:pPr>
    <w:r>
      <w:t>Vývoj ekonomiky České republiky</w:t>
    </w:r>
  </w:p>
  <w:p w:rsidR="00157CC9" w:rsidRPr="006F5416" w:rsidRDefault="00157CC9" w:rsidP="00937AE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Default="00157CC9" w:rsidP="00937AE2">
    <w:pPr>
      <w:pStyle w:val="Zhlav"/>
    </w:pPr>
    <w:r>
      <w:t>Vývoj ekonomiky České republiky</w:t>
    </w:r>
  </w:p>
  <w:p w:rsidR="00157CC9" w:rsidRPr="006F5416" w:rsidRDefault="00157CC9" w:rsidP="00937AE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a">
    <w15:presenceInfo w15:providerId="None" w15:userId="Vl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0242">
      <o:colormru v:ext="edit" colors="#ecf4dd,#eaecee,#fcec0a,#fcecdb,#f1daf5"/>
    </o:shapedefaults>
  </w:hdrShapeDefaults>
  <w:footnotePr>
    <w:footnote w:id="-1"/>
    <w:footnote w:id="0"/>
  </w:footnotePr>
  <w:endnotePr>
    <w:endnote w:id="-1"/>
    <w:endnote w:id="0"/>
  </w:endnotePr>
  <w:compat/>
  <w:rsids>
    <w:rsidRoot w:val="00C62828"/>
    <w:rsid w:val="000005AF"/>
    <w:rsid w:val="0000209D"/>
    <w:rsid w:val="00003F5C"/>
    <w:rsid w:val="00004D5A"/>
    <w:rsid w:val="000056D5"/>
    <w:rsid w:val="000063D5"/>
    <w:rsid w:val="00006ABD"/>
    <w:rsid w:val="000073A0"/>
    <w:rsid w:val="0000767A"/>
    <w:rsid w:val="00010256"/>
    <w:rsid w:val="00010702"/>
    <w:rsid w:val="0001128E"/>
    <w:rsid w:val="00011912"/>
    <w:rsid w:val="00016420"/>
    <w:rsid w:val="00017B01"/>
    <w:rsid w:val="00020F22"/>
    <w:rsid w:val="0002195D"/>
    <w:rsid w:val="000233D1"/>
    <w:rsid w:val="000234D6"/>
    <w:rsid w:val="00023D29"/>
    <w:rsid w:val="00024348"/>
    <w:rsid w:val="00026389"/>
    <w:rsid w:val="00031AE0"/>
    <w:rsid w:val="000322EF"/>
    <w:rsid w:val="00033FCD"/>
    <w:rsid w:val="00034DF7"/>
    <w:rsid w:val="00034E68"/>
    <w:rsid w:val="000350C8"/>
    <w:rsid w:val="00036195"/>
    <w:rsid w:val="000376C0"/>
    <w:rsid w:val="000403A7"/>
    <w:rsid w:val="00040632"/>
    <w:rsid w:val="00041CEC"/>
    <w:rsid w:val="00044183"/>
    <w:rsid w:val="0004694F"/>
    <w:rsid w:val="00047D54"/>
    <w:rsid w:val="000522E4"/>
    <w:rsid w:val="00053713"/>
    <w:rsid w:val="0005434E"/>
    <w:rsid w:val="00055CB6"/>
    <w:rsid w:val="000572DD"/>
    <w:rsid w:val="00057B1E"/>
    <w:rsid w:val="000610E1"/>
    <w:rsid w:val="00062EC5"/>
    <w:rsid w:val="00062F22"/>
    <w:rsid w:val="00063975"/>
    <w:rsid w:val="000645FC"/>
    <w:rsid w:val="0006533F"/>
    <w:rsid w:val="00065348"/>
    <w:rsid w:val="00065A75"/>
    <w:rsid w:val="00067DE8"/>
    <w:rsid w:val="00070A87"/>
    <w:rsid w:val="000712B3"/>
    <w:rsid w:val="0007474E"/>
    <w:rsid w:val="0007512B"/>
    <w:rsid w:val="00075551"/>
    <w:rsid w:val="00077FF0"/>
    <w:rsid w:val="00081A55"/>
    <w:rsid w:val="0008263E"/>
    <w:rsid w:val="00082C19"/>
    <w:rsid w:val="000837CD"/>
    <w:rsid w:val="00084BFF"/>
    <w:rsid w:val="00085395"/>
    <w:rsid w:val="00086AC1"/>
    <w:rsid w:val="00086D19"/>
    <w:rsid w:val="00087634"/>
    <w:rsid w:val="00087F2B"/>
    <w:rsid w:val="00090694"/>
    <w:rsid w:val="000913B1"/>
    <w:rsid w:val="00094A84"/>
    <w:rsid w:val="00095025"/>
    <w:rsid w:val="00095135"/>
    <w:rsid w:val="0009626E"/>
    <w:rsid w:val="00097191"/>
    <w:rsid w:val="000974D1"/>
    <w:rsid w:val="0009799E"/>
    <w:rsid w:val="000A1183"/>
    <w:rsid w:val="000A256D"/>
    <w:rsid w:val="000A3A2C"/>
    <w:rsid w:val="000A4A54"/>
    <w:rsid w:val="000A4ED9"/>
    <w:rsid w:val="000A7377"/>
    <w:rsid w:val="000B03CC"/>
    <w:rsid w:val="000B4212"/>
    <w:rsid w:val="000C0EA8"/>
    <w:rsid w:val="000C13A2"/>
    <w:rsid w:val="000C3408"/>
    <w:rsid w:val="000C35AB"/>
    <w:rsid w:val="000C6AFD"/>
    <w:rsid w:val="000D3058"/>
    <w:rsid w:val="000D310A"/>
    <w:rsid w:val="000D5637"/>
    <w:rsid w:val="000E0E96"/>
    <w:rsid w:val="000E2C7D"/>
    <w:rsid w:val="000E440D"/>
    <w:rsid w:val="000E4AC5"/>
    <w:rsid w:val="000E6253"/>
    <w:rsid w:val="000E6E4D"/>
    <w:rsid w:val="000E6FBD"/>
    <w:rsid w:val="000E6FCB"/>
    <w:rsid w:val="00100F5C"/>
    <w:rsid w:val="00101CDA"/>
    <w:rsid w:val="00102037"/>
    <w:rsid w:val="00103DCB"/>
    <w:rsid w:val="00104C4C"/>
    <w:rsid w:val="001057C2"/>
    <w:rsid w:val="00112CAB"/>
    <w:rsid w:val="00116D3F"/>
    <w:rsid w:val="00117623"/>
    <w:rsid w:val="001200CF"/>
    <w:rsid w:val="0012192F"/>
    <w:rsid w:val="00122994"/>
    <w:rsid w:val="00124B46"/>
    <w:rsid w:val="00125D69"/>
    <w:rsid w:val="0012799C"/>
    <w:rsid w:val="00130ADC"/>
    <w:rsid w:val="00130D9F"/>
    <w:rsid w:val="00132C4D"/>
    <w:rsid w:val="00133FC1"/>
    <w:rsid w:val="00134659"/>
    <w:rsid w:val="001405FA"/>
    <w:rsid w:val="00140D1A"/>
    <w:rsid w:val="00141315"/>
    <w:rsid w:val="001425C3"/>
    <w:rsid w:val="0014262D"/>
    <w:rsid w:val="001459BC"/>
    <w:rsid w:val="001554C2"/>
    <w:rsid w:val="001571C0"/>
    <w:rsid w:val="0015753D"/>
    <w:rsid w:val="00157CC9"/>
    <w:rsid w:val="001612F4"/>
    <w:rsid w:val="00161553"/>
    <w:rsid w:val="0016256B"/>
    <w:rsid w:val="00163793"/>
    <w:rsid w:val="00167485"/>
    <w:rsid w:val="00167CB9"/>
    <w:rsid w:val="00167DD8"/>
    <w:rsid w:val="001705AD"/>
    <w:rsid w:val="001706D6"/>
    <w:rsid w:val="001714F2"/>
    <w:rsid w:val="00171FEA"/>
    <w:rsid w:val="00175B9F"/>
    <w:rsid w:val="001762F4"/>
    <w:rsid w:val="00181BBC"/>
    <w:rsid w:val="0018385F"/>
    <w:rsid w:val="00184017"/>
    <w:rsid w:val="00184B08"/>
    <w:rsid w:val="00185010"/>
    <w:rsid w:val="00192F05"/>
    <w:rsid w:val="00194729"/>
    <w:rsid w:val="00195234"/>
    <w:rsid w:val="00196016"/>
    <w:rsid w:val="00197A70"/>
    <w:rsid w:val="00197C0F"/>
    <w:rsid w:val="001A0487"/>
    <w:rsid w:val="001A1F68"/>
    <w:rsid w:val="001A4EF0"/>
    <w:rsid w:val="001A552F"/>
    <w:rsid w:val="001B2CA9"/>
    <w:rsid w:val="001B3110"/>
    <w:rsid w:val="001B3E38"/>
    <w:rsid w:val="001B4729"/>
    <w:rsid w:val="001B4F0E"/>
    <w:rsid w:val="001B6310"/>
    <w:rsid w:val="001B6C09"/>
    <w:rsid w:val="001C05CD"/>
    <w:rsid w:val="001C0F17"/>
    <w:rsid w:val="001C1B66"/>
    <w:rsid w:val="001C31A2"/>
    <w:rsid w:val="001D22C2"/>
    <w:rsid w:val="001D54C1"/>
    <w:rsid w:val="001D556E"/>
    <w:rsid w:val="001D5DF2"/>
    <w:rsid w:val="001D68B2"/>
    <w:rsid w:val="001D7F60"/>
    <w:rsid w:val="001E504C"/>
    <w:rsid w:val="001E5A17"/>
    <w:rsid w:val="001F2F90"/>
    <w:rsid w:val="001F4597"/>
    <w:rsid w:val="001F7CE0"/>
    <w:rsid w:val="00200085"/>
    <w:rsid w:val="00203332"/>
    <w:rsid w:val="00203CD5"/>
    <w:rsid w:val="00203D8F"/>
    <w:rsid w:val="00203DA4"/>
    <w:rsid w:val="00205186"/>
    <w:rsid w:val="002071D5"/>
    <w:rsid w:val="002118B9"/>
    <w:rsid w:val="002142C0"/>
    <w:rsid w:val="00217C5B"/>
    <w:rsid w:val="00220A43"/>
    <w:rsid w:val="0022139E"/>
    <w:rsid w:val="00222729"/>
    <w:rsid w:val="0022441D"/>
    <w:rsid w:val="002252E0"/>
    <w:rsid w:val="002255F6"/>
    <w:rsid w:val="00227605"/>
    <w:rsid w:val="00227850"/>
    <w:rsid w:val="00227A53"/>
    <w:rsid w:val="00227E2E"/>
    <w:rsid w:val="00227F53"/>
    <w:rsid w:val="00230C6E"/>
    <w:rsid w:val="00233603"/>
    <w:rsid w:val="002340EF"/>
    <w:rsid w:val="00236443"/>
    <w:rsid w:val="00240AF3"/>
    <w:rsid w:val="002418D5"/>
    <w:rsid w:val="00241B06"/>
    <w:rsid w:val="002436BA"/>
    <w:rsid w:val="00244A15"/>
    <w:rsid w:val="002452D9"/>
    <w:rsid w:val="00247319"/>
    <w:rsid w:val="0024799E"/>
    <w:rsid w:val="00247E60"/>
    <w:rsid w:val="00252AB9"/>
    <w:rsid w:val="00253C0F"/>
    <w:rsid w:val="002558C1"/>
    <w:rsid w:val="00256207"/>
    <w:rsid w:val="002603E1"/>
    <w:rsid w:val="0026120E"/>
    <w:rsid w:val="0026291D"/>
    <w:rsid w:val="00267B49"/>
    <w:rsid w:val="0027025F"/>
    <w:rsid w:val="002709CC"/>
    <w:rsid w:val="00271022"/>
    <w:rsid w:val="00271465"/>
    <w:rsid w:val="00272DF4"/>
    <w:rsid w:val="0027583D"/>
    <w:rsid w:val="00275DEF"/>
    <w:rsid w:val="00276B33"/>
    <w:rsid w:val="002812E3"/>
    <w:rsid w:val="002837AE"/>
    <w:rsid w:val="002853FA"/>
    <w:rsid w:val="00285412"/>
    <w:rsid w:val="00291640"/>
    <w:rsid w:val="0029237E"/>
    <w:rsid w:val="00292997"/>
    <w:rsid w:val="0029588F"/>
    <w:rsid w:val="00297256"/>
    <w:rsid w:val="00297D51"/>
    <w:rsid w:val="002A0122"/>
    <w:rsid w:val="002A016B"/>
    <w:rsid w:val="002A16D4"/>
    <w:rsid w:val="002A1E4F"/>
    <w:rsid w:val="002A230C"/>
    <w:rsid w:val="002A2AF7"/>
    <w:rsid w:val="002A3EA2"/>
    <w:rsid w:val="002A532A"/>
    <w:rsid w:val="002A5846"/>
    <w:rsid w:val="002A5D97"/>
    <w:rsid w:val="002A603E"/>
    <w:rsid w:val="002A63B9"/>
    <w:rsid w:val="002B4845"/>
    <w:rsid w:val="002C27A6"/>
    <w:rsid w:val="002C40D2"/>
    <w:rsid w:val="002C43BD"/>
    <w:rsid w:val="002D0E59"/>
    <w:rsid w:val="002E02A1"/>
    <w:rsid w:val="002E196A"/>
    <w:rsid w:val="002E20C7"/>
    <w:rsid w:val="002E222E"/>
    <w:rsid w:val="002E37D1"/>
    <w:rsid w:val="002E3BEE"/>
    <w:rsid w:val="002E4E4C"/>
    <w:rsid w:val="002E4EA7"/>
    <w:rsid w:val="002E5846"/>
    <w:rsid w:val="002F333D"/>
    <w:rsid w:val="002F351A"/>
    <w:rsid w:val="002F498A"/>
    <w:rsid w:val="002F4AD8"/>
    <w:rsid w:val="002F5820"/>
    <w:rsid w:val="00304771"/>
    <w:rsid w:val="003052D4"/>
    <w:rsid w:val="00306C5B"/>
    <w:rsid w:val="00307DB3"/>
    <w:rsid w:val="00307ED2"/>
    <w:rsid w:val="0031076D"/>
    <w:rsid w:val="00311AA6"/>
    <w:rsid w:val="00311C4D"/>
    <w:rsid w:val="003121AB"/>
    <w:rsid w:val="003153C8"/>
    <w:rsid w:val="00315524"/>
    <w:rsid w:val="0032058C"/>
    <w:rsid w:val="003209D6"/>
    <w:rsid w:val="003217B9"/>
    <w:rsid w:val="00321924"/>
    <w:rsid w:val="00321EB6"/>
    <w:rsid w:val="003220A5"/>
    <w:rsid w:val="0032656E"/>
    <w:rsid w:val="00332190"/>
    <w:rsid w:val="00333CD0"/>
    <w:rsid w:val="0033448D"/>
    <w:rsid w:val="00334AD2"/>
    <w:rsid w:val="003370C5"/>
    <w:rsid w:val="00341D26"/>
    <w:rsid w:val="00341F05"/>
    <w:rsid w:val="0034335E"/>
    <w:rsid w:val="00344668"/>
    <w:rsid w:val="003462D9"/>
    <w:rsid w:val="00352B43"/>
    <w:rsid w:val="00352C28"/>
    <w:rsid w:val="0036077F"/>
    <w:rsid w:val="00360C86"/>
    <w:rsid w:val="00360FBC"/>
    <w:rsid w:val="00361537"/>
    <w:rsid w:val="0036242A"/>
    <w:rsid w:val="00362E90"/>
    <w:rsid w:val="00364FA0"/>
    <w:rsid w:val="003657F3"/>
    <w:rsid w:val="00367F84"/>
    <w:rsid w:val="003712BC"/>
    <w:rsid w:val="003738BD"/>
    <w:rsid w:val="003746F0"/>
    <w:rsid w:val="00374A20"/>
    <w:rsid w:val="00374E21"/>
    <w:rsid w:val="003818DC"/>
    <w:rsid w:val="00383388"/>
    <w:rsid w:val="003834F8"/>
    <w:rsid w:val="003838D0"/>
    <w:rsid w:val="00384327"/>
    <w:rsid w:val="00385086"/>
    <w:rsid w:val="00385D98"/>
    <w:rsid w:val="003908A6"/>
    <w:rsid w:val="003927F6"/>
    <w:rsid w:val="003A04F6"/>
    <w:rsid w:val="003A2B4D"/>
    <w:rsid w:val="003A2D12"/>
    <w:rsid w:val="003A45E3"/>
    <w:rsid w:val="003A478C"/>
    <w:rsid w:val="003A5525"/>
    <w:rsid w:val="003A5889"/>
    <w:rsid w:val="003A6B38"/>
    <w:rsid w:val="003A6B83"/>
    <w:rsid w:val="003A722F"/>
    <w:rsid w:val="003B0DF4"/>
    <w:rsid w:val="003B1F9D"/>
    <w:rsid w:val="003B461F"/>
    <w:rsid w:val="003B4998"/>
    <w:rsid w:val="003B5A32"/>
    <w:rsid w:val="003C3490"/>
    <w:rsid w:val="003C6221"/>
    <w:rsid w:val="003C68CC"/>
    <w:rsid w:val="003C7E62"/>
    <w:rsid w:val="003D242B"/>
    <w:rsid w:val="003D2492"/>
    <w:rsid w:val="003D29AA"/>
    <w:rsid w:val="003D2A99"/>
    <w:rsid w:val="003D6920"/>
    <w:rsid w:val="003E4C91"/>
    <w:rsid w:val="003E52D8"/>
    <w:rsid w:val="003F313C"/>
    <w:rsid w:val="003F37FC"/>
    <w:rsid w:val="003F4B2C"/>
    <w:rsid w:val="003F551C"/>
    <w:rsid w:val="003F72ED"/>
    <w:rsid w:val="003F7D23"/>
    <w:rsid w:val="00400050"/>
    <w:rsid w:val="004002C8"/>
    <w:rsid w:val="00400468"/>
    <w:rsid w:val="0040099D"/>
    <w:rsid w:val="00402ADB"/>
    <w:rsid w:val="0040368D"/>
    <w:rsid w:val="004059D2"/>
    <w:rsid w:val="00406C2E"/>
    <w:rsid w:val="00406EB0"/>
    <w:rsid w:val="00407C13"/>
    <w:rsid w:val="00410638"/>
    <w:rsid w:val="00412511"/>
    <w:rsid w:val="004125C2"/>
    <w:rsid w:val="00412DFA"/>
    <w:rsid w:val="00413465"/>
    <w:rsid w:val="0041501E"/>
    <w:rsid w:val="004159C3"/>
    <w:rsid w:val="00415A57"/>
    <w:rsid w:val="00416DAC"/>
    <w:rsid w:val="00420880"/>
    <w:rsid w:val="00432A58"/>
    <w:rsid w:val="004331C3"/>
    <w:rsid w:val="00434617"/>
    <w:rsid w:val="00435051"/>
    <w:rsid w:val="00435C69"/>
    <w:rsid w:val="004360FB"/>
    <w:rsid w:val="00437CED"/>
    <w:rsid w:val="00440900"/>
    <w:rsid w:val="0044121D"/>
    <w:rsid w:val="00441BF6"/>
    <w:rsid w:val="004441A0"/>
    <w:rsid w:val="00445861"/>
    <w:rsid w:val="00445A8E"/>
    <w:rsid w:val="00446D44"/>
    <w:rsid w:val="0045078A"/>
    <w:rsid w:val="0045086D"/>
    <w:rsid w:val="00451EF1"/>
    <w:rsid w:val="00452E60"/>
    <w:rsid w:val="00457490"/>
    <w:rsid w:val="00457953"/>
    <w:rsid w:val="00460FB3"/>
    <w:rsid w:val="00464851"/>
    <w:rsid w:val="00467B14"/>
    <w:rsid w:val="004707FE"/>
    <w:rsid w:val="0047276D"/>
    <w:rsid w:val="00472AF6"/>
    <w:rsid w:val="00474A04"/>
    <w:rsid w:val="00476240"/>
    <w:rsid w:val="00476439"/>
    <w:rsid w:val="0047735C"/>
    <w:rsid w:val="004776BC"/>
    <w:rsid w:val="00477820"/>
    <w:rsid w:val="00477B96"/>
    <w:rsid w:val="0048139F"/>
    <w:rsid w:val="00481E40"/>
    <w:rsid w:val="00482405"/>
    <w:rsid w:val="004826A7"/>
    <w:rsid w:val="0048368C"/>
    <w:rsid w:val="00484ECE"/>
    <w:rsid w:val="00486A4D"/>
    <w:rsid w:val="004915CB"/>
    <w:rsid w:val="004924DC"/>
    <w:rsid w:val="00492879"/>
    <w:rsid w:val="004A14E4"/>
    <w:rsid w:val="004A26A5"/>
    <w:rsid w:val="004A27F0"/>
    <w:rsid w:val="004A3212"/>
    <w:rsid w:val="004A40D9"/>
    <w:rsid w:val="004A4F8A"/>
    <w:rsid w:val="004A5494"/>
    <w:rsid w:val="004A61C5"/>
    <w:rsid w:val="004A62A0"/>
    <w:rsid w:val="004A77DF"/>
    <w:rsid w:val="004B1417"/>
    <w:rsid w:val="004B305C"/>
    <w:rsid w:val="004B339A"/>
    <w:rsid w:val="004B55B7"/>
    <w:rsid w:val="004B6468"/>
    <w:rsid w:val="004B6EF8"/>
    <w:rsid w:val="004B7125"/>
    <w:rsid w:val="004B756A"/>
    <w:rsid w:val="004B7FB1"/>
    <w:rsid w:val="004C384C"/>
    <w:rsid w:val="004C3867"/>
    <w:rsid w:val="004C3DB0"/>
    <w:rsid w:val="004C4720"/>
    <w:rsid w:val="004C4CD0"/>
    <w:rsid w:val="004C5165"/>
    <w:rsid w:val="004C6E0E"/>
    <w:rsid w:val="004C70DC"/>
    <w:rsid w:val="004D0211"/>
    <w:rsid w:val="004D0794"/>
    <w:rsid w:val="004D5B0F"/>
    <w:rsid w:val="004E1A40"/>
    <w:rsid w:val="004E200A"/>
    <w:rsid w:val="004E23FC"/>
    <w:rsid w:val="004E6DE6"/>
    <w:rsid w:val="004E765E"/>
    <w:rsid w:val="004F06F5"/>
    <w:rsid w:val="004F12A4"/>
    <w:rsid w:val="004F253F"/>
    <w:rsid w:val="004F33A0"/>
    <w:rsid w:val="004F3BD2"/>
    <w:rsid w:val="00506603"/>
    <w:rsid w:val="0050689D"/>
    <w:rsid w:val="005108C0"/>
    <w:rsid w:val="0051094F"/>
    <w:rsid w:val="00511873"/>
    <w:rsid w:val="00512461"/>
    <w:rsid w:val="00512A2F"/>
    <w:rsid w:val="00513B7E"/>
    <w:rsid w:val="0051475D"/>
    <w:rsid w:val="00514B11"/>
    <w:rsid w:val="00515BE9"/>
    <w:rsid w:val="00515C74"/>
    <w:rsid w:val="00517113"/>
    <w:rsid w:val="0052007E"/>
    <w:rsid w:val="00522E01"/>
    <w:rsid w:val="0052337A"/>
    <w:rsid w:val="005246BE"/>
    <w:rsid w:val="00525137"/>
    <w:rsid w:val="005251DD"/>
    <w:rsid w:val="005301A6"/>
    <w:rsid w:val="00530A68"/>
    <w:rsid w:val="00532CE7"/>
    <w:rsid w:val="00532D8B"/>
    <w:rsid w:val="0053324C"/>
    <w:rsid w:val="00534A28"/>
    <w:rsid w:val="00535018"/>
    <w:rsid w:val="00537571"/>
    <w:rsid w:val="005410E2"/>
    <w:rsid w:val="00541508"/>
    <w:rsid w:val="00541AE3"/>
    <w:rsid w:val="00543498"/>
    <w:rsid w:val="00544BE5"/>
    <w:rsid w:val="00550160"/>
    <w:rsid w:val="00552F2C"/>
    <w:rsid w:val="00553A25"/>
    <w:rsid w:val="005547EB"/>
    <w:rsid w:val="005555E0"/>
    <w:rsid w:val="0055599F"/>
    <w:rsid w:val="00556D68"/>
    <w:rsid w:val="005570D6"/>
    <w:rsid w:val="00563EB8"/>
    <w:rsid w:val="005647BF"/>
    <w:rsid w:val="00564AF1"/>
    <w:rsid w:val="005655DB"/>
    <w:rsid w:val="00570BC3"/>
    <w:rsid w:val="0057182A"/>
    <w:rsid w:val="00571E59"/>
    <w:rsid w:val="00572079"/>
    <w:rsid w:val="00573602"/>
    <w:rsid w:val="0057364B"/>
    <w:rsid w:val="00574773"/>
    <w:rsid w:val="00577C07"/>
    <w:rsid w:val="00577DB1"/>
    <w:rsid w:val="00580DE7"/>
    <w:rsid w:val="00583E52"/>
    <w:rsid w:val="00583FFD"/>
    <w:rsid w:val="0058519A"/>
    <w:rsid w:val="005856BD"/>
    <w:rsid w:val="00590B28"/>
    <w:rsid w:val="005911BE"/>
    <w:rsid w:val="00591273"/>
    <w:rsid w:val="005927A4"/>
    <w:rsid w:val="00593152"/>
    <w:rsid w:val="005956A3"/>
    <w:rsid w:val="00595CAB"/>
    <w:rsid w:val="00597BBF"/>
    <w:rsid w:val="005A10F2"/>
    <w:rsid w:val="005A21E0"/>
    <w:rsid w:val="005A28FF"/>
    <w:rsid w:val="005A2C09"/>
    <w:rsid w:val="005A3778"/>
    <w:rsid w:val="005A3DF8"/>
    <w:rsid w:val="005A5549"/>
    <w:rsid w:val="005B121D"/>
    <w:rsid w:val="005B4853"/>
    <w:rsid w:val="005B6CA1"/>
    <w:rsid w:val="005B770C"/>
    <w:rsid w:val="005C06ED"/>
    <w:rsid w:val="005C11B8"/>
    <w:rsid w:val="005C2609"/>
    <w:rsid w:val="005C45DD"/>
    <w:rsid w:val="005D3F06"/>
    <w:rsid w:val="005D4B73"/>
    <w:rsid w:val="005D5802"/>
    <w:rsid w:val="005D5AA9"/>
    <w:rsid w:val="005D66E6"/>
    <w:rsid w:val="005D7119"/>
    <w:rsid w:val="005D76C8"/>
    <w:rsid w:val="005D7890"/>
    <w:rsid w:val="005E19C1"/>
    <w:rsid w:val="005E2194"/>
    <w:rsid w:val="005E24F0"/>
    <w:rsid w:val="005E36FE"/>
    <w:rsid w:val="005E490F"/>
    <w:rsid w:val="005E4BC9"/>
    <w:rsid w:val="005E5314"/>
    <w:rsid w:val="005E7C78"/>
    <w:rsid w:val="005F04A7"/>
    <w:rsid w:val="005F114F"/>
    <w:rsid w:val="005F18C5"/>
    <w:rsid w:val="005F2A08"/>
    <w:rsid w:val="005F36CC"/>
    <w:rsid w:val="005F3EB1"/>
    <w:rsid w:val="005F466B"/>
    <w:rsid w:val="005F46D8"/>
    <w:rsid w:val="005F5469"/>
    <w:rsid w:val="005F63F3"/>
    <w:rsid w:val="005F6D7F"/>
    <w:rsid w:val="00601EEF"/>
    <w:rsid w:val="00604307"/>
    <w:rsid w:val="0060487F"/>
    <w:rsid w:val="00604EAD"/>
    <w:rsid w:val="0060513F"/>
    <w:rsid w:val="006104FB"/>
    <w:rsid w:val="00612A2F"/>
    <w:rsid w:val="00612AAE"/>
    <w:rsid w:val="006139E0"/>
    <w:rsid w:val="006156B4"/>
    <w:rsid w:val="00615DAF"/>
    <w:rsid w:val="00616E05"/>
    <w:rsid w:val="00617985"/>
    <w:rsid w:val="00624093"/>
    <w:rsid w:val="00631698"/>
    <w:rsid w:val="00631E44"/>
    <w:rsid w:val="00634C57"/>
    <w:rsid w:val="00634CE7"/>
    <w:rsid w:val="006350D5"/>
    <w:rsid w:val="0063642C"/>
    <w:rsid w:val="00637858"/>
    <w:rsid w:val="006404A7"/>
    <w:rsid w:val="00640A38"/>
    <w:rsid w:val="00644137"/>
    <w:rsid w:val="0064478C"/>
    <w:rsid w:val="006451E4"/>
    <w:rsid w:val="00645B33"/>
    <w:rsid w:val="006516CB"/>
    <w:rsid w:val="00653BD0"/>
    <w:rsid w:val="00654110"/>
    <w:rsid w:val="00656CFB"/>
    <w:rsid w:val="00657E87"/>
    <w:rsid w:val="00660D2D"/>
    <w:rsid w:val="00662469"/>
    <w:rsid w:val="00664647"/>
    <w:rsid w:val="00664803"/>
    <w:rsid w:val="00665BA4"/>
    <w:rsid w:val="00667AF2"/>
    <w:rsid w:val="00670489"/>
    <w:rsid w:val="006710C9"/>
    <w:rsid w:val="006741CD"/>
    <w:rsid w:val="00674D89"/>
    <w:rsid w:val="00675E37"/>
    <w:rsid w:val="00676736"/>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D27"/>
    <w:rsid w:val="00695065"/>
    <w:rsid w:val="00695BEF"/>
    <w:rsid w:val="006966C7"/>
    <w:rsid w:val="006968C1"/>
    <w:rsid w:val="006977F6"/>
    <w:rsid w:val="00697A13"/>
    <w:rsid w:val="006A109C"/>
    <w:rsid w:val="006A6565"/>
    <w:rsid w:val="006A7691"/>
    <w:rsid w:val="006A7EE2"/>
    <w:rsid w:val="006B0514"/>
    <w:rsid w:val="006B0F92"/>
    <w:rsid w:val="006B2785"/>
    <w:rsid w:val="006B344A"/>
    <w:rsid w:val="006B58C9"/>
    <w:rsid w:val="006B60ED"/>
    <w:rsid w:val="006B74AC"/>
    <w:rsid w:val="006B78D8"/>
    <w:rsid w:val="006B79EA"/>
    <w:rsid w:val="006C0C5D"/>
    <w:rsid w:val="006C113F"/>
    <w:rsid w:val="006C123E"/>
    <w:rsid w:val="006C15A1"/>
    <w:rsid w:val="006C1752"/>
    <w:rsid w:val="006C28CA"/>
    <w:rsid w:val="006C4355"/>
    <w:rsid w:val="006C469D"/>
    <w:rsid w:val="006C46B5"/>
    <w:rsid w:val="006C52EC"/>
    <w:rsid w:val="006C56D4"/>
    <w:rsid w:val="006C6681"/>
    <w:rsid w:val="006C683C"/>
    <w:rsid w:val="006C6924"/>
    <w:rsid w:val="006C6C1E"/>
    <w:rsid w:val="006C7CA6"/>
    <w:rsid w:val="006D18B3"/>
    <w:rsid w:val="006D3E8A"/>
    <w:rsid w:val="006D61F6"/>
    <w:rsid w:val="006E1332"/>
    <w:rsid w:val="006E279A"/>
    <w:rsid w:val="006E313B"/>
    <w:rsid w:val="006E3A45"/>
    <w:rsid w:val="006E53AD"/>
    <w:rsid w:val="006E7227"/>
    <w:rsid w:val="006F0741"/>
    <w:rsid w:val="006F1C27"/>
    <w:rsid w:val="006F42BB"/>
    <w:rsid w:val="006F438E"/>
    <w:rsid w:val="006F440B"/>
    <w:rsid w:val="006F5416"/>
    <w:rsid w:val="006F624B"/>
    <w:rsid w:val="0070398A"/>
    <w:rsid w:val="00705242"/>
    <w:rsid w:val="007055E0"/>
    <w:rsid w:val="007065C5"/>
    <w:rsid w:val="00706AA0"/>
    <w:rsid w:val="00706AD4"/>
    <w:rsid w:val="00707150"/>
    <w:rsid w:val="00713549"/>
    <w:rsid w:val="007140BE"/>
    <w:rsid w:val="00715E4D"/>
    <w:rsid w:val="00716F48"/>
    <w:rsid w:val="00717114"/>
    <w:rsid w:val="0071779F"/>
    <w:rsid w:val="007211F5"/>
    <w:rsid w:val="007240E2"/>
    <w:rsid w:val="0072583E"/>
    <w:rsid w:val="00725BB5"/>
    <w:rsid w:val="00727C02"/>
    <w:rsid w:val="00730AE8"/>
    <w:rsid w:val="00730F1B"/>
    <w:rsid w:val="0073186D"/>
    <w:rsid w:val="007343D9"/>
    <w:rsid w:val="00741493"/>
    <w:rsid w:val="007434E5"/>
    <w:rsid w:val="00752180"/>
    <w:rsid w:val="00752323"/>
    <w:rsid w:val="007532B7"/>
    <w:rsid w:val="00753CAB"/>
    <w:rsid w:val="00754A70"/>
    <w:rsid w:val="00755202"/>
    <w:rsid w:val="00755D3A"/>
    <w:rsid w:val="0075751D"/>
    <w:rsid w:val="007578D3"/>
    <w:rsid w:val="00760391"/>
    <w:rsid w:val="007609C6"/>
    <w:rsid w:val="007615F3"/>
    <w:rsid w:val="0076175D"/>
    <w:rsid w:val="00763B85"/>
    <w:rsid w:val="00764974"/>
    <w:rsid w:val="0076521E"/>
    <w:rsid w:val="007661E9"/>
    <w:rsid w:val="00767062"/>
    <w:rsid w:val="00771972"/>
    <w:rsid w:val="00774D2C"/>
    <w:rsid w:val="00776169"/>
    <w:rsid w:val="00776527"/>
    <w:rsid w:val="00777040"/>
    <w:rsid w:val="00777CE6"/>
    <w:rsid w:val="00780EF1"/>
    <w:rsid w:val="00781A91"/>
    <w:rsid w:val="00786C87"/>
    <w:rsid w:val="007877C9"/>
    <w:rsid w:val="00790764"/>
    <w:rsid w:val="0079085F"/>
    <w:rsid w:val="00791005"/>
    <w:rsid w:val="00793D78"/>
    <w:rsid w:val="0079453C"/>
    <w:rsid w:val="00794677"/>
    <w:rsid w:val="007A33E2"/>
    <w:rsid w:val="007A3CAF"/>
    <w:rsid w:val="007A516D"/>
    <w:rsid w:val="007A5E65"/>
    <w:rsid w:val="007A775D"/>
    <w:rsid w:val="007B0834"/>
    <w:rsid w:val="007B0E83"/>
    <w:rsid w:val="007B11FA"/>
    <w:rsid w:val="007B1396"/>
    <w:rsid w:val="007B2011"/>
    <w:rsid w:val="007B2CFE"/>
    <w:rsid w:val="007B3D5E"/>
    <w:rsid w:val="007B3DCB"/>
    <w:rsid w:val="007B5725"/>
    <w:rsid w:val="007B6689"/>
    <w:rsid w:val="007B6747"/>
    <w:rsid w:val="007B6F72"/>
    <w:rsid w:val="007C1F0C"/>
    <w:rsid w:val="007C1FFB"/>
    <w:rsid w:val="007C2D94"/>
    <w:rsid w:val="007C5F92"/>
    <w:rsid w:val="007C6227"/>
    <w:rsid w:val="007C6BBD"/>
    <w:rsid w:val="007D0382"/>
    <w:rsid w:val="007D1A1F"/>
    <w:rsid w:val="007D2E18"/>
    <w:rsid w:val="007D40DF"/>
    <w:rsid w:val="007D4458"/>
    <w:rsid w:val="007E0D4A"/>
    <w:rsid w:val="007E1788"/>
    <w:rsid w:val="007E29B4"/>
    <w:rsid w:val="007E435A"/>
    <w:rsid w:val="007E49F7"/>
    <w:rsid w:val="007E4C70"/>
    <w:rsid w:val="007E78B6"/>
    <w:rsid w:val="007E7E61"/>
    <w:rsid w:val="007F0845"/>
    <w:rsid w:val="007F20F3"/>
    <w:rsid w:val="007F2390"/>
    <w:rsid w:val="007F708D"/>
    <w:rsid w:val="008006B3"/>
    <w:rsid w:val="00801E13"/>
    <w:rsid w:val="00803069"/>
    <w:rsid w:val="0080734C"/>
    <w:rsid w:val="00807C82"/>
    <w:rsid w:val="008117CC"/>
    <w:rsid w:val="00813DCA"/>
    <w:rsid w:val="008161A6"/>
    <w:rsid w:val="00816905"/>
    <w:rsid w:val="00817A17"/>
    <w:rsid w:val="00817EC1"/>
    <w:rsid w:val="0082112D"/>
    <w:rsid w:val="00821FF6"/>
    <w:rsid w:val="00822574"/>
    <w:rsid w:val="00825C4D"/>
    <w:rsid w:val="00826A08"/>
    <w:rsid w:val="00827186"/>
    <w:rsid w:val="00827C8E"/>
    <w:rsid w:val="00830AEA"/>
    <w:rsid w:val="00830E86"/>
    <w:rsid w:val="0083143E"/>
    <w:rsid w:val="008315D5"/>
    <w:rsid w:val="00831CDE"/>
    <w:rsid w:val="00834304"/>
    <w:rsid w:val="00834FAA"/>
    <w:rsid w:val="008354FB"/>
    <w:rsid w:val="00836086"/>
    <w:rsid w:val="0083630F"/>
    <w:rsid w:val="00836A06"/>
    <w:rsid w:val="008374BC"/>
    <w:rsid w:val="00840293"/>
    <w:rsid w:val="008417B5"/>
    <w:rsid w:val="00841901"/>
    <w:rsid w:val="008458BD"/>
    <w:rsid w:val="00846121"/>
    <w:rsid w:val="008466C6"/>
    <w:rsid w:val="0084708F"/>
    <w:rsid w:val="008477C8"/>
    <w:rsid w:val="008478A6"/>
    <w:rsid w:val="0085114D"/>
    <w:rsid w:val="008520A8"/>
    <w:rsid w:val="00852217"/>
    <w:rsid w:val="00855408"/>
    <w:rsid w:val="00856D65"/>
    <w:rsid w:val="00861B41"/>
    <w:rsid w:val="00861B9F"/>
    <w:rsid w:val="00861BE3"/>
    <w:rsid w:val="008625D3"/>
    <w:rsid w:val="00863434"/>
    <w:rsid w:val="008641AC"/>
    <w:rsid w:val="00865E4C"/>
    <w:rsid w:val="00867DAB"/>
    <w:rsid w:val="008701E4"/>
    <w:rsid w:val="008734E7"/>
    <w:rsid w:val="0087368D"/>
    <w:rsid w:val="00874FE8"/>
    <w:rsid w:val="00875A32"/>
    <w:rsid w:val="00876086"/>
    <w:rsid w:val="00876E83"/>
    <w:rsid w:val="008772BC"/>
    <w:rsid w:val="00882911"/>
    <w:rsid w:val="00885D40"/>
    <w:rsid w:val="008873D4"/>
    <w:rsid w:val="00891EDF"/>
    <w:rsid w:val="00892872"/>
    <w:rsid w:val="0089296D"/>
    <w:rsid w:val="00893E85"/>
    <w:rsid w:val="00894031"/>
    <w:rsid w:val="00894C5D"/>
    <w:rsid w:val="00895508"/>
    <w:rsid w:val="008972D2"/>
    <w:rsid w:val="0089754C"/>
    <w:rsid w:val="008A0ADD"/>
    <w:rsid w:val="008A37E2"/>
    <w:rsid w:val="008A388E"/>
    <w:rsid w:val="008A3CBA"/>
    <w:rsid w:val="008A4B59"/>
    <w:rsid w:val="008B3C07"/>
    <w:rsid w:val="008B3F7B"/>
    <w:rsid w:val="008B6106"/>
    <w:rsid w:val="008B7C02"/>
    <w:rsid w:val="008B7D2B"/>
    <w:rsid w:val="008B7EF9"/>
    <w:rsid w:val="008C0049"/>
    <w:rsid w:val="008C0E88"/>
    <w:rsid w:val="008C4B50"/>
    <w:rsid w:val="008C7569"/>
    <w:rsid w:val="008D0DBD"/>
    <w:rsid w:val="008D127E"/>
    <w:rsid w:val="008D1CA8"/>
    <w:rsid w:val="008D1E6A"/>
    <w:rsid w:val="008D2A16"/>
    <w:rsid w:val="008D33F5"/>
    <w:rsid w:val="008D35E4"/>
    <w:rsid w:val="008E292B"/>
    <w:rsid w:val="008E2C57"/>
    <w:rsid w:val="008E31FF"/>
    <w:rsid w:val="008E6DCB"/>
    <w:rsid w:val="008E6F06"/>
    <w:rsid w:val="008E7B8E"/>
    <w:rsid w:val="008E7FC9"/>
    <w:rsid w:val="008F029B"/>
    <w:rsid w:val="008F2A5D"/>
    <w:rsid w:val="008F3636"/>
    <w:rsid w:val="008F3FC9"/>
    <w:rsid w:val="008F585B"/>
    <w:rsid w:val="009003A8"/>
    <w:rsid w:val="009021DA"/>
    <w:rsid w:val="00902500"/>
    <w:rsid w:val="00902EFF"/>
    <w:rsid w:val="0090432C"/>
    <w:rsid w:val="00904F96"/>
    <w:rsid w:val="009052A3"/>
    <w:rsid w:val="009056D7"/>
    <w:rsid w:val="00905B8D"/>
    <w:rsid w:val="00906401"/>
    <w:rsid w:val="0090786F"/>
    <w:rsid w:val="009110F7"/>
    <w:rsid w:val="0091155E"/>
    <w:rsid w:val="00912437"/>
    <w:rsid w:val="00912A92"/>
    <w:rsid w:val="00915D07"/>
    <w:rsid w:val="009162AE"/>
    <w:rsid w:val="00917251"/>
    <w:rsid w:val="0091728D"/>
    <w:rsid w:val="00920EC4"/>
    <w:rsid w:val="0092180B"/>
    <w:rsid w:val="00921F14"/>
    <w:rsid w:val="00923CB0"/>
    <w:rsid w:val="00924871"/>
    <w:rsid w:val="00924AC8"/>
    <w:rsid w:val="00925429"/>
    <w:rsid w:val="0092597A"/>
    <w:rsid w:val="00926520"/>
    <w:rsid w:val="0093033E"/>
    <w:rsid w:val="009305FC"/>
    <w:rsid w:val="00930FB1"/>
    <w:rsid w:val="0093139F"/>
    <w:rsid w:val="00932443"/>
    <w:rsid w:val="00933F4A"/>
    <w:rsid w:val="00935BD4"/>
    <w:rsid w:val="009373B2"/>
    <w:rsid w:val="00937AE2"/>
    <w:rsid w:val="0094416B"/>
    <w:rsid w:val="0094427A"/>
    <w:rsid w:val="00944C7C"/>
    <w:rsid w:val="00945245"/>
    <w:rsid w:val="00945523"/>
    <w:rsid w:val="009568DC"/>
    <w:rsid w:val="0095759C"/>
    <w:rsid w:val="009618EE"/>
    <w:rsid w:val="009624D2"/>
    <w:rsid w:val="009628D9"/>
    <w:rsid w:val="009637AE"/>
    <w:rsid w:val="00964776"/>
    <w:rsid w:val="00964A4E"/>
    <w:rsid w:val="00964B35"/>
    <w:rsid w:val="009651C7"/>
    <w:rsid w:val="00965797"/>
    <w:rsid w:val="00965A10"/>
    <w:rsid w:val="009670A3"/>
    <w:rsid w:val="009674BE"/>
    <w:rsid w:val="00971C77"/>
    <w:rsid w:val="00972FCD"/>
    <w:rsid w:val="009741FC"/>
    <w:rsid w:val="00974923"/>
    <w:rsid w:val="00977C3D"/>
    <w:rsid w:val="00980D3D"/>
    <w:rsid w:val="00983101"/>
    <w:rsid w:val="00983E41"/>
    <w:rsid w:val="00987A30"/>
    <w:rsid w:val="0099182E"/>
    <w:rsid w:val="00992CF3"/>
    <w:rsid w:val="00994868"/>
    <w:rsid w:val="009968D6"/>
    <w:rsid w:val="009A10A0"/>
    <w:rsid w:val="009A1CAB"/>
    <w:rsid w:val="009A2359"/>
    <w:rsid w:val="009A24F1"/>
    <w:rsid w:val="009A4D57"/>
    <w:rsid w:val="009A60D1"/>
    <w:rsid w:val="009A64F5"/>
    <w:rsid w:val="009B00D2"/>
    <w:rsid w:val="009B05B3"/>
    <w:rsid w:val="009B3764"/>
    <w:rsid w:val="009B66CE"/>
    <w:rsid w:val="009B6FD3"/>
    <w:rsid w:val="009B7DB2"/>
    <w:rsid w:val="009C1750"/>
    <w:rsid w:val="009C2E29"/>
    <w:rsid w:val="009C3E8F"/>
    <w:rsid w:val="009C554B"/>
    <w:rsid w:val="009C719E"/>
    <w:rsid w:val="009C7799"/>
    <w:rsid w:val="009D07A9"/>
    <w:rsid w:val="009D3ACD"/>
    <w:rsid w:val="009D4FE9"/>
    <w:rsid w:val="009D7731"/>
    <w:rsid w:val="009E1922"/>
    <w:rsid w:val="009E4715"/>
    <w:rsid w:val="009E5273"/>
    <w:rsid w:val="009E57A8"/>
    <w:rsid w:val="009E5B85"/>
    <w:rsid w:val="009E5DDB"/>
    <w:rsid w:val="009F4982"/>
    <w:rsid w:val="009F4CA7"/>
    <w:rsid w:val="009F7D36"/>
    <w:rsid w:val="00A00E71"/>
    <w:rsid w:val="00A03B10"/>
    <w:rsid w:val="00A04616"/>
    <w:rsid w:val="00A04717"/>
    <w:rsid w:val="00A05EE4"/>
    <w:rsid w:val="00A10D66"/>
    <w:rsid w:val="00A14114"/>
    <w:rsid w:val="00A16413"/>
    <w:rsid w:val="00A16545"/>
    <w:rsid w:val="00A16AED"/>
    <w:rsid w:val="00A16E1D"/>
    <w:rsid w:val="00A17A15"/>
    <w:rsid w:val="00A17D5B"/>
    <w:rsid w:val="00A23E43"/>
    <w:rsid w:val="00A24ED9"/>
    <w:rsid w:val="00A25216"/>
    <w:rsid w:val="00A2628E"/>
    <w:rsid w:val="00A2731E"/>
    <w:rsid w:val="00A309AC"/>
    <w:rsid w:val="00A30F65"/>
    <w:rsid w:val="00A3279E"/>
    <w:rsid w:val="00A35900"/>
    <w:rsid w:val="00A40EAC"/>
    <w:rsid w:val="00A418BC"/>
    <w:rsid w:val="00A41FCF"/>
    <w:rsid w:val="00A43CF8"/>
    <w:rsid w:val="00A43DF2"/>
    <w:rsid w:val="00A445A8"/>
    <w:rsid w:val="00A44B0D"/>
    <w:rsid w:val="00A45087"/>
    <w:rsid w:val="00A45489"/>
    <w:rsid w:val="00A46DE0"/>
    <w:rsid w:val="00A50D73"/>
    <w:rsid w:val="00A52A88"/>
    <w:rsid w:val="00A52CAD"/>
    <w:rsid w:val="00A53FC7"/>
    <w:rsid w:val="00A55569"/>
    <w:rsid w:val="00A626FF"/>
    <w:rsid w:val="00A62CE1"/>
    <w:rsid w:val="00A655D3"/>
    <w:rsid w:val="00A662D9"/>
    <w:rsid w:val="00A6741E"/>
    <w:rsid w:val="00A7016A"/>
    <w:rsid w:val="00A7018D"/>
    <w:rsid w:val="00A722F9"/>
    <w:rsid w:val="00A72D42"/>
    <w:rsid w:val="00A75E40"/>
    <w:rsid w:val="00A77D1D"/>
    <w:rsid w:val="00A81652"/>
    <w:rsid w:val="00A83150"/>
    <w:rsid w:val="00A83398"/>
    <w:rsid w:val="00A857C0"/>
    <w:rsid w:val="00A90FED"/>
    <w:rsid w:val="00A9189D"/>
    <w:rsid w:val="00A91E71"/>
    <w:rsid w:val="00A925B1"/>
    <w:rsid w:val="00A96116"/>
    <w:rsid w:val="00A9614E"/>
    <w:rsid w:val="00A96C0F"/>
    <w:rsid w:val="00AA212F"/>
    <w:rsid w:val="00AA2996"/>
    <w:rsid w:val="00AA2AF4"/>
    <w:rsid w:val="00AA52BF"/>
    <w:rsid w:val="00AA559A"/>
    <w:rsid w:val="00AA6C31"/>
    <w:rsid w:val="00AA7CE8"/>
    <w:rsid w:val="00AB2AF1"/>
    <w:rsid w:val="00AB50F8"/>
    <w:rsid w:val="00AB5A64"/>
    <w:rsid w:val="00AB5CA1"/>
    <w:rsid w:val="00AB6456"/>
    <w:rsid w:val="00AC044E"/>
    <w:rsid w:val="00AC2395"/>
    <w:rsid w:val="00AC2960"/>
    <w:rsid w:val="00AC2AC4"/>
    <w:rsid w:val="00AC4284"/>
    <w:rsid w:val="00AC45BD"/>
    <w:rsid w:val="00AD0EE7"/>
    <w:rsid w:val="00AD168E"/>
    <w:rsid w:val="00AD306C"/>
    <w:rsid w:val="00AD5AD2"/>
    <w:rsid w:val="00AD6462"/>
    <w:rsid w:val="00AD66C5"/>
    <w:rsid w:val="00AD68C4"/>
    <w:rsid w:val="00AD71F9"/>
    <w:rsid w:val="00AE09B3"/>
    <w:rsid w:val="00AE1A83"/>
    <w:rsid w:val="00AE7CE7"/>
    <w:rsid w:val="00AE7FAB"/>
    <w:rsid w:val="00AF1E87"/>
    <w:rsid w:val="00AF436B"/>
    <w:rsid w:val="00AF5179"/>
    <w:rsid w:val="00AF5CC2"/>
    <w:rsid w:val="00AF6776"/>
    <w:rsid w:val="00AF6F98"/>
    <w:rsid w:val="00B00913"/>
    <w:rsid w:val="00B01593"/>
    <w:rsid w:val="00B01FF9"/>
    <w:rsid w:val="00B023F2"/>
    <w:rsid w:val="00B06DB4"/>
    <w:rsid w:val="00B10A4D"/>
    <w:rsid w:val="00B10C90"/>
    <w:rsid w:val="00B11002"/>
    <w:rsid w:val="00B121B2"/>
    <w:rsid w:val="00B14BC1"/>
    <w:rsid w:val="00B16EB8"/>
    <w:rsid w:val="00B17E71"/>
    <w:rsid w:val="00B17FDE"/>
    <w:rsid w:val="00B20632"/>
    <w:rsid w:val="00B2379C"/>
    <w:rsid w:val="00B23D5D"/>
    <w:rsid w:val="00B2687D"/>
    <w:rsid w:val="00B3108D"/>
    <w:rsid w:val="00B32DDB"/>
    <w:rsid w:val="00B32F57"/>
    <w:rsid w:val="00B3345C"/>
    <w:rsid w:val="00B34528"/>
    <w:rsid w:val="00B34CC9"/>
    <w:rsid w:val="00B3563B"/>
    <w:rsid w:val="00B37D3A"/>
    <w:rsid w:val="00B402FC"/>
    <w:rsid w:val="00B422E2"/>
    <w:rsid w:val="00B439DA"/>
    <w:rsid w:val="00B4411A"/>
    <w:rsid w:val="00B46604"/>
    <w:rsid w:val="00B47089"/>
    <w:rsid w:val="00B52151"/>
    <w:rsid w:val="00B530CD"/>
    <w:rsid w:val="00B53E56"/>
    <w:rsid w:val="00B55A97"/>
    <w:rsid w:val="00B55F5E"/>
    <w:rsid w:val="00B56B6F"/>
    <w:rsid w:val="00B5752E"/>
    <w:rsid w:val="00B62316"/>
    <w:rsid w:val="00B63A11"/>
    <w:rsid w:val="00B64425"/>
    <w:rsid w:val="00B64C24"/>
    <w:rsid w:val="00B65CEF"/>
    <w:rsid w:val="00B6608F"/>
    <w:rsid w:val="00B679FB"/>
    <w:rsid w:val="00B7680F"/>
    <w:rsid w:val="00B76D1E"/>
    <w:rsid w:val="00B77543"/>
    <w:rsid w:val="00B80EC6"/>
    <w:rsid w:val="00B81288"/>
    <w:rsid w:val="00B81D70"/>
    <w:rsid w:val="00B83E07"/>
    <w:rsid w:val="00B84CF6"/>
    <w:rsid w:val="00B85016"/>
    <w:rsid w:val="00B8561A"/>
    <w:rsid w:val="00B92D1D"/>
    <w:rsid w:val="00B938C5"/>
    <w:rsid w:val="00B95940"/>
    <w:rsid w:val="00B95ACA"/>
    <w:rsid w:val="00B97ACC"/>
    <w:rsid w:val="00BA3787"/>
    <w:rsid w:val="00BA46E8"/>
    <w:rsid w:val="00BA6436"/>
    <w:rsid w:val="00BA684E"/>
    <w:rsid w:val="00BA6C2B"/>
    <w:rsid w:val="00BA7B64"/>
    <w:rsid w:val="00BB02A3"/>
    <w:rsid w:val="00BB0351"/>
    <w:rsid w:val="00BB15C3"/>
    <w:rsid w:val="00BB1AF4"/>
    <w:rsid w:val="00BB46F3"/>
    <w:rsid w:val="00BB4CB1"/>
    <w:rsid w:val="00BB4F98"/>
    <w:rsid w:val="00BB5ABF"/>
    <w:rsid w:val="00BB6EA2"/>
    <w:rsid w:val="00BB7B5B"/>
    <w:rsid w:val="00BC003F"/>
    <w:rsid w:val="00BC327F"/>
    <w:rsid w:val="00BC5332"/>
    <w:rsid w:val="00BC5C12"/>
    <w:rsid w:val="00BC7154"/>
    <w:rsid w:val="00BC731E"/>
    <w:rsid w:val="00BC7614"/>
    <w:rsid w:val="00BD25BB"/>
    <w:rsid w:val="00BD2AF8"/>
    <w:rsid w:val="00BD366B"/>
    <w:rsid w:val="00BD6C75"/>
    <w:rsid w:val="00BD6D50"/>
    <w:rsid w:val="00BE0AD1"/>
    <w:rsid w:val="00BE0EF9"/>
    <w:rsid w:val="00BE18B9"/>
    <w:rsid w:val="00BE190A"/>
    <w:rsid w:val="00BE2495"/>
    <w:rsid w:val="00BE24DD"/>
    <w:rsid w:val="00BE386D"/>
    <w:rsid w:val="00BF02C8"/>
    <w:rsid w:val="00BF1578"/>
    <w:rsid w:val="00BF1D12"/>
    <w:rsid w:val="00BF1D3A"/>
    <w:rsid w:val="00BF2B5B"/>
    <w:rsid w:val="00BF32DC"/>
    <w:rsid w:val="00BF4E43"/>
    <w:rsid w:val="00BF5C4C"/>
    <w:rsid w:val="00C01410"/>
    <w:rsid w:val="00C04B78"/>
    <w:rsid w:val="00C052AA"/>
    <w:rsid w:val="00C06EE3"/>
    <w:rsid w:val="00C07749"/>
    <w:rsid w:val="00C11D48"/>
    <w:rsid w:val="00C1493E"/>
    <w:rsid w:val="00C15DBD"/>
    <w:rsid w:val="00C21430"/>
    <w:rsid w:val="00C21E61"/>
    <w:rsid w:val="00C21F94"/>
    <w:rsid w:val="00C2479A"/>
    <w:rsid w:val="00C24903"/>
    <w:rsid w:val="00C2590D"/>
    <w:rsid w:val="00C27913"/>
    <w:rsid w:val="00C31F21"/>
    <w:rsid w:val="00C33311"/>
    <w:rsid w:val="00C33B68"/>
    <w:rsid w:val="00C35570"/>
    <w:rsid w:val="00C36A79"/>
    <w:rsid w:val="00C401D2"/>
    <w:rsid w:val="00C4031A"/>
    <w:rsid w:val="00C405D4"/>
    <w:rsid w:val="00C419D5"/>
    <w:rsid w:val="00C4513B"/>
    <w:rsid w:val="00C5390B"/>
    <w:rsid w:val="00C54697"/>
    <w:rsid w:val="00C553A5"/>
    <w:rsid w:val="00C55402"/>
    <w:rsid w:val="00C5603B"/>
    <w:rsid w:val="00C61F47"/>
    <w:rsid w:val="00C62828"/>
    <w:rsid w:val="00C71D2F"/>
    <w:rsid w:val="00C72984"/>
    <w:rsid w:val="00C73885"/>
    <w:rsid w:val="00C73C93"/>
    <w:rsid w:val="00C7435A"/>
    <w:rsid w:val="00C747B1"/>
    <w:rsid w:val="00C82191"/>
    <w:rsid w:val="00C83134"/>
    <w:rsid w:val="00C832F3"/>
    <w:rsid w:val="00C85545"/>
    <w:rsid w:val="00C855B5"/>
    <w:rsid w:val="00C85F0E"/>
    <w:rsid w:val="00C90CF4"/>
    <w:rsid w:val="00C922DE"/>
    <w:rsid w:val="00C92843"/>
    <w:rsid w:val="00C92EB6"/>
    <w:rsid w:val="00C93389"/>
    <w:rsid w:val="00CA0346"/>
    <w:rsid w:val="00CA37FF"/>
    <w:rsid w:val="00CA6AB4"/>
    <w:rsid w:val="00CB2351"/>
    <w:rsid w:val="00CB4930"/>
    <w:rsid w:val="00CB5E10"/>
    <w:rsid w:val="00CC0834"/>
    <w:rsid w:val="00CC20FE"/>
    <w:rsid w:val="00CC2E7D"/>
    <w:rsid w:val="00CC655F"/>
    <w:rsid w:val="00CC6FE5"/>
    <w:rsid w:val="00CC76BD"/>
    <w:rsid w:val="00CD10A5"/>
    <w:rsid w:val="00CD1129"/>
    <w:rsid w:val="00CD1A80"/>
    <w:rsid w:val="00CD2076"/>
    <w:rsid w:val="00CD24CE"/>
    <w:rsid w:val="00CD29B5"/>
    <w:rsid w:val="00CD2B78"/>
    <w:rsid w:val="00CD5C3E"/>
    <w:rsid w:val="00CD6331"/>
    <w:rsid w:val="00CE14BE"/>
    <w:rsid w:val="00CE1BA9"/>
    <w:rsid w:val="00CE2D8F"/>
    <w:rsid w:val="00CE62FA"/>
    <w:rsid w:val="00CE670B"/>
    <w:rsid w:val="00CE6833"/>
    <w:rsid w:val="00CF4908"/>
    <w:rsid w:val="00CF51EC"/>
    <w:rsid w:val="00CF545D"/>
    <w:rsid w:val="00CF5873"/>
    <w:rsid w:val="00CF73AE"/>
    <w:rsid w:val="00D03A72"/>
    <w:rsid w:val="00D040DD"/>
    <w:rsid w:val="00D05C65"/>
    <w:rsid w:val="00D06D68"/>
    <w:rsid w:val="00D075BE"/>
    <w:rsid w:val="00D10C15"/>
    <w:rsid w:val="00D12C25"/>
    <w:rsid w:val="00D133B4"/>
    <w:rsid w:val="00D13986"/>
    <w:rsid w:val="00D14C5B"/>
    <w:rsid w:val="00D15FED"/>
    <w:rsid w:val="00D214EF"/>
    <w:rsid w:val="00D21D6D"/>
    <w:rsid w:val="00D21D83"/>
    <w:rsid w:val="00D235B7"/>
    <w:rsid w:val="00D25F28"/>
    <w:rsid w:val="00D26071"/>
    <w:rsid w:val="00D27973"/>
    <w:rsid w:val="00D31E1E"/>
    <w:rsid w:val="00D334E2"/>
    <w:rsid w:val="00D35BBB"/>
    <w:rsid w:val="00D35E1A"/>
    <w:rsid w:val="00D36DFB"/>
    <w:rsid w:val="00D36E1C"/>
    <w:rsid w:val="00D373AF"/>
    <w:rsid w:val="00D40556"/>
    <w:rsid w:val="00D41F74"/>
    <w:rsid w:val="00D43ED2"/>
    <w:rsid w:val="00D50F46"/>
    <w:rsid w:val="00D544E7"/>
    <w:rsid w:val="00D56FBF"/>
    <w:rsid w:val="00D57677"/>
    <w:rsid w:val="00D60415"/>
    <w:rsid w:val="00D63BE5"/>
    <w:rsid w:val="00D6475F"/>
    <w:rsid w:val="00D66223"/>
    <w:rsid w:val="00D70822"/>
    <w:rsid w:val="00D72076"/>
    <w:rsid w:val="00D726A9"/>
    <w:rsid w:val="00D7397C"/>
    <w:rsid w:val="00D743E0"/>
    <w:rsid w:val="00D77252"/>
    <w:rsid w:val="00D8084C"/>
    <w:rsid w:val="00D82EF1"/>
    <w:rsid w:val="00D84F43"/>
    <w:rsid w:val="00D85821"/>
    <w:rsid w:val="00D8598C"/>
    <w:rsid w:val="00D87C06"/>
    <w:rsid w:val="00D915EA"/>
    <w:rsid w:val="00D922A1"/>
    <w:rsid w:val="00D928BE"/>
    <w:rsid w:val="00D95C5D"/>
    <w:rsid w:val="00D97D00"/>
    <w:rsid w:val="00DA096C"/>
    <w:rsid w:val="00DA1AB6"/>
    <w:rsid w:val="00DA5F8E"/>
    <w:rsid w:val="00DA6364"/>
    <w:rsid w:val="00DA7114"/>
    <w:rsid w:val="00DA7C0C"/>
    <w:rsid w:val="00DB08A9"/>
    <w:rsid w:val="00DB2DFA"/>
    <w:rsid w:val="00DB2EC8"/>
    <w:rsid w:val="00DB5E9A"/>
    <w:rsid w:val="00DB657E"/>
    <w:rsid w:val="00DB7342"/>
    <w:rsid w:val="00DC17D0"/>
    <w:rsid w:val="00DC2B41"/>
    <w:rsid w:val="00DC435B"/>
    <w:rsid w:val="00DC56FE"/>
    <w:rsid w:val="00DC5B3B"/>
    <w:rsid w:val="00DC6C2D"/>
    <w:rsid w:val="00DC7B1A"/>
    <w:rsid w:val="00DD129F"/>
    <w:rsid w:val="00DD32DD"/>
    <w:rsid w:val="00DE0D8B"/>
    <w:rsid w:val="00DF3643"/>
    <w:rsid w:val="00DF42FF"/>
    <w:rsid w:val="00DF4369"/>
    <w:rsid w:val="00DF4423"/>
    <w:rsid w:val="00DF5D1E"/>
    <w:rsid w:val="00E01C0E"/>
    <w:rsid w:val="00E0368F"/>
    <w:rsid w:val="00E03D73"/>
    <w:rsid w:val="00E03F9A"/>
    <w:rsid w:val="00E04694"/>
    <w:rsid w:val="00E129E7"/>
    <w:rsid w:val="00E12ABE"/>
    <w:rsid w:val="00E12B1E"/>
    <w:rsid w:val="00E1444C"/>
    <w:rsid w:val="00E17262"/>
    <w:rsid w:val="00E20016"/>
    <w:rsid w:val="00E2009B"/>
    <w:rsid w:val="00E2251C"/>
    <w:rsid w:val="00E2363D"/>
    <w:rsid w:val="00E253A2"/>
    <w:rsid w:val="00E27127"/>
    <w:rsid w:val="00E27233"/>
    <w:rsid w:val="00E31771"/>
    <w:rsid w:val="00E32080"/>
    <w:rsid w:val="00E3309D"/>
    <w:rsid w:val="00E417BE"/>
    <w:rsid w:val="00E41CD5"/>
    <w:rsid w:val="00E43A9E"/>
    <w:rsid w:val="00E453F9"/>
    <w:rsid w:val="00E45D7D"/>
    <w:rsid w:val="00E4665D"/>
    <w:rsid w:val="00E47854"/>
    <w:rsid w:val="00E47EBA"/>
    <w:rsid w:val="00E50156"/>
    <w:rsid w:val="00E5076C"/>
    <w:rsid w:val="00E50D2E"/>
    <w:rsid w:val="00E53470"/>
    <w:rsid w:val="00E539F6"/>
    <w:rsid w:val="00E54698"/>
    <w:rsid w:val="00E55791"/>
    <w:rsid w:val="00E578A2"/>
    <w:rsid w:val="00E61740"/>
    <w:rsid w:val="00E61EB5"/>
    <w:rsid w:val="00E6519D"/>
    <w:rsid w:val="00E66062"/>
    <w:rsid w:val="00E67305"/>
    <w:rsid w:val="00E67696"/>
    <w:rsid w:val="00E71A58"/>
    <w:rsid w:val="00E72A26"/>
    <w:rsid w:val="00E72A7A"/>
    <w:rsid w:val="00E747DC"/>
    <w:rsid w:val="00E75C94"/>
    <w:rsid w:val="00E76B9B"/>
    <w:rsid w:val="00E76E61"/>
    <w:rsid w:val="00E80CA3"/>
    <w:rsid w:val="00E82618"/>
    <w:rsid w:val="00E90CA8"/>
    <w:rsid w:val="00E930A1"/>
    <w:rsid w:val="00E93820"/>
    <w:rsid w:val="00E94A86"/>
    <w:rsid w:val="00E96143"/>
    <w:rsid w:val="00E96833"/>
    <w:rsid w:val="00EA0C68"/>
    <w:rsid w:val="00EA2841"/>
    <w:rsid w:val="00EA32BC"/>
    <w:rsid w:val="00EA35A7"/>
    <w:rsid w:val="00EA3B32"/>
    <w:rsid w:val="00EA4402"/>
    <w:rsid w:val="00EA513E"/>
    <w:rsid w:val="00EB0E32"/>
    <w:rsid w:val="00EB4511"/>
    <w:rsid w:val="00EB4A8E"/>
    <w:rsid w:val="00EB5BF7"/>
    <w:rsid w:val="00EB5E79"/>
    <w:rsid w:val="00EB6FAC"/>
    <w:rsid w:val="00EC03D7"/>
    <w:rsid w:val="00EC13A7"/>
    <w:rsid w:val="00ED0EF0"/>
    <w:rsid w:val="00ED12B9"/>
    <w:rsid w:val="00ED16B8"/>
    <w:rsid w:val="00ED2EA1"/>
    <w:rsid w:val="00ED4D04"/>
    <w:rsid w:val="00ED62C6"/>
    <w:rsid w:val="00ED64C1"/>
    <w:rsid w:val="00EE3446"/>
    <w:rsid w:val="00EE3E78"/>
    <w:rsid w:val="00EE4B1B"/>
    <w:rsid w:val="00EE5FBA"/>
    <w:rsid w:val="00EE6E06"/>
    <w:rsid w:val="00EF150D"/>
    <w:rsid w:val="00EF1F5A"/>
    <w:rsid w:val="00EF47BF"/>
    <w:rsid w:val="00EF5A13"/>
    <w:rsid w:val="00EF5FF9"/>
    <w:rsid w:val="00F0160B"/>
    <w:rsid w:val="00F03F8D"/>
    <w:rsid w:val="00F04811"/>
    <w:rsid w:val="00F0488C"/>
    <w:rsid w:val="00F073ED"/>
    <w:rsid w:val="00F07C4C"/>
    <w:rsid w:val="00F10F11"/>
    <w:rsid w:val="00F12CFB"/>
    <w:rsid w:val="00F15AAA"/>
    <w:rsid w:val="00F15BEF"/>
    <w:rsid w:val="00F17898"/>
    <w:rsid w:val="00F207C2"/>
    <w:rsid w:val="00F219A1"/>
    <w:rsid w:val="00F23E20"/>
    <w:rsid w:val="00F24407"/>
    <w:rsid w:val="00F24FAA"/>
    <w:rsid w:val="00F25040"/>
    <w:rsid w:val="00F27071"/>
    <w:rsid w:val="00F27331"/>
    <w:rsid w:val="00F27EE5"/>
    <w:rsid w:val="00F30C65"/>
    <w:rsid w:val="00F3364D"/>
    <w:rsid w:val="00F349BF"/>
    <w:rsid w:val="00F437CC"/>
    <w:rsid w:val="00F44537"/>
    <w:rsid w:val="00F46185"/>
    <w:rsid w:val="00F46423"/>
    <w:rsid w:val="00F4696A"/>
    <w:rsid w:val="00F47067"/>
    <w:rsid w:val="00F525EB"/>
    <w:rsid w:val="00F52CB5"/>
    <w:rsid w:val="00F63AAE"/>
    <w:rsid w:val="00F63DDE"/>
    <w:rsid w:val="00F63FB7"/>
    <w:rsid w:val="00F6421B"/>
    <w:rsid w:val="00F649D2"/>
    <w:rsid w:val="00F6602B"/>
    <w:rsid w:val="00F7150B"/>
    <w:rsid w:val="00F73A0C"/>
    <w:rsid w:val="00F756DB"/>
    <w:rsid w:val="00F767A8"/>
    <w:rsid w:val="00F84E7D"/>
    <w:rsid w:val="00F85066"/>
    <w:rsid w:val="00F87A4D"/>
    <w:rsid w:val="00F93688"/>
    <w:rsid w:val="00F939F3"/>
    <w:rsid w:val="00FA0105"/>
    <w:rsid w:val="00FA05A0"/>
    <w:rsid w:val="00FA17CC"/>
    <w:rsid w:val="00FA1F01"/>
    <w:rsid w:val="00FA5112"/>
    <w:rsid w:val="00FA5526"/>
    <w:rsid w:val="00FA5D4D"/>
    <w:rsid w:val="00FA70D3"/>
    <w:rsid w:val="00FB0AEA"/>
    <w:rsid w:val="00FB0EE2"/>
    <w:rsid w:val="00FB1A79"/>
    <w:rsid w:val="00FB208B"/>
    <w:rsid w:val="00FB2B2D"/>
    <w:rsid w:val="00FB542E"/>
    <w:rsid w:val="00FB7DBB"/>
    <w:rsid w:val="00FC05F8"/>
    <w:rsid w:val="00FC0E5F"/>
    <w:rsid w:val="00FC1A95"/>
    <w:rsid w:val="00FC3BEC"/>
    <w:rsid w:val="00FC440B"/>
    <w:rsid w:val="00FC56DE"/>
    <w:rsid w:val="00FC64DE"/>
    <w:rsid w:val="00FC684B"/>
    <w:rsid w:val="00FC7D98"/>
    <w:rsid w:val="00FD1135"/>
    <w:rsid w:val="00FD3265"/>
    <w:rsid w:val="00FD3CF7"/>
    <w:rsid w:val="00FD4916"/>
    <w:rsid w:val="00FD4D12"/>
    <w:rsid w:val="00FE27C7"/>
    <w:rsid w:val="00FE2C7E"/>
    <w:rsid w:val="00FE2F78"/>
    <w:rsid w:val="00FE3137"/>
    <w:rsid w:val="00FE48E4"/>
    <w:rsid w:val="00FE634C"/>
    <w:rsid w:val="00FE6E69"/>
    <w:rsid w:val="00FF3D76"/>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8\QMakro\1-3.&#269;tvrtlet&#237;\Odv&#283;tv&#237;\Odv&#283;tv&#237;%20grafy-3q-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8\QMakro\1-3.&#269;tvrtlet&#237;\Odv&#283;tv&#237;\Odv&#283;tv&#237;%20grafy-3q-201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8\QMakro\1-3.&#269;tvrtlet&#237;\Odv&#283;tv&#237;\Odv&#283;tv&#237;%20grafy-3q-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18\QMakro\1-3.&#269;tvrtlet&#237;\Odv&#283;tv&#237;\Odv&#283;tv&#237;%20grafy-3q-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8\QMakro\1-3.&#269;tvrtlet&#237;\Odv&#283;tv&#237;\Odv&#283;tv&#237;%20grafy-3q-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3.2768470688525612E-2"/>
          <c:y val="1.6203558522131629E-2"/>
          <c:w val="0.93666788782242216"/>
          <c:h val="0.71950593410789765"/>
        </c:manualLayout>
      </c:layout>
      <c:barChart>
        <c:barDir val="col"/>
        <c:grouping val="stacked"/>
        <c:ser>
          <c:idx val="0"/>
          <c:order val="0"/>
          <c:tx>
            <c:strRef>
              <c:f>'GRAF příspěvky IPP'!$A$32</c:f>
              <c:strCache>
                <c:ptCount val="1"/>
                <c:pt idx="0">
                  <c:v>Výroba dopravních prostředků (29+30)</c:v>
                </c:pt>
              </c:strCache>
            </c:strRef>
          </c:tx>
          <c:spPr>
            <a:solidFill>
              <a:srgbClr val="E8AFB2"/>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IPP'!$B$32:$AF$32</c:f>
              <c:numCache>
                <c:formatCode>0.0</c:formatCode>
                <c:ptCount val="31"/>
                <c:pt idx="0">
                  <c:v>5.1583390189821374</c:v>
                </c:pt>
                <c:pt idx="1">
                  <c:v>4.1940805843592317</c:v>
                </c:pt>
                <c:pt idx="2">
                  <c:v>3.6254585881455803</c:v>
                </c:pt>
                <c:pt idx="3">
                  <c:v>3.2258487674246217</c:v>
                </c:pt>
                <c:pt idx="4">
                  <c:v>1.9477463114435285</c:v>
                </c:pt>
                <c:pt idx="5">
                  <c:v>1.0058302469588418</c:v>
                </c:pt>
                <c:pt idx="6">
                  <c:v>-0.47327260667125248</c:v>
                </c:pt>
                <c:pt idx="7">
                  <c:v>-1.6589798300201712</c:v>
                </c:pt>
                <c:pt idx="8">
                  <c:v>-2.5458879361074449</c:v>
                </c:pt>
                <c:pt idx="9">
                  <c:v>-1.3259090973424799</c:v>
                </c:pt>
                <c:pt idx="10">
                  <c:v>0.76388270851172324</c:v>
                </c:pt>
                <c:pt idx="11">
                  <c:v>1.8584636345874879</c:v>
                </c:pt>
                <c:pt idx="12">
                  <c:v>3.3381841003075512</c:v>
                </c:pt>
                <c:pt idx="13">
                  <c:v>2.4352412796453371</c:v>
                </c:pt>
                <c:pt idx="14">
                  <c:v>1.8587530098340042</c:v>
                </c:pt>
                <c:pt idx="15">
                  <c:v>1.4829445473338632</c:v>
                </c:pt>
                <c:pt idx="16">
                  <c:v>1.5560406088862635</c:v>
                </c:pt>
                <c:pt idx="17">
                  <c:v>2.1747965848469462</c:v>
                </c:pt>
                <c:pt idx="18">
                  <c:v>2.225670583560051</c:v>
                </c:pt>
                <c:pt idx="19">
                  <c:v>2.9326959962159198</c:v>
                </c:pt>
                <c:pt idx="20">
                  <c:v>3.4317610615849299</c:v>
                </c:pt>
                <c:pt idx="21">
                  <c:v>2.7916779937104867</c:v>
                </c:pt>
                <c:pt idx="22">
                  <c:v>1.4159459574233138</c:v>
                </c:pt>
                <c:pt idx="23">
                  <c:v>1.0292819674961451</c:v>
                </c:pt>
                <c:pt idx="24">
                  <c:v>1.8337769181325838</c:v>
                </c:pt>
                <c:pt idx="25">
                  <c:v>2.0232440682518602</c:v>
                </c:pt>
                <c:pt idx="26">
                  <c:v>1.4766426933313399</c:v>
                </c:pt>
                <c:pt idx="27">
                  <c:v>1.6947521950851363</c:v>
                </c:pt>
                <c:pt idx="28">
                  <c:v>0.68613379658172513</c:v>
                </c:pt>
                <c:pt idx="29">
                  <c:v>0.32669980690669048</c:v>
                </c:pt>
                <c:pt idx="30">
                  <c:v>4.5335377852403942E-2</c:v>
                </c:pt>
              </c:numCache>
            </c:numRef>
          </c:val>
          <c:extLst xmlns:c16r2="http://schemas.microsoft.com/office/drawing/2015/06/chart">
            <c:ext xmlns:c16="http://schemas.microsoft.com/office/drawing/2014/chart" uri="{C3380CC4-5D6E-409C-BE32-E72D297353CC}">
              <c16:uniqueId val="{00000000-14BA-4817-9220-9C8AE54B832A}"/>
            </c:ext>
          </c:extLst>
        </c:ser>
        <c:ser>
          <c:idx val="1"/>
          <c:order val="1"/>
          <c:tx>
            <c:strRef>
              <c:f>'GRAF příspěvky IPP'!$A$33</c:f>
              <c:strCache>
                <c:ptCount val="1"/>
                <c:pt idx="0">
                  <c:v>Gumárenství, elektrotechnický pr. (22+27)</c:v>
                </c:pt>
              </c:strCache>
            </c:strRef>
          </c:tx>
          <c:spPr>
            <a:solidFill>
              <a:srgbClr val="BD1B21"/>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IPP'!$B$33:$AF$33</c:f>
              <c:numCache>
                <c:formatCode>0.0</c:formatCode>
                <c:ptCount val="31"/>
                <c:pt idx="0">
                  <c:v>1.7983691275864537</c:v>
                </c:pt>
                <c:pt idx="1">
                  <c:v>1.4558566523785252</c:v>
                </c:pt>
                <c:pt idx="2">
                  <c:v>0.48746198826577375</c:v>
                </c:pt>
                <c:pt idx="3">
                  <c:v>0.58308022139278459</c:v>
                </c:pt>
                <c:pt idx="4">
                  <c:v>0.8442656282525447</c:v>
                </c:pt>
                <c:pt idx="5">
                  <c:v>0.66654661442767804</c:v>
                </c:pt>
                <c:pt idx="6">
                  <c:v>1.0653762335640964</c:v>
                </c:pt>
                <c:pt idx="7">
                  <c:v>-0.46502811090535123</c:v>
                </c:pt>
                <c:pt idx="8">
                  <c:v>-0.28211107583639117</c:v>
                </c:pt>
                <c:pt idx="9">
                  <c:v>-0.34471853265078234</c:v>
                </c:pt>
                <c:pt idx="10">
                  <c:v>0.38728197932092551</c:v>
                </c:pt>
                <c:pt idx="11">
                  <c:v>0.67444684530708265</c:v>
                </c:pt>
                <c:pt idx="12">
                  <c:v>1.1900587156554803</c:v>
                </c:pt>
                <c:pt idx="13">
                  <c:v>1.3179606079755604</c:v>
                </c:pt>
                <c:pt idx="14">
                  <c:v>0.15682402057671571</c:v>
                </c:pt>
                <c:pt idx="15">
                  <c:v>0.79246998238680644</c:v>
                </c:pt>
                <c:pt idx="16">
                  <c:v>1.0327158178902081</c:v>
                </c:pt>
                <c:pt idx="17">
                  <c:v>1.2401487730750369</c:v>
                </c:pt>
                <c:pt idx="18">
                  <c:v>1.4263615358978559</c:v>
                </c:pt>
                <c:pt idx="19">
                  <c:v>0.62907027961344808</c:v>
                </c:pt>
                <c:pt idx="20">
                  <c:v>0.73623049391962603</c:v>
                </c:pt>
                <c:pt idx="21">
                  <c:v>0.13255877827094117</c:v>
                </c:pt>
                <c:pt idx="22">
                  <c:v>0.2843931356974948</c:v>
                </c:pt>
                <c:pt idx="23">
                  <c:v>0.43251342156214634</c:v>
                </c:pt>
                <c:pt idx="24">
                  <c:v>0.8790130954715587</c:v>
                </c:pt>
                <c:pt idx="25">
                  <c:v>1.4636922494624551</c:v>
                </c:pt>
                <c:pt idx="26">
                  <c:v>0.86660777787350685</c:v>
                </c:pt>
                <c:pt idx="27">
                  <c:v>1.6549188645784989</c:v>
                </c:pt>
                <c:pt idx="28">
                  <c:v>0.88263591522283313</c:v>
                </c:pt>
                <c:pt idx="29">
                  <c:v>0.30216313943135575</c:v>
                </c:pt>
                <c:pt idx="30">
                  <c:v>0.43002190919078287</c:v>
                </c:pt>
              </c:numCache>
            </c:numRef>
          </c:val>
          <c:extLst xmlns:c16r2="http://schemas.microsoft.com/office/drawing/2015/06/chart">
            <c:ext xmlns:c16="http://schemas.microsoft.com/office/drawing/2014/chart" uri="{C3380CC4-5D6E-409C-BE32-E72D297353CC}">
              <c16:uniqueId val="{00000001-14BA-4817-9220-9C8AE54B832A}"/>
            </c:ext>
          </c:extLst>
        </c:ser>
        <c:ser>
          <c:idx val="2"/>
          <c:order val="2"/>
          <c:tx>
            <c:strRef>
              <c:f>'GRAF příspěvky IPP'!$A$34</c:f>
              <c:strCache>
                <c:ptCount val="1"/>
                <c:pt idx="0">
                  <c:v>Strojírenství (28)</c:v>
                </c:pt>
              </c:strCache>
            </c:strRef>
          </c:tx>
          <c:spPr>
            <a:solidFill>
              <a:srgbClr val="BFE3F7"/>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IPP'!$B$34:$AF$34</c:f>
              <c:numCache>
                <c:formatCode>0.0</c:formatCode>
                <c:ptCount val="31"/>
                <c:pt idx="0">
                  <c:v>1.2706011457621875</c:v>
                </c:pt>
                <c:pt idx="1">
                  <c:v>1.2888664807252919</c:v>
                </c:pt>
                <c:pt idx="2">
                  <c:v>0.32307846092657022</c:v>
                </c:pt>
                <c:pt idx="3">
                  <c:v>0.70071844497242752</c:v>
                </c:pt>
                <c:pt idx="4">
                  <c:v>0.51659781480962252</c:v>
                </c:pt>
                <c:pt idx="5">
                  <c:v>0.2631231278845213</c:v>
                </c:pt>
                <c:pt idx="6">
                  <c:v>0.23301984566307926</c:v>
                </c:pt>
                <c:pt idx="7">
                  <c:v>-0.13339713383761717</c:v>
                </c:pt>
                <c:pt idx="8">
                  <c:v>7.1737084628029121E-2</c:v>
                </c:pt>
                <c:pt idx="9">
                  <c:v>0.20406264489060291</c:v>
                </c:pt>
                <c:pt idx="10">
                  <c:v>-1.7001944235035409E-2</c:v>
                </c:pt>
                <c:pt idx="11">
                  <c:v>0.64362374734259475</c:v>
                </c:pt>
                <c:pt idx="12">
                  <c:v>0.21470457876175333</c:v>
                </c:pt>
                <c:pt idx="13">
                  <c:v>0.40293012989484872</c:v>
                </c:pt>
                <c:pt idx="14">
                  <c:v>0.21152856009329646</c:v>
                </c:pt>
                <c:pt idx="15">
                  <c:v>0.33012044192863793</c:v>
                </c:pt>
                <c:pt idx="16">
                  <c:v>0.27832699102768477</c:v>
                </c:pt>
                <c:pt idx="17">
                  <c:v>0.29159295435772531</c:v>
                </c:pt>
                <c:pt idx="18">
                  <c:v>0.37916922656306401</c:v>
                </c:pt>
                <c:pt idx="19">
                  <c:v>1.781989990773131E-2</c:v>
                </c:pt>
                <c:pt idx="20">
                  <c:v>0.3645008605298829</c:v>
                </c:pt>
                <c:pt idx="21">
                  <c:v>-6.9051390149412833E-2</c:v>
                </c:pt>
                <c:pt idx="22">
                  <c:v>0.19850927828339104</c:v>
                </c:pt>
                <c:pt idx="23">
                  <c:v>0.32150601856840738</c:v>
                </c:pt>
                <c:pt idx="24">
                  <c:v>0.36417963216621208</c:v>
                </c:pt>
                <c:pt idx="25">
                  <c:v>1.0647927179276138</c:v>
                </c:pt>
                <c:pt idx="26">
                  <c:v>0.84846050084183544</c:v>
                </c:pt>
                <c:pt idx="27">
                  <c:v>0.80860359811504845</c:v>
                </c:pt>
                <c:pt idx="28">
                  <c:v>0.60464772961501012</c:v>
                </c:pt>
                <c:pt idx="29">
                  <c:v>0.33032635655466119</c:v>
                </c:pt>
                <c:pt idx="30">
                  <c:v>0.28396157538018091</c:v>
                </c:pt>
              </c:numCache>
            </c:numRef>
          </c:val>
          <c:extLst xmlns:c16r2="http://schemas.microsoft.com/office/drawing/2015/06/chart">
            <c:ext xmlns:c16="http://schemas.microsoft.com/office/drawing/2014/chart" uri="{C3380CC4-5D6E-409C-BE32-E72D297353CC}">
              <c16:uniqueId val="{00000002-14BA-4817-9220-9C8AE54B832A}"/>
            </c:ext>
          </c:extLst>
        </c:ser>
        <c:ser>
          <c:idx val="3"/>
          <c:order val="3"/>
          <c:tx>
            <c:strRef>
              <c:f>'GRAF příspěvky IPP'!$A$35</c:f>
              <c:strCache>
                <c:ptCount val="1"/>
                <c:pt idx="0">
                  <c:v>Kovodělný průmysl (25)</c:v>
                </c:pt>
              </c:strCache>
            </c:strRef>
          </c:tx>
          <c:spPr>
            <a:solidFill>
              <a:srgbClr val="48AEE7"/>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IPP'!$B$35:$AF$35</c:f>
              <c:numCache>
                <c:formatCode>0.0</c:formatCode>
                <c:ptCount val="31"/>
                <c:pt idx="0">
                  <c:v>1.3529708847357198</c:v>
                </c:pt>
                <c:pt idx="1">
                  <c:v>0.61223141631615474</c:v>
                </c:pt>
                <c:pt idx="2">
                  <c:v>6.1889465402554356E-2</c:v>
                </c:pt>
                <c:pt idx="3">
                  <c:v>-5.0371368079756305E-2</c:v>
                </c:pt>
                <c:pt idx="4">
                  <c:v>-0.10808602428987622</c:v>
                </c:pt>
                <c:pt idx="5">
                  <c:v>-5.7044312227523312E-2</c:v>
                </c:pt>
                <c:pt idx="6">
                  <c:v>0.11227086111396455</c:v>
                </c:pt>
                <c:pt idx="7">
                  <c:v>-0.17759790176716131</c:v>
                </c:pt>
                <c:pt idx="8">
                  <c:v>-4.9295714575087683E-2</c:v>
                </c:pt>
                <c:pt idx="9">
                  <c:v>9.2868962187095644E-2</c:v>
                </c:pt>
                <c:pt idx="10">
                  <c:v>0.374205511065408</c:v>
                </c:pt>
                <c:pt idx="11">
                  <c:v>0.57817330515122456</c:v>
                </c:pt>
                <c:pt idx="12">
                  <c:v>0.75653656295046556</c:v>
                </c:pt>
                <c:pt idx="13">
                  <c:v>0.62179163182191965</c:v>
                </c:pt>
                <c:pt idx="14">
                  <c:v>0.13796392398444496</c:v>
                </c:pt>
                <c:pt idx="15">
                  <c:v>0.35044871686260753</c:v>
                </c:pt>
                <c:pt idx="16">
                  <c:v>0.69752018574312757</c:v>
                </c:pt>
                <c:pt idx="17">
                  <c:v>0.78069864008168266</c:v>
                </c:pt>
                <c:pt idx="18">
                  <c:v>0.92145489387273449</c:v>
                </c:pt>
                <c:pt idx="19">
                  <c:v>0.6256977714332792</c:v>
                </c:pt>
                <c:pt idx="20">
                  <c:v>0.74976781674783555</c:v>
                </c:pt>
                <c:pt idx="21">
                  <c:v>0.40323787298061481</c:v>
                </c:pt>
                <c:pt idx="22">
                  <c:v>0.20786247012396891</c:v>
                </c:pt>
                <c:pt idx="23">
                  <c:v>0.25885378383640545</c:v>
                </c:pt>
                <c:pt idx="24">
                  <c:v>0.5193760395981406</c:v>
                </c:pt>
                <c:pt idx="25">
                  <c:v>0.90938443427805682</c:v>
                </c:pt>
                <c:pt idx="26">
                  <c:v>0.82894658499995399</c:v>
                </c:pt>
                <c:pt idx="27">
                  <c:v>0.9698553990645804</c:v>
                </c:pt>
                <c:pt idx="28">
                  <c:v>0.66803550047886506</c:v>
                </c:pt>
                <c:pt idx="29">
                  <c:v>0.39486272937743744</c:v>
                </c:pt>
                <c:pt idx="30">
                  <c:v>0.49029978501417082</c:v>
                </c:pt>
              </c:numCache>
            </c:numRef>
          </c:val>
          <c:extLst xmlns:c16r2="http://schemas.microsoft.com/office/drawing/2015/06/chart">
            <c:ext xmlns:c16="http://schemas.microsoft.com/office/drawing/2014/chart" uri="{C3380CC4-5D6E-409C-BE32-E72D297353CC}">
              <c16:uniqueId val="{00000003-14BA-4817-9220-9C8AE54B832A}"/>
            </c:ext>
          </c:extLst>
        </c:ser>
        <c:ser>
          <c:idx val="4"/>
          <c:order val="4"/>
          <c:tx>
            <c:strRef>
              <c:f>'GRAF příspěvky IPP'!$A$36</c:f>
              <c:strCache>
                <c:ptCount val="1"/>
                <c:pt idx="0">
                  <c:v>Výroba PC, elektronic. a optic. přístr. (26)</c:v>
                </c:pt>
              </c:strCache>
            </c:strRef>
          </c:tx>
          <c:spPr>
            <a:solidFill>
              <a:srgbClr val="FDDEB3"/>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IPP'!$B$36:$AF$36</c:f>
              <c:numCache>
                <c:formatCode>0.0</c:formatCode>
                <c:ptCount val="31"/>
                <c:pt idx="0">
                  <c:v>0.46607738102630258</c:v>
                </c:pt>
                <c:pt idx="1">
                  <c:v>0.2289737073350934</c:v>
                </c:pt>
                <c:pt idx="2">
                  <c:v>-0.24362549730013724</c:v>
                </c:pt>
                <c:pt idx="3">
                  <c:v>-0.78232564519731651</c:v>
                </c:pt>
                <c:pt idx="4">
                  <c:v>-0.62912903530941677</c:v>
                </c:pt>
                <c:pt idx="5">
                  <c:v>-0.77404145043571104</c:v>
                </c:pt>
                <c:pt idx="6">
                  <c:v>-0.66225050698900378</c:v>
                </c:pt>
                <c:pt idx="7">
                  <c:v>-0.44167473994696882</c:v>
                </c:pt>
                <c:pt idx="8">
                  <c:v>0.17307138431247818</c:v>
                </c:pt>
                <c:pt idx="9">
                  <c:v>0.20710305378343791</c:v>
                </c:pt>
                <c:pt idx="10">
                  <c:v>0.28808704980807831</c:v>
                </c:pt>
                <c:pt idx="11">
                  <c:v>0.37118882448330998</c:v>
                </c:pt>
                <c:pt idx="12">
                  <c:v>0.25436485129926839</c:v>
                </c:pt>
                <c:pt idx="13">
                  <c:v>0.35992422249609862</c:v>
                </c:pt>
                <c:pt idx="14">
                  <c:v>0.25073709132947558</c:v>
                </c:pt>
                <c:pt idx="15">
                  <c:v>0.43084138344861367</c:v>
                </c:pt>
                <c:pt idx="16">
                  <c:v>0.10169095278085669</c:v>
                </c:pt>
                <c:pt idx="17">
                  <c:v>1.4154514873228306E-2</c:v>
                </c:pt>
                <c:pt idx="18">
                  <c:v>4.4552452116603837E-2</c:v>
                </c:pt>
                <c:pt idx="19">
                  <c:v>-7.4237264718247278E-2</c:v>
                </c:pt>
                <c:pt idx="20">
                  <c:v>-2.1481481669667441E-3</c:v>
                </c:pt>
                <c:pt idx="21">
                  <c:v>5.1480619698657547E-2</c:v>
                </c:pt>
                <c:pt idx="22">
                  <c:v>5.3821883781074505E-2</c:v>
                </c:pt>
                <c:pt idx="23">
                  <c:v>0.15961607959276725</c:v>
                </c:pt>
                <c:pt idx="24">
                  <c:v>0.12925577438246424</c:v>
                </c:pt>
                <c:pt idx="25">
                  <c:v>0.37526184999298506</c:v>
                </c:pt>
                <c:pt idx="26">
                  <c:v>0.2380055396976837</c:v>
                </c:pt>
                <c:pt idx="27">
                  <c:v>0.23859541569534137</c:v>
                </c:pt>
                <c:pt idx="28">
                  <c:v>0.47222552264673673</c:v>
                </c:pt>
                <c:pt idx="29">
                  <c:v>0.19431603051500956</c:v>
                </c:pt>
                <c:pt idx="30">
                  <c:v>0.64627673778247263</c:v>
                </c:pt>
              </c:numCache>
            </c:numRef>
          </c:val>
          <c:extLst xmlns:c16r2="http://schemas.microsoft.com/office/drawing/2015/06/chart">
            <c:ext xmlns:c16="http://schemas.microsoft.com/office/drawing/2014/chart" uri="{C3380CC4-5D6E-409C-BE32-E72D297353CC}">
              <c16:uniqueId val="{00000004-14BA-4817-9220-9C8AE54B832A}"/>
            </c:ext>
          </c:extLst>
        </c:ser>
        <c:ser>
          <c:idx val="5"/>
          <c:order val="5"/>
          <c:tx>
            <c:strRef>
              <c:f>'GRAF příspěvky IPP'!$A$37</c:f>
              <c:strCache>
                <c:ptCount val="1"/>
                <c:pt idx="0">
                  <c:v>Chemický a farmaceutický pr. (20+21)</c:v>
                </c:pt>
              </c:strCache>
            </c:strRef>
          </c:tx>
          <c:spPr>
            <a:solidFill>
              <a:srgbClr val="F8A124"/>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IPP'!$B$37:$AF$37</c:f>
              <c:numCache>
                <c:formatCode>0.0</c:formatCode>
                <c:ptCount val="31"/>
                <c:pt idx="0">
                  <c:v>0.10124729624413728</c:v>
                </c:pt>
                <c:pt idx="1">
                  <c:v>-0.10987307777837718</c:v>
                </c:pt>
                <c:pt idx="2">
                  <c:v>-0.35448780665781165</c:v>
                </c:pt>
                <c:pt idx="3">
                  <c:v>-0.25365533251952127</c:v>
                </c:pt>
                <c:pt idx="4">
                  <c:v>8.2098114440466885E-2</c:v>
                </c:pt>
                <c:pt idx="5">
                  <c:v>-8.0110027441629553E-2</c:v>
                </c:pt>
                <c:pt idx="6">
                  <c:v>0.30586896879336101</c:v>
                </c:pt>
                <c:pt idx="7">
                  <c:v>6.8409485771207784E-2</c:v>
                </c:pt>
                <c:pt idx="8">
                  <c:v>-0.15361204125200914</c:v>
                </c:pt>
                <c:pt idx="9">
                  <c:v>1.822316559951451E-2</c:v>
                </c:pt>
                <c:pt idx="10">
                  <c:v>-0.21418759865827675</c:v>
                </c:pt>
                <c:pt idx="11">
                  <c:v>0.23085083648135049</c:v>
                </c:pt>
                <c:pt idx="12">
                  <c:v>0.41401687752487543</c:v>
                </c:pt>
                <c:pt idx="13">
                  <c:v>0.30065933491628777</c:v>
                </c:pt>
                <c:pt idx="14">
                  <c:v>0.38510686850210024</c:v>
                </c:pt>
                <c:pt idx="15">
                  <c:v>0.11900135459161652</c:v>
                </c:pt>
                <c:pt idx="16">
                  <c:v>7.8782994403983744E-2</c:v>
                </c:pt>
                <c:pt idx="17">
                  <c:v>0.23469012479248291</c:v>
                </c:pt>
                <c:pt idx="18">
                  <c:v>-0.17180717870315537</c:v>
                </c:pt>
                <c:pt idx="19">
                  <c:v>-0.33632275678133638</c:v>
                </c:pt>
                <c:pt idx="20">
                  <c:v>-0.42054564658408849</c:v>
                </c:pt>
                <c:pt idx="21">
                  <c:v>-0.41604329837232795</c:v>
                </c:pt>
                <c:pt idx="22">
                  <c:v>-0.11436029247510612</c:v>
                </c:pt>
                <c:pt idx="23">
                  <c:v>0.2421266841430553</c:v>
                </c:pt>
                <c:pt idx="24">
                  <c:v>0.54456420388154547</c:v>
                </c:pt>
                <c:pt idx="25">
                  <c:v>0.81097014817933744</c:v>
                </c:pt>
                <c:pt idx="26">
                  <c:v>0.64258143893579645</c:v>
                </c:pt>
                <c:pt idx="27">
                  <c:v>0.51006133838638013</c:v>
                </c:pt>
                <c:pt idx="28">
                  <c:v>0.38740414070141038</c:v>
                </c:pt>
                <c:pt idx="29">
                  <c:v>4.6275575122148797E-2</c:v>
                </c:pt>
                <c:pt idx="30">
                  <c:v>-9.69601691442811E-2</c:v>
                </c:pt>
              </c:numCache>
            </c:numRef>
          </c:val>
          <c:extLst xmlns:c16r2="http://schemas.microsoft.com/office/drawing/2015/06/chart">
            <c:ext xmlns:c16="http://schemas.microsoft.com/office/drawing/2014/chart" uri="{C3380CC4-5D6E-409C-BE32-E72D297353CC}">
              <c16:uniqueId val="{00000005-14BA-4817-9220-9C8AE54B832A}"/>
            </c:ext>
          </c:extLst>
        </c:ser>
        <c:ser>
          <c:idx val="6"/>
          <c:order val="6"/>
          <c:tx>
            <c:strRef>
              <c:f>'GRAF příspěvky IPP'!$A$38</c:f>
              <c:strCache>
                <c:ptCount val="1"/>
                <c:pt idx="0">
                  <c:v>Zbývající zpracovatelský průmysl</c:v>
                </c:pt>
              </c:strCache>
            </c:strRef>
          </c:tx>
          <c:spPr>
            <a:solidFill>
              <a:schemeClr val="bg1">
                <a:lumMod val="85000"/>
              </a:schemeClr>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IPP'!$B$38:$AF$38</c:f>
              <c:numCache>
                <c:formatCode>0.0</c:formatCode>
                <c:ptCount val="31"/>
                <c:pt idx="0">
                  <c:v>0.31552663311963136</c:v>
                </c:pt>
                <c:pt idx="1">
                  <c:v>8.0724819058620556E-2</c:v>
                </c:pt>
                <c:pt idx="2">
                  <c:v>-1.3196696952264537</c:v>
                </c:pt>
                <c:pt idx="3">
                  <c:v>0.11842987325758272</c:v>
                </c:pt>
                <c:pt idx="4">
                  <c:v>-1.2660773466306161</c:v>
                </c:pt>
                <c:pt idx="5">
                  <c:v>-0.47802730548721833</c:v>
                </c:pt>
                <c:pt idx="6">
                  <c:v>-0.34646761815323956</c:v>
                </c:pt>
                <c:pt idx="7">
                  <c:v>-1.3200846686145966</c:v>
                </c:pt>
                <c:pt idx="8">
                  <c:v>-2.5962486433354387E-2</c:v>
                </c:pt>
                <c:pt idx="9">
                  <c:v>-0.14296973602391649</c:v>
                </c:pt>
                <c:pt idx="10">
                  <c:v>0.16463257251793845</c:v>
                </c:pt>
                <c:pt idx="11">
                  <c:v>1.1277581264641281</c:v>
                </c:pt>
                <c:pt idx="12">
                  <c:v>1.3601037593510723</c:v>
                </c:pt>
                <c:pt idx="13">
                  <c:v>0.98430790289276371</c:v>
                </c:pt>
                <c:pt idx="14">
                  <c:v>0.25133426220692345</c:v>
                </c:pt>
                <c:pt idx="15">
                  <c:v>1.2962625167285506</c:v>
                </c:pt>
                <c:pt idx="16">
                  <c:v>1.0074721701935661</c:v>
                </c:pt>
                <c:pt idx="17">
                  <c:v>0.80495652892223912</c:v>
                </c:pt>
                <c:pt idx="18">
                  <c:v>1.5513791726730484</c:v>
                </c:pt>
                <c:pt idx="19">
                  <c:v>-0.36725300514759718</c:v>
                </c:pt>
                <c:pt idx="20">
                  <c:v>-0.13589925939302241</c:v>
                </c:pt>
                <c:pt idx="21">
                  <c:v>-0.77642186080498765</c:v>
                </c:pt>
                <c:pt idx="22">
                  <c:v>0.22786640880518444</c:v>
                </c:pt>
                <c:pt idx="23">
                  <c:v>0.45056967876598808</c:v>
                </c:pt>
                <c:pt idx="24">
                  <c:v>-0.10520398627042619</c:v>
                </c:pt>
                <c:pt idx="25">
                  <c:v>2.0188591664367967</c:v>
                </c:pt>
                <c:pt idx="26">
                  <c:v>1.0351557674089027</c:v>
                </c:pt>
                <c:pt idx="27">
                  <c:v>0.97534987761747083</c:v>
                </c:pt>
                <c:pt idx="28">
                  <c:v>0.88447871486978313</c:v>
                </c:pt>
                <c:pt idx="29">
                  <c:v>0.76694961364091541</c:v>
                </c:pt>
                <c:pt idx="30">
                  <c:v>1.0262021221541793</c:v>
                </c:pt>
              </c:numCache>
            </c:numRef>
          </c:val>
          <c:extLst xmlns:c16r2="http://schemas.microsoft.com/office/drawing/2015/06/chart">
            <c:ext xmlns:c16="http://schemas.microsoft.com/office/drawing/2014/chart" uri="{C3380CC4-5D6E-409C-BE32-E72D297353CC}">
              <c16:uniqueId val="{00000006-14BA-4817-9220-9C8AE54B832A}"/>
            </c:ext>
          </c:extLst>
        </c:ser>
        <c:ser>
          <c:idx val="7"/>
          <c:order val="7"/>
          <c:tx>
            <c:strRef>
              <c:f>'GRAF příspěvky IPP'!$A$39</c:f>
              <c:strCache>
                <c:ptCount val="1"/>
                <c:pt idx="0">
                  <c:v>Těžba a energetika (B)</c:v>
                </c:pt>
              </c:strCache>
            </c:strRef>
          </c:tx>
          <c:spPr>
            <a:solidFill>
              <a:srgbClr val="808080"/>
            </a:solidFill>
          </c:spP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IPP'!$B$39:$AF$39</c:f>
              <c:numCache>
                <c:formatCode>0.0</c:formatCode>
                <c:ptCount val="31"/>
                <c:pt idx="0">
                  <c:v>-0.46313148745656374</c:v>
                </c:pt>
                <c:pt idx="1">
                  <c:v>0.44913941760544684</c:v>
                </c:pt>
                <c:pt idx="2">
                  <c:v>-0.28010550355605701</c:v>
                </c:pt>
                <c:pt idx="3">
                  <c:v>-0.14172496125080888</c:v>
                </c:pt>
                <c:pt idx="4">
                  <c:v>1.2584537283747227E-2</c:v>
                </c:pt>
                <c:pt idx="5">
                  <c:v>0.35372310632103926</c:v>
                </c:pt>
                <c:pt idx="6">
                  <c:v>-0.13454517732100951</c:v>
                </c:pt>
                <c:pt idx="7">
                  <c:v>-1.0716369042476055</c:v>
                </c:pt>
                <c:pt idx="8">
                  <c:v>-0.88656305110647016</c:v>
                </c:pt>
                <c:pt idx="9">
                  <c:v>-1.5086604604434219</c:v>
                </c:pt>
                <c:pt idx="10">
                  <c:v>-0.94690027833075763</c:v>
                </c:pt>
                <c:pt idx="11">
                  <c:v>0.51549468018282096</c:v>
                </c:pt>
                <c:pt idx="12">
                  <c:v>-0.62796944585044667</c:v>
                </c:pt>
                <c:pt idx="13">
                  <c:v>-0.322815109642828</c:v>
                </c:pt>
                <c:pt idx="14">
                  <c:v>-0.45224773652695321</c:v>
                </c:pt>
                <c:pt idx="15">
                  <c:v>-0.70208894328074911</c:v>
                </c:pt>
                <c:pt idx="16">
                  <c:v>0.14745027907431846</c:v>
                </c:pt>
                <c:pt idx="17">
                  <c:v>-0.34103812094933217</c:v>
                </c:pt>
                <c:pt idx="18">
                  <c:v>-0.37678068598016029</c:v>
                </c:pt>
                <c:pt idx="19">
                  <c:v>-1.127470920523223</c:v>
                </c:pt>
                <c:pt idx="20">
                  <c:v>-0.62366717863822763</c:v>
                </c:pt>
                <c:pt idx="21">
                  <c:v>8.2561284666029466E-2</c:v>
                </c:pt>
                <c:pt idx="22">
                  <c:v>-0.47403884163932031</c:v>
                </c:pt>
                <c:pt idx="23">
                  <c:v>0.50553236603507457</c:v>
                </c:pt>
                <c:pt idx="24">
                  <c:v>0.63503832263791304</c:v>
                </c:pt>
                <c:pt idx="25">
                  <c:v>-0.16620463452911374</c:v>
                </c:pt>
                <c:pt idx="26">
                  <c:v>0.76359969691098828</c:v>
                </c:pt>
                <c:pt idx="27">
                  <c:v>0.74786331145755525</c:v>
                </c:pt>
                <c:pt idx="28">
                  <c:v>-0.58556132011635742</c:v>
                </c:pt>
                <c:pt idx="29">
                  <c:v>-6.1593251548209084E-2</c:v>
                </c:pt>
                <c:pt idx="30">
                  <c:v>0.77486266177010321</c:v>
                </c:pt>
              </c:numCache>
            </c:numRef>
          </c:val>
          <c:extLst xmlns:c16r2="http://schemas.microsoft.com/office/drawing/2015/06/chart">
            <c:ext xmlns:c16="http://schemas.microsoft.com/office/drawing/2014/chart" uri="{C3380CC4-5D6E-409C-BE32-E72D297353CC}">
              <c16:uniqueId val="{00000007-14BA-4817-9220-9C8AE54B832A}"/>
            </c:ext>
          </c:extLst>
        </c:ser>
        <c:gapWidth val="32"/>
        <c:overlap val="100"/>
        <c:axId val="175236992"/>
        <c:axId val="175238528"/>
      </c:barChart>
      <c:lineChart>
        <c:grouping val="standard"/>
        <c:ser>
          <c:idx val="8"/>
          <c:order val="8"/>
          <c:tx>
            <c:strRef>
              <c:f>'GRAF příspěvky IPP'!$A$40</c:f>
              <c:strCache>
                <c:ptCount val="1"/>
                <c:pt idx="0">
                  <c:v>Průmysl celkem (NACE B až D)</c:v>
                </c:pt>
              </c:strCache>
            </c:strRef>
          </c:tx>
          <c:spPr>
            <a:ln w="19050">
              <a:solidFill>
                <a:schemeClr val="tx1">
                  <a:lumMod val="95000"/>
                  <a:lumOff val="5000"/>
                </a:schemeClr>
              </a:solidFill>
            </a:ln>
          </c:spPr>
          <c:marker>
            <c:symbol val="none"/>
          </c:marker>
          <c:cat>
            <c:multiLvlStrRef>
              <c:f>'GRAF příspěvky IPP'!$B$30:$AF$31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'GRAF příspěvky IPP'!$B$40:$AF$40</c:f>
              <c:numCache>
                <c:formatCode>#,##0.0</c:formatCode>
                <c:ptCount val="31"/>
                <c:pt idx="0">
                  <c:v>10</c:v>
                </c:pt>
                <c:pt idx="1">
                  <c:v>8.2000000000000011</c:v>
                </c:pt>
                <c:pt idx="2">
                  <c:v>2.2999999999999998</c:v>
                </c:pt>
                <c:pt idx="3">
                  <c:v>3.4</c:v>
                </c:pt>
                <c:pt idx="4">
                  <c:v>1.4</c:v>
                </c:pt>
                <c:pt idx="5">
                  <c:v>0.9</c:v>
                </c:pt>
                <c:pt idx="6">
                  <c:v>0.1</c:v>
                </c:pt>
                <c:pt idx="7">
                  <c:v>-5.2</c:v>
                </c:pt>
                <c:pt idx="8">
                  <c:v>-3.7</c:v>
                </c:pt>
                <c:pt idx="9">
                  <c:v>-2.8</c:v>
                </c:pt>
                <c:pt idx="10">
                  <c:v>0.8</c:v>
                </c:pt>
                <c:pt idx="11">
                  <c:v>6</c:v>
                </c:pt>
                <c:pt idx="12">
                  <c:v>6.9</c:v>
                </c:pt>
                <c:pt idx="13">
                  <c:v>6.1</c:v>
                </c:pt>
                <c:pt idx="14">
                  <c:v>2.8</c:v>
                </c:pt>
                <c:pt idx="15">
                  <c:v>4.0999999999999996</c:v>
                </c:pt>
                <c:pt idx="16">
                  <c:v>4.9000000000000004</c:v>
                </c:pt>
                <c:pt idx="17">
                  <c:v>5.2</c:v>
                </c:pt>
                <c:pt idx="18">
                  <c:v>6</c:v>
                </c:pt>
                <c:pt idx="19">
                  <c:v>2.2999999999999998</c:v>
                </c:pt>
                <c:pt idx="20">
                  <c:v>4.0999999999999996</c:v>
                </c:pt>
                <c:pt idx="21">
                  <c:v>2.2000000000000002</c:v>
                </c:pt>
                <c:pt idx="22">
                  <c:v>1.8</c:v>
                </c:pt>
                <c:pt idx="23">
                  <c:v>3.4</c:v>
                </c:pt>
                <c:pt idx="24">
                  <c:v>4.7999999999999927</c:v>
                </c:pt>
                <c:pt idx="25">
                  <c:v>8.5</c:v>
                </c:pt>
                <c:pt idx="26">
                  <c:v>6.7000000000000028</c:v>
                </c:pt>
                <c:pt idx="27">
                  <c:v>7.6</c:v>
                </c:pt>
                <c:pt idx="28">
                  <c:v>3.9999999999999969</c:v>
                </c:pt>
                <c:pt idx="29">
                  <c:v>2.299999999999998</c:v>
                </c:pt>
                <c:pt idx="30">
                  <c:v>3.600000000000009</c:v>
                </c:pt>
              </c:numCache>
            </c:numRef>
          </c:val>
          <c:extLst xmlns:c16r2="http://schemas.microsoft.com/office/drawing/2015/06/chart">
            <c:ext xmlns:c16="http://schemas.microsoft.com/office/drawing/2014/chart" uri="{C3380CC4-5D6E-409C-BE32-E72D297353CC}">
              <c16:uniqueId val="{00000008-14BA-4817-9220-9C8AE54B832A}"/>
            </c:ext>
          </c:extLst>
        </c:ser>
        <c:marker val="1"/>
        <c:axId val="175236992"/>
        <c:axId val="175238528"/>
      </c:lineChart>
      <c:catAx>
        <c:axId val="175236992"/>
        <c:scaling>
          <c:orientation val="minMax"/>
        </c:scaling>
        <c:axPos val="b"/>
        <c:numFmt formatCode="General" sourceLinked="1"/>
        <c:tickLblPos val="low"/>
        <c:txPr>
          <a:bodyPr/>
          <a:lstStyle/>
          <a:p>
            <a:pPr>
              <a:defRPr sz="800">
                <a:latin typeface="Arial" pitchFamily="34" charset="0"/>
                <a:cs typeface="Arial" pitchFamily="34" charset="0"/>
              </a:defRPr>
            </a:pPr>
            <a:endParaRPr lang="cs-CZ"/>
          </a:p>
        </c:txPr>
        <c:crossAx val="175238528"/>
        <c:crosses val="autoZero"/>
        <c:auto val="1"/>
        <c:lblAlgn val="ctr"/>
        <c:lblOffset val="0"/>
      </c:catAx>
      <c:valAx>
        <c:axId val="175238528"/>
        <c:scaling>
          <c:orientation val="minMax"/>
          <c:max val="11"/>
          <c:min val="-6"/>
        </c:scaling>
        <c:axPos val="l"/>
        <c:majorGridlines/>
        <c:numFmt formatCode="0" sourceLinked="0"/>
        <c:tickLblPos val="nextTo"/>
        <c:txPr>
          <a:bodyPr/>
          <a:lstStyle/>
          <a:p>
            <a:pPr>
              <a:defRPr sz="800">
                <a:latin typeface="Arial" pitchFamily="34" charset="0"/>
                <a:cs typeface="Arial" pitchFamily="34" charset="0"/>
              </a:defRPr>
            </a:pPr>
            <a:endParaRPr lang="cs-CZ"/>
          </a:p>
        </c:txPr>
        <c:crossAx val="175236992"/>
        <c:crosses val="autoZero"/>
        <c:crossBetween val="between"/>
        <c:majorUnit val="1"/>
      </c:valAx>
      <c:spPr>
        <a:noFill/>
        <a:ln w="6350">
          <a:solidFill>
            <a:prstClr val="black">
              <a:lumMod val="95000"/>
              <a:lumOff val="5000"/>
            </a:prstClr>
          </a:solidFill>
        </a:ln>
      </c:spPr>
    </c:plotArea>
    <c:legend>
      <c:legendPos val="r"/>
      <c:layout>
        <c:manualLayout>
          <c:xMode val="edge"/>
          <c:yMode val="edge"/>
          <c:x val="4.1107372900550457E-2"/>
          <c:y val="0.82802404283095155"/>
          <c:w val="0.93932449951909514"/>
          <c:h val="0.1618891920953385"/>
        </c:manualLayout>
      </c:layout>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2277854581154255E-2"/>
          <c:y val="1.643251153889452E-2"/>
          <c:w val="0.88814529285961863"/>
          <c:h val="0.77409039738827856"/>
        </c:manualLayout>
      </c:layout>
      <c:barChart>
        <c:barDir val="col"/>
        <c:grouping val="clustered"/>
        <c:ser>
          <c:idx val="0"/>
          <c:order val="0"/>
          <c:tx>
            <c:strRef>
              <c:f>'výkonnost odvětví 2'!$B$31</c:f>
              <c:strCache>
                <c:ptCount val="1"/>
                <c:pt idx="0">
                  <c:v>Průmyslové zakázky celkem</c:v>
                </c:pt>
              </c:strCache>
            </c:strRef>
          </c:tx>
          <c:spPr>
            <a:solidFill>
              <a:schemeClr val="bg1">
                <a:lumMod val="65000"/>
              </a:schemeClr>
            </a:solidFill>
            <a:ln w="12700">
              <a:noFill/>
              <a:prstDash val="solid"/>
            </a:ln>
          </c:spPr>
          <c:cat>
            <c:multiLvlStrRef>
              <c:f>'výkonnost odvětví 2'!$C$29:$AG$30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2'!$C$31:$AG$31</c:f>
              <c:numCache>
                <c:formatCode>#,##0.0__</c:formatCode>
                <c:ptCount val="31"/>
                <c:pt idx="0">
                  <c:v>12.043107093421796</c:v>
                </c:pt>
                <c:pt idx="1">
                  <c:v>5.3292904020963094</c:v>
                </c:pt>
                <c:pt idx="2">
                  <c:v>-1.503823629327437</c:v>
                </c:pt>
                <c:pt idx="3">
                  <c:v>0.49985199872995401</c:v>
                </c:pt>
                <c:pt idx="4">
                  <c:v>7.8919882289544265</c:v>
                </c:pt>
                <c:pt idx="5">
                  <c:v>0.24363263911027391</c:v>
                </c:pt>
                <c:pt idx="6">
                  <c:v>2.6780600325356119</c:v>
                </c:pt>
                <c:pt idx="7">
                  <c:v>-2.2927798243121345</c:v>
                </c:pt>
                <c:pt idx="8">
                  <c:v>-6.7566875441004868</c:v>
                </c:pt>
                <c:pt idx="9">
                  <c:v>-0.77743908810788365</c:v>
                </c:pt>
                <c:pt idx="10">
                  <c:v>12.110592029586039</c:v>
                </c:pt>
                <c:pt idx="11">
                  <c:v>12.611542535334834</c:v>
                </c:pt>
                <c:pt idx="12">
                  <c:v>18.45457625725863</c:v>
                </c:pt>
                <c:pt idx="13">
                  <c:v>13.812603337719374</c:v>
                </c:pt>
                <c:pt idx="14">
                  <c:v>11.164927309703883</c:v>
                </c:pt>
                <c:pt idx="15">
                  <c:v>7.3250322249586759</c:v>
                </c:pt>
                <c:pt idx="16">
                  <c:v>8.5397251010390089</c:v>
                </c:pt>
                <c:pt idx="17">
                  <c:v>6.48948340315685</c:v>
                </c:pt>
                <c:pt idx="18">
                  <c:v>4.1045761314248068</c:v>
                </c:pt>
                <c:pt idx="19">
                  <c:v>6.0151063810169205</c:v>
                </c:pt>
                <c:pt idx="20">
                  <c:v>1.3550678522953064</c:v>
                </c:pt>
                <c:pt idx="21">
                  <c:v>10.856046878525524</c:v>
                </c:pt>
                <c:pt idx="22">
                  <c:v>1.6431282237439291</c:v>
                </c:pt>
                <c:pt idx="23">
                  <c:v>6.7220844736941086</c:v>
                </c:pt>
                <c:pt idx="24">
                  <c:v>10.841479121555905</c:v>
                </c:pt>
                <c:pt idx="25">
                  <c:v>4.5315942367003705</c:v>
                </c:pt>
                <c:pt idx="26">
                  <c:v>6.9082617878945998</c:v>
                </c:pt>
                <c:pt idx="27">
                  <c:v>7.5112613571588724</c:v>
                </c:pt>
                <c:pt idx="28">
                  <c:v>1.9174044931699488</c:v>
                </c:pt>
                <c:pt idx="29">
                  <c:v>4.5205907145015232</c:v>
                </c:pt>
                <c:pt idx="30">
                  <c:v>3.7380158017195271</c:v>
                </c:pt>
              </c:numCache>
            </c:numRef>
          </c:val>
          <c:extLst xmlns:c16r2="http://schemas.microsoft.com/office/drawing/2015/06/chart">
            <c:ext xmlns:c16="http://schemas.microsoft.com/office/drawing/2014/chart" uri="{C3380CC4-5D6E-409C-BE32-E72D297353CC}">
              <c16:uniqueId val="{00000000-048A-467E-9642-22B15C141D48}"/>
            </c:ext>
          </c:extLst>
        </c:ser>
        <c:gapWidth val="34"/>
        <c:overlap val="28"/>
        <c:axId val="184764288"/>
        <c:axId val="184788096"/>
      </c:barChart>
      <c:lineChart>
        <c:grouping val="standard"/>
        <c:ser>
          <c:idx val="2"/>
          <c:order val="1"/>
          <c:tx>
            <c:strRef>
              <c:f>'výkonnost odvětví 2'!$B$32</c:f>
              <c:strCache>
                <c:ptCount val="1"/>
                <c:pt idx="0">
                  <c:v>Průmyslové zakázky z tuzemska</c:v>
                </c:pt>
              </c:strCache>
            </c:strRef>
          </c:tx>
          <c:spPr>
            <a:ln w="15875">
              <a:solidFill>
                <a:srgbClr val="BD1B21"/>
              </a:solidFill>
              <a:prstDash val="solid"/>
            </a:ln>
          </c:spPr>
          <c:marker>
            <c:symbol val="none"/>
          </c:marker>
          <c:cat>
            <c:multiLvlStrRef>
              <c:f>'výkonnost odvětví 2'!$C$29:$AG$30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2'!$C$32:$AG$32</c:f>
              <c:numCache>
                <c:formatCode>#,##0.0__</c:formatCode>
                <c:ptCount val="31"/>
                <c:pt idx="0">
                  <c:v>2.8145814762462464</c:v>
                </c:pt>
                <c:pt idx="1">
                  <c:v>-0.65160361804250466</c:v>
                </c:pt>
                <c:pt idx="2">
                  <c:v>-11.671782921579478</c:v>
                </c:pt>
                <c:pt idx="3">
                  <c:v>-10.696553890943122</c:v>
                </c:pt>
                <c:pt idx="4">
                  <c:v>2.6214056871317126</c:v>
                </c:pt>
                <c:pt idx="5">
                  <c:v>-9.2467743432498679</c:v>
                </c:pt>
                <c:pt idx="6">
                  <c:v>-2.8571545096936277</c:v>
                </c:pt>
                <c:pt idx="7">
                  <c:v>-4.0487324448534139</c:v>
                </c:pt>
                <c:pt idx="8">
                  <c:v>-7.112663177047466</c:v>
                </c:pt>
                <c:pt idx="9">
                  <c:v>-0.59561460542927591</c:v>
                </c:pt>
                <c:pt idx="10">
                  <c:v>9.3847374388735147</c:v>
                </c:pt>
                <c:pt idx="11">
                  <c:v>7.0782158358476011</c:v>
                </c:pt>
                <c:pt idx="12">
                  <c:v>14.183839645941402</c:v>
                </c:pt>
                <c:pt idx="13">
                  <c:v>7.7929541685001915</c:v>
                </c:pt>
                <c:pt idx="14">
                  <c:v>16.845115352064926</c:v>
                </c:pt>
                <c:pt idx="15">
                  <c:v>9.6787104542652713</c:v>
                </c:pt>
                <c:pt idx="16">
                  <c:v>4.3419613010107314</c:v>
                </c:pt>
                <c:pt idx="17">
                  <c:v>10.024449168168022</c:v>
                </c:pt>
                <c:pt idx="18">
                  <c:v>-4.7604240586837046</c:v>
                </c:pt>
                <c:pt idx="19">
                  <c:v>0.56107209694786753</c:v>
                </c:pt>
                <c:pt idx="20">
                  <c:v>0.20304376106223357</c:v>
                </c:pt>
                <c:pt idx="21">
                  <c:v>4.9376200007964304</c:v>
                </c:pt>
                <c:pt idx="22">
                  <c:v>-0.65834656713856565</c:v>
                </c:pt>
                <c:pt idx="23">
                  <c:v>2.8730898893806995</c:v>
                </c:pt>
                <c:pt idx="24">
                  <c:v>16.722989365311626</c:v>
                </c:pt>
                <c:pt idx="25">
                  <c:v>11.567742610098026</c:v>
                </c:pt>
                <c:pt idx="26">
                  <c:v>14.702871802754668</c:v>
                </c:pt>
                <c:pt idx="27">
                  <c:v>15.641374658030248</c:v>
                </c:pt>
                <c:pt idx="28">
                  <c:v>-0.60650382327463603</c:v>
                </c:pt>
                <c:pt idx="29">
                  <c:v>3.3658740827299312</c:v>
                </c:pt>
                <c:pt idx="30">
                  <c:v>4.2656182775668245</c:v>
                </c:pt>
              </c:numCache>
            </c:numRef>
          </c:val>
          <c:extLst xmlns:c16r2="http://schemas.microsoft.com/office/drawing/2015/06/chart">
            <c:ext xmlns:c16="http://schemas.microsoft.com/office/drawing/2014/chart" uri="{C3380CC4-5D6E-409C-BE32-E72D297353CC}">
              <c16:uniqueId val="{00000001-048A-467E-9642-22B15C141D48}"/>
            </c:ext>
          </c:extLst>
        </c:ser>
        <c:ser>
          <c:idx val="5"/>
          <c:order val="2"/>
          <c:tx>
            <c:strRef>
              <c:f>'výkonnost odvětví 2'!$B$33</c:f>
              <c:strCache>
                <c:ptCount val="1"/>
                <c:pt idx="0">
                  <c:v>Průmyslové zakázky ze zahraničí</c:v>
                </c:pt>
              </c:strCache>
            </c:strRef>
          </c:tx>
          <c:spPr>
            <a:ln w="15875">
              <a:solidFill>
                <a:srgbClr val="0071BC"/>
              </a:solidFill>
              <a:prstDash val="solid"/>
            </a:ln>
          </c:spPr>
          <c:marker>
            <c:symbol val="none"/>
          </c:marker>
          <c:cat>
            <c:multiLvlStrRef>
              <c:f>'výkonnost odvětví 2'!$C$29:$AG$30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2'!$C$33:$AG$33</c:f>
              <c:numCache>
                <c:formatCode>#,##0.0__</c:formatCode>
                <c:ptCount val="31"/>
                <c:pt idx="0">
                  <c:v>18.348366232181952</c:v>
                </c:pt>
                <c:pt idx="1">
                  <c:v>9.5205491734487566</c:v>
                </c:pt>
                <c:pt idx="2">
                  <c:v>5.6720014781022305</c:v>
                </c:pt>
                <c:pt idx="3">
                  <c:v>8.6383031975398179</c:v>
                </c:pt>
                <c:pt idx="4">
                  <c:v>11.020383939537369</c:v>
                </c:pt>
                <c:pt idx="5">
                  <c:v>6.2765650038583534</c:v>
                </c:pt>
                <c:pt idx="6">
                  <c:v>5.9432769293397172</c:v>
                </c:pt>
                <c:pt idx="7">
                  <c:v>-1.2435728368122061</c:v>
                </c:pt>
                <c:pt idx="8">
                  <c:v>-6.561380185987848</c:v>
                </c:pt>
                <c:pt idx="9">
                  <c:v>-0.8761398590468904</c:v>
                </c:pt>
                <c:pt idx="10">
                  <c:v>13.585000036266157</c:v>
                </c:pt>
                <c:pt idx="11">
                  <c:v>15.823871636824705</c:v>
                </c:pt>
                <c:pt idx="12">
                  <c:v>20.558652721652535</c:v>
                </c:pt>
                <c:pt idx="13">
                  <c:v>16.687921882537509</c:v>
                </c:pt>
                <c:pt idx="14">
                  <c:v>8.5531225813094967</c:v>
                </c:pt>
                <c:pt idx="15">
                  <c:v>6.3161284689543784</c:v>
                </c:pt>
                <c:pt idx="16">
                  <c:v>10.348522192193441</c:v>
                </c:pt>
                <c:pt idx="17">
                  <c:v>5.0066840085656965</c:v>
                </c:pt>
                <c:pt idx="18">
                  <c:v>8.2506299270615511</c:v>
                </c:pt>
                <c:pt idx="19">
                  <c:v>8.5340301032502452</c:v>
                </c:pt>
                <c:pt idx="20">
                  <c:v>1.8244492596639788</c:v>
                </c:pt>
                <c:pt idx="21">
                  <c:v>13.457258781079091</c:v>
                </c:pt>
                <c:pt idx="22">
                  <c:v>2.5901270212493452</c:v>
                </c:pt>
                <c:pt idx="23">
                  <c:v>8.3691406681191598</c:v>
                </c:pt>
                <c:pt idx="24">
                  <c:v>8.483271558879153</c:v>
                </c:pt>
                <c:pt idx="25">
                  <c:v>1.6713484154001037</c:v>
                </c:pt>
                <c:pt idx="26">
                  <c:v>3.8025338260982608</c:v>
                </c:pt>
                <c:pt idx="27">
                  <c:v>4.2086773810061491</c:v>
                </c:pt>
                <c:pt idx="28">
                  <c:v>3.0062352307807028</c:v>
                </c:pt>
                <c:pt idx="29">
                  <c:v>5.0356815867785674</c:v>
                </c:pt>
                <c:pt idx="30">
                  <c:v>3.5057195590977281</c:v>
                </c:pt>
              </c:numCache>
            </c:numRef>
          </c:val>
          <c:extLst xmlns:c16r2="http://schemas.microsoft.com/office/drawing/2015/06/chart">
            <c:ext xmlns:c16="http://schemas.microsoft.com/office/drawing/2014/chart" uri="{C3380CC4-5D6E-409C-BE32-E72D297353CC}">
              <c16:uniqueId val="{00000002-048A-467E-9642-22B15C141D48}"/>
            </c:ext>
          </c:extLst>
        </c:ser>
        <c:ser>
          <c:idx val="3"/>
          <c:order val="3"/>
          <c:tx>
            <c:strRef>
              <c:f>'výkonnost odvětví 2'!$B$34</c:f>
              <c:strCache>
                <c:ptCount val="1"/>
                <c:pt idx="0">
                  <c:v>Celk. zakázky ve výrobě motor. voz.</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2'!$C$29:$AG$30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2'!$C$34:$AG$34</c:f>
              <c:numCache>
                <c:formatCode>#,##0.0__</c:formatCode>
                <c:ptCount val="31"/>
                <c:pt idx="0">
                  <c:v>11.429400379513879</c:v>
                </c:pt>
                <c:pt idx="1">
                  <c:v>9.2048286805520476</c:v>
                </c:pt>
                <c:pt idx="2">
                  <c:v>4.4139955552265207</c:v>
                </c:pt>
                <c:pt idx="3">
                  <c:v>5.3718735076924125</c:v>
                </c:pt>
                <c:pt idx="4">
                  <c:v>19.54636851917148</c:v>
                </c:pt>
                <c:pt idx="5">
                  <c:v>4.6887564118292016</c:v>
                </c:pt>
                <c:pt idx="6">
                  <c:v>1.3322326875189248</c:v>
                </c:pt>
                <c:pt idx="7">
                  <c:v>-2.0219087809167182</c:v>
                </c:pt>
                <c:pt idx="8">
                  <c:v>-15.423726227988524</c:v>
                </c:pt>
                <c:pt idx="9">
                  <c:v>-3.0233686336023182</c:v>
                </c:pt>
                <c:pt idx="10">
                  <c:v>24.654149056071926</c:v>
                </c:pt>
                <c:pt idx="11">
                  <c:v>18.470996489023321</c:v>
                </c:pt>
                <c:pt idx="12">
                  <c:v>33.791068906341536</c:v>
                </c:pt>
                <c:pt idx="13">
                  <c:v>22.392943648551302</c:v>
                </c:pt>
                <c:pt idx="14">
                  <c:v>16.969041222835056</c:v>
                </c:pt>
                <c:pt idx="15">
                  <c:v>12.211301534151092</c:v>
                </c:pt>
                <c:pt idx="16">
                  <c:v>15.316352438277956</c:v>
                </c:pt>
                <c:pt idx="17">
                  <c:v>5.5843434565174555</c:v>
                </c:pt>
                <c:pt idx="18">
                  <c:v>13.898535777390734</c:v>
                </c:pt>
                <c:pt idx="19">
                  <c:v>18.975191723154538</c:v>
                </c:pt>
                <c:pt idx="20">
                  <c:v>11.460497347422486</c:v>
                </c:pt>
                <c:pt idx="21">
                  <c:v>33.0851310312921</c:v>
                </c:pt>
                <c:pt idx="22">
                  <c:v>5.912380139380474</c:v>
                </c:pt>
                <c:pt idx="23">
                  <c:v>12.001000805244416</c:v>
                </c:pt>
                <c:pt idx="24">
                  <c:v>7.9804719471503214</c:v>
                </c:pt>
                <c:pt idx="25">
                  <c:v>-1.759261247336487</c:v>
                </c:pt>
                <c:pt idx="26">
                  <c:v>3.8626497182263222</c:v>
                </c:pt>
                <c:pt idx="27">
                  <c:v>0.3737671056841238</c:v>
                </c:pt>
                <c:pt idx="28">
                  <c:v>0.16803199459185691</c:v>
                </c:pt>
                <c:pt idx="29">
                  <c:v>3.1477893347092731</c:v>
                </c:pt>
                <c:pt idx="30">
                  <c:v>9.2070545356165226E-2</c:v>
                </c:pt>
              </c:numCache>
            </c:numRef>
          </c:val>
          <c:extLst xmlns:c16r2="http://schemas.microsoft.com/office/drawing/2015/06/chart">
            <c:ext xmlns:c16="http://schemas.microsoft.com/office/drawing/2014/chart" uri="{C3380CC4-5D6E-409C-BE32-E72D297353CC}">
              <c16:uniqueId val="{00000003-048A-467E-9642-22B15C141D48}"/>
            </c:ext>
          </c:extLst>
        </c:ser>
        <c:ser>
          <c:idx val="1"/>
          <c:order val="4"/>
          <c:tx>
            <c:strRef>
              <c:f>'výkonnost odvětví 2'!$B$35</c:f>
              <c:strCache>
                <c:ptCount val="1"/>
                <c:pt idx="0">
                  <c:v>Saldo souhr. indikát. důvěry v průmyslu</c:v>
                </c:pt>
              </c:strCache>
            </c:strRef>
          </c:tx>
          <c:spPr>
            <a:ln>
              <a:noFill/>
            </a:ln>
          </c:spPr>
          <c:marker>
            <c:symbol val="dash"/>
            <c:size val="9"/>
            <c:spPr>
              <a:solidFill>
                <a:srgbClr val="984807"/>
              </a:solidFill>
              <a:ln>
                <a:noFill/>
              </a:ln>
            </c:spPr>
          </c:marker>
          <c:cat>
            <c:multiLvlStrRef>
              <c:f>'výkonnost odvětví 2'!$C$29:$AG$30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2'!$C$35:$AG$35</c:f>
              <c:numCache>
                <c:formatCode>0.0</c:formatCode>
                <c:ptCount val="31"/>
                <c:pt idx="0">
                  <c:v>12.200000000000001</c:v>
                </c:pt>
                <c:pt idx="1">
                  <c:v>5.8999999999999995</c:v>
                </c:pt>
                <c:pt idx="2">
                  <c:v>2.4333333333333331</c:v>
                </c:pt>
                <c:pt idx="3">
                  <c:v>1.8</c:v>
                </c:pt>
                <c:pt idx="4">
                  <c:v>1.5666666666666667</c:v>
                </c:pt>
                <c:pt idx="5">
                  <c:v>-2.5666666666666669</c:v>
                </c:pt>
                <c:pt idx="6">
                  <c:v>-8.9</c:v>
                </c:pt>
                <c:pt idx="7">
                  <c:v>-10.200000000000001</c:v>
                </c:pt>
                <c:pt idx="8">
                  <c:v>-8.9</c:v>
                </c:pt>
                <c:pt idx="9">
                  <c:v>-10</c:v>
                </c:pt>
                <c:pt idx="10">
                  <c:v>-6.2333333333333583</c:v>
                </c:pt>
                <c:pt idx="11">
                  <c:v>1.7000000000000002</c:v>
                </c:pt>
                <c:pt idx="12">
                  <c:v>2.3333333333333335</c:v>
                </c:pt>
                <c:pt idx="13">
                  <c:v>3.6333333333333342</c:v>
                </c:pt>
                <c:pt idx="14">
                  <c:v>2.5333333333333332</c:v>
                </c:pt>
                <c:pt idx="15">
                  <c:v>2.6666666666666665</c:v>
                </c:pt>
                <c:pt idx="16">
                  <c:v>3</c:v>
                </c:pt>
                <c:pt idx="17">
                  <c:v>3.7666666666666671</c:v>
                </c:pt>
                <c:pt idx="18">
                  <c:v>3.7666666666666671</c:v>
                </c:pt>
                <c:pt idx="19">
                  <c:v>0.76666666666666661</c:v>
                </c:pt>
                <c:pt idx="20">
                  <c:v>3.5666666666666664</c:v>
                </c:pt>
                <c:pt idx="21">
                  <c:v>1.9000000000000001</c:v>
                </c:pt>
                <c:pt idx="22">
                  <c:v>3.7666666666666671</c:v>
                </c:pt>
                <c:pt idx="23">
                  <c:v>5.3333333333333526</c:v>
                </c:pt>
                <c:pt idx="24">
                  <c:v>3.3333333333333335</c:v>
                </c:pt>
                <c:pt idx="25">
                  <c:v>0.8333333333333337</c:v>
                </c:pt>
                <c:pt idx="26">
                  <c:v>3.8666666666666667</c:v>
                </c:pt>
                <c:pt idx="27">
                  <c:v>5.8</c:v>
                </c:pt>
                <c:pt idx="28">
                  <c:v>3.9</c:v>
                </c:pt>
                <c:pt idx="29">
                  <c:v>3.4333333333333336</c:v>
                </c:pt>
                <c:pt idx="30">
                  <c:v>1.9666666666666681</c:v>
                </c:pt>
              </c:numCache>
            </c:numRef>
          </c:val>
          <c:extLst xmlns:c16r2="http://schemas.microsoft.com/office/drawing/2015/06/chart">
            <c:ext xmlns:c16="http://schemas.microsoft.com/office/drawing/2014/chart" uri="{C3380CC4-5D6E-409C-BE32-E72D297353CC}">
              <c16:uniqueId val="{00000004-048A-467E-9642-22B15C141D48}"/>
            </c:ext>
          </c:extLst>
        </c:ser>
        <c:marker val="1"/>
        <c:axId val="184764288"/>
        <c:axId val="184788096"/>
      </c:lineChart>
      <c:lineChart>
        <c:grouping val="standard"/>
        <c:ser>
          <c:idx val="4"/>
          <c:order val="5"/>
          <c:tx>
            <c:strRef>
              <c:f>'výkonnost odvětví 2'!$B$36</c:f>
              <c:strCache>
                <c:ptCount val="1"/>
                <c:pt idx="0">
                  <c:v>Využití výrob. kapacit v prům. (pr. osa)</c:v>
                </c:pt>
              </c:strCache>
            </c:strRef>
          </c:tx>
          <c:spPr>
            <a:ln w="19050">
              <a:solidFill>
                <a:srgbClr val="7DBB2D"/>
              </a:solidFill>
              <a:prstDash val="sysDash"/>
            </a:ln>
          </c:spPr>
          <c:marker>
            <c:symbol val="none"/>
          </c:marker>
          <c:cat>
            <c:multiLvlStrRef>
              <c:f>'výkonnost odvětví 2'!$C$29:$AG$30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2'!$C$36:$AG$36</c:f>
              <c:numCache>
                <c:formatCode>0.0</c:formatCode>
                <c:ptCount val="31"/>
                <c:pt idx="0">
                  <c:v>83.7</c:v>
                </c:pt>
                <c:pt idx="1">
                  <c:v>85.5</c:v>
                </c:pt>
                <c:pt idx="2">
                  <c:v>84.7</c:v>
                </c:pt>
                <c:pt idx="3">
                  <c:v>82.8</c:v>
                </c:pt>
                <c:pt idx="4">
                  <c:v>84.6</c:v>
                </c:pt>
                <c:pt idx="5">
                  <c:v>83.6</c:v>
                </c:pt>
                <c:pt idx="6">
                  <c:v>81.2</c:v>
                </c:pt>
                <c:pt idx="7">
                  <c:v>81.2</c:v>
                </c:pt>
                <c:pt idx="8">
                  <c:v>80.900000000000006</c:v>
                </c:pt>
                <c:pt idx="9">
                  <c:v>82.2</c:v>
                </c:pt>
                <c:pt idx="10">
                  <c:v>80.7</c:v>
                </c:pt>
                <c:pt idx="11">
                  <c:v>82.2</c:v>
                </c:pt>
                <c:pt idx="12">
                  <c:v>81.2</c:v>
                </c:pt>
                <c:pt idx="13">
                  <c:v>83.5</c:v>
                </c:pt>
                <c:pt idx="14">
                  <c:v>82.8</c:v>
                </c:pt>
                <c:pt idx="15">
                  <c:v>84.4</c:v>
                </c:pt>
                <c:pt idx="16">
                  <c:v>86.2</c:v>
                </c:pt>
                <c:pt idx="17">
                  <c:v>85</c:v>
                </c:pt>
                <c:pt idx="18">
                  <c:v>85.6</c:v>
                </c:pt>
                <c:pt idx="19">
                  <c:v>83.9</c:v>
                </c:pt>
                <c:pt idx="20">
                  <c:v>84.5</c:v>
                </c:pt>
                <c:pt idx="21">
                  <c:v>84.7</c:v>
                </c:pt>
                <c:pt idx="22">
                  <c:v>84.7</c:v>
                </c:pt>
                <c:pt idx="23">
                  <c:v>84.1</c:v>
                </c:pt>
                <c:pt idx="24">
                  <c:v>84.9</c:v>
                </c:pt>
                <c:pt idx="25">
                  <c:v>83.1</c:v>
                </c:pt>
                <c:pt idx="26">
                  <c:v>84.4</c:v>
                </c:pt>
                <c:pt idx="27">
                  <c:v>84.3</c:v>
                </c:pt>
                <c:pt idx="28">
                  <c:v>85.8</c:v>
                </c:pt>
                <c:pt idx="29">
                  <c:v>85.4</c:v>
                </c:pt>
                <c:pt idx="30">
                  <c:v>86.2</c:v>
                </c:pt>
              </c:numCache>
            </c:numRef>
          </c:val>
          <c:extLst xmlns:c16r2="http://schemas.microsoft.com/office/drawing/2015/06/chart">
            <c:ext xmlns:c16="http://schemas.microsoft.com/office/drawing/2014/chart" uri="{C3380CC4-5D6E-409C-BE32-E72D297353CC}">
              <c16:uniqueId val="{00000005-048A-467E-9642-22B15C141D48}"/>
            </c:ext>
          </c:extLst>
        </c:ser>
        <c:marker val="1"/>
        <c:axId val="185139968"/>
        <c:axId val="184789632"/>
      </c:lineChart>
      <c:catAx>
        <c:axId val="18476428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84788096"/>
        <c:crossesAt val="0"/>
        <c:lblAlgn val="ctr"/>
        <c:lblOffset val="0"/>
        <c:tickLblSkip val="1"/>
        <c:tickMarkSkip val="4"/>
      </c:catAx>
      <c:valAx>
        <c:axId val="184788096"/>
        <c:scaling>
          <c:orientation val="minMax"/>
          <c:max val="25"/>
          <c:min val="-16"/>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84764288"/>
        <c:crosses val="autoZero"/>
        <c:crossBetween val="between"/>
        <c:majorUnit val="4"/>
      </c:valAx>
      <c:valAx>
        <c:axId val="184789632"/>
        <c:scaling>
          <c:orientation val="minMax"/>
          <c:max val="102.5"/>
          <c:min val="0"/>
        </c:scaling>
        <c:axPos val="r"/>
        <c:numFmt formatCode="0" sourceLinked="0"/>
        <c:tickLblPos val="nextTo"/>
        <c:crossAx val="185139968"/>
        <c:crosses val="max"/>
        <c:crossBetween val="between"/>
        <c:majorUnit val="10"/>
      </c:valAx>
      <c:catAx>
        <c:axId val="185139968"/>
        <c:scaling>
          <c:orientation val="minMax"/>
        </c:scaling>
        <c:delete val="1"/>
        <c:axPos val="b"/>
        <c:numFmt formatCode="General" sourceLinked="1"/>
        <c:tickLblPos val="none"/>
        <c:crossAx val="184789632"/>
        <c:crosses val="autoZero"/>
        <c:auto val="1"/>
        <c:lblAlgn val="ctr"/>
        <c:lblOffset val="100"/>
      </c:catAx>
      <c:spPr>
        <a:solidFill>
          <a:srgbClr val="FFFFFF"/>
        </a:solidFill>
        <a:ln w="9525">
          <a:solidFill>
            <a:schemeClr val="tx1"/>
          </a:solidFill>
        </a:ln>
      </c:spPr>
    </c:plotArea>
    <c:legend>
      <c:legendPos val="b"/>
      <c:layout>
        <c:manualLayout>
          <c:xMode val="edge"/>
          <c:yMode val="edge"/>
          <c:x val="3.4890404821680654E-2"/>
          <c:y val="0.88253517955645189"/>
          <c:w val="0.92313671290543453"/>
          <c:h val="0.10687971406056511"/>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15040945877997E-2"/>
          <c:y val="1.6563187842952836E-2"/>
          <c:w val="0.92847707700101312"/>
          <c:h val="0.72462484520995163"/>
        </c:manualLayout>
      </c:layout>
      <c:barChart>
        <c:barDir val="col"/>
        <c:grouping val="clustered"/>
        <c:ser>
          <c:idx val="0"/>
          <c:order val="0"/>
          <c:tx>
            <c:strRef>
              <c:f>'výkonnost odvětví 3'!$C$10</c:f>
              <c:strCache>
                <c:ptCount val="1"/>
                <c:pt idx="0">
                  <c:v>Index stavební produkce (ISP)*</c:v>
                </c:pt>
              </c:strCache>
            </c:strRef>
          </c:tx>
          <c:spPr>
            <a:solidFill>
              <a:schemeClr val="bg1">
                <a:lumMod val="65000"/>
              </a:schemeClr>
            </a:solidFill>
            <a:ln w="12700">
              <a:noFill/>
              <a:prstDash val="solid"/>
            </a:ln>
          </c:spPr>
          <c:cat>
            <c:multiLvlStrRef>
              <c:f>'výkonnost odvětví 3'!$A$11:$B$45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'výkonnost odvětví 3'!$C$11:$C$45</c:f>
              <c:numCache>
                <c:formatCode>0.0</c:formatCode>
                <c:ptCount val="35"/>
                <c:pt idx="0">
                  <c:v>-23.120879058299195</c:v>
                </c:pt>
                <c:pt idx="1">
                  <c:v>-9.2339152496535419</c:v>
                </c:pt>
                <c:pt idx="2">
                  <c:v>-2.5123557632612528</c:v>
                </c:pt>
                <c:pt idx="3">
                  <c:v>-2.4696856605889508</c:v>
                </c:pt>
                <c:pt idx="4">
                  <c:v>5.4547967684881087</c:v>
                </c:pt>
                <c:pt idx="5">
                  <c:v>-5.1734325285670018</c:v>
                </c:pt>
                <c:pt idx="6">
                  <c:v>-9.0565782351273025</c:v>
                </c:pt>
                <c:pt idx="7">
                  <c:v>-0.49270322945649525</c:v>
                </c:pt>
                <c:pt idx="8">
                  <c:v>-9.8158539490479289</c:v>
                </c:pt>
                <c:pt idx="9">
                  <c:v>-4.9399811658649009</c:v>
                </c:pt>
                <c:pt idx="10">
                  <c:v>-5.6510757148012516</c:v>
                </c:pt>
                <c:pt idx="11">
                  <c:v>-9.499054465131703</c:v>
                </c:pt>
                <c:pt idx="12">
                  <c:v>-10.572618150498869</c:v>
                </c:pt>
                <c:pt idx="13">
                  <c:v>-11.627766064039051</c:v>
                </c:pt>
                <c:pt idx="14">
                  <c:v>-4.9398947451908395</c:v>
                </c:pt>
                <c:pt idx="15">
                  <c:v>-2.6212387790635887</c:v>
                </c:pt>
                <c:pt idx="16">
                  <c:v>13.06540445759325</c:v>
                </c:pt>
                <c:pt idx="17">
                  <c:v>5.5566493948498925</c:v>
                </c:pt>
                <c:pt idx="18">
                  <c:v>2.446634556092429</c:v>
                </c:pt>
                <c:pt idx="19">
                  <c:v>1.1198511878155839</c:v>
                </c:pt>
                <c:pt idx="20">
                  <c:v>9.1960028555017548</c:v>
                </c:pt>
                <c:pt idx="21">
                  <c:v>11.97873044320497</c:v>
                </c:pt>
                <c:pt idx="22">
                  <c:v>7.8527866781581608</c:v>
                </c:pt>
                <c:pt idx="23">
                  <c:v>0.93515611046851388</c:v>
                </c:pt>
                <c:pt idx="24">
                  <c:v>-6.2655201570786065</c:v>
                </c:pt>
                <c:pt idx="25">
                  <c:v>-10.232071921410972</c:v>
                </c:pt>
                <c:pt idx="26">
                  <c:v>-5.9099820656760329</c:v>
                </c:pt>
                <c:pt idx="27">
                  <c:v>-1.6489038957721638</c:v>
                </c:pt>
                <c:pt idx="28">
                  <c:v>-0.85013277421342082</c:v>
                </c:pt>
                <c:pt idx="29">
                  <c:v>9.0007470610050877</c:v>
                </c:pt>
                <c:pt idx="30">
                  <c:v>2.0581071575725884</c:v>
                </c:pt>
                <c:pt idx="31">
                  <c:v>2.9381763458613812</c:v>
                </c:pt>
                <c:pt idx="32">
                  <c:v>13.180625736873068</c:v>
                </c:pt>
                <c:pt idx="33">
                  <c:v>6.4272489297362885</c:v>
                </c:pt>
                <c:pt idx="34">
                  <c:v>12.135827326133548</c:v>
                </c:pt>
              </c:numCache>
            </c:numRef>
          </c:val>
          <c:extLst xmlns:c16r2="http://schemas.microsoft.com/office/drawing/2015/06/chart">
            <c:ext xmlns:c16="http://schemas.microsoft.com/office/drawing/2014/chart" uri="{C3380CC4-5D6E-409C-BE32-E72D297353CC}">
              <c16:uniqueId val="{00000000-A7F0-44CB-8B62-C55D7B049117}"/>
            </c:ext>
          </c:extLst>
        </c:ser>
        <c:gapWidth val="31"/>
        <c:axId val="126378368"/>
        <c:axId val="126380288"/>
      </c:barChart>
      <c:lineChart>
        <c:grouping val="standard"/>
        <c:ser>
          <c:idx val="1"/>
          <c:order val="1"/>
          <c:tx>
            <c:strRef>
              <c:f>'výkonnost odvětví 3'!$D$10</c:f>
              <c:strCache>
                <c:ptCount val="1"/>
                <c:pt idx="0">
                  <c:v>ISP v pozemním stavitelství*</c:v>
                </c:pt>
              </c:strCache>
            </c:strRef>
          </c:tx>
          <c:spPr>
            <a:ln w="19050">
              <a:solidFill>
                <a:srgbClr val="0071BC"/>
              </a:solidFill>
              <a:prstDash val="solid"/>
            </a:ln>
          </c:spPr>
          <c:marker>
            <c:symbol val="none"/>
          </c:marker>
          <c:cat>
            <c:multiLvlStrRef>
              <c:f>'výkonnost odvětví 3'!$A$11:$B$45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'výkonnost odvětví 3'!$D$11:$D$45</c:f>
              <c:numCache>
                <c:formatCode>0.0</c:formatCode>
                <c:ptCount val="35"/>
                <c:pt idx="0">
                  <c:v>-27.388210840645424</c:v>
                </c:pt>
                <c:pt idx="1">
                  <c:v>-10.215756599040372</c:v>
                </c:pt>
                <c:pt idx="2">
                  <c:v>-0.63496288924305588</c:v>
                </c:pt>
                <c:pt idx="3">
                  <c:v>0.29177688199027568</c:v>
                </c:pt>
                <c:pt idx="4">
                  <c:v>8.643687148281515</c:v>
                </c:pt>
                <c:pt idx="5">
                  <c:v>-1.7629575853668247</c:v>
                </c:pt>
                <c:pt idx="6">
                  <c:v>-6.4095020002379499</c:v>
                </c:pt>
                <c:pt idx="7">
                  <c:v>2.1112324310021933</c:v>
                </c:pt>
                <c:pt idx="8">
                  <c:v>-7.1532412146404596</c:v>
                </c:pt>
                <c:pt idx="9">
                  <c:v>-2.3484865143246028</c:v>
                </c:pt>
                <c:pt idx="10">
                  <c:v>-5.1485451817733594</c:v>
                </c:pt>
                <c:pt idx="11">
                  <c:v>-9.6734545797586389</c:v>
                </c:pt>
                <c:pt idx="12">
                  <c:v>-9.7993229316906589</c:v>
                </c:pt>
                <c:pt idx="13">
                  <c:v>-11.07864863156108</c:v>
                </c:pt>
                <c:pt idx="14">
                  <c:v>-1.5544956967322878</c:v>
                </c:pt>
                <c:pt idx="15">
                  <c:v>-2.8814188410152184</c:v>
                </c:pt>
                <c:pt idx="16">
                  <c:v>16.321006513626514</c:v>
                </c:pt>
                <c:pt idx="17">
                  <c:v>5.2628048628393262</c:v>
                </c:pt>
                <c:pt idx="18">
                  <c:v>-0.63581651846185161</c:v>
                </c:pt>
                <c:pt idx="19">
                  <c:v>-0.52994003482804464</c:v>
                </c:pt>
                <c:pt idx="20">
                  <c:v>7.7256468103625622</c:v>
                </c:pt>
                <c:pt idx="21">
                  <c:v>7.3251629054349925</c:v>
                </c:pt>
                <c:pt idx="22">
                  <c:v>1.2043700315632861</c:v>
                </c:pt>
                <c:pt idx="23">
                  <c:v>-2.6463735386968072</c:v>
                </c:pt>
                <c:pt idx="24">
                  <c:v>-6.4584025270336314</c:v>
                </c:pt>
                <c:pt idx="25">
                  <c:v>-7.5484465898539304</c:v>
                </c:pt>
                <c:pt idx="26">
                  <c:v>1.2341559267486077</c:v>
                </c:pt>
                <c:pt idx="27">
                  <c:v>6.1457971578372455</c:v>
                </c:pt>
                <c:pt idx="28">
                  <c:v>3.0113147792611699</c:v>
                </c:pt>
                <c:pt idx="29">
                  <c:v>14.58606830794295</c:v>
                </c:pt>
                <c:pt idx="30">
                  <c:v>5.0006934347103718</c:v>
                </c:pt>
                <c:pt idx="31">
                  <c:v>3.8225430782295997</c:v>
                </c:pt>
                <c:pt idx="32">
                  <c:v>14.688677478613148</c:v>
                </c:pt>
                <c:pt idx="33">
                  <c:v>7.4327659505443426</c:v>
                </c:pt>
                <c:pt idx="34">
                  <c:v>10.486359424223465</c:v>
                </c:pt>
              </c:numCache>
            </c:numRef>
          </c:val>
          <c:extLst xmlns:c16r2="http://schemas.microsoft.com/office/drawing/2015/06/chart">
            <c:ext xmlns:c16="http://schemas.microsoft.com/office/drawing/2014/chart" uri="{C3380CC4-5D6E-409C-BE32-E72D297353CC}">
              <c16:uniqueId val="{00000001-A7F0-44CB-8B62-C55D7B049117}"/>
            </c:ext>
          </c:extLst>
        </c:ser>
        <c:ser>
          <c:idx val="2"/>
          <c:order val="2"/>
          <c:tx>
            <c:strRef>
              <c:f>'výkonnost odvětví 3'!$E$10</c:f>
              <c:strCache>
                <c:ptCount val="1"/>
                <c:pt idx="0">
                  <c:v>ISP v inženýrském stavitelství*</c:v>
                </c:pt>
              </c:strCache>
            </c:strRef>
          </c:tx>
          <c:spPr>
            <a:ln w="19050">
              <a:solidFill>
                <a:srgbClr val="BD1B21"/>
              </a:solidFill>
              <a:prstDash val="solid"/>
            </a:ln>
          </c:spPr>
          <c:marker>
            <c:symbol val="none"/>
          </c:marker>
          <c:cat>
            <c:multiLvlStrRef>
              <c:f>'výkonnost odvětví 3'!$A$11:$B$45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'výkonnost odvětví 3'!$E$11:$E$45</c:f>
              <c:numCache>
                <c:formatCode>0.0</c:formatCode>
                <c:ptCount val="35"/>
                <c:pt idx="0">
                  <c:v>-9.348212129667548</c:v>
                </c:pt>
                <c:pt idx="1">
                  <c:v>-7.2672646577616149</c:v>
                </c:pt>
                <c:pt idx="2">
                  <c:v>-6.0782565063688985</c:v>
                </c:pt>
                <c:pt idx="3">
                  <c:v>-7.7551427017186834</c:v>
                </c:pt>
                <c:pt idx="4">
                  <c:v>-2.789089448865008</c:v>
                </c:pt>
                <c:pt idx="5">
                  <c:v>-11.787487635893656</c:v>
                </c:pt>
                <c:pt idx="6">
                  <c:v>-14.375798659442045</c:v>
                </c:pt>
                <c:pt idx="7">
                  <c:v>-5.9114243768010475</c:v>
                </c:pt>
                <c:pt idx="8">
                  <c:v>-17.508750433219717</c:v>
                </c:pt>
                <c:pt idx="9">
                  <c:v>-10.536891513552632</c:v>
                </c:pt>
                <c:pt idx="10">
                  <c:v>-6.7548473187488005</c:v>
                </c:pt>
                <c:pt idx="11">
                  <c:v>-9.1051871494778283</c:v>
                </c:pt>
                <c:pt idx="12">
                  <c:v>-13.087317526163702</c:v>
                </c:pt>
                <c:pt idx="13">
                  <c:v>-12.92225475103762</c:v>
                </c:pt>
                <c:pt idx="14">
                  <c:v>-12.503770089076568</c:v>
                </c:pt>
                <c:pt idx="15">
                  <c:v>-2.0373185905058597</c:v>
                </c:pt>
                <c:pt idx="16">
                  <c:v>2.0779090558675608</c:v>
                </c:pt>
                <c:pt idx="17">
                  <c:v>6.2640240917004775</c:v>
                </c:pt>
                <c:pt idx="18">
                  <c:v>10.195484215252085</c:v>
                </c:pt>
                <c:pt idx="19">
                  <c:v>4.7905616685082855</c:v>
                </c:pt>
                <c:pt idx="20">
                  <c:v>14.850790359833061</c:v>
                </c:pt>
                <c:pt idx="21">
                  <c:v>23.075756570990805</c:v>
                </c:pt>
                <c:pt idx="22">
                  <c:v>22.923206180836129</c:v>
                </c:pt>
                <c:pt idx="23">
                  <c:v>8.4993021566949665</c:v>
                </c:pt>
                <c:pt idx="24">
                  <c:v>-5.5697409692054745</c:v>
                </c:pt>
                <c:pt idx="25">
                  <c:v>-15.812551358433454</c:v>
                </c:pt>
                <c:pt idx="26">
                  <c:v>-19.242811842824889</c:v>
                </c:pt>
                <c:pt idx="27">
                  <c:v>-16.420111674620692</c:v>
                </c:pt>
                <c:pt idx="28">
                  <c:v>-14.648339343580091</c:v>
                </c:pt>
                <c:pt idx="29">
                  <c:v>-3.7537885685544254</c:v>
                </c:pt>
                <c:pt idx="30">
                  <c:v>-4.8259993710043565</c:v>
                </c:pt>
                <c:pt idx="31">
                  <c:v>0.80979248445301477</c:v>
                </c:pt>
                <c:pt idx="32">
                  <c:v>6.6769218050612977</c:v>
                </c:pt>
                <c:pt idx="33">
                  <c:v>3.6935297166521899</c:v>
                </c:pt>
                <c:pt idx="34">
                  <c:v>16.393808136148351</c:v>
                </c:pt>
              </c:numCache>
            </c:numRef>
          </c:val>
          <c:extLst xmlns:c16r2="http://schemas.microsoft.com/office/drawing/2015/06/chart">
            <c:ext xmlns:c16="http://schemas.microsoft.com/office/drawing/2014/chart" uri="{C3380CC4-5D6E-409C-BE32-E72D297353CC}">
              <c16:uniqueId val="{00000002-A7F0-44CB-8B62-C55D7B049117}"/>
            </c:ext>
          </c:extLst>
        </c:ser>
        <c:ser>
          <c:idx val="3"/>
          <c:order val="3"/>
          <c:tx>
            <c:strRef>
              <c:f>'výkonnost odvětví 3'!$F$10</c:f>
              <c:strCache>
                <c:ptCount val="1"/>
                <c:pt idx="0">
                  <c:v>Nové zakázky ve stavebnictví celkem</c:v>
                </c:pt>
              </c:strCache>
            </c:strRef>
          </c:tx>
          <c:spPr>
            <a:ln w="19050">
              <a:solidFill>
                <a:srgbClr val="7DBB2D"/>
              </a:solidFill>
              <a:prstDash val="sysDash"/>
            </a:ln>
          </c:spPr>
          <c:marker>
            <c:symbol val="none"/>
          </c:marker>
          <c:cat>
            <c:multiLvlStrRef>
              <c:f>'výkonnost odvětví 3'!$A$11:$B$45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'výkonnost odvětví 3'!$F$11:$F$45</c:f>
              <c:numCache>
                <c:formatCode>0.0</c:formatCode>
                <c:ptCount val="35"/>
                <c:pt idx="0">
                  <c:v>0.82757088505651666</c:v>
                </c:pt>
                <c:pt idx="1">
                  <c:v>8.7687755178484537</c:v>
                </c:pt>
                <c:pt idx="2">
                  <c:v>30.894711890703729</c:v>
                </c:pt>
                <c:pt idx="3">
                  <c:v>-13.415413805192964</c:v>
                </c:pt>
                <c:pt idx="4">
                  <c:v>37.795405718063279</c:v>
                </c:pt>
                <c:pt idx="5">
                  <c:v>-23.565672566981071</c:v>
                </c:pt>
                <c:pt idx="6">
                  <c:v>-23.360716461156017</c:v>
                </c:pt>
                <c:pt idx="7">
                  <c:v>-9.1653963414634205</c:v>
                </c:pt>
                <c:pt idx="8">
                  <c:v>-46.322059646598035</c:v>
                </c:pt>
                <c:pt idx="9">
                  <c:v>-13.714800630772698</c:v>
                </c:pt>
                <c:pt idx="10">
                  <c:v>-7.6729748888363645</c:v>
                </c:pt>
                <c:pt idx="11">
                  <c:v>7.5624082232011753</c:v>
                </c:pt>
                <c:pt idx="12">
                  <c:v>-17.695687793252475</c:v>
                </c:pt>
                <c:pt idx="13">
                  <c:v>-1.584773641063137</c:v>
                </c:pt>
                <c:pt idx="14">
                  <c:v>-1.3308205951467045</c:v>
                </c:pt>
                <c:pt idx="15">
                  <c:v>16.153096050706978</c:v>
                </c:pt>
                <c:pt idx="16">
                  <c:v>67.509727626458783</c:v>
                </c:pt>
                <c:pt idx="17">
                  <c:v>18.978644382543994</c:v>
                </c:pt>
                <c:pt idx="18">
                  <c:v>34.050931384107542</c:v>
                </c:pt>
                <c:pt idx="19">
                  <c:v>-1</c:v>
                </c:pt>
                <c:pt idx="20">
                  <c:v>-3.1547956675580053</c:v>
                </c:pt>
                <c:pt idx="21">
                  <c:v>9.7504961091663684</c:v>
                </c:pt>
                <c:pt idx="22">
                  <c:v>-1.0976060227612561</c:v>
                </c:pt>
                <c:pt idx="23">
                  <c:v>-2.3987783410040464</c:v>
                </c:pt>
                <c:pt idx="24">
                  <c:v>-6.6406358945753805</c:v>
                </c:pt>
                <c:pt idx="25">
                  <c:v>-0.49977652269311085</c:v>
                </c:pt>
                <c:pt idx="26">
                  <c:v>-7.0322087253454839</c:v>
                </c:pt>
                <c:pt idx="27">
                  <c:v>10.122126124559955</c:v>
                </c:pt>
                <c:pt idx="28">
                  <c:v>16.177217458847526</c:v>
                </c:pt>
                <c:pt idx="29">
                  <c:v>9.5350878984013523</c:v>
                </c:pt>
                <c:pt idx="30">
                  <c:v>-1.2817324431350698</c:v>
                </c:pt>
                <c:pt idx="31">
                  <c:v>15.620806693503823</c:v>
                </c:pt>
                <c:pt idx="32">
                  <c:v>28.623225673729607</c:v>
                </c:pt>
                <c:pt idx="33">
                  <c:v>32.039070218278894</c:v>
                </c:pt>
                <c:pt idx="34">
                  <c:v>5.2962037090867025</c:v>
                </c:pt>
              </c:numCache>
            </c:numRef>
          </c:val>
          <c:extLst xmlns:c16r2="http://schemas.microsoft.com/office/drawing/2015/06/chart">
            <c:ext xmlns:c16="http://schemas.microsoft.com/office/drawing/2014/chart" uri="{C3380CC4-5D6E-409C-BE32-E72D297353CC}">
              <c16:uniqueId val="{00000003-A7F0-44CB-8B62-C55D7B049117}"/>
            </c:ext>
          </c:extLst>
        </c:ser>
        <c:ser>
          <c:idx val="4"/>
          <c:order val="4"/>
          <c:tx>
            <c:strRef>
              <c:f>'výkonnost odvětví 4'!$B$58</c:f>
              <c:strCache>
                <c:ptCount val="1"/>
                <c:pt idx="0">
                  <c:v>Saldo indik.důvěry ve vybr. službách (pr.osa)</c:v>
                </c:pt>
              </c:strCache>
            </c:strRef>
          </c:tx>
          <c:spPr>
            <a:ln w="19050">
              <a:noFill/>
              <a:prstDash val="solid"/>
            </a:ln>
          </c:spPr>
          <c:marker>
            <c:symbol val="dash"/>
            <c:size val="9"/>
            <c:spPr>
              <a:solidFill>
                <a:srgbClr val="984807"/>
              </a:solidFill>
              <a:ln>
                <a:noFill/>
              </a:ln>
            </c:spPr>
          </c:marker>
          <c:cat>
            <c:multiLvlStrRef>
              <c:f>'výkonnost odvětví 3'!$A$11:$B$45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'výkonnost odvětví 3'!$G$11:$G$45</c:f>
              <c:numCache>
                <c:formatCode>0.0</c:formatCode>
                <c:ptCount val="35"/>
                <c:pt idx="0">
                  <c:v>-32.166666666666409</c:v>
                </c:pt>
                <c:pt idx="1">
                  <c:v>-32.5</c:v>
                </c:pt>
                <c:pt idx="2">
                  <c:v>-37</c:v>
                </c:pt>
                <c:pt idx="3">
                  <c:v>-42.5</c:v>
                </c:pt>
                <c:pt idx="4">
                  <c:v>-40</c:v>
                </c:pt>
                <c:pt idx="5">
                  <c:v>-40.333333333333336</c:v>
                </c:pt>
                <c:pt idx="6">
                  <c:v>-39.166666666666409</c:v>
                </c:pt>
                <c:pt idx="7">
                  <c:v>-39.333333333333336</c:v>
                </c:pt>
                <c:pt idx="8">
                  <c:v>-46</c:v>
                </c:pt>
                <c:pt idx="9">
                  <c:v>-45.333333333333336</c:v>
                </c:pt>
                <c:pt idx="10">
                  <c:v>-43.5</c:v>
                </c:pt>
                <c:pt idx="11">
                  <c:v>-44.666666666666409</c:v>
                </c:pt>
                <c:pt idx="12">
                  <c:v>-46</c:v>
                </c:pt>
                <c:pt idx="13">
                  <c:v>-53.333333333333336</c:v>
                </c:pt>
                <c:pt idx="14">
                  <c:v>-49.5</c:v>
                </c:pt>
                <c:pt idx="15">
                  <c:v>-50.833333333333336</c:v>
                </c:pt>
                <c:pt idx="16">
                  <c:v>-45.166666666666409</c:v>
                </c:pt>
                <c:pt idx="17">
                  <c:v>-38.333333333333336</c:v>
                </c:pt>
                <c:pt idx="18">
                  <c:v>-32</c:v>
                </c:pt>
                <c:pt idx="19">
                  <c:v>-25.166666666666668</c:v>
                </c:pt>
                <c:pt idx="20">
                  <c:v>-20.833333333333211</c:v>
                </c:pt>
                <c:pt idx="21">
                  <c:v>-16.333333333333211</c:v>
                </c:pt>
                <c:pt idx="22">
                  <c:v>-18.666666666666668</c:v>
                </c:pt>
                <c:pt idx="23">
                  <c:v>-15.666666666666705</c:v>
                </c:pt>
                <c:pt idx="24">
                  <c:v>-17.166666666666668</c:v>
                </c:pt>
                <c:pt idx="25">
                  <c:v>-24</c:v>
                </c:pt>
                <c:pt idx="26">
                  <c:v>-26.666666666666668</c:v>
                </c:pt>
                <c:pt idx="27">
                  <c:v>-25.833333333333211</c:v>
                </c:pt>
                <c:pt idx="28">
                  <c:v>-24.5</c:v>
                </c:pt>
                <c:pt idx="29">
                  <c:v>-22.666666666666668</c:v>
                </c:pt>
                <c:pt idx="30">
                  <c:v>-19.833333333333211</c:v>
                </c:pt>
                <c:pt idx="31">
                  <c:v>-15.166666666666705</c:v>
                </c:pt>
                <c:pt idx="32">
                  <c:v>-9.6666666666666767</c:v>
                </c:pt>
                <c:pt idx="33">
                  <c:v>-5.666666666666667</c:v>
                </c:pt>
                <c:pt idx="34">
                  <c:v>-3.1666666666666665</c:v>
                </c:pt>
              </c:numCache>
            </c:numRef>
          </c:val>
          <c:extLst xmlns:c16r2="http://schemas.microsoft.com/office/drawing/2015/06/chart">
            <c:ext xmlns:c16="http://schemas.microsoft.com/office/drawing/2014/chart" uri="{C3380CC4-5D6E-409C-BE32-E72D297353CC}">
              <c16:uniqueId val="{00000004-A7F0-44CB-8B62-C55D7B049117}"/>
            </c:ext>
          </c:extLst>
        </c:ser>
        <c:marker val="1"/>
        <c:axId val="126378368"/>
        <c:axId val="126380288"/>
      </c:lineChart>
      <c:catAx>
        <c:axId val="12637836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6380288"/>
        <c:crossesAt val="0"/>
        <c:lblAlgn val="ctr"/>
        <c:lblOffset val="0"/>
        <c:tickLblSkip val="1"/>
        <c:tickMarkSkip val="4"/>
      </c:catAx>
      <c:valAx>
        <c:axId val="126380288"/>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6378368"/>
        <c:crosses val="autoZero"/>
        <c:crossBetween val="between"/>
        <c:majorUnit val="10"/>
      </c:valAx>
      <c:spPr>
        <a:solidFill>
          <a:srgbClr val="FFFFFF"/>
        </a:solidFill>
        <a:ln w="9525">
          <a:solidFill>
            <a:schemeClr val="tx1"/>
          </a:solidFill>
        </a:ln>
      </c:spPr>
    </c:plotArea>
    <c:legend>
      <c:legendPos val="b"/>
      <c:layout>
        <c:manualLayout>
          <c:xMode val="edge"/>
          <c:yMode val="edge"/>
          <c:x val="6.0104910389042733E-2"/>
          <c:y val="0.83786080153101461"/>
          <c:w val="0.92926297419604986"/>
          <c:h val="0.14782224473713884"/>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3337294494629933E-2"/>
          <c:y val="2.1718077717576709E-2"/>
          <c:w val="0.91372590696101663"/>
          <c:h val="0.725991032361056"/>
        </c:manualLayout>
      </c:layout>
      <c:barChart>
        <c:barDir val="col"/>
        <c:grouping val="clustered"/>
        <c:ser>
          <c:idx val="0"/>
          <c:order val="0"/>
          <c:tx>
            <c:strRef>
              <c:f>'výkonnost odvětví 4'!$B$51</c:f>
              <c:strCache>
                <c:ptCount val="1"/>
                <c:pt idx="0">
                  <c:v>Služby celkem</c:v>
                </c:pt>
              </c:strCache>
            </c:strRef>
          </c:tx>
          <c:spPr>
            <a:solidFill>
              <a:schemeClr val="bg1">
                <a:lumMod val="65000"/>
              </a:schemeClr>
            </a:solidFill>
          </c:spP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4'!$C$51:$AG$51</c:f>
              <c:numCache>
                <c:formatCode>##0.0</c:formatCode>
                <c:ptCount val="31"/>
                <c:pt idx="0">
                  <c:v>97.52438716999967</c:v>
                </c:pt>
                <c:pt idx="1">
                  <c:v>97.808977759999536</c:v>
                </c:pt>
                <c:pt idx="2">
                  <c:v>95.661178983300005</c:v>
                </c:pt>
                <c:pt idx="3">
                  <c:v>96.444285576699983</c:v>
                </c:pt>
                <c:pt idx="4">
                  <c:v>97.180872209999535</c:v>
                </c:pt>
                <c:pt idx="5">
                  <c:v>96.603815529999949</c:v>
                </c:pt>
                <c:pt idx="6">
                  <c:v>96.808917023299699</c:v>
                </c:pt>
                <c:pt idx="7">
                  <c:v>95.468823243299994</c:v>
                </c:pt>
                <c:pt idx="8">
                  <c:v>96.759004336699547</c:v>
                </c:pt>
                <c:pt idx="9">
                  <c:v>95.813450313299569</c:v>
                </c:pt>
                <c:pt idx="10">
                  <c:v>95.395745099999758</c:v>
                </c:pt>
                <c:pt idx="11">
                  <c:v>97.116506240000007</c:v>
                </c:pt>
                <c:pt idx="12">
                  <c:v>95.911863713299994</c:v>
                </c:pt>
                <c:pt idx="13">
                  <c:v>97.35501068329998</c:v>
                </c:pt>
                <c:pt idx="14">
                  <c:v>97.449551993300346</c:v>
                </c:pt>
                <c:pt idx="15">
                  <c:v>98.010406649999993</c:v>
                </c:pt>
                <c:pt idx="16">
                  <c:v>98.887587676699525</c:v>
                </c:pt>
                <c:pt idx="17">
                  <c:v>100.17384461330001</c:v>
                </c:pt>
                <c:pt idx="18">
                  <c:v>100.44897340330027</c:v>
                </c:pt>
                <c:pt idx="19">
                  <c:v>100.48959431670001</c:v>
                </c:pt>
                <c:pt idx="20">
                  <c:v>99.596912619999998</c:v>
                </c:pt>
                <c:pt idx="21">
                  <c:v>99.43109862000027</c:v>
                </c:pt>
                <c:pt idx="22">
                  <c:v>101.87421341000002</c:v>
                </c:pt>
                <c:pt idx="23">
                  <c:v>102.63949452670001</c:v>
                </c:pt>
                <c:pt idx="24">
                  <c:v>104.27122674669998</c:v>
                </c:pt>
                <c:pt idx="25">
                  <c:v>105.20118394329999</c:v>
                </c:pt>
                <c:pt idx="26">
                  <c:v>105.65847000999953</c:v>
                </c:pt>
                <c:pt idx="27">
                  <c:v>105.65955313000001</c:v>
                </c:pt>
                <c:pt idx="28">
                  <c:v>108.29062550330043</c:v>
                </c:pt>
                <c:pt idx="29">
                  <c:v>108.2277493133</c:v>
                </c:pt>
                <c:pt idx="30">
                  <c:v>108.76745769670002</c:v>
                </c:pt>
              </c:numCache>
            </c:numRef>
          </c:val>
          <c:extLst xmlns:c16r2="http://schemas.microsoft.com/office/drawing/2015/06/chart">
            <c:ext xmlns:c16="http://schemas.microsoft.com/office/drawing/2014/chart" uri="{C3380CC4-5D6E-409C-BE32-E72D297353CC}">
              <c16:uniqueId val="{00000000-CD58-40B5-AD2A-E758B92E30B1}"/>
            </c:ext>
          </c:extLst>
        </c:ser>
        <c:gapWidth val="31"/>
        <c:axId val="126582144"/>
        <c:axId val="126715392"/>
      </c:barChart>
      <c:lineChart>
        <c:grouping val="standard"/>
        <c:ser>
          <c:idx val="1"/>
          <c:order val="1"/>
          <c:tx>
            <c:strRef>
              <c:f>'výkonnost odvětví 4'!$B$52</c:f>
              <c:strCache>
                <c:ptCount val="1"/>
                <c:pt idx="0">
                  <c:v>Doprava a skladování</c:v>
                </c:pt>
              </c:strCache>
            </c:strRef>
          </c:tx>
          <c:spPr>
            <a:ln w="19050">
              <a:solidFill>
                <a:srgbClr val="BD1B21"/>
              </a:solidFill>
              <a:prstDash val="solid"/>
            </a:ln>
          </c:spPr>
          <c:marker>
            <c:symbol val="none"/>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4'!$C$52:$AG$52</c:f>
              <c:numCache>
                <c:formatCode>##0.0</c:formatCode>
                <c:ptCount val="31"/>
                <c:pt idx="0">
                  <c:v>92.199196003300003</c:v>
                </c:pt>
                <c:pt idx="1">
                  <c:v>92.21071858669967</c:v>
                </c:pt>
                <c:pt idx="2">
                  <c:v>91.413468510000001</c:v>
                </c:pt>
                <c:pt idx="3">
                  <c:v>92.902991023300004</c:v>
                </c:pt>
                <c:pt idx="4">
                  <c:v>92.788468656699536</c:v>
                </c:pt>
                <c:pt idx="5">
                  <c:v>93.980037889999949</c:v>
                </c:pt>
                <c:pt idx="6">
                  <c:v>94.611365449999994</c:v>
                </c:pt>
                <c:pt idx="7">
                  <c:v>91.233464889999993</c:v>
                </c:pt>
                <c:pt idx="8">
                  <c:v>95.677913790000005</c:v>
                </c:pt>
                <c:pt idx="9">
                  <c:v>96.7623394867</c:v>
                </c:pt>
                <c:pt idx="10">
                  <c:v>96.728895366699547</c:v>
                </c:pt>
                <c:pt idx="11">
                  <c:v>100.4145521067</c:v>
                </c:pt>
                <c:pt idx="12">
                  <c:v>98.878824203299729</c:v>
                </c:pt>
                <c:pt idx="13">
                  <c:v>99.329041236699354</c:v>
                </c:pt>
                <c:pt idx="14">
                  <c:v>100.20529218999998</c:v>
                </c:pt>
                <c:pt idx="15">
                  <c:v>100.2296388833</c:v>
                </c:pt>
                <c:pt idx="16">
                  <c:v>99.271054590000006</c:v>
                </c:pt>
                <c:pt idx="17">
                  <c:v>99.378200843299524</c:v>
                </c:pt>
                <c:pt idx="18">
                  <c:v>100.87247285999932</c:v>
                </c:pt>
                <c:pt idx="19">
                  <c:v>100.47827171329953</c:v>
                </c:pt>
                <c:pt idx="20">
                  <c:v>99.458882779999641</c:v>
                </c:pt>
                <c:pt idx="21">
                  <c:v>100.3771628933</c:v>
                </c:pt>
                <c:pt idx="22">
                  <c:v>101.4634469467</c:v>
                </c:pt>
                <c:pt idx="23">
                  <c:v>103.55813719669935</c:v>
                </c:pt>
                <c:pt idx="24">
                  <c:v>104.89195202329998</c:v>
                </c:pt>
                <c:pt idx="25">
                  <c:v>104.1256339867</c:v>
                </c:pt>
                <c:pt idx="26">
                  <c:v>105.39050368670027</c:v>
                </c:pt>
                <c:pt idx="27">
                  <c:v>106.04726956670046</c:v>
                </c:pt>
                <c:pt idx="28">
                  <c:v>110.5103767633</c:v>
                </c:pt>
                <c:pt idx="29">
                  <c:v>110.29707408330032</c:v>
                </c:pt>
                <c:pt idx="30">
                  <c:v>110.4878685867</c:v>
                </c:pt>
              </c:numCache>
            </c:numRef>
          </c:val>
          <c:extLst xmlns:c16r2="http://schemas.microsoft.com/office/drawing/2015/06/chart">
            <c:ext xmlns:c16="http://schemas.microsoft.com/office/drawing/2014/chart" uri="{C3380CC4-5D6E-409C-BE32-E72D297353CC}">
              <c16:uniqueId val="{00000001-CD58-40B5-AD2A-E758B92E30B1}"/>
            </c:ext>
          </c:extLst>
        </c:ser>
        <c:ser>
          <c:idx val="2"/>
          <c:order val="2"/>
          <c:tx>
            <c:strRef>
              <c:f>'výkonnost odvětví 4'!$B$53</c:f>
              <c:strCache>
                <c:ptCount val="1"/>
                <c:pt idx="0">
                  <c:v>Ubytování, stravování a pohostinství</c:v>
                </c:pt>
              </c:strCache>
            </c:strRef>
          </c:tx>
          <c:spPr>
            <a:ln w="19050">
              <a:solidFill>
                <a:srgbClr val="F8A124"/>
              </a:solidFill>
              <a:prstDash val="solid"/>
            </a:ln>
          </c:spPr>
          <c:marker>
            <c:symbol val="none"/>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4'!$C$53:$AG$53</c:f>
              <c:numCache>
                <c:formatCode>##0.0</c:formatCode>
                <c:ptCount val="31"/>
                <c:pt idx="0">
                  <c:v>96.032953383299983</c:v>
                </c:pt>
                <c:pt idx="1">
                  <c:v>96.364741773299656</c:v>
                </c:pt>
                <c:pt idx="2">
                  <c:v>94.880471886699354</c:v>
                </c:pt>
                <c:pt idx="3">
                  <c:v>94.376022873299547</c:v>
                </c:pt>
                <c:pt idx="4">
                  <c:v>93.54943637329967</c:v>
                </c:pt>
                <c:pt idx="5">
                  <c:v>93.175718459999487</c:v>
                </c:pt>
                <c:pt idx="6">
                  <c:v>92.874961226699554</c:v>
                </c:pt>
                <c:pt idx="7">
                  <c:v>92.56481985329998</c:v>
                </c:pt>
                <c:pt idx="8">
                  <c:v>93.531310280000127</c:v>
                </c:pt>
                <c:pt idx="9">
                  <c:v>93.169892616699386</c:v>
                </c:pt>
                <c:pt idx="10">
                  <c:v>93.799393366700002</c:v>
                </c:pt>
                <c:pt idx="11">
                  <c:v>92.591428653299999</c:v>
                </c:pt>
                <c:pt idx="12">
                  <c:v>93.386335243299641</c:v>
                </c:pt>
                <c:pt idx="13">
                  <c:v>93.561050173300004</c:v>
                </c:pt>
                <c:pt idx="14">
                  <c:v>94.137600123300004</c:v>
                </c:pt>
                <c:pt idx="15">
                  <c:v>97.003660370000006</c:v>
                </c:pt>
                <c:pt idx="16">
                  <c:v>97.483054123299979</c:v>
                </c:pt>
                <c:pt idx="17">
                  <c:v>100.0607042733</c:v>
                </c:pt>
                <c:pt idx="18">
                  <c:v>100.73991414000002</c:v>
                </c:pt>
                <c:pt idx="19">
                  <c:v>101.71632746000027</c:v>
                </c:pt>
                <c:pt idx="20">
                  <c:v>102.84325577000027</c:v>
                </c:pt>
                <c:pt idx="21">
                  <c:v>103.65975306</c:v>
                </c:pt>
                <c:pt idx="22">
                  <c:v>107.8981423332995</c:v>
                </c:pt>
                <c:pt idx="23">
                  <c:v>110.40510438000022</c:v>
                </c:pt>
                <c:pt idx="24">
                  <c:v>113.82963784669944</c:v>
                </c:pt>
                <c:pt idx="25">
                  <c:v>116.64217695669947</c:v>
                </c:pt>
                <c:pt idx="26">
                  <c:v>116.50182459330027</c:v>
                </c:pt>
                <c:pt idx="27">
                  <c:v>117.2054602133</c:v>
                </c:pt>
                <c:pt idx="28">
                  <c:v>117.3600025933</c:v>
                </c:pt>
                <c:pt idx="29">
                  <c:v>117.40915467000045</c:v>
                </c:pt>
                <c:pt idx="30">
                  <c:v>117.9793041033</c:v>
                </c:pt>
              </c:numCache>
            </c:numRef>
          </c:val>
          <c:extLst xmlns:c16r2="http://schemas.microsoft.com/office/drawing/2015/06/chart">
            <c:ext xmlns:c16="http://schemas.microsoft.com/office/drawing/2014/chart" uri="{C3380CC4-5D6E-409C-BE32-E72D297353CC}">
              <c16:uniqueId val="{00000002-CD58-40B5-AD2A-E758B92E30B1}"/>
            </c:ext>
          </c:extLst>
        </c:ser>
        <c:ser>
          <c:idx val="3"/>
          <c:order val="3"/>
          <c:tx>
            <c:strRef>
              <c:f>'výkonnost odvětví 4'!$B$54</c:f>
              <c:strCache>
                <c:ptCount val="1"/>
                <c:pt idx="0">
                  <c:v>Informační a komunikační činnosti</c:v>
                </c:pt>
              </c:strCache>
            </c:strRef>
          </c:tx>
          <c:spPr>
            <a:ln w="19050">
              <a:solidFill>
                <a:srgbClr val="48AEE7"/>
              </a:solidFill>
            </a:ln>
          </c:spPr>
          <c:marker>
            <c:symbol val="none"/>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4'!$C$54:$AG$54</c:f>
              <c:numCache>
                <c:formatCode>##0.0</c:formatCode>
                <c:ptCount val="31"/>
                <c:pt idx="0">
                  <c:v>94.184159910000005</c:v>
                </c:pt>
                <c:pt idx="1">
                  <c:v>93.762291143300004</c:v>
                </c:pt>
                <c:pt idx="2">
                  <c:v>93.175373743299517</c:v>
                </c:pt>
                <c:pt idx="3">
                  <c:v>93.571281126699546</c:v>
                </c:pt>
                <c:pt idx="4">
                  <c:v>94.538750529999959</c:v>
                </c:pt>
                <c:pt idx="5">
                  <c:v>93.771314556699537</c:v>
                </c:pt>
                <c:pt idx="6">
                  <c:v>94.702239596699656</c:v>
                </c:pt>
                <c:pt idx="7">
                  <c:v>93.108962956699401</c:v>
                </c:pt>
                <c:pt idx="8">
                  <c:v>92.7406808267</c:v>
                </c:pt>
                <c:pt idx="9">
                  <c:v>94.070243966700005</c:v>
                </c:pt>
                <c:pt idx="10">
                  <c:v>92.961210916699983</c:v>
                </c:pt>
                <c:pt idx="11">
                  <c:v>93.253250726700003</c:v>
                </c:pt>
                <c:pt idx="12">
                  <c:v>92.680975536699279</c:v>
                </c:pt>
                <c:pt idx="13">
                  <c:v>94.825018029999598</c:v>
                </c:pt>
                <c:pt idx="14">
                  <c:v>95.11007519999967</c:v>
                </c:pt>
                <c:pt idx="15">
                  <c:v>96.0961471366994</c:v>
                </c:pt>
                <c:pt idx="16">
                  <c:v>98.836975196699356</c:v>
                </c:pt>
                <c:pt idx="17">
                  <c:v>99.133871039999548</c:v>
                </c:pt>
                <c:pt idx="18">
                  <c:v>99.599211556699714</c:v>
                </c:pt>
                <c:pt idx="19">
                  <c:v>102.42994220999998</c:v>
                </c:pt>
                <c:pt idx="20">
                  <c:v>100.80094099</c:v>
                </c:pt>
                <c:pt idx="21">
                  <c:v>99.619054833299714</c:v>
                </c:pt>
                <c:pt idx="22">
                  <c:v>101.48996259330002</c:v>
                </c:pt>
                <c:pt idx="23">
                  <c:v>103.09628406669998</c:v>
                </c:pt>
                <c:pt idx="24">
                  <c:v>103.6136665467</c:v>
                </c:pt>
                <c:pt idx="25">
                  <c:v>105.76029986670002</c:v>
                </c:pt>
                <c:pt idx="26">
                  <c:v>105.7039528533</c:v>
                </c:pt>
                <c:pt idx="27">
                  <c:v>106.43055969330049</c:v>
                </c:pt>
                <c:pt idx="28">
                  <c:v>110.28407402329998</c:v>
                </c:pt>
                <c:pt idx="29">
                  <c:v>109.58785014</c:v>
                </c:pt>
                <c:pt idx="30">
                  <c:v>112.46224276000002</c:v>
                </c:pt>
              </c:numCache>
            </c:numRef>
          </c:val>
          <c:extLst xmlns:c16r2="http://schemas.microsoft.com/office/drawing/2015/06/chart">
            <c:ext xmlns:c16="http://schemas.microsoft.com/office/drawing/2014/chart" uri="{C3380CC4-5D6E-409C-BE32-E72D297353CC}">
              <c16:uniqueId val="{00000003-CD58-40B5-AD2A-E758B92E30B1}"/>
            </c:ext>
          </c:extLst>
        </c:ser>
        <c:ser>
          <c:idx val="4"/>
          <c:order val="4"/>
          <c:tx>
            <c:strRef>
              <c:f>'výkonnost odvětví 4'!$B$55</c:f>
              <c:strCache>
                <c:ptCount val="1"/>
                <c:pt idx="0">
                  <c:v>Činnosti v oblasti nemovitostí</c:v>
                </c:pt>
              </c:strCache>
            </c:strRef>
          </c:tx>
          <c:spPr>
            <a:ln w="19050">
              <a:solidFill>
                <a:srgbClr val="7DBB2D"/>
              </a:solidFill>
            </a:ln>
          </c:spPr>
          <c:marker>
            <c:symbol val="none"/>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4'!$C$55:$AG$55</c:f>
              <c:numCache>
                <c:formatCode>##0.0</c:formatCode>
                <c:ptCount val="31"/>
                <c:pt idx="0">
                  <c:v>109.78245018</c:v>
                </c:pt>
                <c:pt idx="1">
                  <c:v>108.15350727329964</c:v>
                </c:pt>
                <c:pt idx="2">
                  <c:v>106.95039860670001</c:v>
                </c:pt>
                <c:pt idx="3">
                  <c:v>105.5320158233</c:v>
                </c:pt>
                <c:pt idx="4">
                  <c:v>103.7645429067</c:v>
                </c:pt>
                <c:pt idx="5">
                  <c:v>102.96754826000027</c:v>
                </c:pt>
                <c:pt idx="6">
                  <c:v>101.1073144567</c:v>
                </c:pt>
                <c:pt idx="7">
                  <c:v>102.1358298433</c:v>
                </c:pt>
                <c:pt idx="8">
                  <c:v>101.82858099669947</c:v>
                </c:pt>
                <c:pt idx="9">
                  <c:v>99.760008943299979</c:v>
                </c:pt>
                <c:pt idx="10">
                  <c:v>100.22850104669953</c:v>
                </c:pt>
                <c:pt idx="11">
                  <c:v>99.094817919999983</c:v>
                </c:pt>
                <c:pt idx="12">
                  <c:v>98.874820080000006</c:v>
                </c:pt>
                <c:pt idx="13">
                  <c:v>99.987606170000007</c:v>
                </c:pt>
                <c:pt idx="14">
                  <c:v>99.879496389999858</c:v>
                </c:pt>
                <c:pt idx="15">
                  <c:v>99.159881119999355</c:v>
                </c:pt>
                <c:pt idx="16">
                  <c:v>99.197738453299536</c:v>
                </c:pt>
                <c:pt idx="17">
                  <c:v>99.822349263299699</c:v>
                </c:pt>
                <c:pt idx="18">
                  <c:v>100.32267680669932</c:v>
                </c:pt>
                <c:pt idx="19">
                  <c:v>100.65723547330002</c:v>
                </c:pt>
                <c:pt idx="20">
                  <c:v>100.5186256133003</c:v>
                </c:pt>
                <c:pt idx="21">
                  <c:v>100.3192356367</c:v>
                </c:pt>
                <c:pt idx="22">
                  <c:v>101.74836116</c:v>
                </c:pt>
                <c:pt idx="23">
                  <c:v>101.0793899066995</c:v>
                </c:pt>
                <c:pt idx="24">
                  <c:v>103.02063072</c:v>
                </c:pt>
                <c:pt idx="25">
                  <c:v>103.2673367533</c:v>
                </c:pt>
                <c:pt idx="26">
                  <c:v>102.35031558</c:v>
                </c:pt>
                <c:pt idx="27">
                  <c:v>102.47694823669947</c:v>
                </c:pt>
                <c:pt idx="28">
                  <c:v>102.14060110669953</c:v>
                </c:pt>
                <c:pt idx="29">
                  <c:v>101.95882680669953</c:v>
                </c:pt>
                <c:pt idx="30">
                  <c:v>101.41662787999999</c:v>
                </c:pt>
              </c:numCache>
            </c:numRef>
          </c:val>
          <c:extLst xmlns:c16r2="http://schemas.microsoft.com/office/drawing/2015/06/chart">
            <c:ext xmlns:c16="http://schemas.microsoft.com/office/drawing/2014/chart" uri="{C3380CC4-5D6E-409C-BE32-E72D297353CC}">
              <c16:uniqueId val="{00000004-CD58-40B5-AD2A-E758B92E30B1}"/>
            </c:ext>
          </c:extLst>
        </c:ser>
        <c:ser>
          <c:idx val="5"/>
          <c:order val="5"/>
          <c:tx>
            <c:strRef>
              <c:f>'výkonnost odvětví 4'!$B$56</c:f>
              <c:strCache>
                <c:ptCount val="1"/>
                <c:pt idx="0">
                  <c:v>Profesní, vědecké a technické činnosti</c:v>
                </c:pt>
              </c:strCache>
            </c:strRef>
          </c:tx>
          <c:spPr>
            <a:ln w="19050">
              <a:solidFill>
                <a:srgbClr val="0071BC"/>
              </a:solidFill>
            </a:ln>
          </c:spPr>
          <c:marker>
            <c:symbol val="none"/>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4'!$C$56:$AG$56</c:f>
              <c:numCache>
                <c:formatCode>##0.0</c:formatCode>
                <c:ptCount val="31"/>
                <c:pt idx="0">
                  <c:v>111.10653365669967</c:v>
                </c:pt>
                <c:pt idx="1">
                  <c:v>112.22643161000001</c:v>
                </c:pt>
                <c:pt idx="2">
                  <c:v>101.51024174330027</c:v>
                </c:pt>
                <c:pt idx="3">
                  <c:v>104.61548807669938</c:v>
                </c:pt>
                <c:pt idx="4">
                  <c:v>108.44130821</c:v>
                </c:pt>
                <c:pt idx="5">
                  <c:v>106.09409359330027</c:v>
                </c:pt>
                <c:pt idx="6">
                  <c:v>104.37589122999964</c:v>
                </c:pt>
                <c:pt idx="7">
                  <c:v>103.80891251669938</c:v>
                </c:pt>
                <c:pt idx="8">
                  <c:v>102.18948138330001</c:v>
                </c:pt>
                <c:pt idx="9">
                  <c:v>98.359594990000005</c:v>
                </c:pt>
                <c:pt idx="10">
                  <c:v>95.430096759999998</c:v>
                </c:pt>
                <c:pt idx="11">
                  <c:v>98.422146103299539</c:v>
                </c:pt>
                <c:pt idx="12">
                  <c:v>95.353874159999535</c:v>
                </c:pt>
                <c:pt idx="13">
                  <c:v>97.392315776699547</c:v>
                </c:pt>
                <c:pt idx="14">
                  <c:v>97.656247929999978</c:v>
                </c:pt>
                <c:pt idx="15">
                  <c:v>97.377308759999536</c:v>
                </c:pt>
                <c:pt idx="16">
                  <c:v>99.736654799999997</c:v>
                </c:pt>
                <c:pt idx="17">
                  <c:v>101.29295796330022</c:v>
                </c:pt>
                <c:pt idx="18">
                  <c:v>100.2633669067</c:v>
                </c:pt>
                <c:pt idx="19">
                  <c:v>98.70702033329998</c:v>
                </c:pt>
                <c:pt idx="20">
                  <c:v>97.575635489999982</c:v>
                </c:pt>
                <c:pt idx="21">
                  <c:v>96.204544993300331</c:v>
                </c:pt>
                <c:pt idx="22">
                  <c:v>98.789855129999978</c:v>
                </c:pt>
                <c:pt idx="23">
                  <c:v>98.388707689999919</c:v>
                </c:pt>
                <c:pt idx="24">
                  <c:v>99.417916833299998</c:v>
                </c:pt>
                <c:pt idx="25">
                  <c:v>100.0629603133</c:v>
                </c:pt>
                <c:pt idx="26">
                  <c:v>100.66396656329998</c:v>
                </c:pt>
                <c:pt idx="27">
                  <c:v>100.70434208</c:v>
                </c:pt>
                <c:pt idx="28">
                  <c:v>101.7407313833</c:v>
                </c:pt>
                <c:pt idx="29">
                  <c:v>101.12359403000001</c:v>
                </c:pt>
                <c:pt idx="30">
                  <c:v>100.83531763329964</c:v>
                </c:pt>
              </c:numCache>
            </c:numRef>
          </c:val>
          <c:extLst xmlns:c16r2="http://schemas.microsoft.com/office/drawing/2015/06/chart">
            <c:ext xmlns:c16="http://schemas.microsoft.com/office/drawing/2014/chart" uri="{C3380CC4-5D6E-409C-BE32-E72D297353CC}">
              <c16:uniqueId val="{00000005-CD58-40B5-AD2A-E758B92E30B1}"/>
            </c:ext>
          </c:extLst>
        </c:ser>
        <c:ser>
          <c:idx val="6"/>
          <c:order val="6"/>
          <c:tx>
            <c:strRef>
              <c:f>'výkonnost odvětví 4'!$B$57</c:f>
              <c:strCache>
                <c:ptCount val="1"/>
                <c:pt idx="0">
                  <c:v>Administrativní a podpůrné činnosti</c:v>
                </c:pt>
              </c:strCache>
            </c:strRef>
          </c:tx>
          <c:spPr>
            <a:ln w="19050">
              <a:solidFill>
                <a:srgbClr val="808080"/>
              </a:solidFill>
            </a:ln>
          </c:spPr>
          <c:marker>
            <c:symbol val="none"/>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4'!$C$57:$AG$57</c:f>
              <c:numCache>
                <c:formatCode>##0.0</c:formatCode>
                <c:ptCount val="31"/>
                <c:pt idx="0">
                  <c:v>88.52385194</c:v>
                </c:pt>
                <c:pt idx="1">
                  <c:v>89.81933969329998</c:v>
                </c:pt>
                <c:pt idx="2">
                  <c:v>90.138377376699069</c:v>
                </c:pt>
                <c:pt idx="3">
                  <c:v>91.544595619999996</c:v>
                </c:pt>
                <c:pt idx="4">
                  <c:v>92.469594343300329</c:v>
                </c:pt>
                <c:pt idx="5">
                  <c:v>91.787595690000344</c:v>
                </c:pt>
                <c:pt idx="6">
                  <c:v>92.76685942330036</c:v>
                </c:pt>
                <c:pt idx="7">
                  <c:v>90.957217203300345</c:v>
                </c:pt>
                <c:pt idx="8">
                  <c:v>92.966546293299999</c:v>
                </c:pt>
                <c:pt idx="9">
                  <c:v>92.150237789999949</c:v>
                </c:pt>
                <c:pt idx="10">
                  <c:v>92.992247840000005</c:v>
                </c:pt>
                <c:pt idx="11">
                  <c:v>93.65769649329998</c:v>
                </c:pt>
                <c:pt idx="12">
                  <c:v>93.328295316699354</c:v>
                </c:pt>
                <c:pt idx="13">
                  <c:v>95.605061893299535</c:v>
                </c:pt>
                <c:pt idx="14">
                  <c:v>96.372225433300002</c:v>
                </c:pt>
                <c:pt idx="15">
                  <c:v>97.500607406699729</c:v>
                </c:pt>
                <c:pt idx="16">
                  <c:v>98.023334823299535</c:v>
                </c:pt>
                <c:pt idx="17">
                  <c:v>100.0150064533</c:v>
                </c:pt>
                <c:pt idx="18">
                  <c:v>100.51789901330002</c:v>
                </c:pt>
                <c:pt idx="19">
                  <c:v>101.44375970670002</c:v>
                </c:pt>
                <c:pt idx="20">
                  <c:v>101.16501263329967</c:v>
                </c:pt>
                <c:pt idx="21">
                  <c:v>101.90611103000002</c:v>
                </c:pt>
                <c:pt idx="22">
                  <c:v>104.25402626330039</c:v>
                </c:pt>
                <c:pt idx="23">
                  <c:v>106.88254410330001</c:v>
                </c:pt>
                <c:pt idx="24">
                  <c:v>109.36198511669947</c:v>
                </c:pt>
                <c:pt idx="25">
                  <c:v>110.50166766000046</c:v>
                </c:pt>
                <c:pt idx="26">
                  <c:v>110.86304917</c:v>
                </c:pt>
                <c:pt idx="27">
                  <c:v>110.81762986330054</c:v>
                </c:pt>
                <c:pt idx="28">
                  <c:v>112.36649746330002</c:v>
                </c:pt>
                <c:pt idx="29">
                  <c:v>113.6956220533</c:v>
                </c:pt>
                <c:pt idx="30">
                  <c:v>114.63272901000001</c:v>
                </c:pt>
              </c:numCache>
            </c:numRef>
          </c:val>
          <c:extLst xmlns:c16r2="http://schemas.microsoft.com/office/drawing/2015/06/chart">
            <c:ext xmlns:c16="http://schemas.microsoft.com/office/drawing/2014/chart" uri="{C3380CC4-5D6E-409C-BE32-E72D297353CC}">
              <c16:uniqueId val="{00000006-CD58-40B5-AD2A-E758B92E30B1}"/>
            </c:ext>
          </c:extLst>
        </c:ser>
        <c:marker val="1"/>
        <c:axId val="126582144"/>
        <c:axId val="126715392"/>
      </c:lineChart>
      <c:lineChart>
        <c:grouping val="standard"/>
        <c:ser>
          <c:idx val="7"/>
          <c:order val="7"/>
          <c:tx>
            <c:strRef>
              <c:f>'výkonnost odvětví 4'!$B$58</c:f>
              <c:strCache>
                <c:ptCount val="1"/>
                <c:pt idx="0">
                  <c:v>Saldo indik.důvěry ve vybr. službách (pr.osa)</c:v>
                </c:pt>
              </c:strCache>
            </c:strRef>
          </c:tx>
          <c:spPr>
            <a:ln>
              <a:noFill/>
            </a:ln>
          </c:spPr>
          <c:marker>
            <c:symbol val="diamond"/>
            <c:size val="5"/>
            <c:spPr>
              <a:solidFill>
                <a:srgbClr val="FFFF00"/>
              </a:solidFill>
              <a:ln>
                <a:solidFill>
                  <a:schemeClr val="tx1">
                    <a:lumMod val="95000"/>
                    <a:lumOff val="5000"/>
                  </a:schemeClr>
                </a:solidFill>
              </a:ln>
            </c:spPr>
          </c:marker>
          <c:cat>
            <c:multiLvlStrRef>
              <c:f>'výkonnost odvětví 4'!$C$49:$AG$50</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4'!$C$58:$AG$58</c:f>
              <c:numCache>
                <c:formatCode>0.0</c:formatCode>
                <c:ptCount val="31"/>
                <c:pt idx="0">
                  <c:v>26.766666666666666</c:v>
                </c:pt>
                <c:pt idx="1">
                  <c:v>28.566666666666666</c:v>
                </c:pt>
                <c:pt idx="2">
                  <c:v>26.766666666666666</c:v>
                </c:pt>
                <c:pt idx="3">
                  <c:v>23.2</c:v>
                </c:pt>
                <c:pt idx="4">
                  <c:v>26.333333333333211</c:v>
                </c:pt>
                <c:pt idx="5">
                  <c:v>25.666666666666668</c:v>
                </c:pt>
                <c:pt idx="6">
                  <c:v>23.866666666666664</c:v>
                </c:pt>
                <c:pt idx="7">
                  <c:v>23.3</c:v>
                </c:pt>
                <c:pt idx="8">
                  <c:v>23.666666666666668</c:v>
                </c:pt>
                <c:pt idx="9">
                  <c:v>22.233333333333189</c:v>
                </c:pt>
                <c:pt idx="10">
                  <c:v>22.366666666666664</c:v>
                </c:pt>
                <c:pt idx="11">
                  <c:v>26.333333333333211</c:v>
                </c:pt>
                <c:pt idx="12">
                  <c:v>26.900000000000002</c:v>
                </c:pt>
                <c:pt idx="13">
                  <c:v>26.666666666666668</c:v>
                </c:pt>
                <c:pt idx="14">
                  <c:v>29.233333333333189</c:v>
                </c:pt>
                <c:pt idx="15">
                  <c:v>31.666666666666668</c:v>
                </c:pt>
                <c:pt idx="16">
                  <c:v>29.466666666666669</c:v>
                </c:pt>
                <c:pt idx="17">
                  <c:v>29.133333333333237</c:v>
                </c:pt>
                <c:pt idx="18">
                  <c:v>30.633333333333237</c:v>
                </c:pt>
                <c:pt idx="19">
                  <c:v>32.466666666666342</c:v>
                </c:pt>
                <c:pt idx="20">
                  <c:v>33.566666666666386</c:v>
                </c:pt>
                <c:pt idx="21">
                  <c:v>32.43333333333333</c:v>
                </c:pt>
                <c:pt idx="22">
                  <c:v>33.666666666666409</c:v>
                </c:pt>
                <c:pt idx="23">
                  <c:v>36.700000000000003</c:v>
                </c:pt>
                <c:pt idx="24">
                  <c:v>35.300000000000004</c:v>
                </c:pt>
                <c:pt idx="25">
                  <c:v>37.366666666666326</c:v>
                </c:pt>
                <c:pt idx="26">
                  <c:v>37.533333333333331</c:v>
                </c:pt>
                <c:pt idx="27">
                  <c:v>35.9</c:v>
                </c:pt>
                <c:pt idx="28">
                  <c:v>37.20000000000001</c:v>
                </c:pt>
                <c:pt idx="29">
                  <c:v>37.566666666666386</c:v>
                </c:pt>
                <c:pt idx="30">
                  <c:v>38.1</c:v>
                </c:pt>
              </c:numCache>
            </c:numRef>
          </c:val>
          <c:extLst xmlns:c16r2="http://schemas.microsoft.com/office/drawing/2015/06/chart">
            <c:ext xmlns:c16="http://schemas.microsoft.com/office/drawing/2014/chart" uri="{C3380CC4-5D6E-409C-BE32-E72D297353CC}">
              <c16:uniqueId val="{00000007-CD58-40B5-AD2A-E758B92E30B1}"/>
            </c:ext>
          </c:extLst>
        </c:ser>
        <c:marker val="1"/>
        <c:axId val="126726912"/>
        <c:axId val="126716928"/>
      </c:lineChart>
      <c:catAx>
        <c:axId val="126582144"/>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6715392"/>
        <c:crossesAt val="100"/>
        <c:lblAlgn val="ctr"/>
        <c:lblOffset val="0"/>
        <c:tickLblSkip val="1"/>
        <c:tickMarkSkip val="4"/>
      </c:catAx>
      <c:valAx>
        <c:axId val="126715392"/>
        <c:scaling>
          <c:orientation val="minMax"/>
          <c:max val="120"/>
          <c:min val="8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6582144"/>
        <c:crosses val="autoZero"/>
        <c:crossBetween val="between"/>
        <c:majorUnit val="5"/>
      </c:valAx>
      <c:valAx>
        <c:axId val="126716928"/>
        <c:scaling>
          <c:orientation val="minMax"/>
          <c:max val="40"/>
          <c:min val="0"/>
        </c:scaling>
        <c:axPos val="r"/>
        <c:numFmt formatCode="0" sourceLinked="0"/>
        <c:tickLblPos val="nextTo"/>
        <c:crossAx val="126726912"/>
        <c:crosses val="max"/>
        <c:crossBetween val="between"/>
      </c:valAx>
      <c:catAx>
        <c:axId val="126726912"/>
        <c:scaling>
          <c:orientation val="minMax"/>
        </c:scaling>
        <c:delete val="1"/>
        <c:axPos val="b"/>
        <c:numFmt formatCode="General" sourceLinked="1"/>
        <c:tickLblPos val="none"/>
        <c:crossAx val="126716928"/>
        <c:crosses val="autoZero"/>
        <c:auto val="1"/>
        <c:lblAlgn val="ctr"/>
        <c:lblOffset val="100"/>
      </c:catAx>
      <c:spPr>
        <a:solidFill>
          <a:srgbClr val="FFFFFF"/>
        </a:solidFill>
        <a:ln w="9525">
          <a:solidFill>
            <a:schemeClr val="tx1"/>
          </a:solidFill>
        </a:ln>
      </c:spPr>
    </c:plotArea>
    <c:legend>
      <c:legendPos val="b"/>
      <c:layout>
        <c:manualLayout>
          <c:xMode val="edge"/>
          <c:yMode val="edge"/>
          <c:x val="1.0671156909393756E-2"/>
          <c:y val="0.86232190601657976"/>
          <c:w val="0.97812867614926191"/>
          <c:h val="0.13393680940894773"/>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337294494629933E-2"/>
          <c:y val="2.1873600091567656E-2"/>
          <c:w val="0.91372590696101663"/>
          <c:h val="0.72182682958253064"/>
        </c:manualLayout>
      </c:layout>
      <c:barChart>
        <c:barDir val="col"/>
        <c:grouping val="clustered"/>
        <c:ser>
          <c:idx val="0"/>
          <c:order val="0"/>
          <c:tx>
            <c:strRef>
              <c:f>'výkonnost odvětví 5'!$C$10</c:f>
              <c:strCache>
                <c:ptCount val="1"/>
                <c:pt idx="0">
                  <c:v>Maloobchod (bez motor. segmentu)</c:v>
                </c:pt>
              </c:strCache>
            </c:strRef>
          </c:tx>
          <c:spPr>
            <a:solidFill>
              <a:schemeClr val="bg1">
                <a:lumMod val="65000"/>
              </a:schemeClr>
            </a:solidFill>
            <a:ln w="12700">
              <a:noFill/>
              <a:prstDash val="solid"/>
            </a:ln>
          </c:spPr>
          <c:cat>
            <c:multiLvlStrRef>
              <c:f>'výkonnost odvětví 5'!$A$11:$B$41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5'!$C$11:$C$41</c:f>
              <c:numCache>
                <c:formatCode>0.0</c:formatCode>
                <c:ptCount val="31"/>
                <c:pt idx="0">
                  <c:v>1.8</c:v>
                </c:pt>
                <c:pt idx="1">
                  <c:v>0.9</c:v>
                </c:pt>
                <c:pt idx="2">
                  <c:v>-1.1000000000000001</c:v>
                </c:pt>
                <c:pt idx="3">
                  <c:v>0</c:v>
                </c:pt>
                <c:pt idx="4">
                  <c:v>-1</c:v>
                </c:pt>
                <c:pt idx="5">
                  <c:v>-1.1000000000000001</c:v>
                </c:pt>
                <c:pt idx="6">
                  <c:v>-0.30000000000000032</c:v>
                </c:pt>
                <c:pt idx="7">
                  <c:v>-1</c:v>
                </c:pt>
                <c:pt idx="8">
                  <c:v>0.4</c:v>
                </c:pt>
                <c:pt idx="9">
                  <c:v>-0.70000000000000062</c:v>
                </c:pt>
                <c:pt idx="10">
                  <c:v>-0.5</c:v>
                </c:pt>
                <c:pt idx="11">
                  <c:v>1.3</c:v>
                </c:pt>
                <c:pt idx="12">
                  <c:v>1.2</c:v>
                </c:pt>
                <c:pt idx="13">
                  <c:v>2.2999999999999998</c:v>
                </c:pt>
                <c:pt idx="14">
                  <c:v>2.6</c:v>
                </c:pt>
                <c:pt idx="15">
                  <c:v>4.9000000000000004</c:v>
                </c:pt>
                <c:pt idx="16">
                  <c:v>5.9</c:v>
                </c:pt>
                <c:pt idx="17">
                  <c:v>5.5</c:v>
                </c:pt>
                <c:pt idx="18">
                  <c:v>5.5</c:v>
                </c:pt>
                <c:pt idx="19">
                  <c:v>6</c:v>
                </c:pt>
                <c:pt idx="20">
                  <c:v>5.2</c:v>
                </c:pt>
                <c:pt idx="21">
                  <c:v>5.2</c:v>
                </c:pt>
                <c:pt idx="22">
                  <c:v>4.8</c:v>
                </c:pt>
                <c:pt idx="23">
                  <c:v>4.0999999999999996</c:v>
                </c:pt>
                <c:pt idx="24">
                  <c:v>5.4</c:v>
                </c:pt>
                <c:pt idx="25">
                  <c:v>6.3</c:v>
                </c:pt>
                <c:pt idx="26">
                  <c:v>6</c:v>
                </c:pt>
                <c:pt idx="27">
                  <c:v>6.1</c:v>
                </c:pt>
                <c:pt idx="28">
                  <c:v>6.3</c:v>
                </c:pt>
                <c:pt idx="29">
                  <c:v>4.5</c:v>
                </c:pt>
                <c:pt idx="30">
                  <c:v>3.7</c:v>
                </c:pt>
              </c:numCache>
            </c:numRef>
          </c:val>
        </c:ser>
        <c:gapWidth val="31"/>
        <c:axId val="127992960"/>
        <c:axId val="127994880"/>
      </c:barChart>
      <c:lineChart>
        <c:grouping val="standard"/>
        <c:ser>
          <c:idx val="1"/>
          <c:order val="1"/>
          <c:tx>
            <c:strRef>
              <c:f>'výkonnost odvětví 5'!$D$10</c:f>
              <c:strCache>
                <c:ptCount val="1"/>
                <c:pt idx="0">
                  <c:v>Maloobchod s potravinami celkem </c:v>
                </c:pt>
              </c:strCache>
            </c:strRef>
          </c:tx>
          <c:spPr>
            <a:ln w="19050">
              <a:solidFill>
                <a:srgbClr val="0071BC"/>
              </a:solidFill>
              <a:prstDash val="solid"/>
            </a:ln>
          </c:spPr>
          <c:marker>
            <c:symbol val="none"/>
          </c:marker>
          <c:cat>
            <c:multiLvlStrRef>
              <c:f>'výkonnost odvětví 5'!$A$11:$B$41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5'!$D$11:$D$41</c:f>
              <c:numCache>
                <c:formatCode>0.0</c:formatCode>
                <c:ptCount val="31"/>
                <c:pt idx="0">
                  <c:v>1</c:v>
                </c:pt>
                <c:pt idx="1">
                  <c:v>-0.70000000000000062</c:v>
                </c:pt>
                <c:pt idx="2">
                  <c:v>-2.2000000000000002</c:v>
                </c:pt>
                <c:pt idx="3">
                  <c:v>-2.6</c:v>
                </c:pt>
                <c:pt idx="4">
                  <c:v>-4.2</c:v>
                </c:pt>
                <c:pt idx="5">
                  <c:v>-2.6</c:v>
                </c:pt>
                <c:pt idx="6">
                  <c:v>-1.7</c:v>
                </c:pt>
                <c:pt idx="7">
                  <c:v>-2</c:v>
                </c:pt>
                <c:pt idx="8">
                  <c:v>-1</c:v>
                </c:pt>
                <c:pt idx="9">
                  <c:v>-2</c:v>
                </c:pt>
                <c:pt idx="10">
                  <c:v>-0.60000000000000064</c:v>
                </c:pt>
                <c:pt idx="11">
                  <c:v>-0.2</c:v>
                </c:pt>
                <c:pt idx="12">
                  <c:v>-0.70000000000000062</c:v>
                </c:pt>
                <c:pt idx="13">
                  <c:v>2.6</c:v>
                </c:pt>
                <c:pt idx="14">
                  <c:v>-0.2</c:v>
                </c:pt>
                <c:pt idx="15">
                  <c:v>2.8</c:v>
                </c:pt>
                <c:pt idx="16">
                  <c:v>4.5999999999999996</c:v>
                </c:pt>
                <c:pt idx="17">
                  <c:v>3</c:v>
                </c:pt>
                <c:pt idx="18">
                  <c:v>4.9000000000000004</c:v>
                </c:pt>
                <c:pt idx="19">
                  <c:v>4</c:v>
                </c:pt>
                <c:pt idx="20">
                  <c:v>4.7</c:v>
                </c:pt>
                <c:pt idx="21">
                  <c:v>3.8</c:v>
                </c:pt>
                <c:pt idx="22">
                  <c:v>2.6</c:v>
                </c:pt>
                <c:pt idx="23">
                  <c:v>-0.30000000000000032</c:v>
                </c:pt>
                <c:pt idx="24">
                  <c:v>1.9000000000000001</c:v>
                </c:pt>
                <c:pt idx="25">
                  <c:v>3.8</c:v>
                </c:pt>
                <c:pt idx="26">
                  <c:v>3.1</c:v>
                </c:pt>
                <c:pt idx="27">
                  <c:v>2.6</c:v>
                </c:pt>
                <c:pt idx="28">
                  <c:v>3.4</c:v>
                </c:pt>
                <c:pt idx="29">
                  <c:v>1</c:v>
                </c:pt>
                <c:pt idx="30">
                  <c:v>2.1</c:v>
                </c:pt>
              </c:numCache>
            </c:numRef>
          </c:val>
        </c:ser>
        <c:ser>
          <c:idx val="2"/>
          <c:order val="2"/>
          <c:tx>
            <c:strRef>
              <c:f>'výkonnost odvětví 5'!$E$10</c:f>
              <c:strCache>
                <c:ptCount val="1"/>
                <c:pt idx="0">
                  <c:v>Maloobchod s nepotravinářs. zbožím</c:v>
                </c:pt>
              </c:strCache>
            </c:strRef>
          </c:tx>
          <c:spPr>
            <a:ln w="19050">
              <a:solidFill>
                <a:srgbClr val="48AEE7"/>
              </a:solidFill>
              <a:prstDash val="solid"/>
            </a:ln>
          </c:spPr>
          <c:marker>
            <c:symbol val="none"/>
          </c:marker>
          <c:cat>
            <c:multiLvlStrRef>
              <c:f>'výkonnost odvětví 5'!$A$11:$B$41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5'!$E$11:$E$41</c:f>
              <c:numCache>
                <c:formatCode>0.0</c:formatCode>
                <c:ptCount val="31"/>
                <c:pt idx="0">
                  <c:v>4.5</c:v>
                </c:pt>
                <c:pt idx="1">
                  <c:v>3.2</c:v>
                </c:pt>
                <c:pt idx="2">
                  <c:v>0.4</c:v>
                </c:pt>
                <c:pt idx="3">
                  <c:v>2.5</c:v>
                </c:pt>
                <c:pt idx="4">
                  <c:v>1.4</c:v>
                </c:pt>
                <c:pt idx="5">
                  <c:v>0.8</c:v>
                </c:pt>
                <c:pt idx="6">
                  <c:v>1.3</c:v>
                </c:pt>
                <c:pt idx="7">
                  <c:v>0.1</c:v>
                </c:pt>
                <c:pt idx="8">
                  <c:v>1.6</c:v>
                </c:pt>
                <c:pt idx="9">
                  <c:v>0.8</c:v>
                </c:pt>
                <c:pt idx="10">
                  <c:v>0.8</c:v>
                </c:pt>
                <c:pt idx="11">
                  <c:v>3</c:v>
                </c:pt>
                <c:pt idx="12">
                  <c:v>2.8</c:v>
                </c:pt>
                <c:pt idx="13">
                  <c:v>2.2000000000000002</c:v>
                </c:pt>
                <c:pt idx="14">
                  <c:v>4.3</c:v>
                </c:pt>
                <c:pt idx="15">
                  <c:v>7.6</c:v>
                </c:pt>
                <c:pt idx="16">
                  <c:v>7.3</c:v>
                </c:pt>
                <c:pt idx="17">
                  <c:v>8.5</c:v>
                </c:pt>
                <c:pt idx="18">
                  <c:v>5.9</c:v>
                </c:pt>
                <c:pt idx="19">
                  <c:v>7.2</c:v>
                </c:pt>
                <c:pt idx="20">
                  <c:v>5.7</c:v>
                </c:pt>
                <c:pt idx="21">
                  <c:v>5.5</c:v>
                </c:pt>
                <c:pt idx="22">
                  <c:v>6.9</c:v>
                </c:pt>
                <c:pt idx="23">
                  <c:v>7</c:v>
                </c:pt>
                <c:pt idx="24">
                  <c:v>9.1</c:v>
                </c:pt>
                <c:pt idx="25">
                  <c:v>9</c:v>
                </c:pt>
                <c:pt idx="26">
                  <c:v>8.5</c:v>
                </c:pt>
                <c:pt idx="27">
                  <c:v>8.8000000000000007</c:v>
                </c:pt>
                <c:pt idx="28">
                  <c:v>8.6</c:v>
                </c:pt>
                <c:pt idx="29">
                  <c:v>7.3</c:v>
                </c:pt>
                <c:pt idx="30">
                  <c:v>5.9</c:v>
                </c:pt>
              </c:numCache>
            </c:numRef>
          </c:val>
        </c:ser>
        <c:ser>
          <c:idx val="3"/>
          <c:order val="3"/>
          <c:tx>
            <c:strRef>
              <c:f>'výkonnost odvětví 5'!$F$10</c:f>
              <c:strCache>
                <c:ptCount val="1"/>
                <c:pt idx="0">
                  <c:v>Maloobchodní prodej PHM</c:v>
                </c:pt>
              </c:strCache>
            </c:strRef>
          </c:tx>
          <c:spPr>
            <a:ln w="19050">
              <a:solidFill>
                <a:srgbClr val="BD1B21"/>
              </a:solidFill>
            </a:ln>
          </c:spPr>
          <c:marker>
            <c:symbol val="none"/>
          </c:marker>
          <c:cat>
            <c:multiLvlStrRef>
              <c:f>'výkonnost odvětví 5'!$A$11:$B$41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5'!$F$11:$F$41</c:f>
              <c:numCache>
                <c:formatCode>0.0</c:formatCode>
                <c:ptCount val="31"/>
                <c:pt idx="0">
                  <c:v>-4.5999999999999996</c:v>
                </c:pt>
                <c:pt idx="1">
                  <c:v>-3.9</c:v>
                </c:pt>
                <c:pt idx="2">
                  <c:v>-2.2000000000000002</c:v>
                </c:pt>
                <c:pt idx="3">
                  <c:v>-3</c:v>
                </c:pt>
                <c:pt idx="4">
                  <c:v>-2</c:v>
                </c:pt>
                <c:pt idx="5">
                  <c:v>-3.6</c:v>
                </c:pt>
                <c:pt idx="6">
                  <c:v>0.8</c:v>
                </c:pt>
                <c:pt idx="7">
                  <c:v>-2</c:v>
                </c:pt>
                <c:pt idx="8">
                  <c:v>0.5</c:v>
                </c:pt>
                <c:pt idx="9">
                  <c:v>-0.5</c:v>
                </c:pt>
                <c:pt idx="10">
                  <c:v>-5.3</c:v>
                </c:pt>
                <c:pt idx="11">
                  <c:v>-0.9</c:v>
                </c:pt>
                <c:pt idx="12">
                  <c:v>0.5</c:v>
                </c:pt>
                <c:pt idx="13">
                  <c:v>0.1</c:v>
                </c:pt>
                <c:pt idx="14">
                  <c:v>2.6</c:v>
                </c:pt>
                <c:pt idx="15">
                  <c:v>3.4</c:v>
                </c:pt>
                <c:pt idx="16">
                  <c:v>6.2</c:v>
                </c:pt>
                <c:pt idx="17">
                  <c:v>4.5</c:v>
                </c:pt>
                <c:pt idx="18">
                  <c:v>6.1</c:v>
                </c:pt>
                <c:pt idx="19">
                  <c:v>9</c:v>
                </c:pt>
                <c:pt idx="20">
                  <c:v>4.8</c:v>
                </c:pt>
                <c:pt idx="21">
                  <c:v>5.4</c:v>
                </c:pt>
                <c:pt idx="22">
                  <c:v>4.5999999999999996</c:v>
                </c:pt>
                <c:pt idx="23">
                  <c:v>5.2</c:v>
                </c:pt>
                <c:pt idx="24">
                  <c:v>4</c:v>
                </c:pt>
                <c:pt idx="25">
                  <c:v>5.9</c:v>
                </c:pt>
                <c:pt idx="26">
                  <c:v>6.2</c:v>
                </c:pt>
                <c:pt idx="27">
                  <c:v>6.3</c:v>
                </c:pt>
                <c:pt idx="28">
                  <c:v>5.8</c:v>
                </c:pt>
                <c:pt idx="29">
                  <c:v>4.7</c:v>
                </c:pt>
                <c:pt idx="30">
                  <c:v>3.1</c:v>
                </c:pt>
              </c:numCache>
            </c:numRef>
          </c:val>
        </c:ser>
        <c:ser>
          <c:idx val="4"/>
          <c:order val="4"/>
          <c:tx>
            <c:strRef>
              <c:f>'výkonnost odvětví 5'!$G$10</c:f>
              <c:strCache>
                <c:ptCount val="1"/>
                <c:pt idx="0">
                  <c:v>Obchod, opravy a údržba motorových voz.</c:v>
                </c:pt>
              </c:strCache>
            </c:strRef>
          </c:tx>
          <c:spPr>
            <a:ln w="19050">
              <a:noFill/>
            </a:ln>
          </c:spPr>
          <c:marker>
            <c:symbol val="circle"/>
            <c:size val="5"/>
            <c:spPr>
              <a:solidFill>
                <a:srgbClr val="FFFF00"/>
              </a:solidFill>
              <a:ln>
                <a:solidFill>
                  <a:schemeClr val="tx1">
                    <a:lumMod val="95000"/>
                    <a:lumOff val="5000"/>
                  </a:schemeClr>
                </a:solidFill>
              </a:ln>
            </c:spPr>
          </c:marker>
          <c:cat>
            <c:multiLvlStrRef>
              <c:f>'výkonnost odvětví 5'!$A$11:$B$41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5'!$G$11:$G$41</c:f>
              <c:numCache>
                <c:formatCode>0.0</c:formatCode>
                <c:ptCount val="31"/>
                <c:pt idx="0">
                  <c:v>12.4</c:v>
                </c:pt>
                <c:pt idx="1">
                  <c:v>1.6</c:v>
                </c:pt>
                <c:pt idx="2">
                  <c:v>4.0999999999999996</c:v>
                </c:pt>
                <c:pt idx="3">
                  <c:v>4.7</c:v>
                </c:pt>
                <c:pt idx="4">
                  <c:v>2.7</c:v>
                </c:pt>
                <c:pt idx="5">
                  <c:v>-0.9</c:v>
                </c:pt>
                <c:pt idx="6">
                  <c:v>-1</c:v>
                </c:pt>
                <c:pt idx="7">
                  <c:v>-5.3</c:v>
                </c:pt>
                <c:pt idx="8">
                  <c:v>-6.1</c:v>
                </c:pt>
                <c:pt idx="9">
                  <c:v>4.0999999999999996</c:v>
                </c:pt>
                <c:pt idx="10">
                  <c:v>5.5</c:v>
                </c:pt>
                <c:pt idx="11">
                  <c:v>12.8</c:v>
                </c:pt>
                <c:pt idx="12">
                  <c:v>14.9</c:v>
                </c:pt>
                <c:pt idx="13">
                  <c:v>7</c:v>
                </c:pt>
                <c:pt idx="14">
                  <c:v>12.9</c:v>
                </c:pt>
                <c:pt idx="15">
                  <c:v>12.6</c:v>
                </c:pt>
                <c:pt idx="16">
                  <c:v>11.6</c:v>
                </c:pt>
                <c:pt idx="17">
                  <c:v>14.1</c:v>
                </c:pt>
                <c:pt idx="18">
                  <c:v>10.9</c:v>
                </c:pt>
                <c:pt idx="19">
                  <c:v>12.2</c:v>
                </c:pt>
                <c:pt idx="20">
                  <c:v>10</c:v>
                </c:pt>
                <c:pt idx="21">
                  <c:v>9.2000000000000011</c:v>
                </c:pt>
                <c:pt idx="22">
                  <c:v>6.7</c:v>
                </c:pt>
                <c:pt idx="23">
                  <c:v>4.8</c:v>
                </c:pt>
                <c:pt idx="24">
                  <c:v>6.2</c:v>
                </c:pt>
                <c:pt idx="25">
                  <c:v>4.4000000000000004</c:v>
                </c:pt>
                <c:pt idx="26">
                  <c:v>-0.1</c:v>
                </c:pt>
                <c:pt idx="27">
                  <c:v>1.5</c:v>
                </c:pt>
                <c:pt idx="28">
                  <c:v>-1.2</c:v>
                </c:pt>
                <c:pt idx="29">
                  <c:v>-0.9</c:v>
                </c:pt>
                <c:pt idx="30">
                  <c:v>-0.8</c:v>
                </c:pt>
              </c:numCache>
            </c:numRef>
          </c:val>
        </c:ser>
        <c:marker val="1"/>
        <c:axId val="127992960"/>
        <c:axId val="127994880"/>
      </c:lineChart>
      <c:lineChart>
        <c:grouping val="standard"/>
        <c:ser>
          <c:idx val="6"/>
          <c:order val="5"/>
          <c:tx>
            <c:strRef>
              <c:f>'výkonnost odvětví 5'!$H$10</c:f>
              <c:strCache>
                <c:ptCount val="1"/>
                <c:pt idx="0">
                  <c:v>Saldo souhr.indik.důvěry spotřebitelů</c:v>
                </c:pt>
              </c:strCache>
            </c:strRef>
          </c:tx>
          <c:spPr>
            <a:ln w="19050">
              <a:noFill/>
            </a:ln>
          </c:spPr>
          <c:marker>
            <c:symbol val="dash"/>
            <c:size val="9"/>
            <c:spPr>
              <a:solidFill>
                <a:srgbClr val="984807"/>
              </a:solidFill>
              <a:ln>
                <a:noFill/>
              </a:ln>
            </c:spPr>
          </c:marker>
          <c:cat>
            <c:multiLvlStrRef>
              <c:f>'výkonnost odvětví 5'!$A$11:$B$41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2011</c:v>
                  </c:pt>
                  <c:pt idx="4">
                    <c:v>2012</c:v>
                  </c:pt>
                  <c:pt idx="8">
                    <c:v>2013</c:v>
                  </c:pt>
                  <c:pt idx="12">
                    <c:v>2014</c:v>
                  </c:pt>
                  <c:pt idx="16">
                    <c:v>2015</c:v>
                  </c:pt>
                  <c:pt idx="20">
                    <c:v>2016</c:v>
                  </c:pt>
                  <c:pt idx="24">
                    <c:v>2017</c:v>
                  </c:pt>
                  <c:pt idx="28">
                    <c:v>2018</c:v>
                  </c:pt>
                </c:lvl>
              </c:multiLvlStrCache>
            </c:multiLvlStrRef>
          </c:cat>
          <c:val>
            <c:numRef>
              <c:f>'výkonnost odvětví 5'!$H$11:$H$41</c:f>
              <c:numCache>
                <c:formatCode>0.0</c:formatCode>
                <c:ptCount val="31"/>
                <c:pt idx="0">
                  <c:v>-13.433333333333332</c:v>
                </c:pt>
                <c:pt idx="1">
                  <c:v>-20.099999999999987</c:v>
                </c:pt>
                <c:pt idx="2">
                  <c:v>-22.433333333333195</c:v>
                </c:pt>
                <c:pt idx="3">
                  <c:v>-26.7</c:v>
                </c:pt>
                <c:pt idx="4">
                  <c:v>-26.766666666666666</c:v>
                </c:pt>
                <c:pt idx="5">
                  <c:v>-29.866666666666664</c:v>
                </c:pt>
                <c:pt idx="6">
                  <c:v>-28.466666666666669</c:v>
                </c:pt>
                <c:pt idx="7">
                  <c:v>-26.433333333333195</c:v>
                </c:pt>
                <c:pt idx="8">
                  <c:v>-23.633333333333251</c:v>
                </c:pt>
                <c:pt idx="9">
                  <c:v>-20.866666666666667</c:v>
                </c:pt>
                <c:pt idx="10">
                  <c:v>-17.266666666666666</c:v>
                </c:pt>
                <c:pt idx="11">
                  <c:v>-10.766666666666676</c:v>
                </c:pt>
                <c:pt idx="12">
                  <c:v>-6.6000000000000005</c:v>
                </c:pt>
                <c:pt idx="13">
                  <c:v>-3.5333333333333332</c:v>
                </c:pt>
                <c:pt idx="14">
                  <c:v>-4.1333333333333488</c:v>
                </c:pt>
                <c:pt idx="15">
                  <c:v>0.69999999999999984</c:v>
                </c:pt>
                <c:pt idx="16">
                  <c:v>3.6333333333333342</c:v>
                </c:pt>
                <c:pt idx="17">
                  <c:v>1.7666666666666666</c:v>
                </c:pt>
                <c:pt idx="18">
                  <c:v>1.2</c:v>
                </c:pt>
                <c:pt idx="19">
                  <c:v>3.5</c:v>
                </c:pt>
                <c:pt idx="20">
                  <c:v>4.6000000000000005</c:v>
                </c:pt>
                <c:pt idx="21">
                  <c:v>1.8333333333333333</c:v>
                </c:pt>
                <c:pt idx="22">
                  <c:v>2</c:v>
                </c:pt>
                <c:pt idx="23">
                  <c:v>6.1000000000000005</c:v>
                </c:pt>
                <c:pt idx="24">
                  <c:v>6.5333333333333536</c:v>
                </c:pt>
                <c:pt idx="25">
                  <c:v>5.2666666666666684</c:v>
                </c:pt>
                <c:pt idx="26">
                  <c:v>5.2</c:v>
                </c:pt>
                <c:pt idx="27">
                  <c:v>7.2</c:v>
                </c:pt>
                <c:pt idx="28">
                  <c:v>9.8666666666667115</c:v>
                </c:pt>
                <c:pt idx="29">
                  <c:v>10.6</c:v>
                </c:pt>
                <c:pt idx="30">
                  <c:v>8.5333333333333332</c:v>
                </c:pt>
              </c:numCache>
            </c:numRef>
          </c:val>
        </c:ser>
        <c:marker val="1"/>
        <c:axId val="128035072"/>
        <c:axId val="128033536"/>
      </c:lineChart>
      <c:catAx>
        <c:axId val="12799296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7994880"/>
        <c:crosses val="autoZero"/>
        <c:lblAlgn val="ctr"/>
        <c:lblOffset val="0"/>
        <c:tickLblSkip val="1"/>
        <c:tickMarkSkip val="4"/>
      </c:catAx>
      <c:valAx>
        <c:axId val="127994880"/>
        <c:scaling>
          <c:orientation val="minMax"/>
          <c:max val="1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7992960"/>
        <c:crosses val="autoZero"/>
        <c:crossBetween val="between"/>
        <c:majorUnit val="5"/>
      </c:valAx>
      <c:valAx>
        <c:axId val="128033536"/>
        <c:scaling>
          <c:orientation val="minMax"/>
          <c:max val="30"/>
          <c:min val="-30"/>
        </c:scaling>
        <c:axPos val="r"/>
        <c:numFmt formatCode="0" sourceLinked="0"/>
        <c:tickLblPos val="nextTo"/>
        <c:spPr>
          <a:ln w="9525">
            <a:solidFill>
              <a:schemeClr val="tx1"/>
            </a:solidFill>
          </a:ln>
        </c:spPr>
        <c:crossAx val="128035072"/>
        <c:crosses val="max"/>
        <c:crossBetween val="between"/>
      </c:valAx>
      <c:catAx>
        <c:axId val="128035072"/>
        <c:scaling>
          <c:orientation val="minMax"/>
        </c:scaling>
        <c:delete val="1"/>
        <c:axPos val="b"/>
        <c:numFmt formatCode="General" sourceLinked="1"/>
        <c:tickLblPos val="none"/>
        <c:crossAx val="128033536"/>
        <c:crosses val="autoZero"/>
        <c:auto val="1"/>
        <c:lblAlgn val="ctr"/>
        <c:lblOffset val="100"/>
      </c:catAx>
      <c:spPr>
        <a:solidFill>
          <a:srgbClr val="FFFFFF"/>
        </a:solidFill>
        <a:ln w="9525">
          <a:solidFill>
            <a:schemeClr val="tx1"/>
          </a:solidFill>
        </a:ln>
      </c:spPr>
    </c:plotArea>
    <c:legend>
      <c:legendPos val="b"/>
      <c:layout>
        <c:manualLayout>
          <c:xMode val="edge"/>
          <c:yMode val="edge"/>
          <c:x val="2.1017674121208772E-2"/>
          <c:y val="0.84801642578021685"/>
          <c:w val="0.95271683206702473"/>
          <c:h val="0.13389587922459187"/>
        </c:manualLayout>
      </c:layout>
      <c:spPr>
        <a:noFill/>
        <a:ln w="6350">
          <a:solidFill>
            <a:schemeClr val="tx1"/>
          </a:solidFill>
        </a:ln>
      </c:spPr>
    </c:legend>
    <c:plotVisOnly val="1"/>
    <c:dispBlanksAs val="gap"/>
  </c:chart>
  <c:spPr>
    <a:solidFill>
      <a:schemeClr val="bg1"/>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0.51265</cdr:x>
      <cdr:y>0.01715</cdr:y>
    </cdr:from>
    <cdr:to>
      <cdr:x>0.56078</cdr:x>
      <cdr:y>0.05473</cdr:y>
    </cdr:to>
    <cdr:sp macro="" textlink="">
      <cdr:nvSpPr>
        <cdr:cNvPr id="2" name="Přímá spojovací šipka 1"/>
        <cdr:cNvSpPr/>
      </cdr:nvSpPr>
      <cdr:spPr>
        <a:xfrm xmlns:a="http://schemas.openxmlformats.org/drawingml/2006/main" flipH="1" flipV="1">
          <a:off x="2427979" y="60781"/>
          <a:ext cx="227950" cy="133199"/>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0.56997</cdr:x>
      <cdr:y>0.03698</cdr:y>
    </cdr:from>
    <cdr:to>
      <cdr:x>0.6249</cdr:x>
      <cdr:y>0.07772</cdr:y>
    </cdr:to>
    <cdr:sp macro="" textlink="">
      <cdr:nvSpPr>
        <cdr:cNvPr id="3" name="TextovéPole 2"/>
        <cdr:cNvSpPr txBox="1"/>
      </cdr:nvSpPr>
      <cdr:spPr>
        <a:xfrm xmlns:a="http://schemas.openxmlformats.org/drawingml/2006/main">
          <a:off x="2699472" y="131068"/>
          <a:ext cx="260156" cy="14439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729E-4EB9-4C10-A798-19ED447EF93D}">
  <ds:schemaRefs>
    <ds:schemaRef ds:uri="http://schemas.openxmlformats.org/officeDocument/2006/bibliography"/>
  </ds:schemaRefs>
</ds:datastoreItem>
</file>

<file path=customXml/itemProps2.xml><?xml version="1.0" encoding="utf-8"?>
<ds:datastoreItem xmlns:ds="http://schemas.openxmlformats.org/officeDocument/2006/customXml" ds:itemID="{FE91E7C0-3C31-45C1-B5E4-1C28087F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6</Pages>
  <Words>2193</Words>
  <Characters>12945</Characters>
  <Application>Microsoft Office Word</Application>
  <DocSecurity>0</DocSecurity>
  <Lines>107</Lines>
  <Paragraphs>30</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15108</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kamenicky3604</cp:lastModifiedBy>
  <cp:revision>3</cp:revision>
  <cp:lastPrinted>2018-12-19T13:53:00Z</cp:lastPrinted>
  <dcterms:created xsi:type="dcterms:W3CDTF">2018-12-20T10:54:00Z</dcterms:created>
  <dcterms:modified xsi:type="dcterms:W3CDTF">2018-12-20T10:55:00Z</dcterms:modified>
</cp:coreProperties>
</file>