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0D" w:rsidRPr="00CE46F6" w:rsidRDefault="00D6560D" w:rsidP="00E73EA0">
      <w:pPr>
        <w:pStyle w:val="Nadpis1"/>
        <w:numPr>
          <w:ilvl w:val="0"/>
          <w:numId w:val="19"/>
        </w:numPr>
        <w:spacing w:before="0" w:after="0"/>
        <w:rPr>
          <w:lang w:val="en-GB"/>
        </w:rPr>
      </w:pPr>
      <w:r w:rsidRPr="00CE46F6">
        <w:rPr>
          <w:lang w:val="en-GB"/>
        </w:rPr>
        <w:t>State Budget</w:t>
      </w:r>
    </w:p>
    <w:p w:rsidR="00D6560D" w:rsidRPr="00CE46F6" w:rsidRDefault="00D6560D" w:rsidP="00D6560D">
      <w:pPr>
        <w:rPr>
          <w:lang w:val="en-GB"/>
        </w:rPr>
      </w:pPr>
    </w:p>
    <w:tbl>
      <w:tblPr>
        <w:tblW w:w="5000" w:type="pct"/>
        <w:tblCellMar>
          <w:left w:w="28" w:type="dxa"/>
          <w:right w:w="28" w:type="dxa"/>
        </w:tblCellMar>
        <w:tblLook w:val="04A0"/>
      </w:tblPr>
      <w:tblGrid>
        <w:gridCol w:w="2044"/>
        <w:gridCol w:w="275"/>
        <w:gridCol w:w="7375"/>
      </w:tblGrid>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Improving state budget deficit already four years in a row</w:t>
            </w:r>
          </w:p>
          <w:p w:rsidR="00D6560D" w:rsidRPr="00CE46F6" w:rsidRDefault="00D6560D" w:rsidP="002336B2">
            <w:pPr>
              <w:jc w:val="left"/>
              <w:rPr>
                <w:sz w:val="16"/>
                <w:szCs w:val="16"/>
                <w:lang w:val="en-GB"/>
              </w:rPr>
            </w:pPr>
          </w:p>
          <w:p w:rsidR="00D6560D" w:rsidRPr="00CE46F6" w:rsidRDefault="00D6560D" w:rsidP="002336B2">
            <w:pPr>
              <w:jc w:val="left"/>
              <w:rPr>
                <w:spacing w:val="-2"/>
                <w:sz w:val="16"/>
                <w:szCs w:val="16"/>
                <w:lang w:val="en-GB"/>
              </w:rPr>
            </w:pPr>
            <w:r w:rsidRPr="00CE46F6">
              <w:rPr>
                <w:spacing w:val="-2"/>
                <w:sz w:val="16"/>
                <w:szCs w:val="16"/>
                <w:lang w:val="en-GB"/>
              </w:rPr>
              <w:t>Better result against the approved budget in 2013 ensured by lower than expected drawing of investments on transport constructions and savings on non-investment purchases</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2"/>
                <w:lang w:val="en-GB"/>
              </w:rPr>
            </w:pPr>
            <w:r w:rsidRPr="00CE46F6">
              <w:rPr>
                <w:rFonts w:cs="Arial"/>
                <w:spacing w:val="-2"/>
                <w:lang w:val="en-GB"/>
              </w:rPr>
              <w:t>Despite subsiding adverse development of the economy for the most part of the year, the tendencies leading to gradual consolidation of public budgets</w:t>
            </w:r>
            <w:r>
              <w:rPr>
                <w:rFonts w:cs="Arial"/>
                <w:spacing w:val="-2"/>
                <w:lang w:val="en-GB"/>
              </w:rPr>
              <w:t xml:space="preserve"> asserted </w:t>
            </w:r>
            <w:r w:rsidRPr="00CE46F6">
              <w:rPr>
                <w:rFonts w:cs="Arial"/>
                <w:spacing w:val="-2"/>
                <w:lang w:val="en-GB"/>
              </w:rPr>
              <w:t>in the development of state finances. State budget management for 2013 finished (</w:t>
            </w:r>
            <w:r>
              <w:rPr>
                <w:rFonts w:cs="Arial"/>
                <w:spacing w:val="-2"/>
                <w:lang w:val="en-GB"/>
              </w:rPr>
              <w:t>according to cash fulfilment</w:t>
            </w:r>
            <w:r w:rsidRPr="00CE46F6">
              <w:rPr>
                <w:rFonts w:cs="Arial"/>
                <w:spacing w:val="-2"/>
                <w:lang w:val="en-GB"/>
              </w:rPr>
              <w:t xml:space="preserve">) with the lowest deficit (81.3 </w:t>
            </w:r>
            <w:proofErr w:type="spellStart"/>
            <w:r w:rsidRPr="00CE46F6">
              <w:rPr>
                <w:rFonts w:cs="Arial"/>
                <w:spacing w:val="-2"/>
                <w:lang w:val="en-GB"/>
              </w:rPr>
              <w:t>bn</w:t>
            </w:r>
            <w:proofErr w:type="spellEnd"/>
            <w:r w:rsidRPr="00CE46F6">
              <w:rPr>
                <w:rFonts w:cs="Arial"/>
                <w:spacing w:val="-2"/>
                <w:lang w:val="en-GB"/>
              </w:rPr>
              <w:t xml:space="preserve"> crowns) since the beginning of deep economic recession and was compared to the anticipations of the approved budget by one fifth lower. Simultaneously, it represented the fourth lowest deficit since the year 2003. The year-on-year milder deficit was the merit of the first half of the year, in the second half itself </w:t>
            </w:r>
            <w:r>
              <w:rPr>
                <w:rFonts w:cs="Arial"/>
                <w:spacing w:val="-2"/>
                <w:lang w:val="en-GB"/>
              </w:rPr>
              <w:t xml:space="preserve">the deficit </w:t>
            </w:r>
            <w:r w:rsidRPr="00CE46F6">
              <w:rPr>
                <w:rFonts w:cs="Arial"/>
                <w:spacing w:val="-2"/>
                <w:lang w:val="en-GB"/>
              </w:rPr>
              <w:t xml:space="preserve">reached nearly 50 </w:t>
            </w:r>
            <w:proofErr w:type="spellStart"/>
            <w:r w:rsidRPr="00CE46F6">
              <w:rPr>
                <w:rFonts w:cs="Arial"/>
                <w:spacing w:val="-2"/>
                <w:lang w:val="en-GB"/>
              </w:rPr>
              <w:t>bn</w:t>
            </w:r>
            <w:proofErr w:type="spellEnd"/>
            <w:r w:rsidRPr="00CE46F6">
              <w:rPr>
                <w:rFonts w:cs="Arial"/>
                <w:spacing w:val="-2"/>
                <w:lang w:val="en-GB"/>
              </w:rPr>
              <w:t xml:space="preserve"> crowns (year-on-year by more than one half higher). The deficit in relation to nominal GDP improved to 2.1 % (year-on-year by 0.5 p.p.)</w:t>
            </w:r>
            <w:r>
              <w:rPr>
                <w:rFonts w:cs="Arial"/>
                <w:spacing w:val="-2"/>
                <w:lang w:val="en-GB"/>
              </w:rPr>
              <w:t xml:space="preserve"> </w:t>
            </w:r>
            <w:r w:rsidRPr="00CE46F6">
              <w:rPr>
                <w:rFonts w:cs="Arial"/>
                <w:spacing w:val="-2"/>
                <w:lang w:val="en-GB"/>
              </w:rPr>
              <w:t xml:space="preserve">in 2013. </w:t>
            </w:r>
          </w:p>
          <w:p w:rsidR="00D6560D" w:rsidRPr="004010DF" w:rsidRDefault="00D6560D" w:rsidP="002336B2">
            <w:pPr>
              <w:pStyle w:val="Textpoznpodarou"/>
              <w:jc w:val="both"/>
              <w:rPr>
                <w:rFonts w:cs="Arial"/>
                <w:spacing w:val="-2"/>
                <w:sz w:val="12"/>
                <w:szCs w:val="12"/>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State budget revenues were pulled by the dynamic growth of VAT collection and continuing drawing of the European funds</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2"/>
                <w:lang w:val="en-GB"/>
              </w:rPr>
            </w:pPr>
            <w:r>
              <w:rPr>
                <w:rFonts w:cs="Arial"/>
                <w:spacing w:val="-2"/>
                <w:lang w:val="en-GB"/>
              </w:rPr>
              <w:t>T</w:t>
            </w:r>
            <w:r w:rsidRPr="00CE46F6">
              <w:rPr>
                <w:rFonts w:cs="Arial"/>
                <w:spacing w:val="-2"/>
                <w:lang w:val="en-GB"/>
              </w:rPr>
              <w:t>he considerably higher dynamics of the state budget revenues (+3.8 %)</w:t>
            </w:r>
            <w:r>
              <w:rPr>
                <w:rFonts w:cs="Arial"/>
                <w:spacing w:val="-2"/>
                <w:lang w:val="en-GB"/>
              </w:rPr>
              <w:t xml:space="preserve"> ensured y</w:t>
            </w:r>
            <w:r w:rsidRPr="00CE46F6">
              <w:rPr>
                <w:rFonts w:cs="Arial"/>
                <w:spacing w:val="-2"/>
                <w:lang w:val="en-GB"/>
              </w:rPr>
              <w:t>ear-on-year more favourable result of the deficit given a slow</w:t>
            </w:r>
            <w:r>
              <w:rPr>
                <w:rFonts w:cs="Arial"/>
                <w:spacing w:val="-2"/>
                <w:lang w:val="en-GB"/>
              </w:rPr>
              <w:t>er</w:t>
            </w:r>
            <w:r w:rsidRPr="00CE46F6">
              <w:rPr>
                <w:rFonts w:cs="Arial"/>
                <w:spacing w:val="-2"/>
                <w:lang w:val="en-GB"/>
              </w:rPr>
              <w:t xml:space="preserve"> growth of expenditures (year-on-year +1.8 %). </w:t>
            </w:r>
            <w:r>
              <w:rPr>
                <w:rFonts w:cs="Arial"/>
                <w:spacing w:val="-2"/>
                <w:lang w:val="en-GB"/>
              </w:rPr>
              <w:t>E</w:t>
            </w:r>
            <w:r w:rsidRPr="00CE46F6">
              <w:rPr>
                <w:rFonts w:cs="Arial"/>
                <w:spacing w:val="-2"/>
                <w:lang w:val="en-GB"/>
              </w:rPr>
              <w:t xml:space="preserve">specially the non-tax and capital revenues </w:t>
            </w:r>
            <w:r>
              <w:rPr>
                <w:rFonts w:cs="Arial"/>
                <w:spacing w:val="-2"/>
                <w:lang w:val="en-GB"/>
              </w:rPr>
              <w:t xml:space="preserve">grew </w:t>
            </w:r>
            <w:r w:rsidRPr="00CE46F6">
              <w:rPr>
                <w:rFonts w:cs="Arial"/>
                <w:spacing w:val="-2"/>
                <w:lang w:val="en-GB"/>
              </w:rPr>
              <w:t xml:space="preserve">(+31 </w:t>
            </w:r>
            <w:proofErr w:type="spellStart"/>
            <w:r w:rsidRPr="00CE46F6">
              <w:rPr>
                <w:rFonts w:cs="Arial"/>
                <w:spacing w:val="-2"/>
                <w:lang w:val="en-GB"/>
              </w:rPr>
              <w:t>bn</w:t>
            </w:r>
            <w:proofErr w:type="spellEnd"/>
            <w:r w:rsidRPr="00CE46F6">
              <w:rPr>
                <w:rFonts w:cs="Arial"/>
                <w:spacing w:val="-2"/>
                <w:lang w:val="en-GB"/>
              </w:rPr>
              <w:t xml:space="preserve"> crowns), the effect of normally significant by weight tax revenues</w:t>
            </w:r>
            <w:r w:rsidRPr="00CE46F6">
              <w:rPr>
                <w:rStyle w:val="Znakapoznpodarou"/>
                <w:rFonts w:cs="Arial"/>
                <w:spacing w:val="-2"/>
                <w:lang w:val="en-GB"/>
              </w:rPr>
              <w:footnoteReference w:id="1"/>
            </w:r>
            <w:r w:rsidRPr="00CE46F6">
              <w:rPr>
                <w:rFonts w:cs="Arial"/>
                <w:spacing w:val="-2"/>
                <w:lang w:val="en-GB"/>
              </w:rPr>
              <w:t xml:space="preserve"> was weaker (+9.5 </w:t>
            </w:r>
            <w:proofErr w:type="spellStart"/>
            <w:r w:rsidRPr="00CE46F6">
              <w:rPr>
                <w:rFonts w:cs="Arial"/>
                <w:spacing w:val="-2"/>
                <w:lang w:val="en-GB"/>
              </w:rPr>
              <w:t>bn</w:t>
            </w:r>
            <w:proofErr w:type="spellEnd"/>
            <w:r w:rsidRPr="00CE46F6">
              <w:rPr>
                <w:rFonts w:cs="Arial"/>
                <w:spacing w:val="-2"/>
                <w:lang w:val="en-GB"/>
              </w:rPr>
              <w:t xml:space="preserve"> crowns). Tax revenues were pulled mostly by the robust growth of VAT collection (+20.3 </w:t>
            </w:r>
            <w:proofErr w:type="spellStart"/>
            <w:r w:rsidRPr="00CE46F6">
              <w:rPr>
                <w:rFonts w:cs="Arial"/>
                <w:spacing w:val="-2"/>
                <w:lang w:val="en-GB"/>
              </w:rPr>
              <w:t>bn</w:t>
            </w:r>
            <w:proofErr w:type="spellEnd"/>
            <w:r w:rsidRPr="00CE46F6">
              <w:rPr>
                <w:rFonts w:cs="Arial"/>
                <w:spacing w:val="-2"/>
                <w:lang w:val="en-GB"/>
              </w:rPr>
              <w:t xml:space="preserve"> crowns), marginally also the </w:t>
            </w:r>
            <w:r>
              <w:rPr>
                <w:rFonts w:cs="Arial"/>
                <w:spacing w:val="-2"/>
                <w:lang w:val="en-GB"/>
              </w:rPr>
              <w:t xml:space="preserve">physical person income tax from the dependent activity – e.g. employees </w:t>
            </w:r>
            <w:r w:rsidRPr="00CE46F6">
              <w:rPr>
                <w:rFonts w:cs="Arial"/>
                <w:spacing w:val="-2"/>
                <w:lang w:val="en-GB"/>
              </w:rPr>
              <w:t xml:space="preserve">(+2.8 </w:t>
            </w:r>
            <w:proofErr w:type="spellStart"/>
            <w:r w:rsidRPr="00CE46F6">
              <w:rPr>
                <w:rFonts w:cs="Arial"/>
                <w:spacing w:val="-2"/>
                <w:lang w:val="en-GB"/>
              </w:rPr>
              <w:t>bn</w:t>
            </w:r>
            <w:proofErr w:type="spellEnd"/>
            <w:r w:rsidRPr="00CE46F6">
              <w:rPr>
                <w:rFonts w:cs="Arial"/>
                <w:spacing w:val="-2"/>
                <w:lang w:val="en-GB"/>
              </w:rPr>
              <w:t xml:space="preserve"> crowns) and </w:t>
            </w:r>
            <w:r>
              <w:rPr>
                <w:rFonts w:cs="Arial"/>
                <w:spacing w:val="-2"/>
                <w:lang w:val="en-GB"/>
              </w:rPr>
              <w:t>tax on property transfers (</w:t>
            </w:r>
            <w:r w:rsidRPr="00CE46F6">
              <w:rPr>
                <w:rFonts w:cs="Arial"/>
                <w:spacing w:val="-2"/>
                <w:lang w:val="en-GB"/>
              </w:rPr>
              <w:t xml:space="preserve">+1.2 </w:t>
            </w:r>
            <w:proofErr w:type="spellStart"/>
            <w:r w:rsidRPr="00CE46F6">
              <w:rPr>
                <w:rFonts w:cs="Arial"/>
                <w:spacing w:val="-2"/>
                <w:lang w:val="en-GB"/>
              </w:rPr>
              <w:t>bn</w:t>
            </w:r>
            <w:proofErr w:type="spellEnd"/>
            <w:r w:rsidRPr="00CE46F6">
              <w:rPr>
                <w:rFonts w:cs="Arial"/>
                <w:spacing w:val="-2"/>
                <w:lang w:val="en-GB"/>
              </w:rPr>
              <w:t xml:space="preserve"> crowns). In all cases the administrative measures played a</w:t>
            </w:r>
            <w:r>
              <w:t> </w:t>
            </w:r>
            <w:r w:rsidRPr="00CE46F6">
              <w:rPr>
                <w:rFonts w:cs="Arial"/>
                <w:spacing w:val="-2"/>
                <w:lang w:val="en-GB"/>
              </w:rPr>
              <w:t>dominant role</w:t>
            </w:r>
            <w:r w:rsidRPr="00CE46F6">
              <w:rPr>
                <w:rStyle w:val="Znakapoznpodarou"/>
                <w:rFonts w:cs="Arial"/>
                <w:spacing w:val="-2"/>
                <w:lang w:val="en-GB"/>
              </w:rPr>
              <w:footnoteReference w:id="2"/>
            </w:r>
            <w:r w:rsidRPr="00CE46F6">
              <w:rPr>
                <w:rFonts w:cs="Arial"/>
                <w:spacing w:val="-2"/>
                <w:lang w:val="en-GB"/>
              </w:rPr>
              <w:t>. On the contrary the effect of economic recovery in the last quarter of 2013 could be partially reflected in the improvement of indirect taxes collection (especially VAT)</w:t>
            </w:r>
            <w:r w:rsidRPr="00CE46F6">
              <w:rPr>
                <w:rStyle w:val="Znakapoznpodarou"/>
                <w:rFonts w:cs="Arial"/>
                <w:spacing w:val="-2"/>
                <w:lang w:val="en-GB"/>
              </w:rPr>
              <w:footnoteReference w:id="3"/>
            </w:r>
            <w:proofErr w:type="gramStart"/>
            <w:r w:rsidRPr="00CE46F6">
              <w:rPr>
                <w:rFonts w:cs="Arial"/>
                <w:spacing w:val="-2"/>
                <w:lang w:val="en-GB"/>
              </w:rPr>
              <w:t>,</w:t>
            </w:r>
            <w:proofErr w:type="gramEnd"/>
            <w:r w:rsidRPr="00CE46F6">
              <w:rPr>
                <w:rFonts w:cs="Arial"/>
                <w:spacing w:val="-2"/>
                <w:lang w:val="en-GB"/>
              </w:rPr>
              <w:t xml:space="preserve"> the year-on-year dynamics of direct taxes however did not change much</w:t>
            </w:r>
            <w:r>
              <w:rPr>
                <w:rFonts w:cs="Arial"/>
                <w:spacing w:val="-2"/>
                <w:lang w:val="en-GB"/>
              </w:rPr>
              <w:t xml:space="preserve"> </w:t>
            </w:r>
            <w:r w:rsidRPr="00CE46F6">
              <w:rPr>
                <w:rFonts w:cs="Arial"/>
                <w:spacing w:val="-2"/>
                <w:lang w:val="en-GB"/>
              </w:rPr>
              <w:t xml:space="preserve">during the year 2013. </w:t>
            </w:r>
          </w:p>
          <w:p w:rsidR="00D6560D" w:rsidRPr="004010DF" w:rsidRDefault="00D6560D" w:rsidP="002336B2">
            <w:pPr>
              <w:pStyle w:val="Textpoznpodarou"/>
              <w:jc w:val="both"/>
              <w:rPr>
                <w:rFonts w:cs="Arial"/>
                <w:spacing w:val="-2"/>
                <w:sz w:val="12"/>
                <w:szCs w:val="12"/>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Adverse development of the economy in spite of partial leg</w:t>
            </w:r>
            <w:r>
              <w:rPr>
                <w:sz w:val="16"/>
                <w:szCs w:val="16"/>
                <w:lang w:val="en-GB"/>
              </w:rPr>
              <w:t xml:space="preserve">islative measures </w:t>
            </w:r>
            <w:proofErr w:type="spellStart"/>
            <w:r>
              <w:rPr>
                <w:sz w:val="16"/>
                <w:szCs w:val="16"/>
                <w:lang w:val="en-GB"/>
              </w:rPr>
              <w:t>influnced</w:t>
            </w:r>
            <w:proofErr w:type="spellEnd"/>
            <w:r w:rsidRPr="00CE46F6">
              <w:rPr>
                <w:sz w:val="16"/>
                <w:szCs w:val="16"/>
                <w:lang w:val="en-GB"/>
              </w:rPr>
              <w:t xml:space="preserve"> the consumption tax collection, which year-on-year weakened for all main types of consumption taxes</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2"/>
                <w:lang w:val="en-GB"/>
              </w:rPr>
            </w:pPr>
            <w:r w:rsidRPr="00CE46F6">
              <w:rPr>
                <w:rFonts w:cs="Arial"/>
                <w:spacing w:val="-2"/>
                <w:lang w:val="en-GB"/>
              </w:rPr>
              <w:t xml:space="preserve">The collection of consumption taxes was fundamentally impacted for the most part of the year by the weak dynamics of final consumption expenditures, which thus overshadowed the influence of the legislation changes. The effect of the increase of rates for tobacco products, which similarly to last year induced their pre-stocking, in the view of state budget revenues subsided during the year 2013 (in Q1 year-on-year +5.5 </w:t>
            </w:r>
            <w:proofErr w:type="spellStart"/>
            <w:r w:rsidRPr="00CE46F6">
              <w:rPr>
                <w:rFonts w:cs="Arial"/>
                <w:spacing w:val="-2"/>
                <w:lang w:val="en-GB"/>
              </w:rPr>
              <w:t>bn</w:t>
            </w:r>
            <w:proofErr w:type="spellEnd"/>
            <w:r w:rsidRPr="00CE46F6">
              <w:rPr>
                <w:rFonts w:cs="Arial"/>
                <w:spacing w:val="-2"/>
                <w:lang w:val="en-GB"/>
              </w:rPr>
              <w:t xml:space="preserve"> crowns, for four quarters -0.2 </w:t>
            </w:r>
            <w:proofErr w:type="spellStart"/>
            <w:r w:rsidRPr="00CE46F6">
              <w:rPr>
                <w:rFonts w:cs="Arial"/>
                <w:spacing w:val="-2"/>
                <w:lang w:val="en-GB"/>
              </w:rPr>
              <w:t>bn</w:t>
            </w:r>
            <w:proofErr w:type="spellEnd"/>
            <w:r w:rsidRPr="00CE46F6">
              <w:rPr>
                <w:rFonts w:cs="Arial"/>
                <w:spacing w:val="-2"/>
                <w:lang w:val="en-GB"/>
              </w:rPr>
              <w:t xml:space="preserve"> crowns). Collection of the tax the most significant by weight on the mineral oils went down year-on-year by 3 % especially due to the long-time falling consumption of </w:t>
            </w:r>
            <w:proofErr w:type="gramStart"/>
            <w:r w:rsidRPr="00CE46F6">
              <w:rPr>
                <w:rFonts w:cs="Arial"/>
                <w:spacing w:val="-2"/>
                <w:lang w:val="en-GB"/>
              </w:rPr>
              <w:t>petrol,</w:t>
            </w:r>
            <w:proofErr w:type="gramEnd"/>
            <w:r w:rsidRPr="00CE46F6">
              <w:rPr>
                <w:rFonts w:cs="Arial"/>
                <w:spacing w:val="-2"/>
                <w:lang w:val="en-GB"/>
              </w:rPr>
              <w:t xml:space="preserve"> the effect also had the lowering of tax refunds on mineral oils to persons using these oils fo</w:t>
            </w:r>
            <w:r>
              <w:rPr>
                <w:rFonts w:cs="Arial"/>
                <w:spacing w:val="-2"/>
                <w:lang w:val="en-GB"/>
              </w:rPr>
              <w:t>r</w:t>
            </w:r>
            <w:r w:rsidRPr="00CE46F6">
              <w:rPr>
                <w:rFonts w:cs="Arial"/>
                <w:spacing w:val="-2"/>
                <w:lang w:val="en-GB"/>
              </w:rPr>
              <w:t xml:space="preserve"> the agricultural primary production.  </w:t>
            </w:r>
          </w:p>
          <w:p w:rsidR="00D6560D" w:rsidRPr="004010DF" w:rsidRDefault="00D6560D" w:rsidP="002336B2">
            <w:pPr>
              <w:pStyle w:val="Textpoznpodarou"/>
              <w:jc w:val="both"/>
              <w:rPr>
                <w:rFonts w:cs="Arial"/>
                <w:spacing w:val="-2"/>
                <w:sz w:val="12"/>
                <w:szCs w:val="12"/>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 xml:space="preserve">Mild year-on-year growth of PPIT from the dependent activity mostly due to the legislative changes, other direct taxes </w:t>
            </w:r>
            <w:r>
              <w:rPr>
                <w:sz w:val="16"/>
                <w:szCs w:val="16"/>
                <w:lang w:val="en-GB"/>
              </w:rPr>
              <w:t>kept falling as a</w:t>
            </w:r>
            <w:r w:rsidRPr="00204C91">
              <w:rPr>
                <w:sz w:val="16"/>
                <w:szCs w:val="16"/>
              </w:rPr>
              <w:t> </w:t>
            </w:r>
            <w:r w:rsidRPr="00CE46F6">
              <w:rPr>
                <w:sz w:val="16"/>
                <w:szCs w:val="16"/>
                <w:lang w:val="en-GB"/>
              </w:rPr>
              <w:t>result of the subsiding recession</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4"/>
                <w:lang w:val="en-GB"/>
              </w:rPr>
            </w:pPr>
            <w:r w:rsidRPr="00CE46F6">
              <w:rPr>
                <w:rFonts w:cs="Arial"/>
                <w:spacing w:val="-4"/>
                <w:lang w:val="en-GB"/>
              </w:rPr>
              <w:t>Six quarters lasting weakening of the year-on-year dynamics of collection of physical person income tax (from dependent activity) was halted</w:t>
            </w:r>
            <w:r>
              <w:rPr>
                <w:rFonts w:cs="Arial"/>
                <w:spacing w:val="-4"/>
                <w:lang w:val="en-GB"/>
              </w:rPr>
              <w:t xml:space="preserve"> </w:t>
            </w:r>
            <w:r w:rsidRPr="00CE46F6">
              <w:rPr>
                <w:rFonts w:cs="Arial"/>
                <w:spacing w:val="-4"/>
                <w:lang w:val="en-GB"/>
              </w:rPr>
              <w:t xml:space="preserve">at the beginning of year 2013, when the </w:t>
            </w:r>
            <w:r>
              <w:rPr>
                <w:rFonts w:cs="Arial"/>
                <w:spacing w:val="-4"/>
                <w:lang w:val="en-GB"/>
              </w:rPr>
              <w:t>state-</w:t>
            </w:r>
            <w:r w:rsidRPr="00CE46F6">
              <w:rPr>
                <w:rFonts w:cs="Arial"/>
                <w:spacing w:val="-4"/>
                <w:lang w:val="en-GB"/>
              </w:rPr>
              <w:t>wide collection increased by 5.3 %</w:t>
            </w:r>
            <w:r>
              <w:rPr>
                <w:rFonts w:cs="Arial"/>
                <w:spacing w:val="-4"/>
                <w:lang w:val="en-GB"/>
              </w:rPr>
              <w:t xml:space="preserve"> </w:t>
            </w:r>
            <w:r w:rsidRPr="00CE46F6">
              <w:rPr>
                <w:rFonts w:cs="Arial"/>
                <w:spacing w:val="-4"/>
                <w:lang w:val="en-GB"/>
              </w:rPr>
              <w:t xml:space="preserve">in 2013. The growth of collection apart from the administrative influences also reflects the situation on the labour market (moderate growth of the number of employees, dampened growth of the average nominal wages). </w:t>
            </w:r>
            <w:r>
              <w:rPr>
                <w:rFonts w:cs="Arial"/>
                <w:spacing w:val="-4"/>
                <w:lang w:val="en-GB"/>
              </w:rPr>
              <w:t>T</w:t>
            </w:r>
            <w:r w:rsidRPr="00CE46F6">
              <w:rPr>
                <w:rFonts w:cs="Arial"/>
                <w:spacing w:val="-4"/>
                <w:lang w:val="en-GB"/>
              </w:rPr>
              <w:t>he collection of other income taxes on physical persons, influenced among other things by the economic results of small entrepreneurs or drop of the interest rates on deposits in banks</w:t>
            </w:r>
            <w:r>
              <w:rPr>
                <w:rFonts w:cs="Arial"/>
                <w:spacing w:val="-4"/>
                <w:lang w:val="en-GB"/>
              </w:rPr>
              <w:t>, was however weaker year-on-year</w:t>
            </w:r>
            <w:r w:rsidRPr="00CE46F6">
              <w:rPr>
                <w:rFonts w:cs="Arial"/>
                <w:spacing w:val="-4"/>
                <w:lang w:val="en-GB"/>
              </w:rPr>
              <w:t xml:space="preserve">. </w:t>
            </w:r>
            <w:r>
              <w:rPr>
                <w:rFonts w:cs="Arial"/>
                <w:spacing w:val="-4"/>
                <w:lang w:val="en-GB"/>
              </w:rPr>
              <w:t>T</w:t>
            </w:r>
            <w:r w:rsidRPr="00CE46F6">
              <w:rPr>
                <w:rFonts w:cs="Arial"/>
                <w:spacing w:val="-4"/>
                <w:lang w:val="en-GB"/>
              </w:rPr>
              <w:t xml:space="preserve">he </w:t>
            </w:r>
            <w:r>
              <w:rPr>
                <w:rFonts w:cs="Arial"/>
                <w:spacing w:val="-4"/>
                <w:lang w:val="en-GB"/>
              </w:rPr>
              <w:t>state-</w:t>
            </w:r>
            <w:r w:rsidRPr="00CE46F6">
              <w:rPr>
                <w:rFonts w:cs="Arial"/>
                <w:spacing w:val="-4"/>
                <w:lang w:val="en-GB"/>
              </w:rPr>
              <w:t xml:space="preserve">wide collection of corporate taxes (not blurred by </w:t>
            </w:r>
            <w:r>
              <w:rPr>
                <w:rFonts w:cs="Arial"/>
                <w:spacing w:val="-4"/>
                <w:lang w:val="en-GB"/>
              </w:rPr>
              <w:t xml:space="preserve">any </w:t>
            </w:r>
            <w:r w:rsidRPr="00CE46F6">
              <w:rPr>
                <w:rFonts w:cs="Arial"/>
                <w:spacing w:val="-4"/>
                <w:lang w:val="en-GB"/>
              </w:rPr>
              <w:t>significant changes of legislation)</w:t>
            </w:r>
            <w:r>
              <w:rPr>
                <w:rFonts w:cs="Arial"/>
                <w:spacing w:val="-4"/>
                <w:lang w:val="en-GB"/>
              </w:rPr>
              <w:t xml:space="preserve"> then also weakened year-on-year by similar rate (-6 %)</w:t>
            </w:r>
            <w:r w:rsidRPr="00CE46F6">
              <w:rPr>
                <w:rFonts w:cs="Arial"/>
                <w:spacing w:val="-4"/>
                <w:lang w:val="en-GB"/>
              </w:rPr>
              <w:t>, which compared to the top of boom decreased even by a whole third.</w:t>
            </w:r>
          </w:p>
          <w:p w:rsidR="00D6560D" w:rsidRPr="00CE46F6" w:rsidRDefault="00D6560D" w:rsidP="002336B2">
            <w:pPr>
              <w:pStyle w:val="Textpoznpodarou"/>
              <w:jc w:val="both"/>
              <w:rPr>
                <w:rFonts w:cs="Arial"/>
                <w:spacing w:val="-2"/>
                <w:sz w:val="16"/>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State finance budget anticipations in 2013 fulfilled only for in terms of volume key VAT, year-on-year decline of fulfilment for all other significant revenues</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2"/>
                <w:lang w:val="en-GB"/>
              </w:rPr>
            </w:pPr>
            <w:r w:rsidRPr="00CE46F6">
              <w:rPr>
                <w:rFonts w:cs="Arial"/>
                <w:spacing w:val="-2"/>
                <w:lang w:val="en-GB"/>
              </w:rPr>
              <w:t xml:space="preserve">In relation to the approved budget the state finances achieved year-on-year higher percentage of fulfilment in 2013 only for the VAT (simultaneously this item as the only significant one met the budget expectations). Lower fulfilment prevailed for all basic types </w:t>
            </w:r>
            <w:r>
              <w:rPr>
                <w:rFonts w:cs="Arial"/>
                <w:spacing w:val="-2"/>
                <w:lang w:val="en-GB"/>
              </w:rPr>
              <w:t xml:space="preserve">of </w:t>
            </w:r>
            <w:r w:rsidRPr="00CE46F6">
              <w:rPr>
                <w:rFonts w:cs="Arial"/>
                <w:spacing w:val="-2"/>
                <w:lang w:val="en-GB"/>
              </w:rPr>
              <w:t xml:space="preserve">consumption taxes, for income taxes of both legal and physical persons (despite higher year-on-year collection) and for the absolute majority of other tax incomes.  </w:t>
            </w:r>
          </w:p>
          <w:p w:rsidR="00D6560D" w:rsidRPr="004010DF" w:rsidRDefault="00D6560D" w:rsidP="002336B2">
            <w:pPr>
              <w:pStyle w:val="Textpoznpodarou"/>
              <w:jc w:val="both"/>
              <w:rPr>
                <w:rFonts w:cs="Arial"/>
                <w:spacing w:val="-2"/>
                <w:sz w:val="12"/>
                <w:szCs w:val="12"/>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lastRenderedPageBreak/>
              <w:t xml:space="preserve">Year-on-year by one fifth higher budget </w:t>
            </w:r>
            <w:r>
              <w:rPr>
                <w:sz w:val="16"/>
                <w:szCs w:val="16"/>
                <w:lang w:val="en-GB"/>
              </w:rPr>
              <w:t xml:space="preserve">non-tax and capital </w:t>
            </w:r>
            <w:r w:rsidRPr="00CE46F6">
              <w:rPr>
                <w:sz w:val="16"/>
                <w:szCs w:val="16"/>
                <w:lang w:val="en-GB"/>
              </w:rPr>
              <w:t>re</w:t>
            </w:r>
            <w:r>
              <w:rPr>
                <w:sz w:val="16"/>
                <w:szCs w:val="16"/>
                <w:lang w:val="en-GB"/>
              </w:rPr>
              <w:t xml:space="preserve">venues </w:t>
            </w:r>
            <w:r w:rsidRPr="00CE46F6">
              <w:rPr>
                <w:sz w:val="16"/>
                <w:szCs w:val="16"/>
                <w:lang w:val="en-GB"/>
              </w:rPr>
              <w:t>due to a more continuous drawing of funds from</w:t>
            </w:r>
            <w:r>
              <w:rPr>
                <w:sz w:val="16"/>
                <w:szCs w:val="16"/>
                <w:lang w:val="en-GB"/>
              </w:rPr>
              <w:t xml:space="preserve"> </w:t>
            </w:r>
            <w:r w:rsidRPr="00CE46F6">
              <w:rPr>
                <w:sz w:val="16"/>
                <w:szCs w:val="16"/>
                <w:lang w:val="en-GB"/>
              </w:rPr>
              <w:t xml:space="preserve">the EU during 2013 </w:t>
            </w:r>
          </w:p>
        </w:tc>
        <w:tc>
          <w:tcPr>
            <w:tcW w:w="142" w:type="pct"/>
          </w:tcPr>
          <w:p w:rsidR="00D6560D" w:rsidRPr="00CE46F6" w:rsidRDefault="00D6560D" w:rsidP="002336B2">
            <w:pPr>
              <w:pStyle w:val="Textpoznpodarou"/>
              <w:jc w:val="both"/>
              <w:rPr>
                <w:lang w:val="en-GB"/>
              </w:rPr>
            </w:pPr>
          </w:p>
        </w:tc>
        <w:tc>
          <w:tcPr>
            <w:tcW w:w="3804" w:type="pct"/>
          </w:tcPr>
          <w:p w:rsidR="00D6560D" w:rsidRPr="00204C91" w:rsidRDefault="00D6560D" w:rsidP="002336B2">
            <w:pPr>
              <w:pStyle w:val="Textpoznpodarou"/>
              <w:jc w:val="both"/>
              <w:rPr>
                <w:rFonts w:cs="Arial"/>
                <w:spacing w:val="-4"/>
                <w:lang w:val="en-GB"/>
              </w:rPr>
            </w:pPr>
            <w:r w:rsidRPr="00204C91">
              <w:rPr>
                <w:rFonts w:cs="Arial"/>
                <w:spacing w:val="-4"/>
                <w:lang w:val="en-GB"/>
              </w:rPr>
              <w:t xml:space="preserve">By more than one fifth higher year-on-year non-tax and capital revenues of the state budget were affected mostly by the revenues from the EU budget (+29 </w:t>
            </w:r>
            <w:proofErr w:type="spellStart"/>
            <w:r w:rsidRPr="00204C91">
              <w:rPr>
                <w:rFonts w:cs="Arial"/>
                <w:spacing w:val="-4"/>
                <w:lang w:val="en-GB"/>
              </w:rPr>
              <w:t>bn</w:t>
            </w:r>
            <w:proofErr w:type="spellEnd"/>
            <w:r w:rsidRPr="00204C91">
              <w:rPr>
                <w:rFonts w:cs="Arial"/>
                <w:spacing w:val="-4"/>
                <w:lang w:val="en-GB"/>
              </w:rPr>
              <w:t xml:space="preserve"> crowns) as well as payment of 6 </w:t>
            </w:r>
            <w:proofErr w:type="spellStart"/>
            <w:r w:rsidRPr="00204C91">
              <w:rPr>
                <w:rFonts w:cs="Arial"/>
                <w:spacing w:val="-4"/>
                <w:lang w:val="en-GB"/>
              </w:rPr>
              <w:t>bn</w:t>
            </w:r>
            <w:proofErr w:type="spellEnd"/>
            <w:r w:rsidRPr="00204C91">
              <w:rPr>
                <w:rFonts w:cs="Arial"/>
                <w:spacing w:val="-4"/>
                <w:lang w:val="en-GB"/>
              </w:rPr>
              <w:t xml:space="preserve"> crowns from the state enterprise </w:t>
            </w:r>
            <w:r>
              <w:rPr>
                <w:rFonts w:cs="Arial"/>
                <w:spacing w:val="-4"/>
                <w:lang w:val="en-GB"/>
              </w:rPr>
              <w:t>“</w:t>
            </w:r>
            <w:proofErr w:type="spellStart"/>
            <w:r w:rsidRPr="00204C91">
              <w:rPr>
                <w:rFonts w:cs="Arial"/>
                <w:spacing w:val="-4"/>
                <w:lang w:val="en-GB"/>
              </w:rPr>
              <w:t>Lesy</w:t>
            </w:r>
            <w:proofErr w:type="spellEnd"/>
            <w:r w:rsidRPr="00204C91">
              <w:rPr>
                <w:rFonts w:cs="Arial"/>
                <w:spacing w:val="-4"/>
                <w:lang w:val="en-GB"/>
              </w:rPr>
              <w:t xml:space="preserve"> CR</w:t>
            </w:r>
            <w:r>
              <w:rPr>
                <w:rFonts w:cs="Arial"/>
                <w:spacing w:val="-4"/>
                <w:lang w:val="en-GB"/>
              </w:rPr>
              <w:t>”</w:t>
            </w:r>
            <w:r w:rsidRPr="00204C91">
              <w:rPr>
                <w:rFonts w:cs="Arial"/>
                <w:spacing w:val="-4"/>
                <w:lang w:val="en-GB"/>
              </w:rPr>
              <w:t xml:space="preserve"> into the revenues of the Ministry of Agriculture. The anticipated-in-budget year-on-year f</w:t>
            </w:r>
            <w:r>
              <w:rPr>
                <w:rFonts w:cs="Arial"/>
                <w:spacing w:val="-4"/>
                <w:lang w:val="en-GB"/>
              </w:rPr>
              <w:t>all of revenues within the chapter</w:t>
            </w:r>
            <w:r w:rsidRPr="00204C91">
              <w:rPr>
                <w:rFonts w:cs="Arial"/>
                <w:spacing w:val="-4"/>
                <w:lang w:val="en-GB"/>
              </w:rPr>
              <w:t xml:space="preserve"> </w:t>
            </w:r>
            <w:r>
              <w:rPr>
                <w:rFonts w:cs="Arial"/>
                <w:spacing w:val="-4"/>
                <w:lang w:val="en-GB"/>
              </w:rPr>
              <w:t>“</w:t>
            </w:r>
            <w:r w:rsidRPr="00204C91">
              <w:rPr>
                <w:rFonts w:cs="Arial"/>
                <w:spacing w:val="-4"/>
                <w:lang w:val="en-GB"/>
              </w:rPr>
              <w:t>state debt</w:t>
            </w:r>
            <w:r>
              <w:rPr>
                <w:rFonts w:cs="Arial"/>
                <w:spacing w:val="-4"/>
                <w:lang w:val="en-GB"/>
              </w:rPr>
              <w:t>”</w:t>
            </w:r>
            <w:r w:rsidRPr="00204C91">
              <w:rPr>
                <w:rFonts w:cs="Arial"/>
                <w:spacing w:val="-4"/>
                <w:lang w:val="en-GB"/>
              </w:rPr>
              <w:t xml:space="preserve"> (-9 </w:t>
            </w:r>
            <w:proofErr w:type="spellStart"/>
            <w:r w:rsidRPr="00204C91">
              <w:rPr>
                <w:rFonts w:cs="Arial"/>
                <w:spacing w:val="-4"/>
                <w:lang w:val="en-GB"/>
              </w:rPr>
              <w:t>bn</w:t>
            </w:r>
            <w:proofErr w:type="spellEnd"/>
            <w:r w:rsidRPr="00204C91">
              <w:rPr>
                <w:rFonts w:cs="Arial"/>
                <w:spacing w:val="-4"/>
                <w:lang w:val="en-GB"/>
              </w:rPr>
              <w:t xml:space="preserve"> crowns) had the opposite effect.</w:t>
            </w:r>
          </w:p>
          <w:p w:rsidR="00D6560D" w:rsidRPr="00CE46F6" w:rsidRDefault="00D6560D" w:rsidP="002336B2">
            <w:pPr>
              <w:pStyle w:val="Textpoznpodarou"/>
              <w:jc w:val="both"/>
              <w:rPr>
                <w:rFonts w:cs="Arial"/>
                <w:spacing w:val="-4"/>
                <w:sz w:val="16"/>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Continuing of long-term drop of investment, growth of current expenditures</w:t>
            </w:r>
          </w:p>
          <w:p w:rsidR="00D6560D" w:rsidRPr="00CE46F6" w:rsidRDefault="00D6560D" w:rsidP="002336B2">
            <w:pPr>
              <w:jc w:val="left"/>
              <w:rPr>
                <w:sz w:val="16"/>
                <w:szCs w:val="16"/>
                <w:lang w:val="en-GB"/>
              </w:rPr>
            </w:pPr>
          </w:p>
          <w:p w:rsidR="00D6560D" w:rsidRPr="00CE46F6" w:rsidRDefault="00D6560D" w:rsidP="002336B2">
            <w:pPr>
              <w:jc w:val="left"/>
              <w:rPr>
                <w:sz w:val="16"/>
                <w:szCs w:val="16"/>
                <w:lang w:val="en-GB"/>
              </w:rPr>
            </w:pPr>
          </w:p>
          <w:p w:rsidR="00D6560D" w:rsidRPr="00CE46F6" w:rsidRDefault="00D6560D" w:rsidP="002336B2">
            <w:pPr>
              <w:jc w:val="left"/>
              <w:rPr>
                <w:sz w:val="16"/>
                <w:szCs w:val="16"/>
                <w:lang w:val="en-GB"/>
              </w:rPr>
            </w:pPr>
          </w:p>
          <w:p w:rsidR="00D6560D" w:rsidRPr="00CE46F6" w:rsidRDefault="00D6560D" w:rsidP="002336B2">
            <w:pPr>
              <w:pStyle w:val="Normlnweb"/>
              <w:rPr>
                <w:lang w:val="en-GB"/>
              </w:rPr>
            </w:pPr>
            <w:r w:rsidRPr="00CE46F6">
              <w:rPr>
                <w:rFonts w:ascii="Arial" w:hAnsi="Arial" w:cs="Arial"/>
                <w:sz w:val="16"/>
                <w:szCs w:val="16"/>
                <w:lang w:val="en-GB"/>
              </w:rPr>
              <w:t>Agg</w:t>
            </w:r>
            <w:r>
              <w:rPr>
                <w:rFonts w:ascii="Arial" w:hAnsi="Arial" w:cs="Arial"/>
                <w:sz w:val="16"/>
                <w:szCs w:val="16"/>
                <w:lang w:val="en-GB"/>
              </w:rPr>
              <w:t>regate amount of expenditures on</w:t>
            </w:r>
            <w:r w:rsidRPr="00CE46F6">
              <w:rPr>
                <w:rFonts w:ascii="Arial" w:hAnsi="Arial" w:cs="Arial"/>
                <w:sz w:val="16"/>
                <w:szCs w:val="16"/>
                <w:lang w:val="en-GB"/>
              </w:rPr>
              <w:t xml:space="preserve"> social benefits year-on-year by 1.4 % higher, as opposed to previous years the expenditures on pensions</w:t>
            </w:r>
            <w:r>
              <w:rPr>
                <w:rFonts w:ascii="Arial" w:hAnsi="Arial" w:cs="Arial"/>
                <w:sz w:val="16"/>
                <w:szCs w:val="16"/>
                <w:lang w:val="en-GB"/>
              </w:rPr>
              <w:t xml:space="preserve"> fell</w:t>
            </w:r>
            <w:r w:rsidRPr="00CE46F6">
              <w:rPr>
                <w:rFonts w:ascii="Arial" w:hAnsi="Arial" w:cs="Arial"/>
                <w:sz w:val="16"/>
                <w:szCs w:val="16"/>
                <w:lang w:val="en-GB"/>
              </w:rPr>
              <w:t>, on the contrary the resources on state social support and other social benefits</w:t>
            </w:r>
            <w:r>
              <w:rPr>
                <w:rFonts w:ascii="Arial" w:hAnsi="Arial" w:cs="Arial"/>
                <w:sz w:val="16"/>
                <w:szCs w:val="16"/>
                <w:lang w:val="en-GB"/>
              </w:rPr>
              <w:t xml:space="preserve"> increased</w:t>
            </w:r>
            <w:r w:rsidRPr="00CE46F6">
              <w:rPr>
                <w:lang w:val="en-GB"/>
              </w:rPr>
              <w:t xml:space="preserve"> </w:t>
            </w:r>
          </w:p>
          <w:p w:rsidR="00D6560D" w:rsidRPr="00CE46F6" w:rsidRDefault="00D6560D" w:rsidP="002336B2">
            <w:pPr>
              <w:jc w:val="left"/>
              <w:rPr>
                <w:sz w:val="16"/>
                <w:szCs w:val="16"/>
                <w:lang w:val="en-GB"/>
              </w:rPr>
            </w:pPr>
          </w:p>
        </w:tc>
        <w:tc>
          <w:tcPr>
            <w:tcW w:w="142" w:type="pct"/>
          </w:tcPr>
          <w:p w:rsidR="00D6560D" w:rsidRPr="00CE46F6" w:rsidRDefault="00D6560D" w:rsidP="002336B2">
            <w:pPr>
              <w:pStyle w:val="Textpoznpodarou"/>
              <w:jc w:val="both"/>
              <w:rPr>
                <w:lang w:val="en-GB"/>
              </w:rPr>
            </w:pPr>
          </w:p>
        </w:tc>
        <w:tc>
          <w:tcPr>
            <w:tcW w:w="3804" w:type="pct"/>
          </w:tcPr>
          <w:p w:rsidR="00D6560D" w:rsidRDefault="00D6560D" w:rsidP="002336B2">
            <w:pPr>
              <w:pStyle w:val="Textpoznpodarou"/>
              <w:jc w:val="both"/>
              <w:rPr>
                <w:rFonts w:cs="Arial"/>
                <w:spacing w:val="-4"/>
                <w:lang w:val="en-GB"/>
              </w:rPr>
            </w:pPr>
            <w:r w:rsidRPr="00CE46F6">
              <w:rPr>
                <w:rFonts w:cs="Arial"/>
                <w:spacing w:val="-4"/>
                <w:lang w:val="en-GB"/>
              </w:rPr>
              <w:t xml:space="preserve">Year-on-year growth of state budget expenditures (+21 </w:t>
            </w:r>
            <w:proofErr w:type="spellStart"/>
            <w:r w:rsidRPr="00CE46F6">
              <w:rPr>
                <w:rFonts w:cs="Arial"/>
                <w:spacing w:val="-4"/>
                <w:lang w:val="en-GB"/>
              </w:rPr>
              <w:t>bn</w:t>
            </w:r>
            <w:proofErr w:type="spellEnd"/>
            <w:r w:rsidRPr="00CE46F6">
              <w:rPr>
                <w:rFonts w:cs="Arial"/>
                <w:spacing w:val="-4"/>
                <w:lang w:val="en-GB"/>
              </w:rPr>
              <w:t xml:space="preserve"> crowns) was completely under the direction of current expenditures (+3 %)</w:t>
            </w:r>
            <w:r>
              <w:rPr>
                <w:rFonts w:cs="Arial"/>
                <w:spacing w:val="-4"/>
                <w:lang w:val="en-GB"/>
              </w:rPr>
              <w:t xml:space="preserve"> </w:t>
            </w:r>
            <w:r w:rsidRPr="00CE46F6">
              <w:rPr>
                <w:rFonts w:cs="Arial"/>
                <w:spacing w:val="-4"/>
                <w:lang w:val="en-GB"/>
              </w:rPr>
              <w:t xml:space="preserve">in 2013, while the capital expenditures year-on-year continuously decreased already for the third time in a row (against the level reached three years ago they were by one quarter lower). </w:t>
            </w:r>
            <w:r>
              <w:rPr>
                <w:rFonts w:cs="Arial"/>
                <w:spacing w:val="-4"/>
                <w:lang w:val="en-GB"/>
              </w:rPr>
              <w:t>E</w:t>
            </w:r>
            <w:r w:rsidRPr="00CE46F6">
              <w:rPr>
                <w:rFonts w:cs="Arial"/>
                <w:spacing w:val="-4"/>
                <w:lang w:val="en-GB"/>
              </w:rPr>
              <w:t xml:space="preserve">specially the investment into the transport constructions </w:t>
            </w:r>
            <w:r>
              <w:rPr>
                <w:rFonts w:cs="Arial"/>
                <w:spacing w:val="-4"/>
                <w:lang w:val="en-GB"/>
              </w:rPr>
              <w:t xml:space="preserve">weakened year-on-year </w:t>
            </w:r>
            <w:r w:rsidRPr="00CE46F6">
              <w:rPr>
                <w:rFonts w:cs="Arial"/>
                <w:spacing w:val="-4"/>
                <w:lang w:val="en-GB"/>
              </w:rPr>
              <w:t xml:space="preserve">(-11 </w:t>
            </w:r>
            <w:proofErr w:type="spellStart"/>
            <w:r w:rsidRPr="00CE46F6">
              <w:rPr>
                <w:rFonts w:cs="Arial"/>
                <w:spacing w:val="-4"/>
                <w:lang w:val="en-GB"/>
              </w:rPr>
              <w:t>bn</w:t>
            </w:r>
            <w:proofErr w:type="spellEnd"/>
            <w:r w:rsidRPr="00CE46F6">
              <w:rPr>
                <w:rFonts w:cs="Arial"/>
                <w:spacing w:val="-4"/>
                <w:lang w:val="en-GB"/>
              </w:rPr>
              <w:t xml:space="preserve"> crowns). Expenditures on pensions the most significant by volume stopped (opposed to the anticipated increase in the planned budget) their year-on-year growth (-0.3 %)</w:t>
            </w:r>
            <w:r>
              <w:rPr>
                <w:rFonts w:cs="Arial"/>
                <w:spacing w:val="-4"/>
                <w:lang w:val="en-GB"/>
              </w:rPr>
              <w:t xml:space="preserve"> </w:t>
            </w:r>
            <w:r w:rsidRPr="00CE46F6">
              <w:rPr>
                <w:rFonts w:cs="Arial"/>
                <w:spacing w:val="-4"/>
                <w:lang w:val="en-GB"/>
              </w:rPr>
              <w:t xml:space="preserve">after more than five years. The size of all social benefits on the contrary in total </w:t>
            </w:r>
            <w:r>
              <w:rPr>
                <w:rFonts w:cs="Arial"/>
                <w:spacing w:val="-4"/>
                <w:lang w:val="en-GB"/>
              </w:rPr>
              <w:t xml:space="preserve">grew </w:t>
            </w:r>
            <w:r w:rsidRPr="00CE46F6">
              <w:rPr>
                <w:rFonts w:cs="Arial"/>
                <w:spacing w:val="-4"/>
                <w:lang w:val="en-GB"/>
              </w:rPr>
              <w:t>from the start of the year (+1.4 %, on total state expenditures shared similar to last year 41.6 %). It was also assisted by the dissatisfactory situation on the labour market (continuing growth of unemployment, decrease of the real income of majority of population). State social support benefits increased year-on-year by 5 %</w:t>
            </w:r>
            <w:r>
              <w:rPr>
                <w:rFonts w:cs="Arial"/>
                <w:spacing w:val="-4"/>
                <w:lang w:val="en-GB"/>
              </w:rPr>
              <w:t xml:space="preserve"> </w:t>
            </w:r>
            <w:r w:rsidRPr="00CE46F6">
              <w:rPr>
                <w:rFonts w:cs="Arial"/>
                <w:spacing w:val="-4"/>
                <w:lang w:val="en-GB"/>
              </w:rPr>
              <w:t xml:space="preserve">in 2013, the expenditures on the unemployment benefits and other social benefits </w:t>
            </w:r>
            <w:r>
              <w:rPr>
                <w:rFonts w:cs="Arial"/>
                <w:spacing w:val="-4"/>
                <w:lang w:val="en-GB"/>
              </w:rPr>
              <w:t xml:space="preserve">then by one tenth </w:t>
            </w:r>
            <w:r w:rsidRPr="00CE46F6">
              <w:rPr>
                <w:rFonts w:cs="Arial"/>
                <w:spacing w:val="-4"/>
                <w:lang w:val="en-GB"/>
              </w:rPr>
              <w:t xml:space="preserve">(e.g. assistance in material deprivation, disability benefits, contribution to care and sickness benefits). Drawing of all main items of social benefits (apart from pensions) was this year in relation to the approved budget year-on-year higher. </w:t>
            </w:r>
          </w:p>
          <w:p w:rsidR="00D6560D" w:rsidRPr="00CE46F6" w:rsidRDefault="00D6560D" w:rsidP="002336B2">
            <w:pPr>
              <w:pStyle w:val="Textpoznpodarou"/>
              <w:jc w:val="both"/>
              <w:rPr>
                <w:rFonts w:cs="Arial"/>
                <w:spacing w:val="-4"/>
                <w:sz w:val="16"/>
                <w:lang w:val="en-GB"/>
              </w:rPr>
            </w:pPr>
          </w:p>
        </w:tc>
      </w:tr>
      <w:tr w:rsidR="00D6560D" w:rsidRPr="00CE46F6" w:rsidTr="002336B2">
        <w:tc>
          <w:tcPr>
            <w:tcW w:w="1054" w:type="pct"/>
          </w:tcPr>
          <w:p w:rsidR="00D6560D" w:rsidRPr="00CE46F6" w:rsidRDefault="00D6560D" w:rsidP="002336B2">
            <w:pPr>
              <w:jc w:val="left"/>
              <w:rPr>
                <w:sz w:val="16"/>
                <w:szCs w:val="16"/>
                <w:lang w:val="en-GB"/>
              </w:rPr>
            </w:pPr>
            <w:r w:rsidRPr="00CE46F6">
              <w:rPr>
                <w:sz w:val="16"/>
                <w:szCs w:val="16"/>
                <w:lang w:val="en-GB"/>
              </w:rPr>
              <w:t xml:space="preserve">Halting of the year-on-year deepening of the pension account deficit due to the fall </w:t>
            </w:r>
            <w:r>
              <w:rPr>
                <w:sz w:val="16"/>
                <w:szCs w:val="16"/>
                <w:lang w:val="en-GB"/>
              </w:rPr>
              <w:t xml:space="preserve">of </w:t>
            </w:r>
            <w:r w:rsidRPr="00CE46F6">
              <w:rPr>
                <w:sz w:val="16"/>
                <w:szCs w:val="16"/>
                <w:lang w:val="en-GB"/>
              </w:rPr>
              <w:t>retirees, deficit did not shrunk however as collection of insurance lower than expected</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4"/>
                <w:lang w:val="en-GB"/>
              </w:rPr>
            </w:pPr>
            <w:r w:rsidRPr="00CE46F6">
              <w:rPr>
                <w:rFonts w:cs="Arial"/>
                <w:spacing w:val="-4"/>
                <w:lang w:val="en-GB"/>
              </w:rPr>
              <w:t xml:space="preserve">Long-term deepening of pension account deficit given the year-on-year comparable weak reduction of incomes (social insurance on pensions) and expenditures (paid out pension benefits) stopped </w:t>
            </w:r>
            <w:r>
              <w:rPr>
                <w:rFonts w:cs="Arial"/>
                <w:spacing w:val="-4"/>
                <w:lang w:val="en-GB"/>
              </w:rPr>
              <w:t xml:space="preserve">in 2013 </w:t>
            </w:r>
            <w:r w:rsidRPr="00CE46F6">
              <w:rPr>
                <w:rFonts w:cs="Arial"/>
                <w:spacing w:val="-4"/>
                <w:lang w:val="en-GB"/>
              </w:rPr>
              <w:t xml:space="preserve">(whole year deficit -50 </w:t>
            </w:r>
            <w:proofErr w:type="spellStart"/>
            <w:r w:rsidRPr="00CE46F6">
              <w:rPr>
                <w:rFonts w:cs="Arial"/>
                <w:spacing w:val="-4"/>
                <w:lang w:val="en-GB"/>
              </w:rPr>
              <w:t>bn</w:t>
            </w:r>
            <w:proofErr w:type="spellEnd"/>
            <w:r w:rsidRPr="00CE46F6">
              <w:rPr>
                <w:rFonts w:cs="Arial"/>
                <w:spacing w:val="-4"/>
                <w:lang w:val="en-GB"/>
              </w:rPr>
              <w:t xml:space="preserve"> crowns). Second quarter of 2013 also terminated the period of more than two years falling dynamics of pension insurance collection, still these incomes were </w:t>
            </w:r>
            <w:r>
              <w:rPr>
                <w:rFonts w:cs="Arial"/>
                <w:spacing w:val="-4"/>
                <w:lang w:val="en-GB"/>
              </w:rPr>
              <w:t xml:space="preserve">in the aggregate for year 2013 </w:t>
            </w:r>
            <w:r w:rsidRPr="00CE46F6">
              <w:rPr>
                <w:rFonts w:cs="Arial"/>
                <w:spacing w:val="-4"/>
                <w:lang w:val="en-GB"/>
              </w:rPr>
              <w:t xml:space="preserve">year-on-year weaker by 0.3 %. </w:t>
            </w:r>
            <w:r>
              <w:rPr>
                <w:rFonts w:cs="Arial"/>
                <w:spacing w:val="-4"/>
                <w:lang w:val="en-GB"/>
              </w:rPr>
              <w:t>Both surprisingly s</w:t>
            </w:r>
            <w:r w:rsidRPr="00CE46F6">
              <w:rPr>
                <w:rFonts w:cs="Arial"/>
                <w:spacing w:val="-4"/>
                <w:lang w:val="en-GB"/>
              </w:rPr>
              <w:t>lightly falli</w:t>
            </w:r>
            <w:r>
              <w:rPr>
                <w:rFonts w:cs="Arial"/>
                <w:spacing w:val="-4"/>
                <w:lang w:val="en-GB"/>
              </w:rPr>
              <w:t xml:space="preserve">ng number of retirees (-0.3 %) and </w:t>
            </w:r>
            <w:r w:rsidRPr="00CE46F6">
              <w:rPr>
                <w:rFonts w:cs="Arial"/>
                <w:spacing w:val="-4"/>
                <w:lang w:val="en-GB"/>
              </w:rPr>
              <w:t>the long-time growing share of rec</w:t>
            </w:r>
            <w:r>
              <w:rPr>
                <w:rFonts w:cs="Arial"/>
                <w:spacing w:val="-4"/>
                <w:lang w:val="en-GB"/>
              </w:rPr>
              <w:t>ipients with permanently reduc</w:t>
            </w:r>
            <w:r w:rsidRPr="00CE46F6">
              <w:rPr>
                <w:rFonts w:cs="Arial"/>
                <w:spacing w:val="-4"/>
                <w:lang w:val="en-GB"/>
              </w:rPr>
              <w:t>ed pension</w:t>
            </w:r>
            <w:r>
              <w:rPr>
                <w:rFonts w:cs="Arial"/>
                <w:spacing w:val="-4"/>
                <w:lang w:val="en-GB"/>
              </w:rPr>
              <w:t xml:space="preserve"> affected t</w:t>
            </w:r>
            <w:r w:rsidRPr="00CE46F6">
              <w:rPr>
                <w:rFonts w:cs="Arial"/>
                <w:spacing w:val="-4"/>
                <w:lang w:val="en-GB"/>
              </w:rPr>
              <w:t xml:space="preserve">he size of paid out insurance. Adverse situation on the labour market in 2013 also mirrored in the non-fulfilment (-6 </w:t>
            </w:r>
            <w:proofErr w:type="spellStart"/>
            <w:r w:rsidRPr="00CE46F6">
              <w:rPr>
                <w:rFonts w:cs="Arial"/>
                <w:spacing w:val="-4"/>
                <w:lang w:val="en-GB"/>
              </w:rPr>
              <w:t>bn</w:t>
            </w:r>
            <w:proofErr w:type="spellEnd"/>
            <w:r w:rsidRPr="00CE46F6">
              <w:rPr>
                <w:rFonts w:cs="Arial"/>
                <w:spacing w:val="-4"/>
                <w:lang w:val="en-GB"/>
              </w:rPr>
              <w:t xml:space="preserve"> crowns) </w:t>
            </w:r>
            <w:r>
              <w:rPr>
                <w:rFonts w:cs="Arial"/>
                <w:spacing w:val="-4"/>
                <w:lang w:val="en-GB"/>
              </w:rPr>
              <w:t>o</w:t>
            </w:r>
            <w:r w:rsidRPr="00CE46F6">
              <w:rPr>
                <w:rFonts w:cs="Arial"/>
                <w:spacing w:val="-4"/>
                <w:lang w:val="en-GB"/>
              </w:rPr>
              <w:t>f budget-anticipated collection of insurance.</w:t>
            </w:r>
          </w:p>
          <w:p w:rsidR="00D6560D" w:rsidRPr="00CE46F6" w:rsidRDefault="00D6560D" w:rsidP="002336B2">
            <w:pPr>
              <w:pStyle w:val="Textpoznpodarou"/>
              <w:jc w:val="both"/>
              <w:rPr>
                <w:rFonts w:cs="Arial"/>
                <w:spacing w:val="-4"/>
                <w:sz w:val="12"/>
                <w:szCs w:val="12"/>
                <w:lang w:val="en-GB"/>
              </w:rPr>
            </w:pPr>
          </w:p>
        </w:tc>
      </w:tr>
      <w:tr w:rsidR="00D6560D" w:rsidRPr="00CE46F6" w:rsidTr="002336B2">
        <w:tc>
          <w:tcPr>
            <w:tcW w:w="1054" w:type="pct"/>
          </w:tcPr>
          <w:p w:rsidR="00D6560D" w:rsidRPr="00CE46F6" w:rsidRDefault="00D6560D" w:rsidP="002336B2">
            <w:pPr>
              <w:jc w:val="left"/>
              <w:rPr>
                <w:sz w:val="16"/>
                <w:szCs w:val="16"/>
                <w:lang w:val="en-GB"/>
              </w:rPr>
            </w:pPr>
            <w:r>
              <w:rPr>
                <w:sz w:val="16"/>
                <w:szCs w:val="16"/>
                <w:lang w:val="en-GB"/>
              </w:rPr>
              <w:t>Since its accession</w:t>
            </w:r>
            <w:r w:rsidRPr="00CE46F6">
              <w:rPr>
                <w:sz w:val="16"/>
                <w:szCs w:val="16"/>
                <w:lang w:val="en-GB"/>
              </w:rPr>
              <w:t xml:space="preserve"> into the EU, the CR has so far gained in „net“ 333 </w:t>
            </w:r>
            <w:proofErr w:type="spellStart"/>
            <w:r w:rsidRPr="00CE46F6">
              <w:rPr>
                <w:sz w:val="16"/>
                <w:szCs w:val="16"/>
                <w:lang w:val="en-GB"/>
              </w:rPr>
              <w:t>bn</w:t>
            </w:r>
            <w:proofErr w:type="spellEnd"/>
            <w:r w:rsidRPr="00CE46F6">
              <w:rPr>
                <w:sz w:val="16"/>
                <w:szCs w:val="16"/>
                <w:lang w:val="en-GB"/>
              </w:rPr>
              <w:t xml:space="preserve"> crowns, one quarter of this amount only in year 2013 itself</w:t>
            </w:r>
          </w:p>
          <w:p w:rsidR="00D6560D" w:rsidRPr="00CE46F6" w:rsidRDefault="00D6560D" w:rsidP="002336B2">
            <w:pPr>
              <w:jc w:val="left"/>
              <w:rPr>
                <w:sz w:val="16"/>
                <w:szCs w:val="16"/>
                <w:lang w:val="en-GB"/>
              </w:rPr>
            </w:pP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4"/>
                <w:lang w:val="en-GB"/>
              </w:rPr>
            </w:pPr>
            <w:r w:rsidRPr="00CE46F6">
              <w:rPr>
                <w:rFonts w:cs="Arial"/>
                <w:spacing w:val="-4"/>
                <w:lang w:val="en-GB"/>
              </w:rPr>
              <w:t>Net positive position of the CR towards the EU budget achieved a record size</w:t>
            </w:r>
            <w:r>
              <w:rPr>
                <w:rFonts w:cs="Arial"/>
                <w:spacing w:val="-4"/>
                <w:lang w:val="en-GB"/>
              </w:rPr>
              <w:t xml:space="preserve"> </w:t>
            </w:r>
            <w:r w:rsidRPr="00CE46F6">
              <w:rPr>
                <w:rFonts w:cs="Arial"/>
                <w:spacing w:val="-4"/>
                <w:lang w:val="en-GB"/>
              </w:rPr>
              <w:t xml:space="preserve">in 2013, the difference between revenues and payments arrived at 84 </w:t>
            </w:r>
            <w:proofErr w:type="spellStart"/>
            <w:r w:rsidRPr="00CE46F6">
              <w:rPr>
                <w:rFonts w:cs="Arial"/>
                <w:spacing w:val="-4"/>
                <w:lang w:val="en-GB"/>
              </w:rPr>
              <w:t>bn</w:t>
            </w:r>
            <w:proofErr w:type="spellEnd"/>
            <w:r w:rsidRPr="00CE46F6">
              <w:rPr>
                <w:rFonts w:cs="Arial"/>
                <w:spacing w:val="-4"/>
                <w:lang w:val="en-GB"/>
              </w:rPr>
              <w:t xml:space="preserve"> crowns (year-on-year by +11 bn.). Nearly half of the revenues came from the structural funds. From the view of the CR revenues, the significance of the Cohesion Funds </w:t>
            </w:r>
            <w:r>
              <w:rPr>
                <w:rFonts w:cs="Arial"/>
                <w:spacing w:val="-4"/>
                <w:lang w:val="en-GB"/>
              </w:rPr>
              <w:t xml:space="preserve">strengthens </w:t>
            </w:r>
            <w:r w:rsidRPr="00CE46F6">
              <w:rPr>
                <w:rFonts w:cs="Arial"/>
                <w:spacing w:val="-4"/>
                <w:lang w:val="en-GB"/>
              </w:rPr>
              <w:t>to the detriment of resources for the Regional Development Fund</w:t>
            </w:r>
            <w:r>
              <w:rPr>
                <w:rFonts w:cs="Arial"/>
                <w:spacing w:val="-4"/>
                <w:lang w:val="en-GB"/>
              </w:rPr>
              <w:t xml:space="preserve"> in the long term</w:t>
            </w:r>
            <w:r w:rsidRPr="00CE46F6">
              <w:rPr>
                <w:rFonts w:cs="Arial"/>
                <w:spacing w:val="-4"/>
                <w:lang w:val="en-GB"/>
              </w:rPr>
              <w:t xml:space="preserve">. For years 2004-2013 the CR paid to the EU budget 342.8 </w:t>
            </w:r>
            <w:proofErr w:type="spellStart"/>
            <w:r w:rsidRPr="00CE46F6">
              <w:rPr>
                <w:rFonts w:cs="Arial"/>
                <w:spacing w:val="-4"/>
                <w:lang w:val="en-GB"/>
              </w:rPr>
              <w:t>bn</w:t>
            </w:r>
            <w:proofErr w:type="spellEnd"/>
            <w:r w:rsidRPr="00CE46F6">
              <w:rPr>
                <w:rFonts w:cs="Arial"/>
                <w:spacing w:val="-4"/>
                <w:lang w:val="en-GB"/>
              </w:rPr>
              <w:t xml:space="preserve"> crowns and received from it 676.2 </w:t>
            </w:r>
            <w:proofErr w:type="spellStart"/>
            <w:r w:rsidRPr="00CE46F6">
              <w:rPr>
                <w:rFonts w:cs="Arial"/>
                <w:spacing w:val="-4"/>
                <w:lang w:val="en-GB"/>
              </w:rPr>
              <w:t>bn</w:t>
            </w:r>
            <w:proofErr w:type="spellEnd"/>
            <w:r w:rsidRPr="00CE46F6">
              <w:rPr>
                <w:rFonts w:cs="Arial"/>
                <w:spacing w:val="-4"/>
                <w:lang w:val="en-GB"/>
              </w:rPr>
              <w:t xml:space="preserve"> crowns.  </w:t>
            </w:r>
          </w:p>
          <w:p w:rsidR="00D6560D" w:rsidRPr="00CE46F6" w:rsidRDefault="00D6560D" w:rsidP="002336B2">
            <w:pPr>
              <w:pStyle w:val="Textpoznpodarou"/>
              <w:jc w:val="both"/>
              <w:rPr>
                <w:rFonts w:cs="Arial"/>
                <w:spacing w:val="-4"/>
                <w:sz w:val="12"/>
                <w:szCs w:val="12"/>
                <w:lang w:val="en-GB"/>
              </w:rPr>
            </w:pPr>
          </w:p>
        </w:tc>
      </w:tr>
      <w:tr w:rsidR="00D6560D" w:rsidRPr="00CE46F6" w:rsidTr="002336B2">
        <w:tc>
          <w:tcPr>
            <w:tcW w:w="1054" w:type="pct"/>
          </w:tcPr>
          <w:p w:rsidR="00D6560D" w:rsidRPr="00CE46F6" w:rsidRDefault="00D6560D" w:rsidP="002336B2">
            <w:pPr>
              <w:jc w:val="left"/>
              <w:rPr>
                <w:spacing w:val="-2"/>
                <w:sz w:val="16"/>
                <w:szCs w:val="16"/>
                <w:lang w:val="en-GB"/>
              </w:rPr>
            </w:pPr>
            <w:r w:rsidRPr="00CE46F6">
              <w:rPr>
                <w:spacing w:val="-2"/>
                <w:sz w:val="16"/>
                <w:szCs w:val="16"/>
                <w:lang w:val="en-GB"/>
              </w:rPr>
              <w:t>In 2013 the lowest increment of the state debt since 1996, due  to the considerable year-on-year fall of the volume of loans</w:t>
            </w:r>
          </w:p>
        </w:tc>
        <w:tc>
          <w:tcPr>
            <w:tcW w:w="142" w:type="pct"/>
          </w:tcPr>
          <w:p w:rsidR="00D6560D" w:rsidRPr="00CE46F6" w:rsidRDefault="00D6560D" w:rsidP="002336B2">
            <w:pPr>
              <w:pStyle w:val="Textpoznpodarou"/>
              <w:jc w:val="both"/>
              <w:rPr>
                <w:lang w:val="en-GB"/>
              </w:rPr>
            </w:pPr>
          </w:p>
        </w:tc>
        <w:tc>
          <w:tcPr>
            <w:tcW w:w="3804" w:type="pct"/>
          </w:tcPr>
          <w:p w:rsidR="00D6560D" w:rsidRPr="00CE46F6" w:rsidRDefault="00D6560D" w:rsidP="002336B2">
            <w:pPr>
              <w:pStyle w:val="Textpoznpodarou"/>
              <w:jc w:val="both"/>
              <w:rPr>
                <w:rFonts w:cs="Arial"/>
                <w:spacing w:val="-4"/>
                <w:lang w:val="en-GB"/>
              </w:rPr>
            </w:pPr>
            <w:r w:rsidRPr="00CE46F6">
              <w:rPr>
                <w:rFonts w:cs="Arial"/>
                <w:spacing w:val="-4"/>
                <w:lang w:val="en-GB"/>
              </w:rPr>
              <w:t xml:space="preserve">Total state debt increased by 15.7 </w:t>
            </w:r>
            <w:proofErr w:type="spellStart"/>
            <w:r w:rsidRPr="00CE46F6">
              <w:rPr>
                <w:rFonts w:cs="Arial"/>
                <w:spacing w:val="-4"/>
                <w:lang w:val="en-GB"/>
              </w:rPr>
              <w:t>bn</w:t>
            </w:r>
            <w:proofErr w:type="spellEnd"/>
            <w:r w:rsidRPr="00CE46F6">
              <w:rPr>
                <w:rFonts w:cs="Arial"/>
                <w:spacing w:val="-4"/>
                <w:lang w:val="en-GB"/>
              </w:rPr>
              <w:t xml:space="preserve"> crowns</w:t>
            </w:r>
            <w:r>
              <w:rPr>
                <w:rFonts w:cs="Arial"/>
                <w:spacing w:val="-4"/>
                <w:lang w:val="en-GB"/>
              </w:rPr>
              <w:t xml:space="preserve"> </w:t>
            </w:r>
            <w:r w:rsidRPr="00CE46F6">
              <w:rPr>
                <w:rFonts w:cs="Arial"/>
                <w:spacing w:val="-4"/>
                <w:lang w:val="en-GB"/>
              </w:rPr>
              <w:t>during the year 2013, the size of the addition in absolute terms was less than one tenth</w:t>
            </w:r>
            <w:r>
              <w:rPr>
                <w:rFonts w:cs="Arial"/>
                <w:spacing w:val="-4"/>
                <w:lang w:val="en-GB"/>
              </w:rPr>
              <w:t xml:space="preserve"> </w:t>
            </w:r>
            <w:r w:rsidRPr="00CE46F6">
              <w:rPr>
                <w:rFonts w:cs="Arial"/>
                <w:spacing w:val="-4"/>
                <w:lang w:val="en-GB"/>
              </w:rPr>
              <w:t xml:space="preserve">compared to the preceding year. Markedly better result was reached thanks to the considerable drop in the volume of state treasury bills (-75 </w:t>
            </w:r>
            <w:proofErr w:type="spellStart"/>
            <w:r w:rsidRPr="00CE46F6">
              <w:rPr>
                <w:rFonts w:cs="Arial"/>
                <w:spacing w:val="-4"/>
                <w:lang w:val="en-GB"/>
              </w:rPr>
              <w:t>bn</w:t>
            </w:r>
            <w:proofErr w:type="spellEnd"/>
            <w:r w:rsidRPr="00CE46F6">
              <w:rPr>
                <w:rFonts w:cs="Arial"/>
                <w:spacing w:val="-4"/>
                <w:lang w:val="en-GB"/>
              </w:rPr>
              <w:t xml:space="preserve"> crowns) as well as issue of foreign bonds (-69 </w:t>
            </w:r>
            <w:proofErr w:type="spellStart"/>
            <w:r w:rsidRPr="00CE46F6">
              <w:rPr>
                <w:rFonts w:cs="Arial"/>
                <w:spacing w:val="-4"/>
                <w:lang w:val="en-GB"/>
              </w:rPr>
              <w:t>bn</w:t>
            </w:r>
            <w:proofErr w:type="spellEnd"/>
            <w:r w:rsidRPr="00CE46F6">
              <w:rPr>
                <w:rFonts w:cs="Arial"/>
                <w:spacing w:val="-4"/>
                <w:lang w:val="en-GB"/>
              </w:rPr>
              <w:t xml:space="preserve"> crowns). Three quarters of the state debt was allotted to the internal debt at the end of  2013 (whose size stagnated year-on-year), the exchange rate influences took care of a mild growth of foreign indebtedness while accompanied by a low volume of both loans and repayments. Given the structure of creditors the weight of financial institutions decreased to the benefit of non-</w:t>
            </w:r>
            <w:proofErr w:type="spellStart"/>
            <w:r w:rsidRPr="00CE46F6">
              <w:rPr>
                <w:rFonts w:cs="Arial"/>
                <w:spacing w:val="-4"/>
                <w:lang w:val="en-GB"/>
              </w:rPr>
              <w:t>re</w:t>
            </w:r>
            <w:r>
              <w:rPr>
                <w:rFonts w:cs="Arial"/>
                <w:spacing w:val="-4"/>
                <w:lang w:val="en-GB"/>
              </w:rPr>
              <w:t>z</w:t>
            </w:r>
            <w:r w:rsidRPr="00CE46F6">
              <w:rPr>
                <w:rFonts w:cs="Arial"/>
                <w:spacing w:val="-4"/>
                <w:lang w:val="en-GB"/>
              </w:rPr>
              <w:t>idents</w:t>
            </w:r>
            <w:proofErr w:type="spellEnd"/>
            <w:r w:rsidRPr="00CE46F6">
              <w:rPr>
                <w:rFonts w:cs="Arial"/>
                <w:spacing w:val="-4"/>
                <w:lang w:val="en-GB"/>
              </w:rPr>
              <w:t xml:space="preserve"> and households (which at the end of 2013 held 4.9 % of the CR state debt).</w:t>
            </w:r>
          </w:p>
        </w:tc>
      </w:tr>
    </w:tbl>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p w:rsidR="00D6560D" w:rsidRDefault="00D6560D" w:rsidP="00D6560D">
      <w:pPr>
        <w:pStyle w:val="Bezmezer"/>
        <w:rPr>
          <w:szCs w:val="14"/>
          <w:lang w:val="en-GB"/>
        </w:rPr>
      </w:pPr>
    </w:p>
    <w:tbl>
      <w:tblPr>
        <w:tblW w:w="5000" w:type="pct"/>
        <w:tblCellMar>
          <w:left w:w="28" w:type="dxa"/>
          <w:right w:w="28" w:type="dxa"/>
        </w:tblCellMar>
        <w:tblLook w:val="04A0"/>
      </w:tblPr>
      <w:tblGrid>
        <w:gridCol w:w="1022"/>
        <w:gridCol w:w="3893"/>
        <w:gridCol w:w="1053"/>
        <w:gridCol w:w="3726"/>
      </w:tblGrid>
      <w:tr w:rsidR="00D6560D" w:rsidRPr="00CE46F6" w:rsidTr="002336B2">
        <w:tc>
          <w:tcPr>
            <w:tcW w:w="527" w:type="pct"/>
          </w:tcPr>
          <w:p w:rsidR="00D6560D" w:rsidRPr="00CE46F6" w:rsidRDefault="00D6560D" w:rsidP="002336B2">
            <w:pPr>
              <w:jc w:val="left"/>
              <w:rPr>
                <w:lang w:val="en-GB"/>
              </w:rPr>
            </w:pPr>
            <w:r w:rsidRPr="00CE46F6">
              <w:rPr>
                <w:lang w:val="en-GB"/>
              </w:rPr>
              <w:lastRenderedPageBreak/>
              <w:t>Chart 21</w:t>
            </w:r>
          </w:p>
        </w:tc>
        <w:tc>
          <w:tcPr>
            <w:tcW w:w="2008" w:type="pct"/>
          </w:tcPr>
          <w:p w:rsidR="00D6560D" w:rsidRPr="00CE46F6" w:rsidRDefault="00D6560D" w:rsidP="002336B2">
            <w:pPr>
              <w:jc w:val="left"/>
              <w:rPr>
                <w:lang w:val="en-GB"/>
              </w:rPr>
            </w:pPr>
            <w:r w:rsidRPr="00CE46F6">
              <w:rPr>
                <w:rFonts w:cs="Arial"/>
                <w:b/>
                <w:bCs/>
                <w:lang w:val="en-GB"/>
              </w:rPr>
              <w:t>State-wide collection of tax revenues and state budget balance development</w:t>
            </w:r>
            <w:r w:rsidRPr="00CE46F6">
              <w:rPr>
                <w:lang w:val="en-GB"/>
              </w:rPr>
              <w:t xml:space="preserve"> </w:t>
            </w:r>
          </w:p>
        </w:tc>
        <w:tc>
          <w:tcPr>
            <w:tcW w:w="543" w:type="pct"/>
          </w:tcPr>
          <w:p w:rsidR="00D6560D" w:rsidRPr="00CE46F6" w:rsidRDefault="00D6560D" w:rsidP="002336B2">
            <w:pPr>
              <w:jc w:val="left"/>
              <w:rPr>
                <w:lang w:val="en-GB"/>
              </w:rPr>
            </w:pPr>
            <w:r w:rsidRPr="00CE46F6">
              <w:rPr>
                <w:lang w:val="en-GB"/>
              </w:rPr>
              <w:t>Chart 22</w:t>
            </w:r>
          </w:p>
        </w:tc>
        <w:tc>
          <w:tcPr>
            <w:tcW w:w="1922" w:type="pct"/>
          </w:tcPr>
          <w:p w:rsidR="00D6560D" w:rsidRPr="006F7D89" w:rsidRDefault="00D6560D" w:rsidP="002336B2">
            <w:pPr>
              <w:jc w:val="left"/>
              <w:rPr>
                <w:spacing w:val="-2"/>
                <w:lang w:val="en-GB"/>
              </w:rPr>
            </w:pPr>
            <w:r w:rsidRPr="006F7D89">
              <w:rPr>
                <w:rFonts w:cs="Arial"/>
                <w:b/>
                <w:bCs/>
                <w:spacing w:val="-2"/>
                <w:lang w:val="en-GB"/>
              </w:rPr>
              <w:t xml:space="preserve">Pension account balance and number of pensioners development </w:t>
            </w:r>
          </w:p>
        </w:tc>
      </w:tr>
      <w:tr w:rsidR="00D6560D" w:rsidRPr="00CE46F6" w:rsidTr="002336B2">
        <w:tc>
          <w:tcPr>
            <w:tcW w:w="2535" w:type="pct"/>
            <w:gridSpan w:val="2"/>
          </w:tcPr>
          <w:p w:rsidR="00D6560D" w:rsidRPr="00CE46F6" w:rsidRDefault="004A4029" w:rsidP="002336B2">
            <w:pPr>
              <w:pStyle w:val="Textpoznpodarou"/>
              <w:jc w:val="both"/>
              <w:rPr>
                <w:lang w:val="en-GB"/>
              </w:rPr>
            </w:pPr>
            <w:r w:rsidRPr="005E3254">
              <w:rPr>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199.7pt">
                  <v:imagedata r:id="rId8" o:title=""/>
                </v:shape>
              </w:pict>
            </w:r>
          </w:p>
        </w:tc>
        <w:tc>
          <w:tcPr>
            <w:tcW w:w="2465" w:type="pct"/>
            <w:gridSpan w:val="2"/>
          </w:tcPr>
          <w:p w:rsidR="00D6560D" w:rsidRPr="00CE46F6" w:rsidRDefault="004A4029" w:rsidP="002336B2">
            <w:pPr>
              <w:pStyle w:val="Textpoznpodarou"/>
              <w:jc w:val="both"/>
              <w:rPr>
                <w:lang w:val="en-GB"/>
              </w:rPr>
            </w:pPr>
            <w:r w:rsidRPr="005E3254">
              <w:rPr>
                <w:szCs w:val="14"/>
              </w:rPr>
              <w:pict>
                <v:shape id="_x0000_i1026" type="#_x0000_t75" style="width:233.65pt;height:199.7pt">
                  <v:imagedata r:id="rId9" o:title=""/>
                </v:shape>
              </w:pict>
            </w:r>
          </w:p>
        </w:tc>
      </w:tr>
      <w:tr w:rsidR="00D6560D" w:rsidRPr="00CE46F6" w:rsidTr="002336B2">
        <w:trPr>
          <w:trHeight w:val="74"/>
        </w:trPr>
        <w:tc>
          <w:tcPr>
            <w:tcW w:w="5000" w:type="pct"/>
            <w:gridSpan w:val="4"/>
          </w:tcPr>
          <w:p w:rsidR="00D6560D" w:rsidRPr="00CE46F6" w:rsidRDefault="00D6560D" w:rsidP="002336B2">
            <w:pPr>
              <w:pStyle w:val="Textpoznpodarou"/>
              <w:rPr>
                <w:sz w:val="6"/>
                <w:szCs w:val="18"/>
                <w:lang w:val="en-GB"/>
              </w:rPr>
            </w:pPr>
          </w:p>
        </w:tc>
      </w:tr>
    </w:tbl>
    <w:p w:rsidR="00D6560D" w:rsidRPr="00CE46F6" w:rsidRDefault="00D6560D" w:rsidP="00D6560D">
      <w:pPr>
        <w:pStyle w:val="Textpoznpodarou"/>
        <w:spacing w:line="96" w:lineRule="auto"/>
        <w:jc w:val="both"/>
        <w:rPr>
          <w:lang w:val="en-GB"/>
        </w:rPr>
      </w:pPr>
    </w:p>
    <w:tbl>
      <w:tblPr>
        <w:tblW w:w="5007" w:type="pct"/>
        <w:tblLayout w:type="fixed"/>
        <w:tblCellMar>
          <w:left w:w="28" w:type="dxa"/>
          <w:right w:w="28" w:type="dxa"/>
        </w:tblCellMar>
        <w:tblLook w:val="04A0"/>
      </w:tblPr>
      <w:tblGrid>
        <w:gridCol w:w="1015"/>
        <w:gridCol w:w="3872"/>
        <w:gridCol w:w="949"/>
        <w:gridCol w:w="3872"/>
      </w:tblGrid>
      <w:tr w:rsidR="00D6560D" w:rsidRPr="00CE46F6" w:rsidTr="002336B2">
        <w:tc>
          <w:tcPr>
            <w:tcW w:w="523" w:type="pct"/>
          </w:tcPr>
          <w:p w:rsidR="00D6560D" w:rsidRPr="00CE46F6" w:rsidRDefault="00D6560D" w:rsidP="002336B2">
            <w:pPr>
              <w:jc w:val="left"/>
              <w:rPr>
                <w:lang w:val="en-GB"/>
              </w:rPr>
            </w:pPr>
            <w:r w:rsidRPr="00CE46F6">
              <w:rPr>
                <w:lang w:val="en-GB"/>
              </w:rPr>
              <w:t>Chart 23</w:t>
            </w:r>
          </w:p>
        </w:tc>
        <w:tc>
          <w:tcPr>
            <w:tcW w:w="1994" w:type="pct"/>
          </w:tcPr>
          <w:p w:rsidR="00D6560D" w:rsidRPr="00CE46F6" w:rsidRDefault="00D6560D" w:rsidP="002336B2">
            <w:pPr>
              <w:pStyle w:val="Textpoznpodarou"/>
              <w:rPr>
                <w:rFonts w:cs="Arial"/>
                <w:szCs w:val="24"/>
                <w:lang w:val="en-GB"/>
              </w:rPr>
            </w:pPr>
            <w:r w:rsidRPr="00CE46F6">
              <w:rPr>
                <w:rFonts w:cs="Arial"/>
                <w:b/>
                <w:bCs/>
                <w:lang w:val="en-GB"/>
              </w:rPr>
              <w:t>Structure of revenues of the CR from the EU budget and net position of the CR towards the EU budget</w:t>
            </w:r>
          </w:p>
        </w:tc>
        <w:tc>
          <w:tcPr>
            <w:tcW w:w="489" w:type="pct"/>
          </w:tcPr>
          <w:p w:rsidR="00D6560D" w:rsidRPr="00CE46F6" w:rsidRDefault="00D6560D" w:rsidP="002336B2">
            <w:pPr>
              <w:jc w:val="left"/>
              <w:rPr>
                <w:lang w:val="en-GB"/>
              </w:rPr>
            </w:pPr>
            <w:r w:rsidRPr="00CE46F6">
              <w:rPr>
                <w:lang w:val="en-GB"/>
              </w:rPr>
              <w:t>Chart 24</w:t>
            </w:r>
          </w:p>
        </w:tc>
        <w:tc>
          <w:tcPr>
            <w:tcW w:w="1995" w:type="pct"/>
          </w:tcPr>
          <w:p w:rsidR="00D6560D" w:rsidRDefault="00D6560D" w:rsidP="002336B2">
            <w:pPr>
              <w:jc w:val="left"/>
              <w:rPr>
                <w:rFonts w:cs="Arial"/>
                <w:b/>
                <w:bCs/>
                <w:lang w:val="en-GB"/>
              </w:rPr>
            </w:pPr>
            <w:r w:rsidRPr="00CE46F6">
              <w:rPr>
                <w:rFonts w:cs="Arial"/>
                <w:b/>
                <w:bCs/>
                <w:lang w:val="en-GB"/>
              </w:rPr>
              <w:t xml:space="preserve">Selected state budget expenditures </w:t>
            </w:r>
          </w:p>
          <w:p w:rsidR="00D6560D" w:rsidRPr="00CE46F6" w:rsidRDefault="00D6560D" w:rsidP="002336B2">
            <w:pPr>
              <w:jc w:val="left"/>
              <w:rPr>
                <w:lang w:val="en-GB"/>
              </w:rPr>
            </w:pPr>
            <w:r w:rsidRPr="00CE46F6">
              <w:rPr>
                <w:rFonts w:cs="Arial"/>
                <w:b/>
                <w:bCs/>
                <w:lang w:val="en-GB"/>
              </w:rPr>
              <w:t>in years 2005-2013</w:t>
            </w:r>
          </w:p>
        </w:tc>
      </w:tr>
      <w:tr w:rsidR="00D6560D" w:rsidRPr="00CE46F6" w:rsidTr="002336B2">
        <w:tc>
          <w:tcPr>
            <w:tcW w:w="2516" w:type="pct"/>
            <w:gridSpan w:val="2"/>
          </w:tcPr>
          <w:p w:rsidR="00D6560D" w:rsidRPr="00CE46F6" w:rsidRDefault="004A4029" w:rsidP="002336B2">
            <w:pPr>
              <w:pStyle w:val="Textpoznpodarou"/>
              <w:jc w:val="both"/>
              <w:rPr>
                <w:lang w:val="en-GB"/>
              </w:rPr>
            </w:pPr>
            <w:r w:rsidRPr="005E3254">
              <w:rPr>
                <w:szCs w:val="14"/>
              </w:rPr>
              <w:pict>
                <v:shape id="_x0000_i1027" type="#_x0000_t75" style="width:239.75pt;height:200.4pt">
                  <v:imagedata r:id="rId10" o:title=""/>
                </v:shape>
              </w:pict>
            </w:r>
          </w:p>
        </w:tc>
        <w:tc>
          <w:tcPr>
            <w:tcW w:w="2484" w:type="pct"/>
            <w:gridSpan w:val="2"/>
          </w:tcPr>
          <w:p w:rsidR="00D6560D" w:rsidRPr="00CE46F6" w:rsidRDefault="004A4029" w:rsidP="002336B2">
            <w:pPr>
              <w:pStyle w:val="Textpoznpodarou"/>
              <w:jc w:val="both"/>
              <w:rPr>
                <w:lang w:val="en-GB"/>
              </w:rPr>
            </w:pPr>
            <w:r w:rsidRPr="005E3254">
              <w:rPr>
                <w:szCs w:val="14"/>
              </w:rPr>
              <w:pict>
                <v:shape id="_x0000_i1028" type="#_x0000_t75" style="width:238.4pt;height:200.4pt">
                  <v:imagedata r:id="rId11" o:title=""/>
                </v:shape>
              </w:pict>
            </w:r>
          </w:p>
        </w:tc>
      </w:tr>
      <w:tr w:rsidR="00D6560D" w:rsidRPr="00CE46F6" w:rsidTr="002336B2">
        <w:tc>
          <w:tcPr>
            <w:tcW w:w="2516" w:type="pct"/>
            <w:gridSpan w:val="2"/>
          </w:tcPr>
          <w:p w:rsidR="00D6560D" w:rsidRPr="00CE46F6" w:rsidRDefault="00D6560D" w:rsidP="002336B2">
            <w:pPr>
              <w:pStyle w:val="Textpoznpodarou"/>
              <w:jc w:val="both"/>
              <w:rPr>
                <w:lang w:val="en-GB"/>
              </w:rPr>
            </w:pPr>
          </w:p>
        </w:tc>
        <w:tc>
          <w:tcPr>
            <w:tcW w:w="2484" w:type="pct"/>
            <w:gridSpan w:val="2"/>
          </w:tcPr>
          <w:p w:rsidR="00D6560D" w:rsidRPr="00CE46F6" w:rsidRDefault="00D6560D" w:rsidP="002336B2">
            <w:pPr>
              <w:pStyle w:val="Textpoznpodarou"/>
              <w:rPr>
                <w:lang w:val="en-GB"/>
              </w:rPr>
            </w:pPr>
            <w:r>
              <w:rPr>
                <w:rFonts w:cs="Arial"/>
                <w:noProof/>
                <w:sz w:val="18"/>
                <w:lang w:val="en-GB"/>
              </w:rPr>
              <w:t>*S</w:t>
            </w:r>
            <w:r w:rsidRPr="00CE46F6">
              <w:rPr>
                <w:rFonts w:cs="Arial"/>
                <w:noProof/>
                <w:sz w:val="18"/>
                <w:lang w:val="en-GB"/>
              </w:rPr>
              <w:t>tate contributions</w:t>
            </w:r>
          </w:p>
        </w:tc>
      </w:tr>
      <w:tr w:rsidR="00D6560D" w:rsidRPr="00CE46F6" w:rsidTr="002336B2">
        <w:tc>
          <w:tcPr>
            <w:tcW w:w="5000" w:type="pct"/>
            <w:gridSpan w:val="4"/>
          </w:tcPr>
          <w:p w:rsidR="00D6560D" w:rsidRPr="00CE46F6" w:rsidRDefault="00D6560D" w:rsidP="002336B2">
            <w:pPr>
              <w:jc w:val="right"/>
              <w:rPr>
                <w:rFonts w:cs="Arial"/>
                <w:noProof/>
                <w:sz w:val="18"/>
                <w:szCs w:val="18"/>
                <w:lang w:val="en-GB"/>
              </w:rPr>
            </w:pPr>
            <w:r w:rsidRPr="00CE46F6">
              <w:rPr>
                <w:rFonts w:cs="Arial"/>
                <w:sz w:val="18"/>
                <w:szCs w:val="18"/>
                <w:lang w:val="en-GB"/>
              </w:rPr>
              <w:t>Source: MF CR</w:t>
            </w:r>
          </w:p>
        </w:tc>
      </w:tr>
      <w:tr w:rsidR="00D6560D" w:rsidRPr="00CE46F6" w:rsidTr="002336B2">
        <w:tc>
          <w:tcPr>
            <w:tcW w:w="5000" w:type="pct"/>
            <w:gridSpan w:val="4"/>
          </w:tcPr>
          <w:p w:rsidR="00D6560D" w:rsidRPr="00CE46F6" w:rsidRDefault="00D6560D" w:rsidP="002336B2">
            <w:pPr>
              <w:rPr>
                <w:rFonts w:cs="Arial"/>
                <w:sz w:val="18"/>
                <w:szCs w:val="18"/>
                <w:lang w:val="en-GB"/>
              </w:rPr>
            </w:pPr>
          </w:p>
        </w:tc>
      </w:tr>
    </w:tbl>
    <w:p w:rsidR="00D6560D" w:rsidRPr="00CE46F6" w:rsidRDefault="00D6560D" w:rsidP="00D6560D">
      <w:pPr>
        <w:pStyle w:val="Nadpis1"/>
        <w:numPr>
          <w:ilvl w:val="0"/>
          <w:numId w:val="0"/>
        </w:numPr>
        <w:rPr>
          <w:lang w:val="en-GB"/>
        </w:rPr>
      </w:pPr>
    </w:p>
    <w:p w:rsidR="00D6560D" w:rsidRPr="00CE46F6" w:rsidRDefault="00D6560D" w:rsidP="00D6560D">
      <w:pPr>
        <w:pStyle w:val="Nadpis1"/>
        <w:numPr>
          <w:ilvl w:val="0"/>
          <w:numId w:val="0"/>
        </w:numPr>
        <w:spacing w:before="0" w:after="0"/>
        <w:rPr>
          <w:b w:val="0"/>
          <w:bCs w:val="0"/>
          <w:sz w:val="14"/>
          <w:szCs w:val="14"/>
          <w:lang w:val="en-GB"/>
        </w:rPr>
      </w:pPr>
      <w:r w:rsidRPr="00CE46F6">
        <w:rPr>
          <w:rFonts w:cs="Arial"/>
          <w:b w:val="0"/>
          <w:bCs w:val="0"/>
          <w:sz w:val="20"/>
          <w:szCs w:val="20"/>
          <w:lang w:val="en-GB"/>
        </w:rPr>
        <w:t xml:space="preserve">Sources of data in the whole analysis: CZSO, MF CR, CNB, </w:t>
      </w:r>
      <w:proofErr w:type="spellStart"/>
      <w:r w:rsidRPr="00CE46F6">
        <w:rPr>
          <w:rFonts w:cs="Arial"/>
          <w:b w:val="0"/>
          <w:bCs w:val="0"/>
          <w:sz w:val="20"/>
          <w:szCs w:val="20"/>
          <w:lang w:val="en-GB"/>
        </w:rPr>
        <w:t>Eurostat</w:t>
      </w:r>
      <w:proofErr w:type="spellEnd"/>
      <w:r w:rsidRPr="00CE46F6">
        <w:rPr>
          <w:rFonts w:cs="Arial"/>
          <w:b w:val="0"/>
          <w:bCs w:val="0"/>
          <w:sz w:val="20"/>
          <w:szCs w:val="20"/>
          <w:lang w:val="en-GB"/>
        </w:rPr>
        <w:t>, CZSO calculations.</w:t>
      </w:r>
    </w:p>
    <w:p w:rsidR="00D6560D" w:rsidRPr="00CE46F6" w:rsidRDefault="00D6560D" w:rsidP="00D6560D">
      <w:pPr>
        <w:rPr>
          <w:lang w:val="en-GB" w:eastAsia="ar-SA"/>
        </w:rPr>
      </w:pPr>
      <w:r w:rsidRPr="00CE46F6">
        <w:rPr>
          <w:rFonts w:cs="Arial"/>
          <w:szCs w:val="20"/>
          <w:lang w:val="en-GB"/>
        </w:rPr>
        <w:t xml:space="preserve">Latest information from the CZSO and CNB given in this report has been dated the 12th March 2014.  </w:t>
      </w:r>
    </w:p>
    <w:p w:rsidR="008F1658" w:rsidRPr="006C3EB2" w:rsidRDefault="008F1658" w:rsidP="006C3EB2"/>
    <w:sectPr w:rsidR="008F1658" w:rsidRPr="006C3EB2" w:rsidSect="00F246D9">
      <w:headerReference w:type="even" r:id="rId12"/>
      <w:headerReference w:type="default" r:id="rId13"/>
      <w:footerReference w:type="even" r:id="rId14"/>
      <w:footerReference w:type="default" r:id="rId15"/>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749" w:rsidRDefault="00843749" w:rsidP="005D26EF">
      <w:r>
        <w:separator/>
      </w:r>
    </w:p>
  </w:endnote>
  <w:endnote w:type="continuationSeparator" w:id="0">
    <w:p w:rsidR="00843749" w:rsidRDefault="00843749"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5E3254"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5E3254"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sidR="008D0040">
      <w:rPr>
        <w:rFonts w:ascii="Arial" w:hAnsi="Arial" w:cs="Arial"/>
        <w:sz w:val="16"/>
        <w:szCs w:val="16"/>
      </w:rPr>
      <w:t>March</w:t>
    </w:r>
    <w:proofErr w:type="spellEnd"/>
    <w:r w:rsidR="0066041C">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5E3254" w:rsidRPr="00B6608F">
      <w:rPr>
        <w:rFonts w:ascii="Arial" w:hAnsi="Arial" w:cs="Arial"/>
        <w:sz w:val="16"/>
        <w:szCs w:val="16"/>
      </w:rPr>
      <w:fldChar w:fldCharType="begin"/>
    </w:r>
    <w:r w:rsidRPr="00B6608F">
      <w:rPr>
        <w:rFonts w:ascii="Arial" w:hAnsi="Arial" w:cs="Arial"/>
        <w:sz w:val="16"/>
        <w:szCs w:val="16"/>
      </w:rPr>
      <w:instrText>PAGE   \* MERGEFORMAT</w:instrText>
    </w:r>
    <w:r w:rsidR="005E3254" w:rsidRPr="00B6608F">
      <w:rPr>
        <w:rFonts w:ascii="Arial" w:hAnsi="Arial" w:cs="Arial"/>
        <w:sz w:val="16"/>
        <w:szCs w:val="16"/>
      </w:rPr>
      <w:fldChar w:fldCharType="separate"/>
    </w:r>
    <w:r w:rsidR="004A4029">
      <w:rPr>
        <w:rFonts w:ascii="Arial" w:hAnsi="Arial" w:cs="Arial"/>
        <w:noProof/>
        <w:sz w:val="16"/>
        <w:szCs w:val="16"/>
      </w:rPr>
      <w:t>1</w:t>
    </w:r>
    <w:r w:rsidR="005E3254"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749" w:rsidRDefault="00843749" w:rsidP="005D26EF">
      <w:r>
        <w:separator/>
      </w:r>
    </w:p>
  </w:footnote>
  <w:footnote w:type="continuationSeparator" w:id="0">
    <w:p w:rsidR="00843749" w:rsidRDefault="00843749" w:rsidP="005D26EF">
      <w:r>
        <w:continuationSeparator/>
      </w:r>
    </w:p>
  </w:footnote>
  <w:footnote w:id="1">
    <w:p w:rsidR="00D6560D" w:rsidRPr="00F143D9" w:rsidRDefault="00D6560D" w:rsidP="00D6560D">
      <w:pPr>
        <w:pStyle w:val="Textpoznpodarou"/>
        <w:jc w:val="both"/>
        <w:rPr>
          <w:lang w:val="en-GB"/>
        </w:rPr>
      </w:pPr>
      <w:r w:rsidRPr="00F143D9">
        <w:rPr>
          <w:rStyle w:val="Znakapoznpodarou"/>
          <w:lang w:val="en-GB"/>
        </w:rPr>
        <w:footnoteRef/>
      </w:r>
      <w:r w:rsidRPr="00F143D9">
        <w:rPr>
          <w:lang w:val="en-GB"/>
        </w:rPr>
        <w:t xml:space="preserve"> </w:t>
      </w:r>
      <w:r w:rsidRPr="00F143D9">
        <w:rPr>
          <w:sz w:val="16"/>
          <w:szCs w:val="16"/>
          <w:lang w:val="en-GB"/>
        </w:rPr>
        <w:t xml:space="preserve">State budget revenues could have been by 5.9 </w:t>
      </w:r>
      <w:proofErr w:type="spellStart"/>
      <w:r w:rsidRPr="00F143D9">
        <w:rPr>
          <w:sz w:val="16"/>
          <w:szCs w:val="16"/>
          <w:lang w:val="en-GB"/>
        </w:rPr>
        <w:t>bn</w:t>
      </w:r>
      <w:proofErr w:type="spellEnd"/>
      <w:r w:rsidRPr="00F143D9">
        <w:rPr>
          <w:sz w:val="16"/>
          <w:szCs w:val="16"/>
          <w:lang w:val="en-GB"/>
        </w:rPr>
        <w:t xml:space="preserve"> crowns higher, if it was not for the changes in the budget determination of taxes, which from the beginning of year 2013 strengthened the preference of municipal budgets to the detriment of both the region and state budgets.</w:t>
      </w:r>
    </w:p>
  </w:footnote>
  <w:footnote w:id="2">
    <w:p w:rsidR="00D6560D" w:rsidRPr="00F143D9" w:rsidRDefault="00D6560D" w:rsidP="00D6560D">
      <w:pPr>
        <w:pStyle w:val="Textpoznpodarou"/>
        <w:jc w:val="both"/>
        <w:rPr>
          <w:lang w:val="en-GB"/>
        </w:rPr>
      </w:pPr>
      <w:r w:rsidRPr="00F143D9">
        <w:rPr>
          <w:rStyle w:val="Znakapoznpodarou"/>
          <w:lang w:val="en-GB"/>
        </w:rPr>
        <w:footnoteRef/>
      </w:r>
      <w:r w:rsidRPr="00F143D9">
        <w:rPr>
          <w:lang w:val="en-GB"/>
        </w:rPr>
        <w:t xml:space="preserve"> </w:t>
      </w:r>
      <w:r w:rsidRPr="00F143D9">
        <w:rPr>
          <w:sz w:val="16"/>
          <w:szCs w:val="16"/>
          <w:lang w:val="en-GB"/>
        </w:rPr>
        <w:t>In case of VAT it was the January increase of both rates by one p.p. in combination with the adopted measures against the tax evasion on VAT (e.g. compulsory deposits and registration duty for traders with automotive fuels), for taxes of physical persons then the cancelling of the element discount for working pe</w:t>
      </w:r>
      <w:r>
        <w:rPr>
          <w:sz w:val="16"/>
          <w:szCs w:val="16"/>
          <w:lang w:val="en-GB"/>
        </w:rPr>
        <w:t>nsioners and introducing the so-</w:t>
      </w:r>
      <w:r w:rsidRPr="00F143D9">
        <w:rPr>
          <w:sz w:val="16"/>
          <w:szCs w:val="16"/>
          <w:lang w:val="en-GB"/>
        </w:rPr>
        <w:t>called solidarity surcharge in the amount of 7 % on incomes exceeding the fourfold of the average wage. The collection of tax on transfer of property fully reflected the increase in the tax rate by one p.p. to 4 %.</w:t>
      </w:r>
    </w:p>
  </w:footnote>
  <w:footnote w:id="3">
    <w:p w:rsidR="00D6560D" w:rsidRPr="00C7109A" w:rsidRDefault="00D6560D" w:rsidP="00D6560D">
      <w:pPr>
        <w:pStyle w:val="Textpoznpodarou"/>
        <w:jc w:val="both"/>
      </w:pPr>
      <w:r w:rsidRPr="00F143D9">
        <w:rPr>
          <w:rStyle w:val="Znakapoznpodarou"/>
          <w:lang w:val="en-GB"/>
        </w:rPr>
        <w:footnoteRef/>
      </w:r>
      <w:r w:rsidRPr="00F143D9">
        <w:rPr>
          <w:lang w:val="en-GB"/>
        </w:rPr>
        <w:t xml:space="preserve"> </w:t>
      </w:r>
      <w:r w:rsidRPr="00F143D9">
        <w:rPr>
          <w:sz w:val="16"/>
          <w:szCs w:val="16"/>
          <w:lang w:val="en-GB"/>
        </w:rPr>
        <w:t>For the first two months of year 2</w:t>
      </w:r>
      <w:r>
        <w:rPr>
          <w:sz w:val="16"/>
          <w:szCs w:val="16"/>
          <w:lang w:val="en-GB"/>
        </w:rPr>
        <w:t>014 the collection of VAT state-</w:t>
      </w:r>
      <w:r w:rsidRPr="00F143D9">
        <w:rPr>
          <w:sz w:val="16"/>
          <w:szCs w:val="16"/>
          <w:lang w:val="en-GB"/>
        </w:rPr>
        <w:t xml:space="preserve">wide </w:t>
      </w:r>
      <w:r>
        <w:rPr>
          <w:sz w:val="16"/>
          <w:szCs w:val="16"/>
          <w:lang w:val="en-GB"/>
        </w:rPr>
        <w:t xml:space="preserve">increased </w:t>
      </w:r>
      <w:r w:rsidRPr="00F143D9">
        <w:rPr>
          <w:sz w:val="16"/>
          <w:szCs w:val="16"/>
          <w:lang w:val="en-GB"/>
        </w:rPr>
        <w:t xml:space="preserve">nearly by one fifth (resp. 10.3 </w:t>
      </w:r>
      <w:proofErr w:type="spellStart"/>
      <w:r w:rsidRPr="00F143D9">
        <w:rPr>
          <w:sz w:val="16"/>
          <w:szCs w:val="16"/>
          <w:lang w:val="en-GB"/>
        </w:rPr>
        <w:t>bn</w:t>
      </w:r>
      <w:proofErr w:type="spellEnd"/>
      <w:r w:rsidRPr="00F143D9">
        <w:rPr>
          <w:sz w:val="16"/>
          <w:szCs w:val="16"/>
          <w:lang w:val="en-GB"/>
        </w:rPr>
        <w:t xml:space="preserve"> crowns).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D0040" w:rsidP="008D0040">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The</w:t>
          </w:r>
          <w:proofErr w:type="spellEnd"/>
          <w:r>
            <w:rPr>
              <w:rFonts w:ascii="Arial" w:hAnsi="Arial" w:cs="Arial"/>
              <w:b/>
              <w:sz w:val="16"/>
              <w:szCs w:val="16"/>
            </w:rPr>
            <w:t xml:space="preserve"> </w:t>
          </w:r>
          <w:proofErr w:type="spellStart"/>
          <w:r>
            <w:rPr>
              <w:rFonts w:ascii="Arial" w:hAnsi="Arial" w:cs="Arial"/>
              <w:b/>
              <w:sz w:val="16"/>
              <w:szCs w:val="16"/>
            </w:rPr>
            <w:t>Czech</w:t>
          </w:r>
          <w:proofErr w:type="spellEnd"/>
          <w:r>
            <w:rPr>
              <w:rFonts w:ascii="Arial" w:hAnsi="Arial" w:cs="Arial"/>
              <w:b/>
              <w:sz w:val="16"/>
              <w:szCs w:val="16"/>
            </w:rPr>
            <w:t xml:space="preserve"> </w:t>
          </w:r>
          <w:proofErr w:type="spellStart"/>
          <w:r>
            <w:rPr>
              <w:rFonts w:ascii="Arial" w:hAnsi="Arial" w:cs="Arial"/>
              <w:b/>
              <w:sz w:val="16"/>
              <w:szCs w:val="16"/>
            </w:rPr>
            <w:t>Economy</w:t>
          </w:r>
          <w:proofErr w:type="spellEnd"/>
          <w:r>
            <w:rPr>
              <w:rFonts w:ascii="Arial" w:hAnsi="Arial" w:cs="Arial"/>
              <w:b/>
              <w:sz w:val="16"/>
              <w:szCs w:val="16"/>
            </w:rPr>
            <w:t xml:space="preserve"> </w:t>
          </w:r>
          <w:proofErr w:type="spellStart"/>
          <w:r>
            <w:rPr>
              <w:rFonts w:ascii="Arial" w:hAnsi="Arial" w:cs="Arial"/>
              <w:b/>
              <w:sz w:val="16"/>
              <w:szCs w:val="16"/>
            </w:rPr>
            <w:t>Development</w:t>
          </w:r>
          <w:proofErr w:type="spellEnd"/>
          <w:r>
            <w:rPr>
              <w:rFonts w:ascii="Arial" w:hAnsi="Arial" w:cs="Arial"/>
              <w:b/>
              <w:sz w:val="16"/>
              <w:szCs w:val="16"/>
            </w:rPr>
            <w:t xml:space="preserve"> in 2013 </w:t>
          </w:r>
        </w:p>
      </w:tc>
      <w:tc>
        <w:tcPr>
          <w:tcW w:w="3260" w:type="dxa"/>
        </w:tcPr>
        <w:p w:rsidR="004072ED" w:rsidRPr="00E53687" w:rsidRDefault="008D0040" w:rsidP="008D0040">
          <w:pPr>
            <w:pStyle w:val="Zhlav"/>
            <w:tabs>
              <w:tab w:val="clear" w:pos="4536"/>
              <w:tab w:val="clear" w:pos="9072"/>
              <w:tab w:val="left" w:pos="-6379"/>
              <w:tab w:val="center" w:pos="4820"/>
              <w:tab w:val="right" w:pos="9639"/>
            </w:tabs>
            <w:jc w:val="right"/>
            <w:rPr>
              <w:rFonts w:ascii="Arial" w:hAnsi="Arial" w:cs="Arial"/>
              <w:sz w:val="16"/>
              <w:szCs w:val="16"/>
            </w:rPr>
          </w:pPr>
          <w:proofErr w:type="spellStart"/>
          <w:r>
            <w:rPr>
              <w:rFonts w:ascii="Arial" w:hAnsi="Arial" w:cs="Arial"/>
              <w:sz w:val="16"/>
              <w:szCs w:val="16"/>
            </w:rPr>
            <w:t>Code</w:t>
          </w:r>
          <w:proofErr w:type="spellEnd"/>
          <w:r>
            <w:rPr>
              <w:rFonts w:ascii="Arial" w:hAnsi="Arial" w:cs="Arial"/>
              <w:sz w:val="16"/>
              <w:szCs w:val="16"/>
            </w:rPr>
            <w:t xml:space="preserv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C50109"/>
    <w:multiLevelType w:val="hybridMultilevel"/>
    <w:tmpl w:val="C2863F7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0">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1">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2">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8"/>
  </w:num>
  <w:num w:numId="6">
    <w:abstractNumId w:val="14"/>
  </w:num>
  <w:num w:numId="7">
    <w:abstractNumId w:val="16"/>
  </w:num>
  <w:num w:numId="8">
    <w:abstractNumId w:val="10"/>
  </w:num>
  <w:num w:numId="9">
    <w:abstractNumId w:val="11"/>
  </w:num>
  <w:num w:numId="10">
    <w:abstractNumId w:val="9"/>
  </w:num>
  <w:num w:numId="11">
    <w:abstractNumId w:val="2"/>
  </w:num>
  <w:num w:numId="12">
    <w:abstractNumId w:val="3"/>
  </w:num>
  <w:num w:numId="13">
    <w:abstractNumId w:val="13"/>
  </w:num>
  <w:num w:numId="14">
    <w:abstractNumId w:val="12"/>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903B8"/>
    <w:rsid w:val="001A3BD0"/>
    <w:rsid w:val="001D4267"/>
    <w:rsid w:val="001E0EBB"/>
    <w:rsid w:val="001F7E6E"/>
    <w:rsid w:val="002163A2"/>
    <w:rsid w:val="00245A51"/>
    <w:rsid w:val="00246EC6"/>
    <w:rsid w:val="00281F36"/>
    <w:rsid w:val="002B2EEA"/>
    <w:rsid w:val="002C4C7D"/>
    <w:rsid w:val="002C78BE"/>
    <w:rsid w:val="0032083B"/>
    <w:rsid w:val="00347AF4"/>
    <w:rsid w:val="00375EAD"/>
    <w:rsid w:val="003774A2"/>
    <w:rsid w:val="00384820"/>
    <w:rsid w:val="003B7393"/>
    <w:rsid w:val="003F7946"/>
    <w:rsid w:val="00403295"/>
    <w:rsid w:val="004072ED"/>
    <w:rsid w:val="00480500"/>
    <w:rsid w:val="00480ADD"/>
    <w:rsid w:val="00481237"/>
    <w:rsid w:val="004833C3"/>
    <w:rsid w:val="004841AC"/>
    <w:rsid w:val="0049521B"/>
    <w:rsid w:val="004A4029"/>
    <w:rsid w:val="004B7B6C"/>
    <w:rsid w:val="004C2A3B"/>
    <w:rsid w:val="004F761F"/>
    <w:rsid w:val="00524EED"/>
    <w:rsid w:val="005372FC"/>
    <w:rsid w:val="005458EA"/>
    <w:rsid w:val="005724BE"/>
    <w:rsid w:val="005728C8"/>
    <w:rsid w:val="005853B3"/>
    <w:rsid w:val="005D26EF"/>
    <w:rsid w:val="005E2050"/>
    <w:rsid w:val="005E3254"/>
    <w:rsid w:val="006061F0"/>
    <w:rsid w:val="00607BAF"/>
    <w:rsid w:val="0061770B"/>
    <w:rsid w:val="0066041C"/>
    <w:rsid w:val="00663A03"/>
    <w:rsid w:val="00681716"/>
    <w:rsid w:val="006C3EB2"/>
    <w:rsid w:val="006F45D2"/>
    <w:rsid w:val="007242C3"/>
    <w:rsid w:val="00731380"/>
    <w:rsid w:val="0074198C"/>
    <w:rsid w:val="0074396C"/>
    <w:rsid w:val="00757ED8"/>
    <w:rsid w:val="00770981"/>
    <w:rsid w:val="0079120E"/>
    <w:rsid w:val="0079672A"/>
    <w:rsid w:val="007B5A60"/>
    <w:rsid w:val="00821AE7"/>
    <w:rsid w:val="00843749"/>
    <w:rsid w:val="008561D0"/>
    <w:rsid w:val="008D0040"/>
    <w:rsid w:val="008D554E"/>
    <w:rsid w:val="008F1658"/>
    <w:rsid w:val="0091062A"/>
    <w:rsid w:val="0092735F"/>
    <w:rsid w:val="009333FF"/>
    <w:rsid w:val="00947E99"/>
    <w:rsid w:val="00962F01"/>
    <w:rsid w:val="00970E0E"/>
    <w:rsid w:val="00987CDC"/>
    <w:rsid w:val="009E1234"/>
    <w:rsid w:val="00A94933"/>
    <w:rsid w:val="00A97E1B"/>
    <w:rsid w:val="00AB19CC"/>
    <w:rsid w:val="00AB3103"/>
    <w:rsid w:val="00AB65E3"/>
    <w:rsid w:val="00AC364A"/>
    <w:rsid w:val="00AD6A5F"/>
    <w:rsid w:val="00AE4BCB"/>
    <w:rsid w:val="00B16670"/>
    <w:rsid w:val="00B41625"/>
    <w:rsid w:val="00B83269"/>
    <w:rsid w:val="00B8328B"/>
    <w:rsid w:val="00B83EBD"/>
    <w:rsid w:val="00BA2C59"/>
    <w:rsid w:val="00BD7F3C"/>
    <w:rsid w:val="00C06226"/>
    <w:rsid w:val="00C118A0"/>
    <w:rsid w:val="00C95937"/>
    <w:rsid w:val="00CA4BCC"/>
    <w:rsid w:val="00CF0263"/>
    <w:rsid w:val="00CF20EB"/>
    <w:rsid w:val="00D02FD1"/>
    <w:rsid w:val="00D05BC2"/>
    <w:rsid w:val="00D15E52"/>
    <w:rsid w:val="00D353E4"/>
    <w:rsid w:val="00D6560D"/>
    <w:rsid w:val="00D7149D"/>
    <w:rsid w:val="00DB6775"/>
    <w:rsid w:val="00DC4326"/>
    <w:rsid w:val="00E119ED"/>
    <w:rsid w:val="00E5736B"/>
    <w:rsid w:val="00E73EA0"/>
    <w:rsid w:val="00E97088"/>
    <w:rsid w:val="00EC68F7"/>
    <w:rsid w:val="00ED4F73"/>
    <w:rsid w:val="00F20811"/>
    <w:rsid w:val="00F246D9"/>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 w:type="paragraph" w:styleId="Normlnweb">
    <w:name w:val="Normal (Web)"/>
    <w:basedOn w:val="Normln"/>
    <w:uiPriority w:val="99"/>
    <w:unhideWhenUsed/>
    <w:rsid w:val="00D6560D"/>
    <w:pPr>
      <w:spacing w:before="100" w:beforeAutospacing="1" w:after="100" w:afterAutospacing="1"/>
      <w:jc w:val="left"/>
    </w:pPr>
    <w:rPr>
      <w:rFonts w:ascii="Times New Roman" w:eastAsia="Calibri"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5987E-B896-42B5-8A95-0985A244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8566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operator</cp:lastModifiedBy>
  <cp:revision>3</cp:revision>
  <cp:lastPrinted>2014-05-14T05:28:00Z</cp:lastPrinted>
  <dcterms:created xsi:type="dcterms:W3CDTF">2014-05-13T15:10:00Z</dcterms:created>
  <dcterms:modified xsi:type="dcterms:W3CDTF">2014-05-14T05:28:00Z</dcterms:modified>
</cp:coreProperties>
</file>