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3C5F7" w14:textId="77777777" w:rsidR="00343182" w:rsidRPr="00275385" w:rsidRDefault="00343182" w:rsidP="00343182">
      <w:pPr>
        <w:pStyle w:val="Nadpis1"/>
      </w:pPr>
      <w:bookmarkStart w:id="0" w:name="_Toc200969288"/>
      <w:bookmarkStart w:id="1" w:name="_Toc145318531"/>
      <w:bookmarkStart w:id="2" w:name="_Toc153531174"/>
      <w:bookmarkStart w:id="3" w:name="_Toc169258114"/>
      <w:bookmarkStart w:id="4" w:name="_Toc137233026"/>
      <w:bookmarkStart w:id="5" w:name="_Toc130286019"/>
      <w:bookmarkStart w:id="6" w:name="_Toc114134050"/>
      <w:bookmarkStart w:id="7" w:name="_Toc145318534"/>
      <w:bookmarkStart w:id="8" w:name="_Toc153531177"/>
      <w:bookmarkStart w:id="9" w:name="_Toc121993822"/>
      <w:bookmarkStart w:id="10" w:name="_Toc137233031"/>
      <w:r w:rsidRPr="00275385">
        <w:t>1. Shrnutí</w:t>
      </w:r>
      <w:bookmarkEnd w:id="0"/>
    </w:p>
    <w:p w14:paraId="0D0E7158" w14:textId="77777777" w:rsidR="00343182" w:rsidRDefault="00343182" w:rsidP="00343182">
      <w:pPr>
        <w:pStyle w:val="Normalodrka"/>
        <w:numPr>
          <w:ilvl w:val="0"/>
          <w:numId w:val="20"/>
        </w:numPr>
        <w:ind w:left="357" w:hanging="357"/>
      </w:pPr>
      <w:r w:rsidRPr="00275385">
        <w:t>Hrubý domácí produkt (HDP) v</w:t>
      </w:r>
      <w:r>
        <w:t> 1. čtvrtletí 2025</w:t>
      </w:r>
      <w:r w:rsidRPr="00275385">
        <w:t xml:space="preserve"> </w:t>
      </w:r>
      <w:r>
        <w:t xml:space="preserve">mezičtvrtletně </w:t>
      </w:r>
      <w:r w:rsidRPr="00275385">
        <w:t xml:space="preserve">vzrostl o </w:t>
      </w:r>
      <w:r>
        <w:t>0,8</w:t>
      </w:r>
      <w:r w:rsidRPr="00275385">
        <w:t xml:space="preserve"> %</w:t>
      </w:r>
      <w:r w:rsidRPr="00275385">
        <w:rPr>
          <w:rStyle w:val="Znakapoznpodarou"/>
          <w:spacing w:val="-4"/>
        </w:rPr>
        <w:footnoteReference w:id="1"/>
      </w:r>
      <w:r>
        <w:t xml:space="preserve"> </w:t>
      </w:r>
      <w:r>
        <w:rPr>
          <w:spacing w:val="-2"/>
        </w:rPr>
        <w:t>a přírůstek potřetí v řadě posílil</w:t>
      </w:r>
      <w:r w:rsidRPr="00275385">
        <w:t xml:space="preserve">. </w:t>
      </w:r>
      <w:r>
        <w:t xml:space="preserve">K růstu přispělo oživení investiční aktivity i vývoj zásob. Spotřeba domácností spíše stagnovala </w:t>
      </w:r>
      <w:r>
        <w:br/>
        <w:t>a v případě vládních institucí klesala. Bilance zahraničního obchodu dosáhla vysokého přebytku, ale její vývoj k růstu HDP nepřispěl. M</w:t>
      </w:r>
      <w:r w:rsidRPr="00275385">
        <w:t xml:space="preserve">eziroční přírůstek HDP </w:t>
      </w:r>
      <w:r>
        <w:t xml:space="preserve">posílil v 1. kvartálu </w:t>
      </w:r>
      <w:r w:rsidRPr="00275385">
        <w:t xml:space="preserve">na </w:t>
      </w:r>
      <w:r>
        <w:t>2,2 %</w:t>
      </w:r>
      <w:r w:rsidRPr="00275385">
        <w:t xml:space="preserve">. </w:t>
      </w:r>
      <w:r>
        <w:t>Rostla domácí spotřeba a p</w:t>
      </w:r>
      <w:r w:rsidRPr="00275385">
        <w:t>ozitivně působila změna zásob. Meziroční růst</w:t>
      </w:r>
      <w:r>
        <w:t xml:space="preserve"> ekonomiky</w:t>
      </w:r>
      <w:r w:rsidRPr="00275385">
        <w:t xml:space="preserve"> ale brzdila investiční aktivita </w:t>
      </w:r>
      <w:r>
        <w:br/>
      </w:r>
      <w:r w:rsidRPr="00275385">
        <w:t xml:space="preserve">a </w:t>
      </w:r>
      <w:r>
        <w:t xml:space="preserve">bilance zahraničního obchodu. </w:t>
      </w:r>
      <w:r w:rsidRPr="00275385">
        <w:t>Hrubý domácí produkt v EU v</w:t>
      </w:r>
      <w:r>
        <w:t> 1. čtvrtletí mezičtvrtletně</w:t>
      </w:r>
      <w:r w:rsidRPr="00275385">
        <w:t xml:space="preserve"> vzrostl o</w:t>
      </w:r>
      <w:r>
        <w:t xml:space="preserve"> 0</w:t>
      </w:r>
      <w:r w:rsidRPr="00275385">
        <w:t>,</w:t>
      </w:r>
      <w:r>
        <w:t>6</w:t>
      </w:r>
      <w:r w:rsidRPr="00275385">
        <w:t xml:space="preserve"> %</w:t>
      </w:r>
      <w:r>
        <w:t xml:space="preserve"> </w:t>
      </w:r>
      <w:r>
        <w:br/>
        <w:t>a meziročně o 1,6 %</w:t>
      </w:r>
      <w:r w:rsidRPr="00275385">
        <w:t xml:space="preserve">. </w:t>
      </w:r>
      <w:r>
        <w:t>Česko mělo čtvrté nejsilnější mezičtvrtletní oživení HDP v Unii. Solidní mezičtvrtletní nárůst po sérii poklesů a stagnací zaznamenalo N</w:t>
      </w:r>
      <w:r w:rsidRPr="00275385">
        <w:t>ěmeck</w:t>
      </w:r>
      <w:r>
        <w:t>o.</w:t>
      </w:r>
    </w:p>
    <w:p w14:paraId="7E1F03EC" w14:textId="77777777" w:rsidR="00343182" w:rsidRPr="00A23447" w:rsidRDefault="00343182" w:rsidP="00343182">
      <w:pPr>
        <w:pStyle w:val="Normalodrka"/>
        <w:numPr>
          <w:ilvl w:val="0"/>
          <w:numId w:val="48"/>
        </w:numPr>
      </w:pPr>
      <w:r w:rsidRPr="00A23447">
        <w:rPr>
          <w:shd w:val="clear" w:color="auto" w:fill="FAFAFA"/>
        </w:rPr>
        <w:t>V 1. čtvrtletí 2025 se hrubá přidaná hodnota mezičtvrtletně zvýšila o 1,3 %</w:t>
      </w:r>
      <w:r>
        <w:rPr>
          <w:shd w:val="clear" w:color="auto" w:fill="FAFAFA"/>
        </w:rPr>
        <w:t xml:space="preserve">. K růstu přispívala odvětví služeb, nejvíce </w:t>
      </w:r>
      <w:r w:rsidRPr="00A23447">
        <w:rPr>
          <w:shd w:val="clear" w:color="auto" w:fill="FAFAFA"/>
        </w:rPr>
        <w:t>peněžnictví a pojišťovnictví</w:t>
      </w:r>
      <w:r>
        <w:rPr>
          <w:shd w:val="clear" w:color="auto" w:fill="FAFAFA"/>
        </w:rPr>
        <w:t>,</w:t>
      </w:r>
      <w:r w:rsidRPr="00A23447">
        <w:rPr>
          <w:shd w:val="clear" w:color="auto" w:fill="FAFAFA"/>
        </w:rPr>
        <w:t xml:space="preserve"> ostatní činnosti a informační a komunikační činnosti</w:t>
      </w:r>
      <w:r>
        <w:rPr>
          <w:shd w:val="clear" w:color="auto" w:fill="FAFAFA"/>
        </w:rPr>
        <w:t xml:space="preserve">. </w:t>
      </w:r>
      <w:r>
        <w:t>V rámci služeb mezičtvrtletně klesala HPH jen v uskupení obchod, doprava, ubytování a pohostinství.</w:t>
      </w:r>
      <w:r w:rsidRPr="00A23447">
        <w:rPr>
          <w:shd w:val="clear" w:color="auto" w:fill="FAFAFA"/>
        </w:rPr>
        <w:t xml:space="preserve"> Dařilo se také stavebnictví a</w:t>
      </w:r>
      <w:r>
        <w:rPr>
          <w:shd w:val="clear" w:color="auto" w:fill="FAFAFA"/>
        </w:rPr>
        <w:t xml:space="preserve"> oživení zaznamenal </w:t>
      </w:r>
      <w:r w:rsidRPr="00A23447">
        <w:rPr>
          <w:shd w:val="clear" w:color="auto" w:fill="FAFAFA"/>
        </w:rPr>
        <w:t>průmysl</w:t>
      </w:r>
      <w:r>
        <w:rPr>
          <w:shd w:val="clear" w:color="auto" w:fill="FAFAFA"/>
        </w:rPr>
        <w:t xml:space="preserve">, ačkoli v samotném </w:t>
      </w:r>
      <w:r w:rsidRPr="00A23447">
        <w:rPr>
          <w:shd w:val="clear" w:color="auto" w:fill="FAFAFA"/>
        </w:rPr>
        <w:t>zpracovatelsk</w:t>
      </w:r>
      <w:r>
        <w:rPr>
          <w:shd w:val="clear" w:color="auto" w:fill="FAFAFA"/>
        </w:rPr>
        <w:t>ém</w:t>
      </w:r>
      <w:r w:rsidRPr="00A23447">
        <w:rPr>
          <w:shd w:val="clear" w:color="auto" w:fill="FAFAFA"/>
        </w:rPr>
        <w:t xml:space="preserve"> průmysl</w:t>
      </w:r>
      <w:r>
        <w:rPr>
          <w:shd w:val="clear" w:color="auto" w:fill="FAFAFA"/>
        </w:rPr>
        <w:t>u HPH</w:t>
      </w:r>
      <w:r w:rsidRPr="00A23447">
        <w:rPr>
          <w:shd w:val="clear" w:color="auto" w:fill="FAFAFA"/>
        </w:rPr>
        <w:t xml:space="preserve"> mírně klesl</w:t>
      </w:r>
      <w:r>
        <w:rPr>
          <w:shd w:val="clear" w:color="auto" w:fill="FAFAFA"/>
        </w:rPr>
        <w:t>a</w:t>
      </w:r>
      <w:r w:rsidRPr="00A23447">
        <w:rPr>
          <w:shd w:val="clear" w:color="auto" w:fill="FAFAFA"/>
        </w:rPr>
        <w:t>. Meziročně HPH vzrostla o 2,5 %, přičemž největší příspěvek přinesly služby, zejména obchod, doprava, ubytování a pohostinství. Výrazně rostla HPH v</w:t>
      </w:r>
      <w:r>
        <w:rPr>
          <w:shd w:val="clear" w:color="auto" w:fill="FAFAFA"/>
        </w:rPr>
        <w:t> </w:t>
      </w:r>
      <w:r w:rsidRPr="00A23447">
        <w:rPr>
          <w:shd w:val="clear" w:color="auto" w:fill="FAFAFA"/>
        </w:rPr>
        <w:t>peněžnictví</w:t>
      </w:r>
      <w:r>
        <w:rPr>
          <w:shd w:val="clear" w:color="auto" w:fill="FAFAFA"/>
        </w:rPr>
        <w:t xml:space="preserve"> a pojišťovnictví</w:t>
      </w:r>
      <w:r w:rsidRPr="00A23447">
        <w:rPr>
          <w:shd w:val="clear" w:color="auto" w:fill="FAFAFA"/>
        </w:rPr>
        <w:t xml:space="preserve">, ostatních činnostech a </w:t>
      </w:r>
      <w:r>
        <w:rPr>
          <w:shd w:val="clear" w:color="auto" w:fill="FAFAFA"/>
        </w:rPr>
        <w:t>v informačních a komunikačních činnostech</w:t>
      </w:r>
      <w:r w:rsidRPr="00A23447">
        <w:rPr>
          <w:shd w:val="clear" w:color="auto" w:fill="FAFAFA"/>
        </w:rPr>
        <w:t xml:space="preserve">. </w:t>
      </w:r>
      <w:r>
        <w:rPr>
          <w:shd w:val="clear" w:color="auto" w:fill="FAFAFA"/>
        </w:rPr>
        <w:t>Počtvrté v řadě meziročně vzrostla HPH v dlouhodobě zaostávajícím s</w:t>
      </w:r>
      <w:r w:rsidRPr="00A23447">
        <w:rPr>
          <w:shd w:val="clear" w:color="auto" w:fill="FAFAFA"/>
        </w:rPr>
        <w:t>tavebnictví</w:t>
      </w:r>
      <w:r>
        <w:rPr>
          <w:shd w:val="clear" w:color="auto" w:fill="FAFAFA"/>
        </w:rPr>
        <w:t xml:space="preserve">. </w:t>
      </w:r>
      <w:r>
        <w:t xml:space="preserve"> </w:t>
      </w:r>
    </w:p>
    <w:p w14:paraId="06E67577" w14:textId="77777777" w:rsidR="00343182" w:rsidRPr="00261A17" w:rsidRDefault="00343182" w:rsidP="00343182">
      <w:pPr>
        <w:pStyle w:val="Normalodrka"/>
        <w:numPr>
          <w:ilvl w:val="0"/>
          <w:numId w:val="20"/>
        </w:numPr>
        <w:ind w:left="357" w:hanging="357"/>
      </w:pPr>
      <w:r w:rsidRPr="00261A17">
        <w:t>Vývoz zboží a služeb se</w:t>
      </w:r>
      <w:r>
        <w:t xml:space="preserve"> v 1. čtvrtletí </w:t>
      </w:r>
      <w:r w:rsidRPr="00261A17">
        <w:t xml:space="preserve">zvýšil </w:t>
      </w:r>
      <w:r>
        <w:t>mezičtvrtletně o 2,8 %</w:t>
      </w:r>
      <w:r w:rsidRPr="00261A17">
        <w:rPr>
          <w:rStyle w:val="Znakapoznpodarou"/>
          <w:spacing w:val="-4"/>
        </w:rPr>
        <w:footnoteReference w:id="2"/>
      </w:r>
      <w:r w:rsidRPr="00261A17">
        <w:t xml:space="preserve"> a dovoz o </w:t>
      </w:r>
      <w:r>
        <w:t>2,1</w:t>
      </w:r>
      <w:r w:rsidRPr="00261A17">
        <w:t xml:space="preserve"> %.</w:t>
      </w:r>
      <w:r>
        <w:t xml:space="preserve"> Meziroční nárůst exportu dosáhl 3,6 % a importu 4,6 %.</w:t>
      </w:r>
      <w:r w:rsidRPr="00261A17">
        <w:t xml:space="preserve"> Bilance zahraničního obchodu se zbožím a službami v běžných cenách dosáhla</w:t>
      </w:r>
      <w:r>
        <w:t xml:space="preserve"> v 1. čtvrtletí </w:t>
      </w:r>
      <w:r w:rsidRPr="00261A17">
        <w:t xml:space="preserve">přebytku </w:t>
      </w:r>
      <w:r>
        <w:t>140,8</w:t>
      </w:r>
      <w:r w:rsidRPr="00261A17">
        <w:t xml:space="preserve"> mld. korun a ten se tak meziročně zvýšil o </w:t>
      </w:r>
      <w:r>
        <w:t>3,3</w:t>
      </w:r>
      <w:r w:rsidRPr="00261A17">
        <w:t xml:space="preserve"> mld., </w:t>
      </w:r>
      <w:r>
        <w:t xml:space="preserve">výhradně </w:t>
      </w:r>
      <w:r w:rsidRPr="00261A17">
        <w:t xml:space="preserve">vlivem zvýšení přebytku obchodu se zbožím. </w:t>
      </w:r>
      <w:r>
        <w:t>Z</w:t>
      </w:r>
      <w:r w:rsidRPr="00261A17">
        <w:t>lepš</w:t>
      </w:r>
      <w:r>
        <w:t xml:space="preserve">ovala se zejména bilance obchodu s motorovými vozidly. Naopak ve směru zhoršení bilance působil obchod s kovodělnými výrobky a </w:t>
      </w:r>
      <w:r w:rsidRPr="00261A17">
        <w:t>elektrickými zařízeními</w:t>
      </w:r>
      <w:r w:rsidRPr="00261A17">
        <w:rPr>
          <w:lang w:eastAsia="en-US"/>
        </w:rPr>
        <w:t>.</w:t>
      </w:r>
    </w:p>
    <w:p w14:paraId="52350C1A" w14:textId="76040B2C" w:rsidR="00343182" w:rsidRPr="006C4460" w:rsidRDefault="00343182" w:rsidP="00343182">
      <w:pPr>
        <w:pStyle w:val="Normalodrka"/>
        <w:numPr>
          <w:ilvl w:val="0"/>
          <w:numId w:val="20"/>
        </w:numPr>
      </w:pPr>
      <w:r w:rsidRPr="00456339">
        <w:t>Celková cenová hladina (podle deflátoru HDP) v</w:t>
      </w:r>
      <w:r>
        <w:t> 1. čtvrtletí</w:t>
      </w:r>
      <w:r w:rsidRPr="00456339">
        <w:t xml:space="preserve"> meziročně </w:t>
      </w:r>
      <w:r>
        <w:t>vzrostla</w:t>
      </w:r>
      <w:r w:rsidRPr="00456339">
        <w:t xml:space="preserve"> o 3,</w:t>
      </w:r>
      <w:r>
        <w:t>1</w:t>
      </w:r>
      <w:r w:rsidRPr="00456339">
        <w:t xml:space="preserve"> % a mezičtvrtletně </w:t>
      </w:r>
      <w:r>
        <w:br/>
      </w:r>
      <w:r w:rsidRPr="00456339">
        <w:t xml:space="preserve">o </w:t>
      </w:r>
      <w:r>
        <w:t>1,0</w:t>
      </w:r>
      <w:r w:rsidRPr="00456339">
        <w:t xml:space="preserve"> %. Spotřebitelské ceny byly </w:t>
      </w:r>
      <w:r>
        <w:t xml:space="preserve">v 1. čtvrtletí meziročně </w:t>
      </w:r>
      <w:r w:rsidRPr="00456339">
        <w:t>vyšší o 2,</w:t>
      </w:r>
      <w:r>
        <w:t>7</w:t>
      </w:r>
      <w:r w:rsidRPr="00456339">
        <w:t xml:space="preserve"> %</w:t>
      </w:r>
      <w:r>
        <w:t xml:space="preserve"> a </w:t>
      </w:r>
      <w:r w:rsidRPr="00456339">
        <w:t xml:space="preserve">mezičtvrtletně vzrostly o </w:t>
      </w:r>
      <w:r>
        <w:t>1,3</w:t>
      </w:r>
      <w:r w:rsidRPr="00456339">
        <w:t xml:space="preserve"> %. </w:t>
      </w:r>
      <w:r w:rsidR="009D1120">
        <w:t>Ve směru p</w:t>
      </w:r>
      <w:r w:rsidRPr="008D6B35">
        <w:t xml:space="preserve">osílení celkového meziročního růstu cen </w:t>
      </w:r>
      <w:r w:rsidR="009D1120">
        <w:t>působily</w:t>
      </w:r>
      <w:r>
        <w:t xml:space="preserve"> zejména</w:t>
      </w:r>
      <w:r w:rsidRPr="008D6B35">
        <w:t xml:space="preserve"> potraviny a nealkoholické nápoje, jejichž cen</w:t>
      </w:r>
      <w:r>
        <w:t xml:space="preserve">y </w:t>
      </w:r>
      <w:r w:rsidRPr="008D6B35">
        <w:t xml:space="preserve">na konec roku 2024 navázaly dalším </w:t>
      </w:r>
      <w:r w:rsidR="009D1120">
        <w:t>zrychlením</w:t>
      </w:r>
      <w:r w:rsidRPr="008D6B35">
        <w:t xml:space="preserve"> růstu. Naopak </w:t>
      </w:r>
      <w:r>
        <w:t xml:space="preserve">růst </w:t>
      </w:r>
      <w:r w:rsidRPr="008D6B35">
        <w:t>cen bydlení a energií oslab</w:t>
      </w:r>
      <w:r>
        <w:t>il</w:t>
      </w:r>
      <w:r w:rsidRPr="008D6B35">
        <w:t xml:space="preserve"> a oddíl tak </w:t>
      </w:r>
      <w:r w:rsidRPr="006C4460">
        <w:t>po několika letech přestal být tím, který nejvíce pohání růst spotřebitelských cen.</w:t>
      </w:r>
      <w:r w:rsidRPr="006C4460">
        <w:rPr>
          <w:lang w:eastAsia="en-US"/>
        </w:rPr>
        <w:t xml:space="preserve"> Jako jediné meziročně klesly ceny odívání a obuvi.</w:t>
      </w:r>
      <w:r w:rsidRPr="006C4460">
        <w:t xml:space="preserve"> Dál p</w:t>
      </w:r>
      <w:r w:rsidRPr="006C4460">
        <w:rPr>
          <w:lang w:eastAsia="en-US"/>
        </w:rPr>
        <w:t xml:space="preserve">osiloval růst nabídkových i realizovaných cen bytů. </w:t>
      </w:r>
      <w:r w:rsidRPr="006C4460">
        <w:t xml:space="preserve"> </w:t>
      </w:r>
    </w:p>
    <w:p w14:paraId="581E3249" w14:textId="44316BC6" w:rsidR="00343182" w:rsidRPr="006C4460" w:rsidRDefault="00343182" w:rsidP="00343182">
      <w:pPr>
        <w:pStyle w:val="Normalodrka"/>
        <w:numPr>
          <w:ilvl w:val="0"/>
          <w:numId w:val="20"/>
        </w:numPr>
        <w:ind w:left="357" w:hanging="357"/>
      </w:pPr>
      <w:r w:rsidRPr="006C4460">
        <w:t>Celková zaměstnanost</w:t>
      </w:r>
      <w:r w:rsidRPr="006C4460">
        <w:rPr>
          <w:rStyle w:val="Znakapoznpodarou"/>
        </w:rPr>
        <w:footnoteReference w:id="3"/>
      </w:r>
      <w:r w:rsidRPr="006C4460">
        <w:t xml:space="preserve"> </w:t>
      </w:r>
      <w:r>
        <w:t>v 1. č</w:t>
      </w:r>
      <w:r w:rsidRPr="006C4460">
        <w:t xml:space="preserve">tvrtletí byla meziročně vyšší o </w:t>
      </w:r>
      <w:r>
        <w:t>1,1</w:t>
      </w:r>
      <w:r w:rsidRPr="006C4460">
        <w:t xml:space="preserve"> % a mezičtvrtletně se </w:t>
      </w:r>
      <w:r>
        <w:t>zvýšila</w:t>
      </w:r>
      <w:r w:rsidRPr="006C4460">
        <w:t xml:space="preserve"> o 0,</w:t>
      </w:r>
      <w:r>
        <w:t>7</w:t>
      </w:r>
      <w:r w:rsidRPr="006C4460">
        <w:t xml:space="preserve"> %. Celková míra nezaměstnanosti </w:t>
      </w:r>
      <w:r>
        <w:t xml:space="preserve">se od počátku roku držela pod </w:t>
      </w:r>
      <w:r w:rsidRPr="006C4460">
        <w:t xml:space="preserve">3 %. V </w:t>
      </w:r>
      <w:r>
        <w:t>1</w:t>
      </w:r>
      <w:r w:rsidRPr="006C4460">
        <w:t xml:space="preserve">. čtvrtletí průměrná </w:t>
      </w:r>
      <w:r>
        <w:t xml:space="preserve">hrubá měsíční </w:t>
      </w:r>
      <w:r w:rsidRPr="006C4460">
        <w:t xml:space="preserve">mzda meziročně vzrostla o </w:t>
      </w:r>
      <w:r>
        <w:t>6,7</w:t>
      </w:r>
      <w:r w:rsidRPr="006C4460">
        <w:t xml:space="preserve"> % a dosáhla 4</w:t>
      </w:r>
      <w:r w:rsidR="00AA2A70">
        <w:t>6</w:t>
      </w:r>
      <w:r w:rsidRPr="006C4460">
        <w:t xml:space="preserve"> </w:t>
      </w:r>
      <w:r>
        <w:t>924</w:t>
      </w:r>
      <w:r w:rsidRPr="006C4460">
        <w:t xml:space="preserve"> korun. Reálně průměrná mzda posílila o </w:t>
      </w:r>
      <w:r>
        <w:t>3,9</w:t>
      </w:r>
      <w:r w:rsidRPr="006C4460">
        <w:t xml:space="preserve"> %. Mezičtvrtletní nominální navýšení </w:t>
      </w:r>
      <w:r>
        <w:t xml:space="preserve">sezónně očištěné </w:t>
      </w:r>
      <w:r w:rsidRPr="006C4460">
        <w:t xml:space="preserve">průměrné mzdy činilo 1,7 %. </w:t>
      </w:r>
    </w:p>
    <w:p w14:paraId="197C097E" w14:textId="77777777" w:rsidR="00343182" w:rsidRPr="003B7AFA" w:rsidRDefault="00343182" w:rsidP="00343182">
      <w:pPr>
        <w:pStyle w:val="Normalodrka"/>
        <w:numPr>
          <w:ilvl w:val="0"/>
          <w:numId w:val="20"/>
        </w:numPr>
        <w:ind w:left="357" w:hanging="357"/>
      </w:pPr>
      <w:r w:rsidRPr="007D293C">
        <w:t xml:space="preserve">Základní měnověpolitické úrokové sazby </w:t>
      </w:r>
      <w:r>
        <w:t>byly v 1. čtvrtletí jednou sníženy</w:t>
      </w:r>
      <w:r w:rsidRPr="007D293C">
        <w:t xml:space="preserve">. Spolu s nimi se snižovaly také úrokové sazby u </w:t>
      </w:r>
      <w:r>
        <w:t>v</w:t>
      </w:r>
      <w:r w:rsidRPr="007D293C">
        <w:t>kladů</w:t>
      </w:r>
      <w:r>
        <w:t>, zejména těch termínovaných, což bylo spojeno také se snížením jejich objemu.</w:t>
      </w:r>
      <w:r w:rsidRPr="007D293C">
        <w:t xml:space="preserve"> </w:t>
      </w:r>
      <w:r w:rsidRPr="007D293C">
        <w:rPr>
          <w:lang w:eastAsia="en-US"/>
        </w:rPr>
        <w:t xml:space="preserve"> </w:t>
      </w:r>
      <w:r w:rsidRPr="003B7AFA">
        <w:rPr>
          <w:lang w:eastAsia="en-US"/>
        </w:rPr>
        <w:t>V nových hypotečních smlouvách posiloval podíl čistých nových úvěrů.</w:t>
      </w:r>
    </w:p>
    <w:p w14:paraId="4684DAA0" w14:textId="77777777" w:rsidR="00343182" w:rsidRPr="003B7AFA" w:rsidRDefault="00343182" w:rsidP="00343182">
      <w:pPr>
        <w:pStyle w:val="Normalodrka"/>
        <w:numPr>
          <w:ilvl w:val="0"/>
          <w:numId w:val="20"/>
        </w:numPr>
        <w:spacing w:after="0"/>
        <w:ind w:left="357" w:hanging="357"/>
      </w:pPr>
      <w:r>
        <w:rPr>
          <w:spacing w:val="-4"/>
        </w:rPr>
        <w:t xml:space="preserve">Hospodaření státního rozpočtu (SR) skončilo v 1. čtvrtletí se schodkem 91,2 mld. korun. Meziročně se deficit snížil o 13,8 mld. Za zlepšením schodku stálo relativně solidní tempo růstu celkových příjmů SR, ve kterém se postupně projevuje dopad oživení výkonu ekonomiky. Růst výdajů SR byl navíc tlumen </w:t>
      </w:r>
      <w:r w:rsidRPr="00B72A69">
        <w:rPr>
          <w:spacing w:val="-5"/>
        </w:rPr>
        <w:t>odeznívání</w:t>
      </w:r>
      <w:r>
        <w:rPr>
          <w:spacing w:val="-5"/>
        </w:rPr>
        <w:t>m</w:t>
      </w:r>
      <w:r w:rsidRPr="00B72A69">
        <w:rPr>
          <w:spacing w:val="-5"/>
        </w:rPr>
        <w:t xml:space="preserve"> potřeby mimořádných výdajů domácnostem i firmám zasaženým dopady vysoké</w:t>
      </w:r>
      <w:r>
        <w:rPr>
          <w:spacing w:val="-4"/>
        </w:rPr>
        <w:t xml:space="preserve"> inflace. Na příjmovou i výdajovou stranu rozpočtu působí také dopady </w:t>
      </w:r>
      <w:r w:rsidRPr="009E7F3F">
        <w:rPr>
          <w:spacing w:val="-5"/>
        </w:rPr>
        <w:t xml:space="preserve">konsolidačního </w:t>
      </w:r>
      <w:r>
        <w:rPr>
          <w:spacing w:val="-5"/>
        </w:rPr>
        <w:t xml:space="preserve">ozdravného </w:t>
      </w:r>
      <w:r w:rsidRPr="009E7F3F">
        <w:rPr>
          <w:spacing w:val="-5"/>
        </w:rPr>
        <w:t>balíčku schváleného</w:t>
      </w:r>
      <w:r>
        <w:rPr>
          <w:spacing w:val="-5"/>
        </w:rPr>
        <w:t xml:space="preserve"> v roce 2023. Zřetelný dopad má zde již změna </w:t>
      </w:r>
      <w:r w:rsidRPr="009E7F3F">
        <w:rPr>
          <w:spacing w:val="-5"/>
        </w:rPr>
        <w:t>rozpočtového určení daní, jež od</w:t>
      </w:r>
      <w:r>
        <w:rPr>
          <w:spacing w:val="-4"/>
        </w:rPr>
        <w:t xml:space="preserve"> ledna 2025 zvyšuje podíl na výnosu některých váhově významných daní ve prospěch SR. </w:t>
      </w:r>
    </w:p>
    <w:p w14:paraId="181E4D16" w14:textId="2A09D259" w:rsidR="00603FF5" w:rsidRDefault="00343182" w:rsidP="0083516C">
      <w:pPr>
        <w:pStyle w:val="Normalodrka"/>
        <w:numPr>
          <w:ilvl w:val="0"/>
          <w:numId w:val="0"/>
        </w:numPr>
        <w:spacing w:after="0"/>
        <w:jc w:val="center"/>
      </w:pPr>
      <w:r w:rsidRPr="00343182">
        <w:rPr>
          <w:noProof/>
        </w:rPr>
        <w:lastRenderedPageBreak/>
        <w:drawing>
          <wp:inline distT="0" distB="0" distL="0" distR="0" wp14:anchorId="476B7639" wp14:editId="5B59A5C2">
            <wp:extent cx="5857875" cy="8867775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GoBack"/>
      <w:bookmarkEnd w:id="11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sectPr w:rsidR="00603FF5" w:rsidSect="00C102AA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6F0CDE65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C102AA">
      <w:rPr>
        <w:szCs w:val="16"/>
      </w:rPr>
      <w:t>4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764A734A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C102AA">
      <w:rPr>
        <w:rStyle w:val="ZpatChar"/>
        <w:szCs w:val="16"/>
      </w:rPr>
      <w:t>5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71C3FA46" w14:textId="77777777" w:rsidR="00A04CEF" w:rsidRDefault="00A04CEF" w:rsidP="00343182">
      <w:pPr>
        <w:pStyle w:val="Textpoznpodarou"/>
        <w:rPr>
          <w:spacing w:val="-2"/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Data o HDP, hrubé přidané hodnotě a jejích složkách jsou vyjádřena ve stálých cenách a v očištění o sezónní a kalendářní vlivy.</w:t>
      </w:r>
    </w:p>
  </w:footnote>
  <w:footnote w:id="2">
    <w:p w14:paraId="06653A95" w14:textId="77777777" w:rsidR="00A04CEF" w:rsidRDefault="00A04CEF" w:rsidP="0034318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metodiky čtvrtletních národních účtů (vývoz a dovoz v ocenění FOB/FOB).</w:t>
      </w:r>
    </w:p>
  </w:footnote>
  <w:footnote w:id="3">
    <w:p w14:paraId="74851003" w14:textId="77777777" w:rsidR="00A04CEF" w:rsidRDefault="00A04CEF" w:rsidP="00343182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Údaje o zaměstnanosti jsou uvedeny v pojetí národních účtů a očištěny o sezónní vlivy.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102AA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b8c0c86d-151e-4fca-b0d5-747e6692fa1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3A6ED5-4CD0-4C5A-B1DA-306BC211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