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47088" w14:textId="77777777" w:rsidR="006712EC" w:rsidRDefault="006712EC" w:rsidP="006712EC">
      <w:pPr>
        <w:pStyle w:val="Nadpis1"/>
      </w:pPr>
      <w:bookmarkStart w:id="0" w:name="_Toc193366677"/>
      <w:bookmarkStart w:id="1" w:name="_Toc208920082"/>
      <w:r>
        <w:t>6. Trh práce</w:t>
      </w:r>
      <w:bookmarkEnd w:id="0"/>
      <w:bookmarkEnd w:id="1"/>
    </w:p>
    <w:tbl>
      <w:tblPr>
        <w:tblW w:w="9674" w:type="dxa"/>
        <w:tblInd w:w="-35" w:type="dxa"/>
        <w:tblCellMar>
          <w:left w:w="0" w:type="dxa"/>
          <w:right w:w="0" w:type="dxa"/>
        </w:tblCellMar>
        <w:tblLook w:val="00A0" w:firstRow="1" w:lastRow="0" w:firstColumn="1" w:lastColumn="0" w:noHBand="0" w:noVBand="0"/>
      </w:tblPr>
      <w:tblGrid>
        <w:gridCol w:w="1761"/>
        <w:gridCol w:w="198"/>
        <w:gridCol w:w="7715"/>
      </w:tblGrid>
      <w:tr w:rsidR="006712EC" w:rsidRPr="009F0D7F" w14:paraId="1C111727" w14:textId="77777777" w:rsidTr="00EE0E68">
        <w:trPr>
          <w:trHeight w:val="155"/>
        </w:trPr>
        <w:tc>
          <w:tcPr>
            <w:tcW w:w="1761" w:type="dxa"/>
            <w:shd w:val="clear" w:color="auto" w:fill="auto"/>
            <w:tcMar>
              <w:left w:w="0" w:type="dxa"/>
            </w:tcMar>
          </w:tcPr>
          <w:p w14:paraId="791DE399" w14:textId="77777777" w:rsidR="006712EC" w:rsidRPr="00EE0E68" w:rsidRDefault="006712EC" w:rsidP="00E54E39">
            <w:pPr>
              <w:pStyle w:val="Marginlie"/>
              <w:rPr>
                <w:color w:val="0D0D0D" w:themeColor="text1" w:themeTint="F2"/>
                <w:spacing w:val="0"/>
              </w:rPr>
            </w:pPr>
            <w:r w:rsidRPr="00EE0E68">
              <w:rPr>
                <w:color w:val="0D0D0D" w:themeColor="text1" w:themeTint="F2"/>
                <w:spacing w:val="0"/>
              </w:rPr>
              <w:t>Trh práce letos ožíval. Pokračoval odvětvově diferencovaný růst zaměstnanosti. Mzdový růst ve 2. čtvrtletí významně zrychlil.</w:t>
            </w:r>
          </w:p>
        </w:tc>
        <w:tc>
          <w:tcPr>
            <w:tcW w:w="198" w:type="dxa"/>
            <w:shd w:val="clear" w:color="auto" w:fill="auto"/>
            <w:tcMar>
              <w:left w:w="0" w:type="dxa"/>
            </w:tcMar>
          </w:tcPr>
          <w:p w14:paraId="0AB16EC1" w14:textId="77777777" w:rsidR="006712EC" w:rsidRPr="00EE0E68" w:rsidRDefault="006712EC" w:rsidP="00E54E39">
            <w:pPr>
              <w:pStyle w:val="Textpoznpodarou"/>
              <w:spacing w:after="120"/>
              <w:jc w:val="both"/>
              <w:rPr>
                <w:color w:val="0D0D0D" w:themeColor="text1" w:themeTint="F2"/>
              </w:rPr>
            </w:pPr>
          </w:p>
        </w:tc>
        <w:tc>
          <w:tcPr>
            <w:tcW w:w="7715" w:type="dxa"/>
            <w:shd w:val="clear" w:color="auto" w:fill="auto"/>
            <w:tcMar>
              <w:left w:w="0" w:type="dxa"/>
            </w:tcMar>
          </w:tcPr>
          <w:p w14:paraId="53F2937D" w14:textId="77777777" w:rsidR="006712EC" w:rsidRPr="00EE0E68" w:rsidRDefault="006712EC" w:rsidP="00E54E39">
            <w:pPr>
              <w:spacing w:after="200"/>
              <w:rPr>
                <w:color w:val="0D0D0D" w:themeColor="text1" w:themeTint="F2"/>
                <w:szCs w:val="20"/>
              </w:rPr>
            </w:pPr>
            <w:r w:rsidRPr="00EE0E68">
              <w:rPr>
                <w:color w:val="0D0D0D" w:themeColor="text1" w:themeTint="F2"/>
                <w:szCs w:val="20"/>
              </w:rPr>
              <w:t>Posílení výkonu ekonomiky se letos stále více propisuje i do trhu práce. Růst zaměstnanosti zrychlil, jeho těžiště však stále spočívalo ve službách, které těžily z rostoucí tuzemské poptávky. Ve zvýšené míře pokračoval příliv pracovníků ze zahraničí. Očekávání v oblasti zaměstnanosti se na jaře zlepšila a následně stabilizovala, pozitivní posun byl patrný v obchodu i stavebnictví. Míra nezaměstnanosti se mírně zvýšila, hlavně vlivem horší pozice mužů. Nabídka volných pracovních míst se významněji nezvyšovala. Meziroční růst nominálních mezd se ve 2. čtvrtletí významně zrychlil. Při stabilizaci cenové hladiny v ekonomice pokračoval svižný růst reálných mezd, jenž byl opět patrný ve všech hlavních odvětvích. Kupní síla hrubých zaměstnaneckých výdělků ovšem stále plně nedosahovala úrovně z roku 2019.</w:t>
            </w:r>
          </w:p>
        </w:tc>
      </w:tr>
      <w:tr w:rsidR="006712EC" w:rsidRPr="009F0D7F" w14:paraId="533E046B" w14:textId="77777777" w:rsidTr="00EE0E68">
        <w:trPr>
          <w:trHeight w:val="155"/>
        </w:trPr>
        <w:tc>
          <w:tcPr>
            <w:tcW w:w="1761" w:type="dxa"/>
            <w:shd w:val="clear" w:color="auto" w:fill="auto"/>
            <w:tcMar>
              <w:left w:w="0" w:type="dxa"/>
            </w:tcMar>
          </w:tcPr>
          <w:p w14:paraId="56B1E67E" w14:textId="77777777" w:rsidR="006712EC" w:rsidRPr="00EE0E68" w:rsidRDefault="006712EC" w:rsidP="00E54E39">
            <w:pPr>
              <w:pStyle w:val="Marginlie"/>
              <w:spacing w:after="120"/>
              <w:rPr>
                <w:color w:val="0D0D0D" w:themeColor="text1" w:themeTint="F2"/>
                <w:spacing w:val="0"/>
              </w:rPr>
            </w:pPr>
            <w:r w:rsidRPr="00EE0E68">
              <w:rPr>
                <w:color w:val="0D0D0D" w:themeColor="text1" w:themeTint="F2"/>
                <w:spacing w:val="0"/>
              </w:rPr>
              <w:t>Tempo růstu zaměstnanosti se zvyšovalo. Absolutní počet pracujících v Česku se během letošního roku opět posunul na historické maximum.</w:t>
            </w:r>
          </w:p>
        </w:tc>
        <w:tc>
          <w:tcPr>
            <w:tcW w:w="198" w:type="dxa"/>
            <w:shd w:val="clear" w:color="auto" w:fill="auto"/>
            <w:tcMar>
              <w:left w:w="0" w:type="dxa"/>
            </w:tcMar>
          </w:tcPr>
          <w:p w14:paraId="01E459E0" w14:textId="77777777" w:rsidR="006712EC" w:rsidRPr="00EE0E68" w:rsidRDefault="006712EC" w:rsidP="00E54E39">
            <w:pPr>
              <w:pStyle w:val="Textpoznpodarou"/>
              <w:spacing w:after="120"/>
              <w:jc w:val="both"/>
              <w:rPr>
                <w:color w:val="0D0D0D" w:themeColor="text1" w:themeTint="F2"/>
              </w:rPr>
            </w:pPr>
          </w:p>
        </w:tc>
        <w:tc>
          <w:tcPr>
            <w:tcW w:w="7715" w:type="dxa"/>
            <w:shd w:val="clear" w:color="auto" w:fill="auto"/>
            <w:tcMar>
              <w:left w:w="0" w:type="dxa"/>
            </w:tcMar>
          </w:tcPr>
          <w:p w14:paraId="3058A1A5" w14:textId="77777777" w:rsidR="006712EC" w:rsidRPr="00EE0E68" w:rsidRDefault="006712EC" w:rsidP="00E54E39">
            <w:r w:rsidRPr="00EE0E68">
              <w:t>Tempo růstu zaměstnanosti se letos zvyšovalo. Zatímco ještě ve druhé polovině loňského roku i přes velmi mírně posilující výkon ekonomiky celková zaměstnanost</w:t>
            </w:r>
            <w:r w:rsidRPr="00EE0E68">
              <w:rPr>
                <w:color w:val="0D0D0D" w:themeColor="text1" w:themeTint="F2"/>
                <w:vertAlign w:val="superscript"/>
              </w:rPr>
              <w:footnoteReference w:id="1"/>
            </w:r>
            <w:r w:rsidRPr="00EE0E68">
              <w:t xml:space="preserve"> mezikvartálně pouze stagnovala, v 1. čtvrtletí 2025 se zvýšila o 0,4 % a v následujícím období o 0,5 %. Na tomto oživení se podílela některá odvětví služeb (zejména váhově významné uskupení obchod, doprava, ubytování a pohostinství), ale rovněž průmysl, kde se situace částečně stabilizovala a ve 2. čtvrtletí se zde počet pracovníků mezikvartálně již nesnižoval. Celková zaměstnanost v ekonomice tak aktuálně dosáhla rekordních 5,51 mil. osob a ve srovnání s maximální hodnotou z období poslední konjunktury (4. čtvrtletí 2018) byla vyšší o 2,5 % (+134 tis.), z rozhodující části zásluhou rozvoje veřejných služeb</w:t>
            </w:r>
            <w:r w:rsidRPr="00EE0E68">
              <w:rPr>
                <w:rStyle w:val="Znakapoznpodarou"/>
              </w:rPr>
              <w:footnoteReference w:id="2"/>
            </w:r>
            <w:r w:rsidRPr="00EE0E68">
              <w:t>.</w:t>
            </w:r>
          </w:p>
        </w:tc>
      </w:tr>
      <w:tr w:rsidR="006712EC" w:rsidRPr="009F0D7F" w14:paraId="1995ECC1" w14:textId="77777777" w:rsidTr="00EE0E68">
        <w:trPr>
          <w:trHeight w:val="155"/>
        </w:trPr>
        <w:tc>
          <w:tcPr>
            <w:tcW w:w="1761" w:type="dxa"/>
            <w:shd w:val="clear" w:color="auto" w:fill="auto"/>
            <w:tcMar>
              <w:left w:w="0" w:type="dxa"/>
            </w:tcMar>
          </w:tcPr>
          <w:p w14:paraId="0D3C66AC" w14:textId="77777777" w:rsidR="006712EC" w:rsidRPr="00EE0E68" w:rsidRDefault="006712EC" w:rsidP="00E54E39">
            <w:pPr>
              <w:pStyle w:val="Marginlie"/>
              <w:spacing w:after="120"/>
              <w:rPr>
                <w:color w:val="0D0D0D" w:themeColor="text1" w:themeTint="F2"/>
                <w:spacing w:val="0"/>
              </w:rPr>
            </w:pPr>
            <w:r w:rsidRPr="00EE0E68">
              <w:rPr>
                <w:color w:val="0D0D0D" w:themeColor="text1" w:themeTint="F2"/>
                <w:spacing w:val="0"/>
              </w:rPr>
              <w:t>Těžiště růstu zaměstnanosti spočívalo nadále ve veřejných službách.</w:t>
            </w:r>
          </w:p>
          <w:p w14:paraId="613B9A3E" w14:textId="77777777" w:rsidR="006712EC" w:rsidRPr="00EE0E68" w:rsidRDefault="006712EC" w:rsidP="00E54E39">
            <w:pPr>
              <w:pStyle w:val="Marginlie"/>
              <w:spacing w:after="120"/>
              <w:rPr>
                <w:color w:val="0D0D0D" w:themeColor="text1" w:themeTint="F2"/>
                <w:spacing w:val="0"/>
              </w:rPr>
            </w:pPr>
          </w:p>
          <w:p w14:paraId="46991A7C" w14:textId="77777777" w:rsidR="006712EC" w:rsidRPr="00EE0E68" w:rsidRDefault="006712EC" w:rsidP="00E54E39">
            <w:pPr>
              <w:pStyle w:val="Marginlie"/>
              <w:spacing w:after="120"/>
              <w:rPr>
                <w:color w:val="0D0D0D" w:themeColor="text1" w:themeTint="F2"/>
                <w:spacing w:val="0"/>
              </w:rPr>
            </w:pPr>
          </w:p>
          <w:p w14:paraId="7A99D857" w14:textId="77777777" w:rsidR="006712EC" w:rsidRPr="00EE0E68" w:rsidRDefault="006712EC" w:rsidP="00E54E39">
            <w:pPr>
              <w:pStyle w:val="Marginlie"/>
              <w:spacing w:after="120"/>
              <w:rPr>
                <w:color w:val="0D0D0D" w:themeColor="text1" w:themeTint="F2"/>
                <w:spacing w:val="0"/>
              </w:rPr>
            </w:pPr>
          </w:p>
          <w:p w14:paraId="7B0D84E0" w14:textId="77777777" w:rsidR="006712EC" w:rsidRPr="00EE0E68" w:rsidRDefault="006712EC" w:rsidP="00E54E39">
            <w:pPr>
              <w:pStyle w:val="Marginlie"/>
              <w:spacing w:after="120"/>
              <w:rPr>
                <w:color w:val="0D0D0D" w:themeColor="text1" w:themeTint="F2"/>
                <w:spacing w:val="0"/>
              </w:rPr>
            </w:pPr>
            <w:r w:rsidRPr="00EE0E68">
              <w:rPr>
                <w:color w:val="0D0D0D" w:themeColor="text1" w:themeTint="F2"/>
                <w:spacing w:val="0"/>
              </w:rPr>
              <w:t xml:space="preserve">Dařilo se i oblasti nemovitostí a vyspělejším podnikovým službám, kde přibylo zaměstnanců </w:t>
            </w:r>
            <w:r w:rsidRPr="00EE0E68">
              <w:rPr>
                <w:color w:val="0D0D0D" w:themeColor="text1" w:themeTint="F2"/>
                <w:spacing w:val="0"/>
              </w:rPr>
              <w:br/>
              <w:t>i sebezaměstnaných.</w:t>
            </w:r>
          </w:p>
          <w:p w14:paraId="50AF8E91" w14:textId="77777777" w:rsidR="006712EC" w:rsidRPr="00EE0E68" w:rsidRDefault="006712EC" w:rsidP="00E54E39">
            <w:pPr>
              <w:pStyle w:val="Marginlie"/>
              <w:spacing w:after="120"/>
              <w:rPr>
                <w:color w:val="0D0D0D" w:themeColor="text1" w:themeTint="F2"/>
                <w:spacing w:val="0"/>
              </w:rPr>
            </w:pPr>
            <w:r w:rsidRPr="00EE0E68">
              <w:rPr>
                <w:color w:val="0D0D0D" w:themeColor="text1" w:themeTint="F2"/>
                <w:spacing w:val="0"/>
              </w:rPr>
              <w:t xml:space="preserve">V peněžnictví </w:t>
            </w:r>
            <w:r w:rsidRPr="00EE0E68">
              <w:rPr>
                <w:color w:val="0D0D0D" w:themeColor="text1" w:themeTint="F2"/>
                <w:spacing w:val="0"/>
              </w:rPr>
              <w:br/>
              <w:t xml:space="preserve">a pojišťovnictví, stejně jako v oblasti ICT, letos pracovníků nepřibývalo </w:t>
            </w:r>
            <w:r w:rsidRPr="00EE0E68">
              <w:rPr>
                <w:color w:val="0D0D0D" w:themeColor="text1" w:themeTint="F2"/>
                <w:spacing w:val="0"/>
              </w:rPr>
              <w:br/>
              <w:t xml:space="preserve">a počty </w:t>
            </w:r>
            <w:r w:rsidRPr="00EE0E68">
              <w:rPr>
                <w:color w:val="0D0D0D" w:themeColor="text1" w:themeTint="F2"/>
                <w:spacing w:val="0"/>
              </w:rPr>
              <w:lastRenderedPageBreak/>
              <w:t>sebezaměstnaných zde dokonce klesaly.</w:t>
            </w:r>
          </w:p>
          <w:p w14:paraId="79FD40FD" w14:textId="77777777" w:rsidR="006712EC" w:rsidRPr="00EE0E68" w:rsidRDefault="006712EC" w:rsidP="00E54E39">
            <w:pPr>
              <w:pStyle w:val="Marginlie"/>
              <w:spacing w:after="120"/>
              <w:rPr>
                <w:color w:val="0D0D0D" w:themeColor="text1" w:themeTint="F2"/>
                <w:spacing w:val="0"/>
              </w:rPr>
            </w:pPr>
          </w:p>
        </w:tc>
        <w:tc>
          <w:tcPr>
            <w:tcW w:w="198" w:type="dxa"/>
            <w:shd w:val="clear" w:color="auto" w:fill="auto"/>
            <w:tcMar>
              <w:left w:w="0" w:type="dxa"/>
            </w:tcMar>
          </w:tcPr>
          <w:p w14:paraId="03B334D5" w14:textId="77777777" w:rsidR="006712EC" w:rsidRPr="00EE0E68" w:rsidRDefault="006712EC" w:rsidP="00E54E39">
            <w:pPr>
              <w:pStyle w:val="Textpoznpodarou"/>
              <w:spacing w:after="120"/>
              <w:jc w:val="both"/>
              <w:rPr>
                <w:color w:val="0D0D0D" w:themeColor="text1" w:themeTint="F2"/>
              </w:rPr>
            </w:pPr>
          </w:p>
        </w:tc>
        <w:tc>
          <w:tcPr>
            <w:tcW w:w="7715" w:type="dxa"/>
            <w:shd w:val="clear" w:color="auto" w:fill="auto"/>
            <w:tcMar>
              <w:left w:w="0" w:type="dxa"/>
            </w:tcMar>
          </w:tcPr>
          <w:p w14:paraId="0CFE79DE" w14:textId="409A2389" w:rsidR="006712EC" w:rsidRPr="00EE0E68" w:rsidRDefault="006712EC" w:rsidP="00C66B0D">
            <w:r w:rsidRPr="00EE0E68">
              <w:t>Za 1. pololetí 2025 celková zaměstnanost narostla meziročně o rovné 1 %</w:t>
            </w:r>
            <w:r w:rsidRPr="00EE0E68">
              <w:rPr>
                <w:rStyle w:val="Znakapoznpodarou"/>
              </w:rPr>
              <w:footnoteReference w:id="3"/>
            </w:r>
            <w:r w:rsidRPr="00EE0E68">
              <w:t>. Podíleli se na tom téměř výhradně zaměstnanci, kterých přibylo 55 tis. Počet sebezaměstnaných spíše stagnoval (v samotném 2. čtvrtletí se dokonce mírně snížil, poprvé za poslední čtyři roky). Z pohledu odvětví byly nadále pro celkovou dynamiku zaměstnanosti v ekonomice určující veřejné služby</w:t>
            </w:r>
            <w:r w:rsidRPr="00EE0E68">
              <w:rPr>
                <w:rStyle w:val="Znakapoznpodarou"/>
              </w:rPr>
              <w:footnoteReference w:id="4"/>
            </w:r>
            <w:r w:rsidRPr="00EE0E68">
              <w:t>, kde letos růst mírně zrychlil (na rovná 2 %). Tyto služby reagovaly na vysokou poptávku spojenou s dlouhodobějšími změnami ve věkové skladbě populace (v oblasti vzdělávání, zdravotní a sociální péče). Relativně nejvíce se ale zvýšila zaměstnanost v malém odvětví činnosti oblasti nemovitostí (+5,6 %), kde přibylo jak zaměstnanců, tak sebezaměstnaných. To platí i</w:t>
            </w:r>
            <w:r w:rsidR="00EE0E68">
              <w:t> </w:t>
            </w:r>
            <w:r w:rsidRPr="00EE0E68">
              <w:t>pro profesní, vědecké, technické a administrativní činnosti (+1,4 %), jež soustřeďují zejména specialisty poskytující vyspělé služby převážně pro podnikovou sféru. Stále více se rozvíjely ostatní činnosti služeb</w:t>
            </w:r>
            <w:r w:rsidRPr="00EE0E68">
              <w:rPr>
                <w:rStyle w:val="Znakapoznpodarou"/>
              </w:rPr>
              <w:footnoteReference w:id="5"/>
            </w:r>
            <w:r w:rsidRPr="00EE0E68">
              <w:t>, kde letos přibylo 3,7 % pracovníků a zaměstnanost v tomto odvětví, silně poznamenaném protipandemickými restrikcemi, tak poprvé překonala úroveň z předkrizového roku 2019. V uskupení obchod, doprava, ubytování a</w:t>
            </w:r>
            <w:r w:rsidR="00EE0E68">
              <w:t> </w:t>
            </w:r>
            <w:r w:rsidRPr="00EE0E68">
              <w:t>pohostinství přetrvával mírnější růst (+1,1 %). Na jedné straně se dařilo obchodu a</w:t>
            </w:r>
            <w:r w:rsidR="00EE0E68">
              <w:t> </w:t>
            </w:r>
            <w:r w:rsidRPr="00EE0E68">
              <w:t xml:space="preserve">aktivitám navázaným na cestovní ruch, současně však ubývala pracovní místa v dopravě </w:t>
            </w:r>
            <w:r w:rsidRPr="00EE0E68">
              <w:lastRenderedPageBreak/>
              <w:t>a</w:t>
            </w:r>
            <w:r w:rsidR="00C66B0D">
              <w:t> </w:t>
            </w:r>
            <w:r w:rsidRPr="00EE0E68">
              <w:t>skladování, což souviselo s přetrvávající slabou dynamikou výkonu v průmyslu. V</w:t>
            </w:r>
            <w:r w:rsidR="00C66B0D">
              <w:t> </w:t>
            </w:r>
            <w:r w:rsidRPr="00EE0E68">
              <w:t>okruhu nejvyspělejších služeb zařazených do kvartérního sektoru ekonomiky roste v posledních čtvrtletích celková zaměstnanost jen slabě – v oblasti ICT se letos počet pracovníků meziročně dokonce mírně snížil (o 0,6 %), šlo o první pokles za pololetí od roku 2012. Projevil se v něm zejména úbytek sebezaměstnaných. V peněžnictví a</w:t>
            </w:r>
            <w:r w:rsidR="00C66B0D">
              <w:t> </w:t>
            </w:r>
            <w:r w:rsidRPr="00EE0E68">
              <w:t>pojišťovnictví zůstal počet pracovníků na úrovni loňského 1. pololetí, neboť úbytek stavu sebezaměstnaných byl kompenzován mírným oživením u</w:t>
            </w:r>
            <w:r w:rsidR="00EE0E68">
              <w:t> </w:t>
            </w:r>
            <w:r w:rsidRPr="00EE0E68">
              <w:t>zaměstnanců</w:t>
            </w:r>
            <w:r w:rsidRPr="00EE0E68">
              <w:rPr>
                <w:rStyle w:val="Znakapoznpodarou"/>
              </w:rPr>
              <w:footnoteReference w:id="6"/>
            </w:r>
            <w:r w:rsidRPr="00EE0E68">
              <w:t xml:space="preserve">. </w:t>
            </w:r>
          </w:p>
        </w:tc>
      </w:tr>
      <w:tr w:rsidR="006712EC" w:rsidRPr="009F0D7F" w14:paraId="54F38F7E" w14:textId="77777777" w:rsidTr="00EE0E68">
        <w:trPr>
          <w:trHeight w:val="155"/>
        </w:trPr>
        <w:tc>
          <w:tcPr>
            <w:tcW w:w="1761" w:type="dxa"/>
            <w:shd w:val="clear" w:color="auto" w:fill="auto"/>
            <w:tcMar>
              <w:left w:w="0" w:type="dxa"/>
            </w:tcMar>
          </w:tcPr>
          <w:p w14:paraId="27A856F2" w14:textId="77777777" w:rsidR="006712EC" w:rsidRPr="00EE0E68" w:rsidRDefault="006712EC" w:rsidP="00E54E39">
            <w:pPr>
              <w:pStyle w:val="Marginlie"/>
              <w:spacing w:after="120"/>
              <w:rPr>
                <w:color w:val="0D0D0D" w:themeColor="text1" w:themeTint="F2"/>
                <w:spacing w:val="0"/>
              </w:rPr>
            </w:pPr>
            <w:r w:rsidRPr="00EE0E68">
              <w:rPr>
                <w:color w:val="0D0D0D" w:themeColor="text1" w:themeTint="F2"/>
                <w:spacing w:val="0"/>
              </w:rPr>
              <w:lastRenderedPageBreak/>
              <w:t>Ve stavebnictví růst zaměstnanosti zrychlil i díky posílení role drobných podnikatelů.</w:t>
            </w:r>
          </w:p>
          <w:p w14:paraId="001C498D" w14:textId="77777777" w:rsidR="006712EC" w:rsidRPr="00EE0E68" w:rsidRDefault="006712EC" w:rsidP="00E54E39">
            <w:pPr>
              <w:pStyle w:val="Marginlie"/>
              <w:spacing w:after="120"/>
              <w:rPr>
                <w:color w:val="0D0D0D" w:themeColor="text1" w:themeTint="F2"/>
                <w:spacing w:val="0"/>
              </w:rPr>
            </w:pPr>
          </w:p>
          <w:p w14:paraId="583E4C36" w14:textId="77777777" w:rsidR="006712EC" w:rsidRPr="00EE0E68" w:rsidRDefault="006712EC" w:rsidP="00E54E39">
            <w:pPr>
              <w:pStyle w:val="Marginlie"/>
              <w:spacing w:after="120"/>
              <w:rPr>
                <w:color w:val="0D0D0D" w:themeColor="text1" w:themeTint="F2"/>
                <w:spacing w:val="0"/>
              </w:rPr>
            </w:pPr>
          </w:p>
          <w:p w14:paraId="68FE90FA" w14:textId="77777777" w:rsidR="006712EC" w:rsidRPr="00EE0E68" w:rsidRDefault="006712EC" w:rsidP="00E54E39">
            <w:pPr>
              <w:pStyle w:val="Marginlie"/>
              <w:spacing w:after="120"/>
              <w:rPr>
                <w:color w:val="0D0D0D" w:themeColor="text1" w:themeTint="F2"/>
                <w:spacing w:val="0"/>
              </w:rPr>
            </w:pPr>
            <w:r w:rsidRPr="00EE0E68">
              <w:rPr>
                <w:color w:val="0D0D0D" w:themeColor="text1" w:themeTint="F2"/>
                <w:spacing w:val="0"/>
              </w:rPr>
              <w:t>Pokles zaměstnanosti ve zpracovatelském průmyslu se zmírnil. Situace v řadě tradičních exportních oborů je stále obtížná.</w:t>
            </w:r>
          </w:p>
          <w:p w14:paraId="090CBB7D" w14:textId="77777777" w:rsidR="006712EC" w:rsidRPr="00EE0E68" w:rsidRDefault="006712EC" w:rsidP="00E54E39">
            <w:pPr>
              <w:pStyle w:val="Marginlie"/>
              <w:spacing w:after="120"/>
              <w:rPr>
                <w:color w:val="0D0D0D" w:themeColor="text1" w:themeTint="F2"/>
                <w:spacing w:val="0"/>
              </w:rPr>
            </w:pPr>
          </w:p>
        </w:tc>
        <w:tc>
          <w:tcPr>
            <w:tcW w:w="198" w:type="dxa"/>
            <w:shd w:val="clear" w:color="auto" w:fill="auto"/>
            <w:tcMar>
              <w:left w:w="0" w:type="dxa"/>
            </w:tcMar>
          </w:tcPr>
          <w:p w14:paraId="488156C4" w14:textId="77777777" w:rsidR="006712EC" w:rsidRPr="00EE0E68" w:rsidRDefault="006712EC" w:rsidP="00E54E39">
            <w:pPr>
              <w:pStyle w:val="Textpoznpodarou"/>
              <w:spacing w:after="120"/>
              <w:jc w:val="both"/>
              <w:rPr>
                <w:color w:val="0D0D0D" w:themeColor="text1" w:themeTint="F2"/>
              </w:rPr>
            </w:pPr>
          </w:p>
        </w:tc>
        <w:tc>
          <w:tcPr>
            <w:tcW w:w="7715" w:type="dxa"/>
            <w:shd w:val="clear" w:color="auto" w:fill="auto"/>
            <w:tcMar>
              <w:left w:w="0" w:type="dxa"/>
            </w:tcMar>
          </w:tcPr>
          <w:p w14:paraId="24EA8B6D" w14:textId="25B13476" w:rsidR="006712EC" w:rsidRPr="00EE0E68" w:rsidRDefault="006712EC" w:rsidP="00EE0E68">
            <w:pPr>
              <w:spacing w:after="200"/>
            </w:pPr>
            <w:r w:rsidRPr="00EE0E68">
              <w:t>Z tradičních odvětví hmotné výroby se letos dařilo jen stavebnictví, kde za bezmála 2% růstem zaměstnanosti stáli také drobní podnikatel</w:t>
            </w:r>
            <w:r w:rsidRPr="00EE0E68">
              <w:rPr>
                <w:color w:val="0D0D0D" w:themeColor="text1" w:themeTint="F2"/>
              </w:rPr>
              <w:t>é. Naopak ve zpracovatelském průmyslu pracovníků meziročně ubývá již čtvrtý rok v řadě.</w:t>
            </w:r>
            <w:r w:rsidRPr="00EE0E68">
              <w:t xml:space="preserve"> Letošní pokles je zde však relativně mírnější (−0,5 %), stejně jak loni se však na něm podíleli zaměstnanci i</w:t>
            </w:r>
            <w:r w:rsidR="00EE0E68">
              <w:t> </w:t>
            </w:r>
            <w:r w:rsidRPr="00EE0E68">
              <w:t>sebezaměstnaní. Potíže s odbytem zboží, nejistota nejbližšího vývoje v mezinárodních obchodních vztazích, jakož i přetrvávající nákladové tlaky související hlavně s energetickou náročností výroby zatím neposkytují větší prostor pro růst nových pracovních míst. V ostatním průmyslu byla situace trochu příznivější, neboť mírný růst zaměstnanosti v energetice, vodním a odpadovém hospodářství stačil kompenzovat prohlubující se útlum v relativně malém oboru těžby a dobývání. Zaměstnanost zde tak fakticky stagnovala čtvrtým rokem v řadě. V odvětví zemědělství, lesnictví a rybářství se celkový počet pracovníků nadále významně neměnil, po dvou letech zde však došlo k oživení v kategorii sebezaměstnaných.</w:t>
            </w:r>
          </w:p>
        </w:tc>
      </w:tr>
      <w:tr w:rsidR="006712EC" w:rsidRPr="009F0D7F" w14:paraId="5AF954BD" w14:textId="77777777" w:rsidTr="00EE0E68">
        <w:trPr>
          <w:trHeight w:val="155"/>
        </w:trPr>
        <w:tc>
          <w:tcPr>
            <w:tcW w:w="1761" w:type="dxa"/>
            <w:shd w:val="clear" w:color="auto" w:fill="auto"/>
            <w:tcMar>
              <w:left w:w="0" w:type="dxa"/>
            </w:tcMar>
          </w:tcPr>
          <w:p w14:paraId="1ED4A5C6" w14:textId="77777777" w:rsidR="006712EC" w:rsidRPr="00EE0E68" w:rsidRDefault="006712EC" w:rsidP="00E54E39">
            <w:pPr>
              <w:pStyle w:val="Marginlie"/>
              <w:spacing w:after="120"/>
              <w:rPr>
                <w:color w:val="0D0D0D" w:themeColor="text1" w:themeTint="F2"/>
                <w:spacing w:val="0"/>
              </w:rPr>
            </w:pPr>
            <w:r w:rsidRPr="00EE0E68">
              <w:rPr>
                <w:color w:val="0D0D0D" w:themeColor="text1" w:themeTint="F2"/>
                <w:spacing w:val="0"/>
              </w:rPr>
              <w:t>Počet odpracovaných hodin se zvyšoval rychleji než fyzický počet pracovníků.</w:t>
            </w:r>
          </w:p>
        </w:tc>
        <w:tc>
          <w:tcPr>
            <w:tcW w:w="198" w:type="dxa"/>
            <w:shd w:val="clear" w:color="auto" w:fill="auto"/>
            <w:tcMar>
              <w:left w:w="0" w:type="dxa"/>
            </w:tcMar>
          </w:tcPr>
          <w:p w14:paraId="5EE85DF7" w14:textId="77777777" w:rsidR="006712EC" w:rsidRPr="00EE0E68" w:rsidRDefault="006712EC" w:rsidP="00E54E39">
            <w:pPr>
              <w:pStyle w:val="Textpoznpodarou"/>
              <w:spacing w:after="120"/>
              <w:jc w:val="both"/>
              <w:rPr>
                <w:color w:val="0D0D0D" w:themeColor="text1" w:themeTint="F2"/>
              </w:rPr>
            </w:pPr>
          </w:p>
        </w:tc>
        <w:tc>
          <w:tcPr>
            <w:tcW w:w="7715" w:type="dxa"/>
            <w:shd w:val="clear" w:color="auto" w:fill="auto"/>
            <w:tcMar>
              <w:left w:w="0" w:type="dxa"/>
            </w:tcMar>
          </w:tcPr>
          <w:p w14:paraId="1369C00C" w14:textId="7D3C90AE" w:rsidR="006712EC" w:rsidRPr="00EE0E68" w:rsidRDefault="006712EC" w:rsidP="00EE0E68">
            <w:pPr>
              <w:spacing w:after="200"/>
            </w:pPr>
            <w:r w:rsidRPr="00EE0E68">
              <w:t>Celkový počet odpracovaných hodin</w:t>
            </w:r>
            <w:r w:rsidRPr="00EE0E68">
              <w:rPr>
                <w:rStyle w:val="Znakapoznpodarou"/>
              </w:rPr>
              <w:footnoteReference w:id="7"/>
            </w:r>
            <w:r w:rsidRPr="00EE0E68">
              <w:t xml:space="preserve"> v ekonomice se letos v 1. pololetí meziročně zvýšil o 1,7 %. Podobně jako v předchozích letech (od ústupu pandemie covidu-19) se zvyšoval rychleji než počet zaměstnaných (ve fyzických osobách). Rychlejší růst odpracovaných hodin proti zaměstnaným osobám je letos patrný u zaměstnanců i</w:t>
            </w:r>
            <w:r w:rsidR="00EE0E68">
              <w:t> </w:t>
            </w:r>
            <w:r w:rsidRPr="00EE0E68">
              <w:t>sebezaměstnaných. Celkově je letos, stejně jako loni, viditelný zejména v primárním a</w:t>
            </w:r>
            <w:r w:rsidR="00EE0E68">
              <w:t> </w:t>
            </w:r>
            <w:r w:rsidRPr="00EE0E68">
              <w:t>sekundárním sektoru ekonomiky, což může souviset také s nedostatkem manuálních kvalifikovaných i méně kvalifikovaných pracovníků na trhu. Projevil se rovněž fakt, že v posledních letech přibývá pracujících s dvěma a více zaměstnáními. Ve srovnání s 1.</w:t>
            </w:r>
            <w:r w:rsidR="00EE0E68">
              <w:t> </w:t>
            </w:r>
            <w:r w:rsidRPr="00EE0E68">
              <w:t>pololetím 2019 byl letos počet odpracovaných hodin v ekonomice vyšší o 3,5 %, z toho u sebezaměstnaných o 5,2 %</w:t>
            </w:r>
            <w:r w:rsidRPr="00EE0E68">
              <w:rPr>
                <w:rStyle w:val="Znakapoznpodarou"/>
              </w:rPr>
              <w:footnoteReference w:id="8"/>
            </w:r>
            <w:r w:rsidRPr="00EE0E68">
              <w:t>.</w:t>
            </w:r>
          </w:p>
        </w:tc>
      </w:tr>
      <w:tr w:rsidR="006712EC" w:rsidRPr="009F0D7F" w14:paraId="5D8B3E5B" w14:textId="77777777" w:rsidTr="00EE0E68">
        <w:trPr>
          <w:trHeight w:val="155"/>
        </w:trPr>
        <w:tc>
          <w:tcPr>
            <w:tcW w:w="1761" w:type="dxa"/>
            <w:shd w:val="clear" w:color="auto" w:fill="auto"/>
            <w:tcMar>
              <w:left w:w="0" w:type="dxa"/>
            </w:tcMar>
          </w:tcPr>
          <w:p w14:paraId="2A34C255" w14:textId="77777777" w:rsidR="006712EC" w:rsidRPr="00EE0E68" w:rsidRDefault="006712EC" w:rsidP="00E54E39">
            <w:pPr>
              <w:pStyle w:val="Marginlie"/>
              <w:spacing w:after="120"/>
              <w:rPr>
                <w:color w:val="0D0D0D" w:themeColor="text1" w:themeTint="F2"/>
                <w:spacing w:val="0"/>
              </w:rPr>
            </w:pPr>
            <w:r w:rsidRPr="00EE0E68">
              <w:rPr>
                <w:color w:val="0D0D0D" w:themeColor="text1" w:themeTint="F2"/>
                <w:spacing w:val="0"/>
              </w:rPr>
              <w:t>Růst produktivity práce se obnovil. Patrný byl letos ve většině hlavních odvětví.</w:t>
            </w:r>
          </w:p>
        </w:tc>
        <w:tc>
          <w:tcPr>
            <w:tcW w:w="198" w:type="dxa"/>
            <w:shd w:val="clear" w:color="auto" w:fill="auto"/>
            <w:tcMar>
              <w:left w:w="0" w:type="dxa"/>
            </w:tcMar>
          </w:tcPr>
          <w:p w14:paraId="45101164" w14:textId="77777777" w:rsidR="006712EC" w:rsidRPr="00EE0E68" w:rsidRDefault="006712EC" w:rsidP="00E54E39">
            <w:pPr>
              <w:pStyle w:val="Textpoznpodarou"/>
              <w:spacing w:after="120"/>
              <w:jc w:val="both"/>
              <w:rPr>
                <w:color w:val="0D0D0D" w:themeColor="text1" w:themeTint="F2"/>
              </w:rPr>
            </w:pPr>
          </w:p>
        </w:tc>
        <w:tc>
          <w:tcPr>
            <w:tcW w:w="7715" w:type="dxa"/>
            <w:shd w:val="clear" w:color="auto" w:fill="auto"/>
            <w:tcMar>
              <w:left w:w="0" w:type="dxa"/>
            </w:tcMar>
          </w:tcPr>
          <w:p w14:paraId="1478135B" w14:textId="3981E379" w:rsidR="006712EC" w:rsidRPr="00EE0E68" w:rsidRDefault="006712EC" w:rsidP="00EE0E68">
            <w:pPr>
              <w:rPr>
                <w:color w:val="0D0D0D" w:themeColor="text1" w:themeTint="F2"/>
              </w:rPr>
            </w:pPr>
            <w:r w:rsidRPr="00EE0E68">
              <w:rPr>
                <w:color w:val="0D0D0D" w:themeColor="text1" w:themeTint="F2"/>
              </w:rPr>
              <w:t>Zrychlení výkonu ekonomiky vedlo letos i při relativně významném růstu odpracovaných hodin k posilování produktivity práce. Hodinová produktivita</w:t>
            </w:r>
            <w:r w:rsidRPr="00EE0E68">
              <w:rPr>
                <w:rStyle w:val="Znakapoznpodarou"/>
                <w:color w:val="0D0D0D" w:themeColor="text1" w:themeTint="F2"/>
              </w:rPr>
              <w:footnoteReference w:id="9"/>
            </w:r>
            <w:r w:rsidRPr="00EE0E68">
              <w:rPr>
                <w:color w:val="0D0D0D" w:themeColor="text1" w:themeTint="F2"/>
              </w:rPr>
              <w:t xml:space="preserve"> se v 1. pololetí meziročně zvýšila o 0,8 % a rostla tak poprvé od roku 2021. Nejvíce se zvýšila v oblasti ICT (+8,2</w:t>
            </w:r>
            <w:r w:rsidR="00EE0E68">
              <w:rPr>
                <w:color w:val="0D0D0D" w:themeColor="text1" w:themeTint="F2"/>
              </w:rPr>
              <w:t> </w:t>
            </w:r>
            <w:r w:rsidRPr="00EE0E68">
              <w:rPr>
                <w:color w:val="0D0D0D" w:themeColor="text1" w:themeTint="F2"/>
              </w:rPr>
              <w:t>%), svižně rostla i ve finančnictví, stavebnictví či nezpracovatelských průmyslových oborech. Snižovala se pouze ve veřejných službách, v oblastech nemovitostí a v primárním sektoru. K pozitivnímu obratu došlo také u produktivity vyjádřené na pracovníka (ve fyzických osobách), která se meziročně mírně zvýšila již ve 2. pololetí 2024.</w:t>
            </w:r>
          </w:p>
        </w:tc>
      </w:tr>
      <w:tr w:rsidR="006712EC" w:rsidRPr="009F0D7F" w14:paraId="5E7C9C52" w14:textId="77777777" w:rsidTr="00EE0E68">
        <w:trPr>
          <w:trHeight w:val="155"/>
        </w:trPr>
        <w:tc>
          <w:tcPr>
            <w:tcW w:w="1761" w:type="dxa"/>
            <w:shd w:val="clear" w:color="auto" w:fill="auto"/>
            <w:tcMar>
              <w:left w:w="0" w:type="dxa"/>
            </w:tcMar>
          </w:tcPr>
          <w:p w14:paraId="41E42105" w14:textId="77777777" w:rsidR="006712EC" w:rsidRPr="00EE0E68" w:rsidRDefault="006712EC" w:rsidP="00E54E39">
            <w:pPr>
              <w:pStyle w:val="Marginlie"/>
              <w:spacing w:after="120"/>
              <w:rPr>
                <w:color w:val="0D0D0D" w:themeColor="text1" w:themeTint="F2"/>
                <w:spacing w:val="0"/>
              </w:rPr>
            </w:pPr>
            <w:r w:rsidRPr="00EE0E68">
              <w:rPr>
                <w:color w:val="0D0D0D" w:themeColor="text1" w:themeTint="F2"/>
                <w:spacing w:val="0"/>
              </w:rPr>
              <w:t xml:space="preserve">Počet cizinců v zaměstnaneckém postavení vystoupal na rekordních 892 tis. Jejich přírůstek byl stále tažen hlavně občany Ukrajiny. </w:t>
            </w:r>
          </w:p>
          <w:p w14:paraId="67D38F3C" w14:textId="77777777" w:rsidR="006712EC" w:rsidRPr="00EE0E68" w:rsidRDefault="006712EC" w:rsidP="00E54E39">
            <w:pPr>
              <w:pStyle w:val="Marginlie"/>
              <w:spacing w:after="120"/>
              <w:rPr>
                <w:color w:val="0D0D0D" w:themeColor="text1" w:themeTint="F2"/>
                <w:spacing w:val="0"/>
              </w:rPr>
            </w:pPr>
          </w:p>
          <w:p w14:paraId="3A2AE982" w14:textId="77777777" w:rsidR="006712EC" w:rsidRPr="00EE0E68" w:rsidRDefault="006712EC" w:rsidP="00E54E39">
            <w:pPr>
              <w:pStyle w:val="Marginlie"/>
              <w:spacing w:after="120"/>
              <w:rPr>
                <w:color w:val="0D0D0D" w:themeColor="text1" w:themeTint="F2"/>
                <w:spacing w:val="0"/>
              </w:rPr>
            </w:pPr>
            <w:r w:rsidRPr="00EE0E68">
              <w:rPr>
                <w:color w:val="0D0D0D" w:themeColor="text1" w:themeTint="F2"/>
                <w:spacing w:val="0"/>
              </w:rPr>
              <w:lastRenderedPageBreak/>
              <w:t xml:space="preserve">Zrychlil příliv osob z některých asijských států. Počty pracovníků ze střední a východní Evropy meziročně spíše stagnovaly. </w:t>
            </w:r>
          </w:p>
        </w:tc>
        <w:tc>
          <w:tcPr>
            <w:tcW w:w="198" w:type="dxa"/>
            <w:shd w:val="clear" w:color="auto" w:fill="auto"/>
            <w:tcMar>
              <w:left w:w="0" w:type="dxa"/>
            </w:tcMar>
          </w:tcPr>
          <w:p w14:paraId="1B4CEB9B" w14:textId="77777777" w:rsidR="006712EC" w:rsidRPr="00EE0E68" w:rsidRDefault="006712EC" w:rsidP="00E54E39">
            <w:pPr>
              <w:pStyle w:val="Textpoznpodarou"/>
              <w:spacing w:after="120"/>
              <w:jc w:val="both"/>
              <w:rPr>
                <w:color w:val="0D0D0D" w:themeColor="text1" w:themeTint="F2"/>
              </w:rPr>
            </w:pPr>
          </w:p>
        </w:tc>
        <w:tc>
          <w:tcPr>
            <w:tcW w:w="7715" w:type="dxa"/>
            <w:shd w:val="clear" w:color="auto" w:fill="auto"/>
            <w:tcMar>
              <w:left w:w="0" w:type="dxa"/>
            </w:tcMar>
          </w:tcPr>
          <w:p w14:paraId="70F768CE" w14:textId="477587E3" w:rsidR="006712EC" w:rsidRPr="00EE0E68" w:rsidRDefault="006712EC" w:rsidP="00EE0E68">
            <w:pPr>
              <w:rPr>
                <w:color w:val="0D0D0D" w:themeColor="text1" w:themeTint="F2"/>
              </w:rPr>
            </w:pPr>
            <w:r w:rsidRPr="00EE0E68">
              <w:rPr>
                <w:color w:val="0D0D0D" w:themeColor="text1" w:themeTint="F2"/>
              </w:rPr>
              <w:t xml:space="preserve">Dlouhodobě nízká zásoba volných pracovních sil v Česku (vlivem demografického stárnutí i nízké porodnosti) spolu se sílícím tlakem firem na optimalizaci výrobních nákladů nadále stimulovaly rostoucí poptávku tuzemských zaměstnavatelů po pracovnících ze zahraničí. Snadnějšímu zaměstnávání cizinců pomáhají legislativní změny snižující administrativní náročnost v této oblasti. To se týká jak ukrajinských </w:t>
            </w:r>
            <w:r w:rsidRPr="00EE0E68">
              <w:rPr>
                <w:color w:val="0D0D0D" w:themeColor="text1" w:themeTint="F2"/>
              </w:rPr>
              <w:lastRenderedPageBreak/>
              <w:t>občanů</w:t>
            </w:r>
            <w:r w:rsidRPr="00EE0E68">
              <w:rPr>
                <w:rStyle w:val="Znakapoznpodarou"/>
                <w:color w:val="0D0D0D" w:themeColor="text1" w:themeTint="F2"/>
              </w:rPr>
              <w:footnoteReference w:id="10"/>
            </w:r>
            <w:r w:rsidRPr="00EE0E68">
              <w:rPr>
                <w:color w:val="0D0D0D" w:themeColor="text1" w:themeTint="F2"/>
              </w:rPr>
              <w:t>, tak i cizinců z dalších, nejen z hospodářsky méně vyspělých zemí mimo EU</w:t>
            </w:r>
            <w:r w:rsidRPr="00EE0E68">
              <w:rPr>
                <w:rStyle w:val="Znakapoznpodarou"/>
                <w:color w:val="0D0D0D" w:themeColor="text1" w:themeTint="F2"/>
              </w:rPr>
              <w:footnoteReference w:id="11"/>
            </w:r>
            <w:r w:rsidRPr="00EE0E68">
              <w:rPr>
                <w:color w:val="0D0D0D" w:themeColor="text1" w:themeTint="F2"/>
              </w:rPr>
              <w:t>. Dlouhodobý příliv zahraničních pracovníků do Česka tak pokračoval. V dominantní skupině zaměstnanců jich letos na konci srpna bylo na úřadech práce registrováno rekordních 892 tis. (meziročně o 84 tis. více). Nejvíce meziročně přibylo již tradičně občanů Ukrajiny (+46 tis. na 329 tis., z toho ženy +27 tis., na 178 tis.), dále Slovenska (+13 tis., na 223 tis.), Filipín (+4,0 tis., na 12,6 tis.) a Vietnamu (+2,5 tis., na 22 tis.). Z významnějších skupin cizinců rostl relativně svižně počet občanů Indie, Číny</w:t>
            </w:r>
            <w:r w:rsidR="00EE0E68">
              <w:rPr>
                <w:color w:val="0D0D0D" w:themeColor="text1" w:themeTint="F2"/>
              </w:rPr>
              <w:t>,</w:t>
            </w:r>
            <w:r w:rsidRPr="00EE0E68">
              <w:rPr>
                <w:color w:val="0D0D0D" w:themeColor="text1" w:themeTint="F2"/>
              </w:rPr>
              <w:t xml:space="preserve"> Kazachstánu a Uzbekistánu (shodně mírně přes 20 %). Naopak u řady početných skupin pracovníků z chudších států střední a východní Evropy – především z Polska, Bulharska a Rumunska jejich počet téměř stagnoval, u Srbska a Turecka se mírně snižoval (do 5</w:t>
            </w:r>
            <w:r w:rsidR="00EE0E68">
              <w:rPr>
                <w:color w:val="0D0D0D" w:themeColor="text1" w:themeTint="F2"/>
              </w:rPr>
              <w:t> </w:t>
            </w:r>
            <w:r w:rsidRPr="00EE0E68">
              <w:rPr>
                <w:color w:val="0D0D0D" w:themeColor="text1" w:themeTint="F2"/>
              </w:rPr>
              <w:t xml:space="preserve">%). To souvisí s postupným vyrovnáváním mzdové úrovně v tomto regionu. </w:t>
            </w:r>
          </w:p>
        </w:tc>
      </w:tr>
      <w:tr w:rsidR="006712EC" w:rsidRPr="009F2A8A" w14:paraId="0DBB25D7" w14:textId="77777777" w:rsidTr="00EE0E68">
        <w:trPr>
          <w:trHeight w:val="155"/>
        </w:trPr>
        <w:tc>
          <w:tcPr>
            <w:tcW w:w="1761" w:type="dxa"/>
            <w:vMerge w:val="restart"/>
            <w:shd w:val="clear" w:color="auto" w:fill="auto"/>
            <w:tcMar>
              <w:left w:w="0" w:type="dxa"/>
            </w:tcMar>
          </w:tcPr>
          <w:p w14:paraId="6D85EECC" w14:textId="77777777" w:rsidR="006712EC" w:rsidRPr="00EE0E68" w:rsidRDefault="006712EC" w:rsidP="00E54E39">
            <w:pPr>
              <w:pStyle w:val="Marginlie"/>
              <w:spacing w:after="120"/>
              <w:rPr>
                <w:spacing w:val="0"/>
              </w:rPr>
            </w:pPr>
          </w:p>
        </w:tc>
        <w:tc>
          <w:tcPr>
            <w:tcW w:w="198" w:type="dxa"/>
            <w:vMerge w:val="restart"/>
            <w:shd w:val="clear" w:color="auto" w:fill="auto"/>
            <w:tcMar>
              <w:left w:w="0" w:type="dxa"/>
            </w:tcMar>
          </w:tcPr>
          <w:p w14:paraId="4626EF5C" w14:textId="77777777" w:rsidR="006712EC" w:rsidRPr="00EE0E68" w:rsidRDefault="006712EC" w:rsidP="00E54E39">
            <w:pPr>
              <w:pStyle w:val="Textpoznpodarou"/>
              <w:spacing w:after="120"/>
              <w:jc w:val="both"/>
            </w:pPr>
          </w:p>
        </w:tc>
        <w:tc>
          <w:tcPr>
            <w:tcW w:w="7715" w:type="dxa"/>
            <w:shd w:val="clear" w:color="auto" w:fill="auto"/>
            <w:tcMar>
              <w:left w:w="0" w:type="dxa"/>
            </w:tcMar>
          </w:tcPr>
          <w:p w14:paraId="5EB981F3" w14:textId="77777777" w:rsidR="006712EC" w:rsidRPr="00EE0E68" w:rsidRDefault="006712EC" w:rsidP="00E54E39">
            <w:pPr>
              <w:spacing w:after="0"/>
            </w:pPr>
            <w:r w:rsidRPr="00EE0E68">
              <w:rPr>
                <w:rFonts w:cs="Arial"/>
                <w:b/>
                <w:bCs/>
                <w:color w:val="000000"/>
                <w:szCs w:val="20"/>
              </w:rPr>
              <w:t>Graf č. 13</w:t>
            </w:r>
            <w:r w:rsidRPr="00EE0E68">
              <w:rPr>
                <w:rFonts w:cs="Arial"/>
                <w:b/>
                <w:bCs/>
                <w:color w:val="000000"/>
                <w:sz w:val="18"/>
                <w:szCs w:val="18"/>
              </w:rPr>
              <w:t xml:space="preserve"> </w:t>
            </w:r>
            <w:r w:rsidRPr="00EE0E68">
              <w:rPr>
                <w:b/>
                <w:bCs/>
                <w:lang w:eastAsia="en-US"/>
              </w:rPr>
              <w:t xml:space="preserve">Celková zaměstnanost </w:t>
            </w:r>
            <w:r w:rsidRPr="00EE0E68">
              <w:rPr>
                <w:lang w:eastAsia="en-US"/>
              </w:rPr>
              <w:t>(</w:t>
            </w:r>
            <w:r w:rsidRPr="00EE0E68">
              <w:t>meziročně v %)</w:t>
            </w:r>
            <w:r w:rsidRPr="00EE0E68">
              <w:rPr>
                <w:b/>
                <w:bCs/>
              </w:rPr>
              <w:t xml:space="preserve">, příspěvky odvětví k meziroční změně zaměstnanosti </w:t>
            </w:r>
            <w:r w:rsidRPr="00EE0E68">
              <w:t>(v p. b.)</w:t>
            </w:r>
            <w:r w:rsidRPr="00EE0E68">
              <w:rPr>
                <w:b/>
                <w:bCs/>
              </w:rPr>
              <w:t xml:space="preserve"> a očekávání vývoje zaměstnanosti </w:t>
            </w:r>
            <w:r w:rsidRPr="00EE0E68">
              <w:t>(saldo v p. b.)</w:t>
            </w:r>
          </w:p>
        </w:tc>
      </w:tr>
      <w:tr w:rsidR="006712EC" w:rsidRPr="00B43216" w14:paraId="44C26A70" w14:textId="77777777" w:rsidTr="00EE0E68">
        <w:tblPrEx>
          <w:tblCellMar>
            <w:left w:w="70" w:type="dxa"/>
            <w:right w:w="70" w:type="dxa"/>
          </w:tblCellMar>
        </w:tblPrEx>
        <w:trPr>
          <w:trHeight w:val="155"/>
        </w:trPr>
        <w:tc>
          <w:tcPr>
            <w:tcW w:w="1761" w:type="dxa"/>
            <w:vMerge/>
          </w:tcPr>
          <w:p w14:paraId="5FA7656C" w14:textId="77777777" w:rsidR="006712EC" w:rsidRPr="00EE0E68" w:rsidRDefault="006712EC" w:rsidP="00E54E39">
            <w:pPr>
              <w:pStyle w:val="Marginlie"/>
              <w:spacing w:after="120"/>
              <w:rPr>
                <w:spacing w:val="0"/>
              </w:rPr>
            </w:pPr>
          </w:p>
        </w:tc>
        <w:tc>
          <w:tcPr>
            <w:tcW w:w="198" w:type="dxa"/>
            <w:vMerge/>
          </w:tcPr>
          <w:p w14:paraId="33EAC28B" w14:textId="77777777" w:rsidR="006712EC" w:rsidRPr="00EE0E68" w:rsidRDefault="006712EC" w:rsidP="00E54E39">
            <w:pPr>
              <w:pStyle w:val="Textpoznpodarou"/>
              <w:spacing w:after="120"/>
              <w:jc w:val="both"/>
            </w:pPr>
          </w:p>
        </w:tc>
        <w:tc>
          <w:tcPr>
            <w:tcW w:w="7715" w:type="dxa"/>
            <w:shd w:val="clear" w:color="auto" w:fill="auto"/>
          </w:tcPr>
          <w:p w14:paraId="50360DF6" w14:textId="77777777" w:rsidR="006712EC" w:rsidRPr="00EE0E68" w:rsidRDefault="006712EC" w:rsidP="00E54E39">
            <w:pPr>
              <w:spacing w:after="0"/>
            </w:pPr>
            <w:r w:rsidRPr="00EE0E68">
              <w:rPr>
                <w:noProof/>
              </w:rPr>
              <w:drawing>
                <wp:inline distT="0" distB="0" distL="0" distR="0" wp14:anchorId="76DD964B" wp14:editId="2DDBAE1D">
                  <wp:extent cx="4800600" cy="3614468"/>
                  <wp:effectExtent l="0" t="0" r="0" b="5080"/>
                  <wp:docPr id="14" name="Graf 14">
                    <a:extLst xmlns:a="http://schemas.openxmlformats.org/drawingml/2006/main">
                      <a:ext uri="{FF2B5EF4-FFF2-40B4-BE49-F238E27FC236}">
                        <a16:creationId xmlns:a16="http://schemas.microsoft.com/office/drawing/2014/main" id="{00000000-0008-0000-1A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6712EC" w:rsidRPr="00485ED5" w14:paraId="4E8CAB6B" w14:textId="77777777" w:rsidTr="00EE0E68">
        <w:trPr>
          <w:trHeight w:val="671"/>
        </w:trPr>
        <w:tc>
          <w:tcPr>
            <w:tcW w:w="1761" w:type="dxa"/>
            <w:vMerge/>
            <w:tcMar>
              <w:left w:w="0" w:type="dxa"/>
            </w:tcMar>
          </w:tcPr>
          <w:p w14:paraId="717A1CE2" w14:textId="77777777" w:rsidR="006712EC" w:rsidRPr="00EE0E68" w:rsidRDefault="006712EC" w:rsidP="00E54E39">
            <w:pPr>
              <w:pStyle w:val="Marginlie"/>
              <w:spacing w:after="120"/>
              <w:rPr>
                <w:spacing w:val="0"/>
              </w:rPr>
            </w:pPr>
          </w:p>
        </w:tc>
        <w:tc>
          <w:tcPr>
            <w:tcW w:w="198" w:type="dxa"/>
            <w:vMerge/>
            <w:tcMar>
              <w:left w:w="0" w:type="dxa"/>
            </w:tcMar>
          </w:tcPr>
          <w:p w14:paraId="74B2EDE7" w14:textId="77777777" w:rsidR="006712EC" w:rsidRPr="00EE0E68" w:rsidRDefault="006712EC" w:rsidP="00E54E39">
            <w:pPr>
              <w:pStyle w:val="Textpoznpodarou"/>
              <w:spacing w:after="120"/>
              <w:jc w:val="both"/>
            </w:pPr>
          </w:p>
        </w:tc>
        <w:tc>
          <w:tcPr>
            <w:tcW w:w="7715" w:type="dxa"/>
            <w:shd w:val="clear" w:color="auto" w:fill="auto"/>
            <w:tcMar>
              <w:left w:w="0" w:type="dxa"/>
            </w:tcMar>
          </w:tcPr>
          <w:p w14:paraId="0F5DB507" w14:textId="77777777" w:rsidR="006712EC" w:rsidRPr="00EE0E68" w:rsidRDefault="006712EC" w:rsidP="00E54E39">
            <w:pPr>
              <w:spacing w:after="0" w:line="240" w:lineRule="auto"/>
              <w:rPr>
                <w:rFonts w:cs="Arial"/>
                <w:sz w:val="14"/>
                <w:szCs w:val="14"/>
              </w:rPr>
            </w:pPr>
            <w:r w:rsidRPr="00EE0E68">
              <w:rPr>
                <w:rFonts w:cs="Arial"/>
                <w:color w:val="0D0D0D" w:themeColor="text1" w:themeTint="F2"/>
                <w:sz w:val="14"/>
                <w:szCs w:val="14"/>
              </w:rPr>
              <w:t>*</w:t>
            </w:r>
            <w:r w:rsidRPr="00EE0E68">
              <w:rPr>
                <w:rFonts w:cs="Arial"/>
                <w:sz w:val="14"/>
                <w:szCs w:val="14"/>
              </w:rPr>
              <w:t xml:space="preserve"> Těžba a energetika; Peněžnictví a pojišťovnictví; Činnosti v oblasti nemovitostí; Kulturní, zábavní a</w:t>
            </w:r>
            <w:r w:rsidRPr="00EE0E68">
              <w:rPr>
                <w:sz w:val="14"/>
                <w:szCs w:val="14"/>
              </w:rPr>
              <w:t> </w:t>
            </w:r>
            <w:r w:rsidRPr="00EE0E68">
              <w:rPr>
                <w:rFonts w:cs="Arial"/>
                <w:sz w:val="14"/>
                <w:szCs w:val="14"/>
              </w:rPr>
              <w:t>rekreační činnosti.</w:t>
            </w:r>
          </w:p>
          <w:p w14:paraId="18F675A2" w14:textId="77777777" w:rsidR="006712EC" w:rsidRPr="00EE0E68" w:rsidRDefault="006712EC" w:rsidP="00E54E39">
            <w:pPr>
              <w:spacing w:after="0" w:line="240" w:lineRule="auto"/>
              <w:rPr>
                <w:rFonts w:cs="Arial"/>
                <w:sz w:val="14"/>
                <w:szCs w:val="14"/>
              </w:rPr>
            </w:pPr>
            <w:r w:rsidRPr="00EE0E68">
              <w:rPr>
                <w:rFonts w:cs="Arial"/>
                <w:sz w:val="14"/>
                <w:szCs w:val="14"/>
              </w:rPr>
              <w:t xml:space="preserve">Poznámka: Saldo </w:t>
            </w:r>
            <w:r w:rsidRPr="00EE0E68">
              <w:rPr>
                <w:rFonts w:cs="Arial"/>
                <w:color w:val="0D0D0D" w:themeColor="text1" w:themeTint="F2"/>
                <w:sz w:val="14"/>
                <w:szCs w:val="14"/>
              </w:rPr>
              <w:t>očekávání vyjadřuje rozdíl v p. b. mezi kategoriemi růst versus pokles zaměstnanosti v nejbližších třech měsících. Údaje jsou sezónně očištěny a vztahují se k druhému měsíci daného čtvrtletí.</w:t>
            </w:r>
          </w:p>
          <w:p w14:paraId="420B8225" w14:textId="77777777" w:rsidR="006712EC" w:rsidRPr="00EE0E68" w:rsidRDefault="006712EC" w:rsidP="00E54E39">
            <w:pPr>
              <w:spacing w:after="200" w:line="240" w:lineRule="auto"/>
              <w:rPr>
                <w:rFonts w:cs="Arial"/>
                <w:color w:val="0D0D0D" w:themeColor="text1" w:themeTint="F2"/>
                <w:sz w:val="14"/>
                <w:szCs w:val="14"/>
              </w:rPr>
            </w:pPr>
            <w:r w:rsidRPr="00EE0E68">
              <w:rPr>
                <w:rFonts w:cs="Arial"/>
                <w:sz w:val="14"/>
                <w:szCs w:val="14"/>
              </w:rPr>
              <w:t>Zdroj: ČSÚ (národní účty), Eurostat (konjunkturální průzkumy).</w:t>
            </w:r>
          </w:p>
        </w:tc>
      </w:tr>
      <w:tr w:rsidR="006712EC" w:rsidRPr="00D82DBD" w14:paraId="54009A41" w14:textId="77777777" w:rsidTr="00EE0E68">
        <w:trPr>
          <w:trHeight w:val="145"/>
        </w:trPr>
        <w:tc>
          <w:tcPr>
            <w:tcW w:w="1761" w:type="dxa"/>
            <w:shd w:val="clear" w:color="auto" w:fill="auto"/>
            <w:tcMar>
              <w:left w:w="0" w:type="dxa"/>
            </w:tcMar>
          </w:tcPr>
          <w:p w14:paraId="059909E2" w14:textId="77777777" w:rsidR="006712EC" w:rsidRPr="00EE0E68" w:rsidRDefault="006712EC" w:rsidP="00E54E39">
            <w:pPr>
              <w:pStyle w:val="Marginlie"/>
              <w:rPr>
                <w:color w:val="0D0D0D" w:themeColor="text1" w:themeTint="F2"/>
                <w:spacing w:val="0"/>
              </w:rPr>
            </w:pPr>
            <w:r w:rsidRPr="00EE0E68">
              <w:rPr>
                <w:color w:val="0D0D0D" w:themeColor="text1" w:themeTint="F2"/>
                <w:spacing w:val="0"/>
              </w:rPr>
              <w:t xml:space="preserve">Míra zaměstnanosti žen ve věku 15 až 64 let svižně roste. U mužů je trend opačný a ti tak ve zvýšené míře rozšiřují stavy ekonomicky neaktivních. </w:t>
            </w:r>
          </w:p>
        </w:tc>
        <w:tc>
          <w:tcPr>
            <w:tcW w:w="198" w:type="dxa"/>
            <w:shd w:val="clear" w:color="auto" w:fill="auto"/>
            <w:tcMar>
              <w:left w:w="0" w:type="dxa"/>
            </w:tcMar>
          </w:tcPr>
          <w:p w14:paraId="5B1CC6B1" w14:textId="77777777" w:rsidR="006712EC" w:rsidRPr="00EE0E68" w:rsidRDefault="006712EC" w:rsidP="00E54E39">
            <w:pPr>
              <w:pStyle w:val="Textpoznpodarou"/>
              <w:spacing w:after="120"/>
              <w:jc w:val="both"/>
              <w:rPr>
                <w:color w:val="0D0D0D" w:themeColor="text1" w:themeTint="F2"/>
              </w:rPr>
            </w:pPr>
          </w:p>
        </w:tc>
        <w:tc>
          <w:tcPr>
            <w:tcW w:w="7715" w:type="dxa"/>
            <w:shd w:val="clear" w:color="auto" w:fill="auto"/>
            <w:tcMar>
              <w:left w:w="0" w:type="dxa"/>
            </w:tcMar>
          </w:tcPr>
          <w:p w14:paraId="79FF58DA" w14:textId="5BEE96EB" w:rsidR="006712EC" w:rsidRPr="00EE0E68" w:rsidRDefault="006712EC" w:rsidP="00C66B0D">
            <w:pPr>
              <w:rPr>
                <w:color w:val="0D0D0D" w:themeColor="text1" w:themeTint="F2"/>
              </w:rPr>
            </w:pPr>
            <w:r w:rsidRPr="00EE0E68">
              <w:t xml:space="preserve">Výše </w:t>
            </w:r>
            <w:r w:rsidRPr="00EE0E68">
              <w:rPr>
                <w:color w:val="0D0D0D" w:themeColor="text1" w:themeTint="F2"/>
              </w:rPr>
              <w:t xml:space="preserve">uvedené trendy se odrazily v pokračujícím mírně posilujícím růstu míry ekonomické aktivity, který </w:t>
            </w:r>
            <w:r w:rsidRPr="00EE0E68">
              <w:t>se letos, stejně jako po většinu roku 2024, propisuje převážně jen do oblasti zaměstnanosti. Míra zaměstnanosti</w:t>
            </w:r>
            <w:r w:rsidRPr="00EE0E68">
              <w:rPr>
                <w:rStyle w:val="Znakapoznpodarou"/>
              </w:rPr>
              <w:footnoteReference w:id="12"/>
            </w:r>
            <w:r w:rsidRPr="00EE0E68">
              <w:t xml:space="preserve"> (15–64letých) dosáhla v červenci 75,8 %</w:t>
            </w:r>
            <w:r w:rsidR="00C66B0D">
              <w:t xml:space="preserve"> a</w:t>
            </w:r>
            <w:r w:rsidRPr="00EE0E68">
              <w:t xml:space="preserve"> meziročně vzrostla o 0,7 p. b. Zatímco u mužů se pokles postupně prohluboval (až na −1,1 p. b.), u žen je patrný opačný trend (+2,7 p. b.). Rozdíl v míře zaměstnanosti mezi pohlavími se tak rychle eliminuje (aktuálně činil 8,6 p. b., před dvěma lety 13,6</w:t>
            </w:r>
            <w:r w:rsidR="00C66B0D">
              <w:t> </w:t>
            </w:r>
            <w:r w:rsidRPr="00EE0E68">
              <w:t>p.</w:t>
            </w:r>
            <w:r w:rsidR="00C66B0D">
              <w:t> </w:t>
            </w:r>
            <w:r w:rsidRPr="00EE0E68">
              <w:t xml:space="preserve">b.). Vývoj u žen souvisí s celkovým oživením sektoru služeb i stabilně rostoucí </w:t>
            </w:r>
            <w:r w:rsidRPr="00EE0E68">
              <w:lastRenderedPageBreak/>
              <w:t>zaměstnaností ve veřejných službách, rozšiřováním zkrácených úvazků</w:t>
            </w:r>
            <w:r w:rsidRPr="00EE0E68">
              <w:rPr>
                <w:rStyle w:val="Znakapoznpodarou"/>
              </w:rPr>
              <w:footnoteReference w:id="13"/>
            </w:r>
            <w:r w:rsidRPr="00EE0E68">
              <w:t>, rostoucí vzdělaností žen</w:t>
            </w:r>
            <w:r w:rsidRPr="00EE0E68">
              <w:rPr>
                <w:rStyle w:val="Znakapoznpodarou"/>
              </w:rPr>
              <w:footnoteReference w:id="14"/>
            </w:r>
            <w:r w:rsidRPr="00EE0E68">
              <w:t xml:space="preserve"> a také dosud stále rychlejším posunem hranice důchodového věku (oproti mužům)</w:t>
            </w:r>
            <w:r w:rsidRPr="00EE0E68">
              <w:rPr>
                <w:rStyle w:val="Znakapoznpodarou"/>
              </w:rPr>
              <w:footnoteReference w:id="15"/>
            </w:r>
            <w:r w:rsidRPr="00EE0E68">
              <w:t xml:space="preserve">. </w:t>
            </w:r>
            <w:r w:rsidRPr="00EE0E68">
              <w:rPr>
                <w:rFonts w:cs="Arial"/>
                <w:szCs w:val="20"/>
              </w:rPr>
              <w:t>Vliv může mít i pokračující propad porodnosti vedoucí k tomu, že počet žen mimo ekonomickou aktivitu (na rodičovské dovolené) klesá.</w:t>
            </w:r>
          </w:p>
        </w:tc>
      </w:tr>
      <w:tr w:rsidR="006712EC" w:rsidRPr="00D82DBD" w14:paraId="3CC160ED" w14:textId="77777777" w:rsidTr="00EE0E68">
        <w:trPr>
          <w:trHeight w:val="145"/>
        </w:trPr>
        <w:tc>
          <w:tcPr>
            <w:tcW w:w="1761" w:type="dxa"/>
            <w:shd w:val="clear" w:color="auto" w:fill="auto"/>
            <w:tcMar>
              <w:left w:w="0" w:type="dxa"/>
            </w:tcMar>
          </w:tcPr>
          <w:p w14:paraId="362AA195" w14:textId="77777777" w:rsidR="006712EC" w:rsidRPr="00EE0E68" w:rsidRDefault="006712EC" w:rsidP="00E54E39">
            <w:pPr>
              <w:pStyle w:val="Marginlie"/>
              <w:rPr>
                <w:color w:val="0D0D0D" w:themeColor="text1" w:themeTint="F2"/>
                <w:spacing w:val="0"/>
              </w:rPr>
            </w:pPr>
            <w:r w:rsidRPr="00EE0E68">
              <w:rPr>
                <w:color w:val="0D0D0D" w:themeColor="text1" w:themeTint="F2"/>
                <w:spacing w:val="0"/>
              </w:rPr>
              <w:lastRenderedPageBreak/>
              <w:t xml:space="preserve">Krátkodobá očekávání podniků v oblasti zaměstnanosti opustila během léta negativní pásmo a přiblížila se dlouhodobému průměru. </w:t>
            </w:r>
          </w:p>
          <w:p w14:paraId="1C858F2C" w14:textId="77777777" w:rsidR="006712EC" w:rsidRPr="00EE0E68" w:rsidRDefault="006712EC" w:rsidP="00E54E39">
            <w:pPr>
              <w:pStyle w:val="Marginlie"/>
              <w:rPr>
                <w:color w:val="0D0D0D" w:themeColor="text1" w:themeTint="F2"/>
                <w:spacing w:val="0"/>
              </w:rPr>
            </w:pPr>
          </w:p>
          <w:p w14:paraId="4AD24DBF" w14:textId="77777777" w:rsidR="006712EC" w:rsidRPr="00EE0E68" w:rsidRDefault="006712EC" w:rsidP="00E54E39">
            <w:pPr>
              <w:pStyle w:val="Marginlie"/>
              <w:rPr>
                <w:color w:val="0D0D0D" w:themeColor="text1" w:themeTint="F2"/>
                <w:spacing w:val="0"/>
              </w:rPr>
            </w:pPr>
          </w:p>
          <w:p w14:paraId="00FD6C29" w14:textId="77777777" w:rsidR="006712EC" w:rsidRPr="00EE0E68" w:rsidRDefault="006712EC" w:rsidP="00E54E39">
            <w:pPr>
              <w:pStyle w:val="Marginlie"/>
              <w:rPr>
                <w:color w:val="0D0D0D" w:themeColor="text1" w:themeTint="F2"/>
                <w:spacing w:val="0"/>
              </w:rPr>
            </w:pPr>
          </w:p>
          <w:p w14:paraId="152B1738" w14:textId="77777777" w:rsidR="006712EC" w:rsidRPr="00EE0E68" w:rsidRDefault="006712EC" w:rsidP="00E54E39">
            <w:pPr>
              <w:pStyle w:val="Marginlie"/>
              <w:rPr>
                <w:color w:val="0D0D0D" w:themeColor="text1" w:themeTint="F2"/>
                <w:spacing w:val="0"/>
              </w:rPr>
            </w:pPr>
          </w:p>
          <w:p w14:paraId="31268D46" w14:textId="77777777" w:rsidR="006712EC" w:rsidRPr="00EE0E68" w:rsidRDefault="006712EC" w:rsidP="00E54E39">
            <w:pPr>
              <w:pStyle w:val="Marginlie"/>
              <w:rPr>
                <w:color w:val="0D0D0D" w:themeColor="text1" w:themeTint="F2"/>
                <w:spacing w:val="0"/>
              </w:rPr>
            </w:pPr>
            <w:r w:rsidRPr="00EE0E68">
              <w:rPr>
                <w:color w:val="0D0D0D" w:themeColor="text1" w:themeTint="F2"/>
                <w:spacing w:val="0"/>
              </w:rPr>
              <w:t>Optimismus v obchodu i stavebnictví narůstal.</w:t>
            </w:r>
          </w:p>
          <w:p w14:paraId="2F0671D0" w14:textId="77777777" w:rsidR="006712EC" w:rsidRPr="00EE0E68" w:rsidRDefault="006712EC" w:rsidP="00E54E39">
            <w:pPr>
              <w:pStyle w:val="Marginlie"/>
              <w:rPr>
                <w:color w:val="0D0D0D" w:themeColor="text1" w:themeTint="F2"/>
                <w:spacing w:val="0"/>
              </w:rPr>
            </w:pPr>
          </w:p>
          <w:p w14:paraId="2548FD50" w14:textId="77777777" w:rsidR="006712EC" w:rsidRPr="00EE0E68" w:rsidRDefault="006712EC" w:rsidP="00E54E39">
            <w:pPr>
              <w:pStyle w:val="Marginlie"/>
              <w:rPr>
                <w:color w:val="0D0D0D" w:themeColor="text1" w:themeTint="F2"/>
                <w:spacing w:val="0"/>
              </w:rPr>
            </w:pPr>
          </w:p>
          <w:p w14:paraId="7C2A9F7E" w14:textId="77777777" w:rsidR="006712EC" w:rsidRPr="00EE0E68" w:rsidRDefault="006712EC" w:rsidP="00E54E39">
            <w:pPr>
              <w:pStyle w:val="Marginlie"/>
              <w:rPr>
                <w:color w:val="0D0D0D" w:themeColor="text1" w:themeTint="F2"/>
                <w:spacing w:val="0"/>
              </w:rPr>
            </w:pPr>
          </w:p>
          <w:p w14:paraId="0A359A87" w14:textId="77777777" w:rsidR="006712EC" w:rsidRPr="00EE0E68" w:rsidRDefault="006712EC" w:rsidP="00E54E39">
            <w:pPr>
              <w:pStyle w:val="Marginlie"/>
              <w:rPr>
                <w:color w:val="0D0D0D" w:themeColor="text1" w:themeTint="F2"/>
                <w:spacing w:val="0"/>
              </w:rPr>
            </w:pPr>
          </w:p>
          <w:p w14:paraId="4575DE92" w14:textId="77777777" w:rsidR="006712EC" w:rsidRPr="00EE0E68" w:rsidRDefault="006712EC" w:rsidP="00E54E39">
            <w:pPr>
              <w:pStyle w:val="Marginlie"/>
              <w:rPr>
                <w:color w:val="0D0D0D" w:themeColor="text1" w:themeTint="F2"/>
                <w:spacing w:val="0"/>
              </w:rPr>
            </w:pPr>
            <w:r w:rsidRPr="00EE0E68">
              <w:rPr>
                <w:color w:val="0D0D0D" w:themeColor="text1" w:themeTint="F2"/>
                <w:spacing w:val="0"/>
              </w:rPr>
              <w:t>Nedostatek pracovníků nadále sužuje především stavební podniky.</w:t>
            </w:r>
          </w:p>
        </w:tc>
        <w:tc>
          <w:tcPr>
            <w:tcW w:w="198" w:type="dxa"/>
            <w:shd w:val="clear" w:color="auto" w:fill="auto"/>
            <w:tcMar>
              <w:left w:w="0" w:type="dxa"/>
            </w:tcMar>
          </w:tcPr>
          <w:p w14:paraId="55E8635A" w14:textId="77777777" w:rsidR="006712EC" w:rsidRPr="00EE0E68" w:rsidRDefault="006712EC" w:rsidP="00E54E39">
            <w:pPr>
              <w:pStyle w:val="Textpoznpodarou"/>
              <w:spacing w:after="120"/>
              <w:jc w:val="both"/>
              <w:rPr>
                <w:color w:val="0D0D0D" w:themeColor="text1" w:themeTint="F2"/>
              </w:rPr>
            </w:pPr>
          </w:p>
        </w:tc>
        <w:tc>
          <w:tcPr>
            <w:tcW w:w="7715" w:type="dxa"/>
            <w:shd w:val="clear" w:color="auto" w:fill="auto"/>
            <w:tcMar>
              <w:left w:w="0" w:type="dxa"/>
            </w:tcMar>
          </w:tcPr>
          <w:p w14:paraId="4F384524" w14:textId="128F9271" w:rsidR="006712EC" w:rsidRPr="00EE0E68" w:rsidRDefault="006712EC" w:rsidP="00EE0E68">
            <w:pPr>
              <w:spacing w:after="200"/>
              <w:rPr>
                <w:rStyle w:val="normaltextrun"/>
                <w:rFonts w:eastAsia="MS Gothic" w:cs="Arial"/>
                <w:szCs w:val="20"/>
              </w:rPr>
            </w:pPr>
            <w:r w:rsidRPr="00EE0E68">
              <w:rPr>
                <w:color w:val="0D0D0D" w:themeColor="text1" w:themeTint="F2"/>
              </w:rPr>
              <w:t>Krátkodobá očekávání tuzemských podniků v oblasti vlastní zaměstnanosti</w:t>
            </w:r>
            <w:r w:rsidRPr="00EE0E68">
              <w:rPr>
                <w:rStyle w:val="Znakapoznpodarou"/>
                <w:color w:val="0D0D0D" w:themeColor="text1" w:themeTint="F2"/>
              </w:rPr>
              <w:footnoteReference w:id="16"/>
            </w:r>
            <w:r w:rsidRPr="00EE0E68">
              <w:rPr>
                <w:color w:val="0D0D0D" w:themeColor="text1" w:themeTint="F2"/>
              </w:rPr>
              <w:t xml:space="preserve"> se během loňského roku postupně zlepšovala. Počátek letošního roku přinesl (nejen v Česku, ale i EU či eurozóně) krátkodobé posílení negativních výhledů, které odrážely rostoucí nejistoty podnikatelů plynoucí patrně z vnějších (zahraničních) faktorů. Během 2. čtvrtletí se ovšem začaly výhledy opět mírně zlepšovat a v letním období vystoupal souhrnný indikátor očekávání zaměstnanosti v Česku na bezmála tříleté maximum (a jeho úroveň odpovídala dlouhodobému průměru). Zřetelně posilovala pozitivní očekávání v obchodu a stavebnictví, v průmyslu i službách ale setrvávala bez větších změn v negativním pásmu. Dle konjunkturálního průzkumu ze srpna 2025 se </w:t>
            </w:r>
            <w:r w:rsidRPr="00EE0E68">
              <w:rPr>
                <w:rStyle w:val="normaltextrun"/>
                <w:rFonts w:eastAsia="MS Gothic" w:cs="Arial"/>
                <w:szCs w:val="20"/>
              </w:rPr>
              <w:t>předpokládalo (bez zohlednění sezónnosti) v tříměsíčním horizontu snižování počtu zaměstnanců 27 % ve službách a</w:t>
            </w:r>
            <w:r w:rsidR="00EE0E68">
              <w:rPr>
                <w:rStyle w:val="normaltextrun"/>
                <w:rFonts w:eastAsia="MS Gothic" w:cs="Arial"/>
                <w:szCs w:val="20"/>
              </w:rPr>
              <w:t> </w:t>
            </w:r>
            <w:r w:rsidRPr="00EE0E68">
              <w:rPr>
                <w:rStyle w:val="normaltextrun"/>
                <w:rFonts w:eastAsia="MS Gothic" w:cs="Arial"/>
                <w:szCs w:val="20"/>
              </w:rPr>
              <w:t>15 % v průmyslu, ale ve stavebnictví i obchodě shodně jen 4 %. Naopak náborové plány byly nejzřetelnější v</w:t>
            </w:r>
            <w:r w:rsidRPr="00EE0E68">
              <w:rPr>
                <w:rStyle w:val="normaltextrun"/>
                <w:rFonts w:eastAsia="MS Gothic" w:cs="Arial"/>
              </w:rPr>
              <w:t xml:space="preserve"> </w:t>
            </w:r>
            <w:r w:rsidRPr="00EE0E68">
              <w:rPr>
                <w:rStyle w:val="normaltextrun"/>
                <w:rFonts w:eastAsia="MS Gothic" w:cs="Arial"/>
                <w:szCs w:val="20"/>
              </w:rPr>
              <w:t>obchodě (17 %), stavebnictví (15 %), vybraných službách (14</w:t>
            </w:r>
            <w:r w:rsidR="00EE0E68">
              <w:rPr>
                <w:rStyle w:val="normaltextrun"/>
                <w:rFonts w:eastAsia="MS Gothic" w:cs="Arial"/>
                <w:szCs w:val="20"/>
              </w:rPr>
              <w:t> </w:t>
            </w:r>
            <w:r w:rsidRPr="00EE0E68">
              <w:rPr>
                <w:rStyle w:val="normaltextrun"/>
                <w:rFonts w:eastAsia="MS Gothic" w:cs="Arial"/>
                <w:szCs w:val="20"/>
              </w:rPr>
              <w:t xml:space="preserve">%), v průmyslu očekávalo zvyšování zaměstnanosti jen 7 % firem. </w:t>
            </w:r>
            <w:r w:rsidRPr="00EE0E68">
              <w:rPr>
                <w:color w:val="0D0D0D" w:themeColor="text1" w:themeTint="F2"/>
              </w:rPr>
              <w:t>Stav na úrovni dílčích odvětví v rámci průmyslu i služeb se odlišoval</w:t>
            </w:r>
            <w:r w:rsidRPr="00EE0E68">
              <w:rPr>
                <w:rStyle w:val="Znakapoznpodarou"/>
                <w:color w:val="0D0D0D" w:themeColor="text1" w:themeTint="F2"/>
              </w:rPr>
              <w:footnoteReference w:id="17"/>
            </w:r>
            <w:r w:rsidRPr="00EE0E68">
              <w:rPr>
                <w:color w:val="0D0D0D" w:themeColor="text1" w:themeTint="F2"/>
              </w:rPr>
              <w:t xml:space="preserve">. </w:t>
            </w:r>
            <w:r w:rsidRPr="00EE0E68">
              <w:rPr>
                <w:rStyle w:val="eop"/>
                <w:rFonts w:eastAsia="MS Gothic" w:cs="Arial"/>
                <w:color w:val="0D0D0D" w:themeColor="text1" w:themeTint="F2"/>
                <w:szCs w:val="20"/>
              </w:rPr>
              <w:t xml:space="preserve">Podíl podniků, pro něž </w:t>
            </w:r>
            <w:r w:rsidRPr="00EE0E68">
              <w:rPr>
                <w:color w:val="0D0D0D" w:themeColor="text1" w:themeTint="F2"/>
              </w:rPr>
              <w:t>představuje nedostatek pracovní síly jednu z významných růstových bariér</w:t>
            </w:r>
            <w:r w:rsidRPr="00EE0E68">
              <w:rPr>
                <w:rStyle w:val="Znakapoznpodarou"/>
                <w:color w:val="0D0D0D" w:themeColor="text1" w:themeTint="F2"/>
              </w:rPr>
              <w:footnoteReference w:id="18"/>
            </w:r>
            <w:r w:rsidRPr="00EE0E68">
              <w:rPr>
                <w:color w:val="0D0D0D" w:themeColor="text1" w:themeTint="F2"/>
              </w:rPr>
              <w:t xml:space="preserve">, byl na počátku 3. čtvrtletí tradičně nejvyšší ve stavebnictví (47 %.). Opačná situace panovala v průmyslu (10 %) a ve službách (11 %). Zatímco v průmyslu se role této bariéry meziročně mírně snížila, ve stavebnictví i službách tomu bylo opačně. </w:t>
            </w:r>
          </w:p>
        </w:tc>
      </w:tr>
      <w:tr w:rsidR="006712EC" w:rsidRPr="00D82DBD" w14:paraId="79D90F9D" w14:textId="77777777" w:rsidTr="00EE0E68">
        <w:trPr>
          <w:trHeight w:val="145"/>
        </w:trPr>
        <w:tc>
          <w:tcPr>
            <w:tcW w:w="1761" w:type="dxa"/>
            <w:shd w:val="clear" w:color="auto" w:fill="auto"/>
            <w:tcMar>
              <w:left w:w="0" w:type="dxa"/>
            </w:tcMar>
          </w:tcPr>
          <w:p w14:paraId="61B03EAF" w14:textId="77777777" w:rsidR="006712EC" w:rsidRPr="00EE0E68" w:rsidRDefault="006712EC" w:rsidP="00E54E39">
            <w:pPr>
              <w:pStyle w:val="Marginlie"/>
              <w:rPr>
                <w:color w:val="0D0D0D" w:themeColor="text1" w:themeTint="F2"/>
                <w:spacing w:val="0"/>
              </w:rPr>
            </w:pPr>
            <w:r w:rsidRPr="00EE0E68">
              <w:rPr>
                <w:color w:val="0D0D0D" w:themeColor="text1" w:themeTint="F2"/>
                <w:spacing w:val="0"/>
              </w:rPr>
              <w:t xml:space="preserve">Obecná míra nezaměstnanosti se letos začala mírně zvyšovat, hlavně u mužů. </w:t>
            </w:r>
          </w:p>
          <w:p w14:paraId="4161B091" w14:textId="77777777" w:rsidR="006712EC" w:rsidRPr="00EE0E68" w:rsidRDefault="006712EC" w:rsidP="00E54E39">
            <w:pPr>
              <w:pStyle w:val="Marginlie"/>
              <w:rPr>
                <w:color w:val="0D0D0D" w:themeColor="text1" w:themeTint="F2"/>
                <w:spacing w:val="0"/>
              </w:rPr>
            </w:pPr>
          </w:p>
          <w:p w14:paraId="5BBF8137" w14:textId="77777777" w:rsidR="006712EC" w:rsidRPr="00EE0E68" w:rsidRDefault="006712EC" w:rsidP="00E54E39">
            <w:pPr>
              <w:pStyle w:val="Marginlie"/>
              <w:rPr>
                <w:color w:val="0D0D0D" w:themeColor="text1" w:themeTint="F2"/>
                <w:spacing w:val="0"/>
              </w:rPr>
            </w:pPr>
          </w:p>
          <w:p w14:paraId="5CCD1350" w14:textId="77777777" w:rsidR="006712EC" w:rsidRPr="00EE0E68" w:rsidRDefault="006712EC" w:rsidP="00E54E39">
            <w:pPr>
              <w:pStyle w:val="Marginlie"/>
              <w:rPr>
                <w:color w:val="0D0D0D" w:themeColor="text1" w:themeTint="F2"/>
                <w:spacing w:val="0"/>
              </w:rPr>
            </w:pPr>
          </w:p>
          <w:p w14:paraId="426AD953" w14:textId="77777777" w:rsidR="006712EC" w:rsidRPr="00EE0E68" w:rsidRDefault="006712EC" w:rsidP="00E54E39">
            <w:pPr>
              <w:pStyle w:val="Marginlie"/>
              <w:rPr>
                <w:color w:val="0D0D0D" w:themeColor="text1" w:themeTint="F2"/>
                <w:spacing w:val="0"/>
              </w:rPr>
            </w:pPr>
            <w:r w:rsidRPr="00EE0E68">
              <w:rPr>
                <w:color w:val="0D0D0D" w:themeColor="text1" w:themeTint="F2"/>
                <w:spacing w:val="0"/>
              </w:rPr>
              <w:t>Lehce přibylo i dlouhodobě nezaměstnaných. Jejich podíl na celkové nezaměstnanosti ale zatím není příliš vysoký.</w:t>
            </w:r>
          </w:p>
          <w:p w14:paraId="18202942" w14:textId="77777777" w:rsidR="006712EC" w:rsidRPr="00EE0E68" w:rsidRDefault="006712EC" w:rsidP="00E54E39">
            <w:pPr>
              <w:pStyle w:val="Marginlie"/>
              <w:rPr>
                <w:color w:val="0D0D0D" w:themeColor="text1" w:themeTint="F2"/>
                <w:spacing w:val="0"/>
              </w:rPr>
            </w:pPr>
          </w:p>
          <w:p w14:paraId="24DB963B" w14:textId="77777777" w:rsidR="006712EC" w:rsidRPr="00EE0E68" w:rsidRDefault="006712EC" w:rsidP="00E54E39">
            <w:pPr>
              <w:pStyle w:val="Marginlie"/>
              <w:rPr>
                <w:color w:val="0D0D0D" w:themeColor="text1" w:themeTint="F2"/>
                <w:spacing w:val="0"/>
              </w:rPr>
            </w:pPr>
            <w:r w:rsidRPr="00EE0E68">
              <w:rPr>
                <w:color w:val="0D0D0D" w:themeColor="text1" w:themeTint="F2"/>
                <w:spacing w:val="0"/>
              </w:rPr>
              <w:t xml:space="preserve">Velikost potenciální pracovní rezervy zůstávala nízká. </w:t>
            </w:r>
          </w:p>
        </w:tc>
        <w:tc>
          <w:tcPr>
            <w:tcW w:w="198" w:type="dxa"/>
            <w:shd w:val="clear" w:color="auto" w:fill="auto"/>
            <w:tcMar>
              <w:left w:w="0" w:type="dxa"/>
            </w:tcMar>
          </w:tcPr>
          <w:p w14:paraId="171F1354" w14:textId="77777777" w:rsidR="006712EC" w:rsidRPr="00EE0E68" w:rsidRDefault="006712EC" w:rsidP="00E54E39">
            <w:pPr>
              <w:pStyle w:val="Textpoznpodarou"/>
              <w:spacing w:after="120"/>
              <w:jc w:val="both"/>
              <w:rPr>
                <w:color w:val="0D0D0D" w:themeColor="text1" w:themeTint="F2"/>
              </w:rPr>
            </w:pPr>
          </w:p>
        </w:tc>
        <w:tc>
          <w:tcPr>
            <w:tcW w:w="7715" w:type="dxa"/>
            <w:shd w:val="clear" w:color="auto" w:fill="auto"/>
            <w:tcMar>
              <w:left w:w="0" w:type="dxa"/>
            </w:tcMar>
          </w:tcPr>
          <w:p w14:paraId="1E353258" w14:textId="16BC8DC0" w:rsidR="006712EC" w:rsidRPr="00EE0E68" w:rsidRDefault="006712EC" w:rsidP="00EE0E68">
            <w:pPr>
              <w:spacing w:after="200"/>
              <w:rPr>
                <w:rFonts w:eastAsia="MS Gothic" w:cs="Arial"/>
                <w:color w:val="0D0D0D" w:themeColor="text1" w:themeTint="F2"/>
                <w:szCs w:val="20"/>
              </w:rPr>
            </w:pPr>
            <w:r w:rsidRPr="00EE0E68">
              <w:rPr>
                <w:rStyle w:val="normaltextrun"/>
                <w:rFonts w:eastAsia="MS Gothic" w:cs="Arial"/>
                <w:color w:val="0D0D0D" w:themeColor="text1" w:themeTint="F2"/>
                <w:szCs w:val="20"/>
              </w:rPr>
              <w:t>I přes problémy některých (hlavně průmyslových) podniků se obecná míra nezaměstnanosti</w:t>
            </w:r>
            <w:r w:rsidRPr="00EE0E68">
              <w:rPr>
                <w:rStyle w:val="normaltextrun"/>
                <w:rFonts w:eastAsia="MS Gothic" w:cs="Arial"/>
                <w:color w:val="0D0D0D" w:themeColor="text1" w:themeTint="F2"/>
                <w:szCs w:val="20"/>
                <w:vertAlign w:val="superscript"/>
              </w:rPr>
              <w:footnoteReference w:id="19"/>
            </w:r>
            <w:r w:rsidRPr="00EE0E68">
              <w:rPr>
                <w:rStyle w:val="normaltextrun"/>
                <w:rFonts w:eastAsia="MS Gothic" w:cs="Arial"/>
                <w:color w:val="0D0D0D" w:themeColor="text1" w:themeTint="F2"/>
                <w:szCs w:val="20"/>
              </w:rPr>
              <w:t xml:space="preserve"> v posledních čtvrtletích významně nezvyšovala. Propuštěné pracovníky z některých útlumových oborů totiž dokázaly z velké míry vstřebat rozvíjející se služby. </w:t>
            </w:r>
            <w:r w:rsidRPr="00EE0E68">
              <w:rPr>
                <w:rFonts w:cs="Arial"/>
                <w:szCs w:val="20"/>
              </w:rPr>
              <w:t>Očištěná míra nezaměstnanosti (15–64letých) činila letos v červenci 3,0 % (muži: 2,7 %, ženy: 3,3 %)</w:t>
            </w:r>
            <w:r w:rsidRPr="00EE0E68">
              <w:rPr>
                <w:rStyle w:val="Znakapoznpodarou"/>
                <w:color w:val="0D0D0D" w:themeColor="text1" w:themeTint="F2"/>
              </w:rPr>
              <w:footnoteReference w:id="20"/>
            </w:r>
            <w:r w:rsidRPr="00EE0E68">
              <w:rPr>
                <w:rFonts w:cs="Arial"/>
                <w:szCs w:val="20"/>
              </w:rPr>
              <w:t xml:space="preserve">, meziročně se velmi mírně zvýšila: +0,2 p. b., mírně vyšší </w:t>
            </w:r>
            <w:r w:rsidRPr="00EE0E68">
              <w:rPr>
                <w:rFonts w:cs="Arial"/>
                <w:szCs w:val="20"/>
              </w:rPr>
              <w:lastRenderedPageBreak/>
              <w:t xml:space="preserve">nárůst měli muži. Mírně se zvýšil i počet dlouhodobě nezaměstnaných </w:t>
            </w:r>
            <w:r w:rsidRPr="00EE0E68">
              <w:rPr>
                <w:color w:val="0D0D0D" w:themeColor="text1" w:themeTint="F2"/>
              </w:rPr>
              <w:t>– ti se na celkovém počtu lidí bez práce ve 2. čtvrtletí 2025 podíleli 31 % (to je v dlouhodobém i</w:t>
            </w:r>
            <w:r w:rsidR="00EE0E68">
              <w:rPr>
                <w:color w:val="0D0D0D" w:themeColor="text1" w:themeTint="F2"/>
              </w:rPr>
              <w:t> </w:t>
            </w:r>
            <w:r w:rsidRPr="00EE0E68">
              <w:rPr>
                <w:color w:val="0D0D0D" w:themeColor="text1" w:themeTint="F2"/>
              </w:rPr>
              <w:t>mezinárodním kontextu podprůměrná hodnota). Velikost potenciální pracovní rezervy (tj. ekonomicky neaktivních osob práci nehledajících, ale uvádějících ochotu pracovat) meziročně fakticky stagnovala (na necelých 83 tis. osobách)</w:t>
            </w:r>
            <w:r w:rsidRPr="00EE0E68">
              <w:rPr>
                <w:rStyle w:val="Znakapoznpodarou"/>
                <w:color w:val="0D0D0D" w:themeColor="text1" w:themeTint="F2"/>
              </w:rPr>
              <w:footnoteReference w:id="21"/>
            </w:r>
            <w:r w:rsidRPr="00EE0E68">
              <w:rPr>
                <w:color w:val="0D0D0D" w:themeColor="text1" w:themeTint="F2"/>
              </w:rPr>
              <w:t xml:space="preserve"> a z dlouhodobé perspektivy zůstává nízká. To sice představuje nezanedbatelný problém pro řadu zaměstnavatelů, na druhou stranu jde ovšem také o pozitivní signál naznačující, že rozsah skryté nezaměstnanosti (ve formě „úniku“ do ekonomické neaktivity) není na tuzemském pracovním trhu aktuálně významný.</w:t>
            </w:r>
          </w:p>
        </w:tc>
      </w:tr>
      <w:tr w:rsidR="006712EC" w:rsidRPr="00B43216" w14:paraId="4B3DD11B" w14:textId="77777777" w:rsidTr="00EE0E68">
        <w:trPr>
          <w:trHeight w:val="155"/>
        </w:trPr>
        <w:tc>
          <w:tcPr>
            <w:tcW w:w="1761" w:type="dxa"/>
            <w:vMerge w:val="restart"/>
            <w:shd w:val="clear" w:color="auto" w:fill="auto"/>
            <w:tcMar>
              <w:left w:w="0" w:type="dxa"/>
            </w:tcMar>
          </w:tcPr>
          <w:p w14:paraId="3B4DC373" w14:textId="77777777" w:rsidR="006712EC" w:rsidRPr="00EE0E68" w:rsidRDefault="006712EC" w:rsidP="00E54E39">
            <w:pPr>
              <w:pStyle w:val="Marginlie"/>
              <w:spacing w:after="120"/>
              <w:rPr>
                <w:spacing w:val="0"/>
              </w:rPr>
            </w:pPr>
          </w:p>
        </w:tc>
        <w:tc>
          <w:tcPr>
            <w:tcW w:w="198" w:type="dxa"/>
            <w:vMerge w:val="restart"/>
            <w:shd w:val="clear" w:color="auto" w:fill="auto"/>
            <w:tcMar>
              <w:left w:w="0" w:type="dxa"/>
            </w:tcMar>
          </w:tcPr>
          <w:p w14:paraId="314FD7F0" w14:textId="77777777" w:rsidR="006712EC" w:rsidRPr="00EE0E68" w:rsidRDefault="006712EC" w:rsidP="00E54E39">
            <w:pPr>
              <w:pStyle w:val="Textpoznpodarou"/>
              <w:spacing w:after="120"/>
              <w:jc w:val="both"/>
            </w:pPr>
          </w:p>
        </w:tc>
        <w:tc>
          <w:tcPr>
            <w:tcW w:w="7715" w:type="dxa"/>
            <w:shd w:val="clear" w:color="auto" w:fill="auto"/>
            <w:tcMar>
              <w:left w:w="0" w:type="dxa"/>
            </w:tcMar>
          </w:tcPr>
          <w:p w14:paraId="5F1BDEC3" w14:textId="77777777" w:rsidR="006712EC" w:rsidRPr="00EE0E68" w:rsidRDefault="006712EC" w:rsidP="00E54E39">
            <w:pPr>
              <w:spacing w:after="0"/>
              <w:rPr>
                <w:rFonts w:cs="Arial"/>
                <w:b/>
                <w:bCs/>
              </w:rPr>
            </w:pPr>
            <w:r w:rsidRPr="00EE0E68">
              <w:rPr>
                <w:b/>
              </w:rPr>
              <w:t xml:space="preserve">Graf č. 14 </w:t>
            </w:r>
            <w:r w:rsidRPr="00EE0E68">
              <w:rPr>
                <w:rFonts w:cs="Arial"/>
                <w:b/>
              </w:rPr>
              <w:t xml:space="preserve">Obecná míra nezaměstnanosti </w:t>
            </w:r>
            <w:r w:rsidRPr="00EE0E68">
              <w:rPr>
                <w:rFonts w:cs="Arial"/>
                <w:bCs/>
              </w:rPr>
              <w:t>(v %, věk 15 až 64 let)</w:t>
            </w:r>
            <w:r w:rsidRPr="00EE0E68">
              <w:rPr>
                <w:rFonts w:cs="Arial"/>
                <w:b/>
              </w:rPr>
              <w:t>,</w:t>
            </w:r>
            <w:r w:rsidRPr="00EE0E68">
              <w:rPr>
                <w:rFonts w:cs="Arial"/>
                <w:bCs/>
              </w:rPr>
              <w:t xml:space="preserve"> </w:t>
            </w:r>
            <w:r w:rsidRPr="00EE0E68">
              <w:rPr>
                <w:rFonts w:cs="Arial"/>
                <w:b/>
                <w:bCs/>
              </w:rPr>
              <w:t>očekávání vývoje nezaměstnanosti ze strany domácností*</w:t>
            </w:r>
            <w:r w:rsidRPr="00EE0E68">
              <w:rPr>
                <w:rFonts w:cs="Arial"/>
                <w:bCs/>
              </w:rPr>
              <w:t xml:space="preserve"> (v p. b.), </w:t>
            </w:r>
            <w:r w:rsidRPr="00EE0E68">
              <w:rPr>
                <w:rFonts w:cs="Arial"/>
                <w:b/>
                <w:bCs/>
              </w:rPr>
              <w:t xml:space="preserve">volná pracovní místa a pracující cizinci v pozici zaměstnanců </w:t>
            </w:r>
            <w:r w:rsidRPr="00EE0E68">
              <w:rPr>
                <w:rFonts w:cs="Arial"/>
                <w:bCs/>
              </w:rPr>
              <w:t>(v tis.)**</w:t>
            </w:r>
          </w:p>
        </w:tc>
      </w:tr>
      <w:tr w:rsidR="006712EC" w:rsidRPr="00B43216" w14:paraId="1098590C" w14:textId="77777777" w:rsidTr="00EE0E68">
        <w:tblPrEx>
          <w:tblCellMar>
            <w:left w:w="70" w:type="dxa"/>
            <w:right w:w="70" w:type="dxa"/>
          </w:tblCellMar>
        </w:tblPrEx>
        <w:trPr>
          <w:trHeight w:val="155"/>
        </w:trPr>
        <w:tc>
          <w:tcPr>
            <w:tcW w:w="1761" w:type="dxa"/>
            <w:vMerge/>
          </w:tcPr>
          <w:p w14:paraId="1D8BD2BA" w14:textId="77777777" w:rsidR="006712EC" w:rsidRPr="00EE0E68" w:rsidRDefault="006712EC" w:rsidP="00E54E39">
            <w:pPr>
              <w:pStyle w:val="Marginlie"/>
              <w:spacing w:after="120"/>
              <w:rPr>
                <w:spacing w:val="0"/>
              </w:rPr>
            </w:pPr>
          </w:p>
        </w:tc>
        <w:tc>
          <w:tcPr>
            <w:tcW w:w="198" w:type="dxa"/>
            <w:vMerge/>
          </w:tcPr>
          <w:p w14:paraId="181FDBDA" w14:textId="77777777" w:rsidR="006712EC" w:rsidRPr="00EE0E68" w:rsidRDefault="006712EC" w:rsidP="00E54E39">
            <w:pPr>
              <w:pStyle w:val="Textpoznpodarou"/>
              <w:spacing w:after="120"/>
              <w:jc w:val="both"/>
            </w:pPr>
          </w:p>
        </w:tc>
        <w:tc>
          <w:tcPr>
            <w:tcW w:w="7715" w:type="dxa"/>
            <w:shd w:val="clear" w:color="auto" w:fill="auto"/>
          </w:tcPr>
          <w:p w14:paraId="1941E91A" w14:textId="77777777" w:rsidR="006712EC" w:rsidRPr="00EE0E68" w:rsidRDefault="006712EC" w:rsidP="00E54E39">
            <w:pPr>
              <w:spacing w:after="0"/>
            </w:pPr>
            <w:r w:rsidRPr="00EE0E68">
              <w:rPr>
                <w:noProof/>
              </w:rPr>
              <w:drawing>
                <wp:inline distT="0" distB="0" distL="0" distR="0" wp14:anchorId="5FB3538B" wp14:editId="7D98E07F">
                  <wp:extent cx="4753610" cy="3430829"/>
                  <wp:effectExtent l="0" t="0" r="8890" b="0"/>
                  <wp:docPr id="15" name="Graf 15">
                    <a:extLst xmlns:a="http://schemas.openxmlformats.org/drawingml/2006/main">
                      <a:ext uri="{FF2B5EF4-FFF2-40B4-BE49-F238E27FC236}">
                        <a16:creationId xmlns:a16="http://schemas.microsoft.com/office/drawing/2014/main" id="{00000000-0008-0000-3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6712EC" w:rsidRPr="00B43216" w14:paraId="54FBB6A6" w14:textId="77777777" w:rsidTr="00EE0E68">
        <w:trPr>
          <w:trHeight w:val="132"/>
        </w:trPr>
        <w:tc>
          <w:tcPr>
            <w:tcW w:w="1761" w:type="dxa"/>
            <w:vMerge/>
            <w:tcMar>
              <w:left w:w="0" w:type="dxa"/>
            </w:tcMar>
          </w:tcPr>
          <w:p w14:paraId="3F9CE997" w14:textId="77777777" w:rsidR="006712EC" w:rsidRPr="00EE0E68" w:rsidRDefault="006712EC" w:rsidP="00E54E39">
            <w:pPr>
              <w:pStyle w:val="Marginlie"/>
              <w:rPr>
                <w:spacing w:val="0"/>
              </w:rPr>
            </w:pPr>
          </w:p>
        </w:tc>
        <w:tc>
          <w:tcPr>
            <w:tcW w:w="198" w:type="dxa"/>
            <w:vMerge/>
            <w:tcMar>
              <w:left w:w="0" w:type="dxa"/>
            </w:tcMar>
          </w:tcPr>
          <w:p w14:paraId="01BA2398" w14:textId="77777777" w:rsidR="006712EC" w:rsidRPr="00EE0E68" w:rsidRDefault="006712EC" w:rsidP="00E54E39">
            <w:pPr>
              <w:pStyle w:val="Textpoznpodarou"/>
              <w:jc w:val="both"/>
            </w:pPr>
          </w:p>
        </w:tc>
        <w:tc>
          <w:tcPr>
            <w:tcW w:w="7715" w:type="dxa"/>
            <w:shd w:val="clear" w:color="auto" w:fill="auto"/>
            <w:tcMar>
              <w:left w:w="0" w:type="dxa"/>
            </w:tcMar>
          </w:tcPr>
          <w:p w14:paraId="5CF43A9C" w14:textId="77777777" w:rsidR="006712EC" w:rsidRPr="00EE0E68" w:rsidRDefault="006712EC" w:rsidP="00E54E39">
            <w:pPr>
              <w:spacing w:before="60" w:after="0" w:line="240" w:lineRule="auto"/>
              <w:rPr>
                <w:rFonts w:cs="Arial"/>
                <w:color w:val="0D0D0D" w:themeColor="text1" w:themeTint="F2"/>
                <w:sz w:val="14"/>
                <w:szCs w:val="14"/>
              </w:rPr>
            </w:pPr>
            <w:r w:rsidRPr="00EE0E68">
              <w:rPr>
                <w:rFonts w:cs="Arial"/>
                <w:color w:val="0D0D0D" w:themeColor="text1" w:themeTint="F2"/>
                <w:sz w:val="14"/>
                <w:szCs w:val="14"/>
              </w:rPr>
              <w:t xml:space="preserve">Pozn.: Míry nezaměstnanosti jsou sezónně očištěny. </w:t>
            </w:r>
          </w:p>
          <w:p w14:paraId="20795BF3" w14:textId="77777777" w:rsidR="006712EC" w:rsidRPr="00EE0E68" w:rsidRDefault="006712EC" w:rsidP="00E54E39">
            <w:pPr>
              <w:spacing w:after="0" w:line="240" w:lineRule="auto"/>
              <w:rPr>
                <w:rFonts w:cs="Arial"/>
                <w:color w:val="0D0D0D" w:themeColor="text1" w:themeTint="F2"/>
                <w:sz w:val="14"/>
                <w:szCs w:val="14"/>
              </w:rPr>
            </w:pPr>
            <w:r w:rsidRPr="00EE0E68">
              <w:rPr>
                <w:rFonts w:cs="Arial"/>
                <w:color w:val="0D0D0D" w:themeColor="text1" w:themeTint="F2"/>
                <w:sz w:val="14"/>
                <w:szCs w:val="14"/>
              </w:rPr>
              <w:t>VPM = pouze volná pracovní místa s délkou evidence do šesti měsíců (stav na konci čtvrtletí).</w:t>
            </w:r>
          </w:p>
          <w:p w14:paraId="6AC94B9F" w14:textId="77777777" w:rsidR="006712EC" w:rsidRPr="00EE0E68" w:rsidRDefault="006712EC" w:rsidP="00E54E39">
            <w:pPr>
              <w:spacing w:after="0" w:line="240" w:lineRule="auto"/>
              <w:rPr>
                <w:rFonts w:cs="Arial"/>
                <w:color w:val="0D0D0D" w:themeColor="text1" w:themeTint="F2"/>
                <w:sz w:val="14"/>
                <w:szCs w:val="14"/>
              </w:rPr>
            </w:pPr>
            <w:r w:rsidRPr="00EE0E68">
              <w:rPr>
                <w:rFonts w:cs="Arial"/>
                <w:color w:val="0D0D0D" w:themeColor="text1" w:themeTint="F2"/>
                <w:sz w:val="14"/>
                <w:szCs w:val="14"/>
              </w:rPr>
              <w:t>*Sezónně očištěné saldo očekávání nezaměstnanosti v nejbližších 12 měsících (rozdíl mezi procentuální četností odpovědí domácností, růst a pokles vyjádřený v procentních bodech). Vztahuje se k prostřednímu měsíci daného čtvrtletí.</w:t>
            </w:r>
          </w:p>
          <w:p w14:paraId="47670481" w14:textId="77777777" w:rsidR="006712EC" w:rsidRPr="00EE0E68" w:rsidRDefault="006712EC" w:rsidP="00E54E39">
            <w:pPr>
              <w:spacing w:after="0" w:line="240" w:lineRule="auto"/>
              <w:rPr>
                <w:rFonts w:cs="Arial"/>
                <w:color w:val="0D0D0D" w:themeColor="text1" w:themeTint="F2"/>
                <w:sz w:val="14"/>
                <w:szCs w:val="14"/>
              </w:rPr>
            </w:pPr>
            <w:r w:rsidRPr="00EE0E68">
              <w:rPr>
                <w:rFonts w:cs="Arial"/>
                <w:color w:val="0D0D0D" w:themeColor="text1" w:themeTint="F2"/>
                <w:sz w:val="14"/>
                <w:szCs w:val="14"/>
              </w:rPr>
              <w:t>**Počet cizinců v postavení zaměstnanců evidovaných na úřadech práce v ČR na konci příslušného čtvrtletí.</w:t>
            </w:r>
          </w:p>
          <w:p w14:paraId="56249883" w14:textId="77777777" w:rsidR="006712EC" w:rsidRPr="00EE0E68" w:rsidRDefault="006712EC" w:rsidP="00E54E39">
            <w:pPr>
              <w:spacing w:after="200" w:line="240" w:lineRule="auto"/>
              <w:rPr>
                <w:rFonts w:cs="Arial"/>
                <w:color w:val="0D0D0D" w:themeColor="text1" w:themeTint="F2"/>
                <w:sz w:val="14"/>
                <w:szCs w:val="14"/>
              </w:rPr>
            </w:pPr>
            <w:r w:rsidRPr="00EE0E68">
              <w:rPr>
                <w:rFonts w:cs="Arial"/>
                <w:color w:val="0D0D0D" w:themeColor="text1" w:themeTint="F2"/>
                <w:sz w:val="14"/>
                <w:szCs w:val="14"/>
              </w:rPr>
              <w:t>Zdroj: ČSÚ (VŠPS, konjunkturální průzkum), MPSV (VPM registrovaná na úřadech práce v ČR, zaměstnaní cizinci)</w:t>
            </w:r>
          </w:p>
        </w:tc>
      </w:tr>
      <w:tr w:rsidR="00C66B0D" w:rsidRPr="00016778" w14:paraId="27D288DB" w14:textId="77777777" w:rsidTr="00EE0E68">
        <w:trPr>
          <w:trHeight w:val="132"/>
        </w:trPr>
        <w:tc>
          <w:tcPr>
            <w:tcW w:w="1761" w:type="dxa"/>
            <w:shd w:val="clear" w:color="auto" w:fill="auto"/>
            <w:tcMar>
              <w:left w:w="0" w:type="dxa"/>
            </w:tcMar>
          </w:tcPr>
          <w:p w14:paraId="35C60557" w14:textId="1B9FE435" w:rsidR="00C66B0D" w:rsidRPr="00EE0E68" w:rsidRDefault="00C66B0D" w:rsidP="00C66B0D">
            <w:pPr>
              <w:pStyle w:val="Marginlie"/>
              <w:rPr>
                <w:color w:val="0D0D0D" w:themeColor="text1" w:themeTint="F2"/>
                <w:spacing w:val="0"/>
              </w:rPr>
            </w:pPr>
            <w:r w:rsidRPr="00EE0E68">
              <w:rPr>
                <w:color w:val="0D0D0D" w:themeColor="text1" w:themeTint="F2"/>
                <w:spacing w:val="0"/>
              </w:rPr>
              <w:t xml:space="preserve">Registrovaných uchazečů o práci přibylo. Jejich podíl na populaci v produktivním věku byl nejvyšší za posledních devět let. </w:t>
            </w:r>
          </w:p>
          <w:p w14:paraId="0BCBA53E" w14:textId="08C7AD7B" w:rsidR="00C66B0D" w:rsidRPr="00EE0E68" w:rsidRDefault="00C66B0D" w:rsidP="00C66B0D">
            <w:pPr>
              <w:pStyle w:val="Marginlie"/>
              <w:rPr>
                <w:spacing w:val="0"/>
              </w:rPr>
            </w:pPr>
            <w:r w:rsidRPr="00EE0E68">
              <w:rPr>
                <w:color w:val="0D0D0D" w:themeColor="text1" w:themeTint="F2"/>
                <w:spacing w:val="0"/>
              </w:rPr>
              <w:t xml:space="preserve">. </w:t>
            </w:r>
          </w:p>
        </w:tc>
        <w:tc>
          <w:tcPr>
            <w:tcW w:w="198" w:type="dxa"/>
            <w:shd w:val="clear" w:color="auto" w:fill="auto"/>
            <w:tcMar>
              <w:left w:w="0" w:type="dxa"/>
            </w:tcMar>
          </w:tcPr>
          <w:p w14:paraId="1E8EE4BD" w14:textId="77777777" w:rsidR="00C66B0D" w:rsidRPr="00EE0E68" w:rsidRDefault="00C66B0D" w:rsidP="00C66B0D">
            <w:pPr>
              <w:pStyle w:val="Textpoznpodarou"/>
              <w:jc w:val="both"/>
              <w:rPr>
                <w:color w:val="0D0D0D" w:themeColor="text1" w:themeTint="F2"/>
              </w:rPr>
            </w:pPr>
          </w:p>
        </w:tc>
        <w:tc>
          <w:tcPr>
            <w:tcW w:w="7715" w:type="dxa"/>
            <w:shd w:val="clear" w:color="auto" w:fill="auto"/>
            <w:tcMar>
              <w:left w:w="0" w:type="dxa"/>
            </w:tcMar>
          </w:tcPr>
          <w:p w14:paraId="6AE9D663" w14:textId="29980A3A" w:rsidR="00C66B0D" w:rsidRPr="00EE0E68" w:rsidRDefault="00C66B0D" w:rsidP="00216286">
            <w:pPr>
              <w:spacing w:after="0"/>
              <w:rPr>
                <w:color w:val="0D0D0D" w:themeColor="text1" w:themeTint="F2"/>
              </w:rPr>
            </w:pPr>
            <w:r w:rsidRPr="00EE0E68">
              <w:rPr>
                <w:color w:val="0D0D0D" w:themeColor="text1" w:themeTint="F2"/>
              </w:rPr>
              <w:t>Významnější ochlazení tuzemského pracovního trhu dosud nenaznačují ani údaje z úřadů práce (ÚP).</w:t>
            </w:r>
            <w:r w:rsidRPr="00EE0E68">
              <w:rPr>
                <w:rStyle w:val="normaltextrun"/>
                <w:rFonts w:cs="Arial"/>
                <w:szCs w:val="20"/>
              </w:rPr>
              <w:t xml:space="preserve"> </w:t>
            </w:r>
            <w:r w:rsidRPr="00EE0E68">
              <w:rPr>
                <w:rFonts w:cs="Arial"/>
                <w:szCs w:val="20"/>
              </w:rPr>
              <w:t>Sezonně neočištěný podíl registrovaných uchazečů o práci na celkové populaci 15 až 64letých dosáhl letos na konci července 4,4 % (muži: 4,0 %, ženy: 4,9</w:t>
            </w:r>
            <w:r w:rsidRPr="00EE0E68">
              <w:rPr>
                <w:color w:val="0D0D0D" w:themeColor="text1" w:themeTint="F2"/>
              </w:rPr>
              <w:t> </w:t>
            </w:r>
            <w:r w:rsidRPr="00EE0E68">
              <w:rPr>
                <w:rFonts w:cs="Arial"/>
                <w:szCs w:val="20"/>
              </w:rPr>
              <w:t>%). To bylo meziročně o 0,7 p. b. více (mírný růst nezaměstnanosti probíhal nepřetržitě i po celý loňský rok, letos se meziroční tempo lehce zvyšovalo</w:t>
            </w:r>
            <w:r w:rsidRPr="00EE0E68">
              <w:rPr>
                <w:rStyle w:val="Znakapoznpodarou"/>
                <w:szCs w:val="20"/>
              </w:rPr>
              <w:footnoteReference w:id="22"/>
            </w:r>
            <w:r w:rsidRPr="00EE0E68">
              <w:rPr>
                <w:rFonts w:cs="Arial"/>
                <w:szCs w:val="20"/>
              </w:rPr>
              <w:t>). V rámci července byla vyšší než aktuální nezaměstnanost naposledy v roce 2016 (5,4 %). Nezaměstnanost je v Česku tradičně výrazně regionálně diferencovaná</w:t>
            </w:r>
            <w:r w:rsidRPr="00EE0E68">
              <w:rPr>
                <w:rStyle w:val="Znakapoznpodarou"/>
                <w:szCs w:val="20"/>
              </w:rPr>
              <w:footnoteReference w:id="23"/>
            </w:r>
            <w:r w:rsidRPr="00EE0E68">
              <w:rPr>
                <w:rFonts w:cs="Arial"/>
                <w:szCs w:val="20"/>
              </w:rPr>
              <w:t>.</w:t>
            </w:r>
          </w:p>
        </w:tc>
      </w:tr>
      <w:tr w:rsidR="00C66B0D" w:rsidRPr="00016778" w14:paraId="58C73A71" w14:textId="77777777" w:rsidTr="00EE0E68">
        <w:trPr>
          <w:trHeight w:val="132"/>
        </w:trPr>
        <w:tc>
          <w:tcPr>
            <w:tcW w:w="1761" w:type="dxa"/>
            <w:shd w:val="clear" w:color="auto" w:fill="auto"/>
            <w:tcMar>
              <w:left w:w="0" w:type="dxa"/>
            </w:tcMar>
          </w:tcPr>
          <w:p w14:paraId="579AEF12" w14:textId="77777777" w:rsidR="00C66B0D" w:rsidRPr="00EE0E68" w:rsidRDefault="00C66B0D" w:rsidP="00C66B0D">
            <w:pPr>
              <w:pStyle w:val="Marginlie"/>
              <w:rPr>
                <w:color w:val="0D0D0D" w:themeColor="text1" w:themeTint="F2"/>
                <w:spacing w:val="0"/>
              </w:rPr>
            </w:pPr>
            <w:r w:rsidRPr="00EE0E68">
              <w:rPr>
                <w:spacing w:val="0"/>
              </w:rPr>
              <w:lastRenderedPageBreak/>
              <w:t>V drtivé většině okresů je patrný převis počtu uchazečů o práci nad volnými místy. Přetrvává i problém nesouladu nabídky a poptávky z pohledu kvalifikačních nároků.</w:t>
            </w:r>
          </w:p>
        </w:tc>
        <w:tc>
          <w:tcPr>
            <w:tcW w:w="198" w:type="dxa"/>
            <w:shd w:val="clear" w:color="auto" w:fill="auto"/>
            <w:tcMar>
              <w:left w:w="0" w:type="dxa"/>
            </w:tcMar>
          </w:tcPr>
          <w:p w14:paraId="6DD26D89" w14:textId="77777777" w:rsidR="00C66B0D" w:rsidRPr="00EE0E68" w:rsidRDefault="00C66B0D" w:rsidP="00C66B0D">
            <w:pPr>
              <w:pStyle w:val="Textpoznpodarou"/>
              <w:jc w:val="both"/>
              <w:rPr>
                <w:color w:val="0D0D0D" w:themeColor="text1" w:themeTint="F2"/>
              </w:rPr>
            </w:pPr>
          </w:p>
        </w:tc>
        <w:tc>
          <w:tcPr>
            <w:tcW w:w="7715" w:type="dxa"/>
            <w:shd w:val="clear" w:color="auto" w:fill="auto"/>
            <w:tcMar>
              <w:left w:w="0" w:type="dxa"/>
            </w:tcMar>
          </w:tcPr>
          <w:p w14:paraId="3CC12578" w14:textId="71F2B240" w:rsidR="00C66B0D" w:rsidRPr="00EE0E68" w:rsidRDefault="00C66B0D" w:rsidP="00216286">
            <w:pPr>
              <w:spacing w:after="200"/>
              <w:rPr>
                <w:rStyle w:val="normaltextrun"/>
                <w:rFonts w:eastAsia="MS Gothic" w:cs="Arial"/>
                <w:color w:val="0D0D0D" w:themeColor="text1" w:themeTint="F2"/>
                <w:szCs w:val="20"/>
              </w:rPr>
            </w:pPr>
            <w:r w:rsidRPr="00EE0E68">
              <w:rPr>
                <w:color w:val="0D0D0D" w:themeColor="text1" w:themeTint="F2"/>
              </w:rPr>
              <w:t>ÚP evidovaly (dle nové metodiky) letos na konci července 95,6 tis.</w:t>
            </w:r>
            <w:r w:rsidRPr="00EE0E68">
              <w:rPr>
                <w:rStyle w:val="Znakapoznpodarou"/>
                <w:color w:val="0D0D0D" w:themeColor="text1" w:themeTint="F2"/>
              </w:rPr>
              <w:footnoteReference w:id="24"/>
            </w:r>
            <w:r w:rsidRPr="00EE0E68">
              <w:rPr>
                <w:color w:val="0D0D0D" w:themeColor="text1" w:themeTint="F2"/>
              </w:rPr>
              <w:t xml:space="preserve"> volných míst (v zásadě jen místa s dobou evidence kratší než 6 měsíců), tj. o 15 % více než letos na konci ledna. Meziměsíční růst míst, související zejména s nabídkou sezónních prací, se v červenci zastavil</w:t>
            </w:r>
            <w:r w:rsidRPr="00EE0E68">
              <w:rPr>
                <w:rStyle w:val="Znakapoznpodarou"/>
                <w:color w:val="0D0D0D" w:themeColor="text1" w:themeTint="F2"/>
              </w:rPr>
              <w:footnoteReference w:id="25"/>
            </w:r>
            <w:r w:rsidRPr="00EE0E68">
              <w:rPr>
                <w:color w:val="0D0D0D" w:themeColor="text1" w:themeTint="F2"/>
              </w:rPr>
              <w:t>. Nejvíce uchazečů na volné místo připadá tradičně na okres Karviná (24,4), dále Sokolov (16,5), Děčín (13,8), Hodonín (12,2), Most, Louny a</w:t>
            </w:r>
            <w:r>
              <w:rPr>
                <w:color w:val="0D0D0D" w:themeColor="text1" w:themeTint="F2"/>
              </w:rPr>
              <w:t> </w:t>
            </w:r>
            <w:r w:rsidRPr="00EE0E68">
              <w:rPr>
                <w:color w:val="0D0D0D" w:themeColor="text1" w:themeTint="F2"/>
              </w:rPr>
              <w:t>Jablonec n. Nisou (shodně těsně nad 9). Naopak převis míst nad uchazeči je pouze v</w:t>
            </w:r>
            <w:r>
              <w:rPr>
                <w:color w:val="0D0D0D" w:themeColor="text1" w:themeTint="F2"/>
              </w:rPr>
              <w:t> </w:t>
            </w:r>
            <w:r w:rsidRPr="00EE0E68">
              <w:rPr>
                <w:color w:val="0D0D0D" w:themeColor="text1" w:themeTint="F2"/>
              </w:rPr>
              <w:t>okresech Praha-východ a západ (0,9) a méně než 1,5 uchazeče na místo připadalo v</w:t>
            </w:r>
            <w:r>
              <w:rPr>
                <w:color w:val="0D0D0D" w:themeColor="text1" w:themeTint="F2"/>
              </w:rPr>
              <w:t> </w:t>
            </w:r>
            <w:r w:rsidRPr="00EE0E68">
              <w:rPr>
                <w:color w:val="0D0D0D" w:themeColor="text1" w:themeTint="F2"/>
              </w:rPr>
              <w:t>Praze, na Mladoboleslavsku, Tachovsku a Chebsku. Vedle toho přetrvává problém strukturálního nesouladu mezi nabízenými místy a kvalifikací uchazečů o práci</w:t>
            </w:r>
            <w:r w:rsidRPr="00EE0E68">
              <w:rPr>
                <w:color w:val="0D0D0D" w:themeColor="text1" w:themeTint="F2"/>
                <w:vertAlign w:val="superscript"/>
              </w:rPr>
              <w:footnoteReference w:id="26"/>
            </w:r>
            <w:r w:rsidRPr="00EE0E68">
              <w:rPr>
                <w:color w:val="0D0D0D" w:themeColor="text1" w:themeTint="F2"/>
              </w:rPr>
              <w:t xml:space="preserve">. Obavy lidí z růstu nezaměstnanosti (vyjádřené v rámci konjunkturálních průzkumů) </w:t>
            </w:r>
            <w:r>
              <w:rPr>
                <w:color w:val="0D0D0D" w:themeColor="text1" w:themeTint="F2"/>
              </w:rPr>
              <w:t>letos v 1. </w:t>
            </w:r>
            <w:r w:rsidRPr="00EE0E68">
              <w:rPr>
                <w:color w:val="0D0D0D" w:themeColor="text1" w:themeTint="F2"/>
              </w:rPr>
              <w:t>čtvrtletí narůstaly, následně došlo ke stabilizaci. Aktuálně mírně převyšovaly dlouh</w:t>
            </w:r>
            <w:r>
              <w:rPr>
                <w:color w:val="0D0D0D" w:themeColor="text1" w:themeTint="F2"/>
              </w:rPr>
              <w:t xml:space="preserve">odobý průměr, lehce vyšší byly </w:t>
            </w:r>
            <w:r w:rsidRPr="00EE0E68">
              <w:rPr>
                <w:color w:val="0D0D0D" w:themeColor="text1" w:themeTint="F2"/>
              </w:rPr>
              <w:t>v meziročním pohledu.</w:t>
            </w:r>
          </w:p>
        </w:tc>
      </w:tr>
      <w:tr w:rsidR="00C66B0D" w:rsidRPr="00016778" w14:paraId="1137BD3A" w14:textId="77777777" w:rsidTr="00EE0E68">
        <w:trPr>
          <w:trHeight w:val="132"/>
        </w:trPr>
        <w:tc>
          <w:tcPr>
            <w:tcW w:w="1761" w:type="dxa"/>
            <w:shd w:val="clear" w:color="auto" w:fill="auto"/>
            <w:tcMar>
              <w:left w:w="0" w:type="dxa"/>
            </w:tcMar>
          </w:tcPr>
          <w:p w14:paraId="6E19F6B0" w14:textId="77777777" w:rsidR="00C66B0D" w:rsidRPr="00EE0E68" w:rsidRDefault="00C66B0D" w:rsidP="00C66B0D">
            <w:pPr>
              <w:pStyle w:val="Marginlie"/>
              <w:rPr>
                <w:color w:val="0D0D0D" w:themeColor="text1" w:themeTint="F2"/>
                <w:spacing w:val="0"/>
              </w:rPr>
            </w:pPr>
            <w:r w:rsidRPr="00EE0E68">
              <w:rPr>
                <w:color w:val="0D0D0D" w:themeColor="text1" w:themeTint="F2"/>
                <w:spacing w:val="0"/>
              </w:rPr>
              <w:t>Meziroční růst průměrné mzdy ve 2. čtvrtletí významně zrychlil. Tato akcelerace byla patrná ve většině odvětví.</w:t>
            </w:r>
          </w:p>
        </w:tc>
        <w:tc>
          <w:tcPr>
            <w:tcW w:w="198" w:type="dxa"/>
            <w:shd w:val="clear" w:color="auto" w:fill="auto"/>
            <w:tcMar>
              <w:left w:w="0" w:type="dxa"/>
            </w:tcMar>
          </w:tcPr>
          <w:p w14:paraId="75199E84" w14:textId="77777777" w:rsidR="00C66B0D" w:rsidRPr="00EE0E68" w:rsidRDefault="00C66B0D" w:rsidP="00C66B0D">
            <w:pPr>
              <w:pStyle w:val="Textpoznpodarou"/>
              <w:jc w:val="both"/>
              <w:rPr>
                <w:color w:val="0D0D0D" w:themeColor="text1" w:themeTint="F2"/>
              </w:rPr>
            </w:pPr>
          </w:p>
        </w:tc>
        <w:tc>
          <w:tcPr>
            <w:tcW w:w="7715" w:type="dxa"/>
            <w:shd w:val="clear" w:color="auto" w:fill="auto"/>
            <w:tcMar>
              <w:left w:w="0" w:type="dxa"/>
            </w:tcMar>
          </w:tcPr>
          <w:p w14:paraId="72E33366" w14:textId="6FB4DB6B" w:rsidR="00C66B0D" w:rsidRPr="00EE0E68" w:rsidRDefault="00C66B0D" w:rsidP="00216286">
            <w:pPr>
              <w:spacing w:after="200"/>
              <w:rPr>
                <w:rStyle w:val="normaltextrun"/>
                <w:rFonts w:eastAsia="MS Gothic" w:cs="Arial"/>
                <w:color w:val="0D0D0D" w:themeColor="text1" w:themeTint="F2"/>
                <w:szCs w:val="20"/>
              </w:rPr>
            </w:pPr>
            <w:r w:rsidRPr="00EE0E68">
              <w:rPr>
                <w:rStyle w:val="normaltextrun"/>
                <w:rFonts w:eastAsia="MS Gothic" w:cs="Arial"/>
                <w:color w:val="0D0D0D" w:themeColor="text1" w:themeTint="F2"/>
                <w:szCs w:val="20"/>
              </w:rPr>
              <w:t xml:space="preserve">Ve 2. čtvrtletí 2025 vystoupala průměrná hrubá měsíční nominální mzda zaměstnance v národním hospodářství na 49 402. korun. Meziročně posílila o 7,8 %. Tempo růstu ve srovnání s počátkem roku (6,6 %) zrychlilo. Nejde přitom primárně o efekt nižší srovnávací základny, neboť sezónně očištěná mzda ve 2. čtvrtletí posílila mezikvartálně o vysokých 2,2 % (nejvíce za posledních pět čtvrtletí). Zrychlení meziročního tempa je letos patrné napříč většinou odvětví (intenzivněji v tržním segmentu ekonomiky, méně ve veřejných službách). To souvisí s pozvolným posilováním výkonu tuzemské ekonomiky, včetně růstu produktivity práce (evidenční počet zaměstnanců v přepočtených osobách se ve 2. čtvrtletí meziročně zvýšil jen o 0,4 %). Nelze však vyloučit, že dílčí vliv má i chování samotných zaměstnanců, kteří mohou být více motivováni ke změně pracovního místa s vidinou vyššího výdělku. V řadě odvětví přispívá k nadprůměrnému mzdovému tempu i nedostatek volných pracovníků na trhu. Na druhou stranu </w:t>
            </w:r>
            <w:r w:rsidRPr="00EE0E68">
              <w:t>m</w:t>
            </w:r>
            <w:r w:rsidRPr="00EE0E68">
              <w:rPr>
                <w:color w:val="0D0D0D" w:themeColor="text1" w:themeTint="F2"/>
              </w:rPr>
              <w:t>zdový růst v ekonomice stále tlumila potřeba úspor v rozpočtové sféře a také vytrvale rostoucí počet zahraničních pracovníků ze „třetích zemí“. Ti často okupují nízkokvalifikované pozice a jejich výdělky tudíž zpravidla nedosahují úrovně občanů Česka.</w:t>
            </w:r>
          </w:p>
        </w:tc>
      </w:tr>
      <w:tr w:rsidR="00C66B0D" w:rsidRPr="00016778" w14:paraId="4AFEAF3D" w14:textId="77777777" w:rsidTr="00EE0E68">
        <w:trPr>
          <w:trHeight w:val="132"/>
        </w:trPr>
        <w:tc>
          <w:tcPr>
            <w:tcW w:w="1761" w:type="dxa"/>
            <w:shd w:val="clear" w:color="auto" w:fill="auto"/>
            <w:tcMar>
              <w:left w:w="0" w:type="dxa"/>
            </w:tcMar>
          </w:tcPr>
          <w:p w14:paraId="22632693" w14:textId="77777777" w:rsidR="00C66B0D" w:rsidRPr="00EE0E68" w:rsidRDefault="00C66B0D" w:rsidP="00C66B0D">
            <w:pPr>
              <w:pStyle w:val="Marginlie"/>
              <w:rPr>
                <w:color w:val="0D0D0D" w:themeColor="text1" w:themeTint="F2"/>
                <w:spacing w:val="0"/>
              </w:rPr>
            </w:pPr>
            <w:r w:rsidRPr="00EE0E68">
              <w:rPr>
                <w:color w:val="0D0D0D" w:themeColor="text1" w:themeTint="F2"/>
                <w:spacing w:val="0"/>
              </w:rPr>
              <w:t>Kupní síla průměrné mzdy roste meziročně nepřetržitě od počátku loňského roku.</w:t>
            </w:r>
          </w:p>
          <w:p w14:paraId="50CB9A56" w14:textId="77777777" w:rsidR="00C66B0D" w:rsidRPr="00EE0E68" w:rsidRDefault="00C66B0D" w:rsidP="00C66B0D">
            <w:pPr>
              <w:pStyle w:val="Marginlie"/>
              <w:rPr>
                <w:color w:val="0D0D0D" w:themeColor="text1" w:themeTint="F2"/>
                <w:spacing w:val="0"/>
              </w:rPr>
            </w:pPr>
          </w:p>
        </w:tc>
        <w:tc>
          <w:tcPr>
            <w:tcW w:w="198" w:type="dxa"/>
            <w:shd w:val="clear" w:color="auto" w:fill="auto"/>
            <w:tcMar>
              <w:left w:w="0" w:type="dxa"/>
            </w:tcMar>
          </w:tcPr>
          <w:p w14:paraId="2DECB347" w14:textId="77777777" w:rsidR="00C66B0D" w:rsidRPr="00EE0E68" w:rsidRDefault="00C66B0D" w:rsidP="00C66B0D">
            <w:pPr>
              <w:pStyle w:val="Textpoznpodarou"/>
              <w:jc w:val="both"/>
              <w:rPr>
                <w:color w:val="0D0D0D" w:themeColor="text1" w:themeTint="F2"/>
              </w:rPr>
            </w:pPr>
          </w:p>
        </w:tc>
        <w:tc>
          <w:tcPr>
            <w:tcW w:w="7715" w:type="dxa"/>
            <w:shd w:val="clear" w:color="auto" w:fill="auto"/>
            <w:tcMar>
              <w:left w:w="0" w:type="dxa"/>
            </w:tcMar>
          </w:tcPr>
          <w:p w14:paraId="6CA6830E" w14:textId="77777777" w:rsidR="00C66B0D" w:rsidRPr="00EE0E68" w:rsidRDefault="00C66B0D" w:rsidP="00C66B0D">
            <w:pPr>
              <w:spacing w:after="200"/>
              <w:rPr>
                <w:rFonts w:eastAsia="MS Gothic" w:cs="Arial"/>
                <w:color w:val="0D0D0D" w:themeColor="text1" w:themeTint="F2"/>
                <w:szCs w:val="20"/>
              </w:rPr>
            </w:pPr>
            <w:r w:rsidRPr="00EE0E68">
              <w:rPr>
                <w:rStyle w:val="normaltextrun"/>
                <w:rFonts w:eastAsia="MS Gothic" w:cs="Arial"/>
                <w:color w:val="0D0D0D" w:themeColor="text1" w:themeTint="F2"/>
                <w:szCs w:val="20"/>
              </w:rPr>
              <w:t>Při stabilizaci vývoje spotřebitelských cen tak vystoupal růst průměrné reálné mzdy ve 2. čtvrtletí na 5,3 % (nejvíce od 1. čtvrtletí 2024, podobně platí i pro nominální tempo mzdy). Jde o růst srovnatelný s tempy z konjunkturních let 2018 a 2019. Vlivem vysoké kumulované inflace během období energetické krize je však kupní síla současné průměrné hrubé mzdy stále nepatrně nižší než v průměru za rok 2019</w:t>
            </w:r>
            <w:r w:rsidRPr="00EE0E68">
              <w:rPr>
                <w:rStyle w:val="Znakapoznpodarou"/>
                <w:rFonts w:eastAsia="MS Gothic"/>
                <w:color w:val="0D0D0D" w:themeColor="text1" w:themeTint="F2"/>
                <w:szCs w:val="20"/>
              </w:rPr>
              <w:footnoteReference w:id="27"/>
            </w:r>
            <w:r w:rsidRPr="00EE0E68">
              <w:rPr>
                <w:rStyle w:val="normaltextrun"/>
                <w:rFonts w:eastAsia="MS Gothic" w:cs="Arial"/>
                <w:color w:val="0D0D0D" w:themeColor="text1" w:themeTint="F2"/>
                <w:szCs w:val="20"/>
              </w:rPr>
              <w:t>. Stejně jako na počátku letošního roku, i ve 2. čtvrtletí rostla alespoň minimálně kupní síla průměrných mezd ve všech hlavních odvětvích.</w:t>
            </w:r>
          </w:p>
        </w:tc>
      </w:tr>
      <w:tr w:rsidR="00C66B0D" w:rsidRPr="00016778" w14:paraId="17F08A27" w14:textId="77777777" w:rsidTr="00EE0E68">
        <w:trPr>
          <w:trHeight w:val="132"/>
        </w:trPr>
        <w:tc>
          <w:tcPr>
            <w:tcW w:w="1761" w:type="dxa"/>
            <w:shd w:val="clear" w:color="auto" w:fill="auto"/>
            <w:tcMar>
              <w:left w:w="0" w:type="dxa"/>
            </w:tcMar>
          </w:tcPr>
          <w:p w14:paraId="27959A71" w14:textId="77777777" w:rsidR="00C66B0D" w:rsidRPr="00EE0E68" w:rsidRDefault="00C66B0D" w:rsidP="00C66B0D">
            <w:pPr>
              <w:pStyle w:val="Marginlie"/>
              <w:rPr>
                <w:color w:val="0D0D0D" w:themeColor="text1" w:themeTint="F2"/>
                <w:spacing w:val="0"/>
              </w:rPr>
            </w:pPr>
            <w:r w:rsidRPr="00EE0E68">
              <w:rPr>
                <w:color w:val="0D0D0D" w:themeColor="text1" w:themeTint="F2"/>
                <w:spacing w:val="0"/>
              </w:rPr>
              <w:t xml:space="preserve">Absolutně i relativně si na mzdě nejvíce polepšili pracovníci v profesních, vědeckých </w:t>
            </w:r>
            <w:r w:rsidRPr="00EE0E68">
              <w:rPr>
                <w:color w:val="0D0D0D" w:themeColor="text1" w:themeTint="F2"/>
                <w:spacing w:val="0"/>
              </w:rPr>
              <w:lastRenderedPageBreak/>
              <w:t xml:space="preserve">a technických činnostech. </w:t>
            </w:r>
          </w:p>
        </w:tc>
        <w:tc>
          <w:tcPr>
            <w:tcW w:w="198" w:type="dxa"/>
            <w:shd w:val="clear" w:color="auto" w:fill="auto"/>
            <w:tcMar>
              <w:left w:w="0" w:type="dxa"/>
            </w:tcMar>
          </w:tcPr>
          <w:p w14:paraId="3152AE61" w14:textId="77777777" w:rsidR="00C66B0D" w:rsidRPr="00EE0E68" w:rsidRDefault="00C66B0D" w:rsidP="00C66B0D">
            <w:pPr>
              <w:pStyle w:val="Textpoznpodarou"/>
              <w:jc w:val="both"/>
              <w:rPr>
                <w:color w:val="0D0D0D" w:themeColor="text1" w:themeTint="F2"/>
              </w:rPr>
            </w:pPr>
          </w:p>
        </w:tc>
        <w:tc>
          <w:tcPr>
            <w:tcW w:w="7715" w:type="dxa"/>
            <w:shd w:val="clear" w:color="auto" w:fill="auto"/>
            <w:tcMar>
              <w:left w:w="0" w:type="dxa"/>
            </w:tcMar>
          </w:tcPr>
          <w:p w14:paraId="4BF88419" w14:textId="367F7C52" w:rsidR="00C66B0D" w:rsidRPr="00EE0E68" w:rsidRDefault="00C66B0D" w:rsidP="00C66B0D">
            <w:pPr>
              <w:spacing w:after="200"/>
              <w:rPr>
                <w:rFonts w:eastAsia="MS Gothic" w:cs="Arial"/>
                <w:szCs w:val="20"/>
              </w:rPr>
            </w:pPr>
            <w:r w:rsidRPr="00EE0E68">
              <w:rPr>
                <w:rStyle w:val="normaltextrun"/>
                <w:rFonts w:eastAsia="MS Gothic" w:cs="Arial"/>
                <w:szCs w:val="20"/>
              </w:rPr>
              <w:t>Souhrnný růst průměrné mzdy zakrývá tradičně velmi různorodý vývoj na úrovni jednotlivých oborů, podniků či organizací.</w:t>
            </w:r>
            <w:r w:rsidRPr="00EE0E68">
              <w:rPr>
                <w:rStyle w:val="normaltextrun"/>
                <w:rFonts w:eastAsia="MS Gothic" w:cs="Arial"/>
              </w:rPr>
              <w:t xml:space="preserve"> N</w:t>
            </w:r>
            <w:r w:rsidRPr="00EE0E68">
              <w:rPr>
                <w:rStyle w:val="normaltextrun"/>
                <w:rFonts w:eastAsia="MS Gothic" w:cs="Arial"/>
                <w:szCs w:val="20"/>
              </w:rPr>
              <w:t xml:space="preserve">adprůměrný nominální mzdový růst se letos ve 2. čtvrtletí koncentroval zejména v tržním segmentu služeb. Nejvíce vzrostly meziročně výdělky v profesních vědeckých a technických činnostech (+12,7 %), tedy </w:t>
            </w:r>
            <w:r w:rsidRPr="00EE0E68">
              <w:rPr>
                <w:rStyle w:val="normaltextrun"/>
                <w:rFonts w:eastAsia="MS Gothic" w:cs="Arial"/>
                <w:szCs w:val="20"/>
              </w:rPr>
              <w:lastRenderedPageBreak/>
              <w:t>v odvětví postaveném především na práci vysoce kvalifikovaných specialistů (což se zde odráží i v průměrné měsíční mzdové úrovni: 63,2 tis. korun). Svižně ale rostly i výdělky v oblastech s nižšími kvalifikačními nároky, tedy v činnostech v oblasti nemovitostí (+10,9 %, při dvouciferném růstu zaměstnanosti), ubytování, stravování a pohostinství (+10,4 %), administrativních a podpůrných činnostech (+10,1 %) a kulturní, zábavní a</w:t>
            </w:r>
            <w:r>
              <w:rPr>
                <w:rStyle w:val="normaltextrun"/>
                <w:rFonts w:eastAsia="MS Gothic" w:cs="Arial"/>
                <w:szCs w:val="20"/>
              </w:rPr>
              <w:t> </w:t>
            </w:r>
            <w:r w:rsidRPr="00EE0E68">
              <w:rPr>
                <w:rStyle w:val="normaltextrun"/>
                <w:rFonts w:eastAsia="MS Gothic" w:cs="Arial"/>
                <w:szCs w:val="20"/>
              </w:rPr>
              <w:t xml:space="preserve">rekreační činnosti (+9,8 %). </w:t>
            </w:r>
          </w:p>
        </w:tc>
      </w:tr>
      <w:tr w:rsidR="00C66B0D" w:rsidRPr="00016778" w14:paraId="23F72BD1" w14:textId="77777777" w:rsidTr="00EE0E68">
        <w:trPr>
          <w:trHeight w:val="132"/>
        </w:trPr>
        <w:tc>
          <w:tcPr>
            <w:tcW w:w="1761" w:type="dxa"/>
            <w:shd w:val="clear" w:color="auto" w:fill="auto"/>
            <w:tcMar>
              <w:left w:w="0" w:type="dxa"/>
            </w:tcMar>
          </w:tcPr>
          <w:p w14:paraId="01F0B032" w14:textId="77777777" w:rsidR="00C66B0D" w:rsidRPr="00EE0E68" w:rsidRDefault="00C66B0D" w:rsidP="00C66B0D">
            <w:pPr>
              <w:pStyle w:val="Marginlie"/>
              <w:rPr>
                <w:color w:val="0D0D0D" w:themeColor="text1" w:themeTint="F2"/>
                <w:spacing w:val="0"/>
              </w:rPr>
            </w:pPr>
            <w:r w:rsidRPr="00EE0E68">
              <w:rPr>
                <w:color w:val="0D0D0D" w:themeColor="text1" w:themeTint="F2"/>
                <w:spacing w:val="0"/>
              </w:rPr>
              <w:lastRenderedPageBreak/>
              <w:t xml:space="preserve">Svižný mzdový růst </w:t>
            </w:r>
            <w:r w:rsidRPr="00EE0E68">
              <w:rPr>
                <w:color w:val="0D0D0D" w:themeColor="text1" w:themeTint="F2"/>
                <w:spacing w:val="0"/>
              </w:rPr>
              <w:br/>
              <w:t>v dopravě a skladování probíhal při redukci pracovních míst.</w:t>
            </w:r>
          </w:p>
          <w:p w14:paraId="09A42038" w14:textId="77777777" w:rsidR="00C66B0D" w:rsidRPr="00EE0E68" w:rsidRDefault="00C66B0D" w:rsidP="00C66B0D">
            <w:pPr>
              <w:pStyle w:val="Marginlie"/>
              <w:rPr>
                <w:color w:val="0D0D0D" w:themeColor="text1" w:themeTint="F2"/>
                <w:spacing w:val="0"/>
                <w:sz w:val="20"/>
                <w:szCs w:val="20"/>
              </w:rPr>
            </w:pPr>
          </w:p>
          <w:p w14:paraId="7874C4B5" w14:textId="77777777" w:rsidR="00C66B0D" w:rsidRPr="00EE0E68" w:rsidRDefault="00C66B0D" w:rsidP="00C66B0D">
            <w:pPr>
              <w:pStyle w:val="Marginlie"/>
              <w:rPr>
                <w:color w:val="0D0D0D" w:themeColor="text1" w:themeTint="F2"/>
                <w:spacing w:val="0"/>
                <w:sz w:val="20"/>
                <w:szCs w:val="20"/>
              </w:rPr>
            </w:pPr>
          </w:p>
          <w:p w14:paraId="32AB45B6" w14:textId="77777777" w:rsidR="00C66B0D" w:rsidRPr="00EE0E68" w:rsidRDefault="00C66B0D" w:rsidP="00C66B0D">
            <w:pPr>
              <w:pStyle w:val="Marginlie"/>
              <w:rPr>
                <w:color w:val="0D0D0D" w:themeColor="text1" w:themeTint="F2"/>
                <w:spacing w:val="0"/>
                <w:sz w:val="20"/>
                <w:szCs w:val="20"/>
              </w:rPr>
            </w:pPr>
          </w:p>
          <w:p w14:paraId="6F9E2C4F" w14:textId="77777777" w:rsidR="00C66B0D" w:rsidRPr="00EE0E68" w:rsidRDefault="00C66B0D" w:rsidP="00C66B0D">
            <w:pPr>
              <w:pStyle w:val="Marginlie"/>
              <w:rPr>
                <w:color w:val="0D0D0D" w:themeColor="text1" w:themeTint="F2"/>
                <w:spacing w:val="0"/>
              </w:rPr>
            </w:pPr>
            <w:r w:rsidRPr="00EE0E68">
              <w:rPr>
                <w:color w:val="0D0D0D" w:themeColor="text1" w:themeTint="F2"/>
                <w:spacing w:val="0"/>
              </w:rPr>
              <w:t>Relativně slabší růst mezd ve finančnictví i ve veřejných službách pokračoval.</w:t>
            </w:r>
          </w:p>
        </w:tc>
        <w:tc>
          <w:tcPr>
            <w:tcW w:w="198" w:type="dxa"/>
            <w:shd w:val="clear" w:color="auto" w:fill="auto"/>
            <w:tcMar>
              <w:left w:w="0" w:type="dxa"/>
            </w:tcMar>
          </w:tcPr>
          <w:p w14:paraId="2216C0B2" w14:textId="77777777" w:rsidR="00C66B0D" w:rsidRPr="00EE0E68" w:rsidRDefault="00C66B0D" w:rsidP="00C66B0D">
            <w:pPr>
              <w:pStyle w:val="Textpoznpodarou"/>
              <w:jc w:val="both"/>
              <w:rPr>
                <w:color w:val="0D0D0D" w:themeColor="text1" w:themeTint="F2"/>
              </w:rPr>
            </w:pPr>
          </w:p>
        </w:tc>
        <w:tc>
          <w:tcPr>
            <w:tcW w:w="7715" w:type="dxa"/>
            <w:shd w:val="clear" w:color="auto" w:fill="auto"/>
            <w:tcMar>
              <w:left w:w="0" w:type="dxa"/>
            </w:tcMar>
          </w:tcPr>
          <w:p w14:paraId="5DEB3904" w14:textId="6D1E5806" w:rsidR="00C66B0D" w:rsidRPr="00EE0E68" w:rsidRDefault="00C66B0D" w:rsidP="00C66B0D">
            <w:pPr>
              <w:rPr>
                <w:rStyle w:val="normaltextrun"/>
                <w:rFonts w:eastAsia="MS Gothic" w:cs="Arial"/>
                <w:szCs w:val="20"/>
              </w:rPr>
            </w:pPr>
            <w:r w:rsidRPr="00EE0E68">
              <w:rPr>
                <w:rStyle w:val="normaltextrun"/>
                <w:rFonts w:eastAsia="MS Gothic" w:cs="Arial"/>
                <w:szCs w:val="20"/>
              </w:rPr>
              <w:t>Vzhledem k přetrvávajícím problémů</w:t>
            </w:r>
            <w:r w:rsidRPr="00EE0E68">
              <w:rPr>
                <w:rStyle w:val="normaltextrun"/>
                <w:rFonts w:eastAsia="MS Gothic" w:cs="Arial"/>
              </w:rPr>
              <w:t>m</w:t>
            </w:r>
            <w:r w:rsidRPr="00EE0E68">
              <w:rPr>
                <w:rStyle w:val="normaltextrun"/>
                <w:rFonts w:eastAsia="MS Gothic" w:cs="Arial"/>
                <w:szCs w:val="20"/>
              </w:rPr>
              <w:t xml:space="preserve"> v průmyslu rostly trochu překvapivě dynamicky mzdy v souvisejícím odvětví dopravy a skladování (+9,6 %). Podobně jako v průmyslu zde však dále klesal počet zaměstnanců a dosažená mzdová úroveň za celou ekonomikou o desetinu zaostávala. Toto zaostávání je ve stejném rozsahu patrné i</w:t>
            </w:r>
            <w:r>
              <w:rPr>
                <w:rStyle w:val="normaltextrun"/>
                <w:rFonts w:eastAsia="MS Gothic" w:cs="Arial"/>
                <w:szCs w:val="20"/>
              </w:rPr>
              <w:t> </w:t>
            </w:r>
            <w:r w:rsidRPr="00EE0E68">
              <w:rPr>
                <w:rStyle w:val="normaltextrun"/>
                <w:rFonts w:eastAsia="MS Gothic" w:cs="Arial"/>
                <w:szCs w:val="20"/>
              </w:rPr>
              <w:t>v obchodě, kde navíc mzdy ve 2. čtvrtletí rostly relativně slabším tempem. To platí i pro finančnictví (+5,1 %) i oblast ICT (+7,2 %). Úroveň výdělků v těchto odvětvích ovšem převyšuje hladinu v ubytování, stravování a pohostinství téměř trojnásobně. Podprůměrně nadále rostly i mzdy v odvětvích veřejných služeb</w:t>
            </w:r>
            <w:r w:rsidRPr="00EE0E68">
              <w:rPr>
                <w:rStyle w:val="Znakapoznpodarou"/>
                <w:rFonts w:eastAsia="MS Gothic"/>
                <w:szCs w:val="20"/>
              </w:rPr>
              <w:footnoteReference w:id="28"/>
            </w:r>
            <w:r w:rsidRPr="00EE0E68">
              <w:rPr>
                <w:rStyle w:val="normaltextrun"/>
                <w:rFonts w:eastAsia="MS Gothic" w:cs="Arial"/>
                <w:szCs w:val="20"/>
              </w:rPr>
              <w:t xml:space="preserve"> – hlavně ve zdravotní a sociální péči (+5,6 %). Ve veřejné správě, obraně a sociálním zabezpečení byly vyšší o 7,0 % (s vyšší dynamikou soustředěnou v oblasti silových složek – např. armády), shodně jako ve vzdělávání</w:t>
            </w:r>
            <w:r w:rsidRPr="00EE0E68">
              <w:rPr>
                <w:rStyle w:val="Znakapoznpodarou"/>
                <w:rFonts w:eastAsia="MS Gothic"/>
                <w:szCs w:val="20"/>
              </w:rPr>
              <w:footnoteReference w:id="29"/>
            </w:r>
            <w:r w:rsidRPr="00EE0E68">
              <w:rPr>
                <w:rStyle w:val="normaltextrun"/>
                <w:rFonts w:eastAsia="MS Gothic" w:cs="Arial"/>
                <w:szCs w:val="20"/>
              </w:rPr>
              <w:t>.</w:t>
            </w:r>
          </w:p>
        </w:tc>
      </w:tr>
      <w:tr w:rsidR="00C66B0D" w:rsidRPr="00016778" w14:paraId="1A6AB4D6" w14:textId="77777777" w:rsidTr="00EE0E68">
        <w:trPr>
          <w:trHeight w:val="155"/>
        </w:trPr>
        <w:tc>
          <w:tcPr>
            <w:tcW w:w="1761" w:type="dxa"/>
            <w:vMerge w:val="restart"/>
            <w:shd w:val="clear" w:color="auto" w:fill="auto"/>
            <w:tcMar>
              <w:left w:w="0" w:type="dxa"/>
            </w:tcMar>
          </w:tcPr>
          <w:p w14:paraId="4AC13353" w14:textId="77777777" w:rsidR="00C66B0D" w:rsidRPr="00EE0E68" w:rsidRDefault="00C66B0D" w:rsidP="00C66B0D">
            <w:pPr>
              <w:pStyle w:val="Marginlie"/>
              <w:rPr>
                <w:color w:val="0D0D0D" w:themeColor="text1" w:themeTint="F2"/>
                <w:spacing w:val="0"/>
              </w:rPr>
            </w:pPr>
          </w:p>
        </w:tc>
        <w:tc>
          <w:tcPr>
            <w:tcW w:w="198" w:type="dxa"/>
            <w:vMerge w:val="restart"/>
            <w:shd w:val="clear" w:color="auto" w:fill="auto"/>
            <w:tcMar>
              <w:left w:w="0" w:type="dxa"/>
            </w:tcMar>
          </w:tcPr>
          <w:p w14:paraId="70DAD629" w14:textId="77777777" w:rsidR="00C66B0D" w:rsidRPr="00EE0E68" w:rsidRDefault="00C66B0D" w:rsidP="00C66B0D">
            <w:pPr>
              <w:pStyle w:val="Textpoznpodarou"/>
              <w:jc w:val="both"/>
              <w:rPr>
                <w:color w:val="0D0D0D" w:themeColor="text1" w:themeTint="F2"/>
              </w:rPr>
            </w:pPr>
          </w:p>
        </w:tc>
        <w:tc>
          <w:tcPr>
            <w:tcW w:w="7715" w:type="dxa"/>
            <w:shd w:val="clear" w:color="auto" w:fill="auto"/>
            <w:tcMar>
              <w:left w:w="0" w:type="dxa"/>
            </w:tcMar>
          </w:tcPr>
          <w:p w14:paraId="7C9AD24D" w14:textId="77777777" w:rsidR="00C66B0D" w:rsidRPr="00EE0E68" w:rsidRDefault="00C66B0D" w:rsidP="00C66B0D">
            <w:pPr>
              <w:spacing w:after="0"/>
              <w:rPr>
                <w:rFonts w:cs="Arial"/>
                <w:b/>
                <w:color w:val="0D0D0D" w:themeColor="text1" w:themeTint="F2"/>
                <w:szCs w:val="20"/>
              </w:rPr>
            </w:pPr>
            <w:r w:rsidRPr="00EE0E68">
              <w:rPr>
                <w:rFonts w:cs="Arial"/>
                <w:b/>
                <w:color w:val="0D0D0D" w:themeColor="text1" w:themeTint="F2"/>
                <w:szCs w:val="20"/>
              </w:rPr>
              <w:t>Graf č. 15 Průměrná nominální i reálná mzda a produktivita práce</w:t>
            </w:r>
          </w:p>
          <w:p w14:paraId="1656C906" w14:textId="5A82DD51" w:rsidR="00C66B0D" w:rsidRPr="00EE0E68" w:rsidRDefault="00C66B0D" w:rsidP="00C66B0D">
            <w:pPr>
              <w:tabs>
                <w:tab w:val="left" w:pos="1935"/>
              </w:tabs>
              <w:spacing w:after="0"/>
              <w:rPr>
                <w:rStyle w:val="normaltextrun"/>
                <w:rFonts w:eastAsia="MS Gothic" w:cs="Arial"/>
                <w:szCs w:val="20"/>
              </w:rPr>
            </w:pPr>
            <w:r w:rsidRPr="00EE0E68">
              <w:rPr>
                <w:rFonts w:cs="Arial"/>
                <w:color w:val="0D0D0D" w:themeColor="text1" w:themeTint="F2"/>
                <w:szCs w:val="20"/>
              </w:rPr>
              <w:t>(meziroční změna, v %, jednotlivá pololetí)</w:t>
            </w:r>
          </w:p>
        </w:tc>
      </w:tr>
      <w:tr w:rsidR="00C66B0D" w:rsidRPr="00016778" w14:paraId="4C76305C" w14:textId="77777777" w:rsidTr="00EE0E68">
        <w:trPr>
          <w:trHeight w:val="155"/>
        </w:trPr>
        <w:tc>
          <w:tcPr>
            <w:tcW w:w="1761" w:type="dxa"/>
            <w:vMerge/>
            <w:shd w:val="clear" w:color="auto" w:fill="auto"/>
            <w:tcMar>
              <w:left w:w="0" w:type="dxa"/>
            </w:tcMar>
          </w:tcPr>
          <w:p w14:paraId="79798BF2" w14:textId="77777777" w:rsidR="00C66B0D" w:rsidRPr="00EE0E68" w:rsidRDefault="00C66B0D" w:rsidP="00C66B0D">
            <w:pPr>
              <w:pStyle w:val="Marginlie"/>
              <w:rPr>
                <w:color w:val="0D0D0D" w:themeColor="text1" w:themeTint="F2"/>
                <w:spacing w:val="0"/>
              </w:rPr>
            </w:pPr>
          </w:p>
        </w:tc>
        <w:tc>
          <w:tcPr>
            <w:tcW w:w="198" w:type="dxa"/>
            <w:vMerge/>
            <w:shd w:val="clear" w:color="auto" w:fill="auto"/>
            <w:tcMar>
              <w:left w:w="0" w:type="dxa"/>
            </w:tcMar>
          </w:tcPr>
          <w:p w14:paraId="46FAC105" w14:textId="77777777" w:rsidR="00C66B0D" w:rsidRPr="00EE0E68" w:rsidRDefault="00C66B0D" w:rsidP="00C66B0D">
            <w:pPr>
              <w:pStyle w:val="Textpoznpodarou"/>
              <w:jc w:val="both"/>
              <w:rPr>
                <w:color w:val="0D0D0D" w:themeColor="text1" w:themeTint="F2"/>
              </w:rPr>
            </w:pPr>
          </w:p>
        </w:tc>
        <w:tc>
          <w:tcPr>
            <w:tcW w:w="7715" w:type="dxa"/>
            <w:shd w:val="clear" w:color="auto" w:fill="auto"/>
            <w:tcMar>
              <w:left w:w="0" w:type="dxa"/>
            </w:tcMar>
          </w:tcPr>
          <w:p w14:paraId="1CCBAB45" w14:textId="69714451" w:rsidR="00C66B0D" w:rsidRPr="00EE0E68" w:rsidRDefault="00C66B0D" w:rsidP="00C66B0D">
            <w:pPr>
              <w:tabs>
                <w:tab w:val="left" w:pos="1935"/>
              </w:tabs>
              <w:spacing w:after="0"/>
              <w:rPr>
                <w:rStyle w:val="normaltextrun"/>
                <w:rFonts w:eastAsia="MS Gothic" w:cs="Arial"/>
                <w:szCs w:val="20"/>
              </w:rPr>
            </w:pPr>
            <w:r w:rsidRPr="00EE0E68">
              <w:rPr>
                <w:noProof/>
              </w:rPr>
              <w:drawing>
                <wp:inline distT="0" distB="0" distL="0" distR="0" wp14:anchorId="3956B3BD" wp14:editId="4E3A2B1B">
                  <wp:extent cx="4810125" cy="3424687"/>
                  <wp:effectExtent l="0" t="0" r="0" b="4445"/>
                  <wp:docPr id="37" name="Graf 37">
                    <a:extLst xmlns:a="http://schemas.openxmlformats.org/drawingml/2006/main">
                      <a:ext uri="{FF2B5EF4-FFF2-40B4-BE49-F238E27FC236}">
                        <a16:creationId xmlns:a16="http://schemas.microsoft.com/office/drawing/2014/main" id="{00000000-0008-0000-3A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C66B0D" w:rsidRPr="00016778" w14:paraId="718FB4C1" w14:textId="77777777" w:rsidTr="00EE0E68">
        <w:trPr>
          <w:trHeight w:val="155"/>
        </w:trPr>
        <w:tc>
          <w:tcPr>
            <w:tcW w:w="1761" w:type="dxa"/>
            <w:vMerge/>
            <w:shd w:val="clear" w:color="auto" w:fill="auto"/>
            <w:tcMar>
              <w:left w:w="0" w:type="dxa"/>
            </w:tcMar>
          </w:tcPr>
          <w:p w14:paraId="6D2A1F66" w14:textId="77777777" w:rsidR="00C66B0D" w:rsidRPr="00EE0E68" w:rsidRDefault="00C66B0D" w:rsidP="00C66B0D">
            <w:pPr>
              <w:pStyle w:val="Marginlie"/>
              <w:rPr>
                <w:color w:val="0D0D0D" w:themeColor="text1" w:themeTint="F2"/>
                <w:spacing w:val="0"/>
              </w:rPr>
            </w:pPr>
          </w:p>
        </w:tc>
        <w:tc>
          <w:tcPr>
            <w:tcW w:w="198" w:type="dxa"/>
            <w:vMerge/>
            <w:shd w:val="clear" w:color="auto" w:fill="auto"/>
            <w:tcMar>
              <w:left w:w="0" w:type="dxa"/>
            </w:tcMar>
          </w:tcPr>
          <w:p w14:paraId="04036E11" w14:textId="77777777" w:rsidR="00C66B0D" w:rsidRPr="00EE0E68" w:rsidRDefault="00C66B0D" w:rsidP="00C66B0D">
            <w:pPr>
              <w:pStyle w:val="Textpoznpodarou"/>
              <w:jc w:val="both"/>
              <w:rPr>
                <w:color w:val="0D0D0D" w:themeColor="text1" w:themeTint="F2"/>
              </w:rPr>
            </w:pPr>
          </w:p>
        </w:tc>
        <w:tc>
          <w:tcPr>
            <w:tcW w:w="7715" w:type="dxa"/>
            <w:shd w:val="clear" w:color="auto" w:fill="auto"/>
            <w:tcMar>
              <w:left w:w="0" w:type="dxa"/>
            </w:tcMar>
          </w:tcPr>
          <w:p w14:paraId="289495A8" w14:textId="77777777" w:rsidR="00C66B0D" w:rsidRPr="00EE0E68" w:rsidRDefault="00C66B0D" w:rsidP="00C66B0D">
            <w:pPr>
              <w:spacing w:after="0" w:line="240" w:lineRule="auto"/>
              <w:rPr>
                <w:rFonts w:cs="Arial"/>
                <w:color w:val="0D0D0D" w:themeColor="text1" w:themeTint="F2"/>
                <w:sz w:val="14"/>
                <w:szCs w:val="14"/>
              </w:rPr>
            </w:pPr>
            <w:r w:rsidRPr="00EE0E68">
              <w:rPr>
                <w:rFonts w:cs="Arial"/>
                <w:color w:val="0D0D0D" w:themeColor="text1" w:themeTint="F2"/>
                <w:sz w:val="14"/>
                <w:szCs w:val="14"/>
              </w:rPr>
              <w:t>*Zahrnuje odvětví s významnou rolí vládního sektoru: Veřejná správa a obrana, povinné sociální zabezpečení; Vzdělávání; Zdravotní a sociální péče; Kulturní, zábavní a rekreační činnosti.</w:t>
            </w:r>
          </w:p>
          <w:p w14:paraId="12A225C5" w14:textId="673E289E" w:rsidR="00C66B0D" w:rsidRPr="00EE0E68" w:rsidRDefault="00C66B0D" w:rsidP="00C66B0D">
            <w:pPr>
              <w:tabs>
                <w:tab w:val="left" w:pos="1935"/>
              </w:tabs>
              <w:spacing w:after="200"/>
              <w:rPr>
                <w:rStyle w:val="normaltextrun"/>
                <w:rFonts w:eastAsia="MS Gothic" w:cs="Arial"/>
                <w:szCs w:val="20"/>
              </w:rPr>
            </w:pPr>
            <w:r w:rsidRPr="00EE0E68">
              <w:rPr>
                <w:rFonts w:cs="Arial"/>
                <w:color w:val="0D0D0D" w:themeColor="text1" w:themeTint="F2"/>
                <w:sz w:val="14"/>
                <w:szCs w:val="14"/>
              </w:rPr>
              <w:t>**Vyjadřuje HDP (ve stálých cenách) vztažený na 1 pracovníka (ve fyzických osobách).                                                        Zdroj: ČSÚ</w:t>
            </w:r>
          </w:p>
        </w:tc>
      </w:tr>
      <w:tr w:rsidR="00C66B0D" w:rsidRPr="00016778" w14:paraId="00A9B56A" w14:textId="77777777" w:rsidTr="00EE0E68">
        <w:trPr>
          <w:trHeight w:val="132"/>
        </w:trPr>
        <w:tc>
          <w:tcPr>
            <w:tcW w:w="1761" w:type="dxa"/>
            <w:shd w:val="clear" w:color="auto" w:fill="auto"/>
            <w:tcMar>
              <w:left w:w="0" w:type="dxa"/>
            </w:tcMar>
          </w:tcPr>
          <w:p w14:paraId="5C58B0D7" w14:textId="77777777" w:rsidR="00C66B0D" w:rsidRPr="00EE0E68" w:rsidRDefault="00C66B0D" w:rsidP="00C66B0D">
            <w:pPr>
              <w:pStyle w:val="Marginlie"/>
              <w:rPr>
                <w:color w:val="0D0D0D" w:themeColor="text1" w:themeTint="F2"/>
                <w:spacing w:val="0"/>
              </w:rPr>
            </w:pPr>
            <w:r w:rsidRPr="00EE0E68">
              <w:rPr>
                <w:color w:val="0D0D0D" w:themeColor="text1" w:themeTint="F2"/>
                <w:spacing w:val="0"/>
              </w:rPr>
              <w:t>Stavebnictví vykázalo svižný růst mezd druhý rok v řadě, což souviselo s nedostatkem volných pracovníků na trhu.</w:t>
            </w:r>
          </w:p>
          <w:p w14:paraId="5184FF9F" w14:textId="77777777" w:rsidR="00C66B0D" w:rsidRPr="00EE0E68" w:rsidRDefault="00C66B0D" w:rsidP="00C66B0D">
            <w:pPr>
              <w:pStyle w:val="Marginlie"/>
              <w:rPr>
                <w:color w:val="0D0D0D" w:themeColor="text1" w:themeTint="F2"/>
                <w:spacing w:val="0"/>
              </w:rPr>
            </w:pPr>
          </w:p>
          <w:p w14:paraId="764F5698" w14:textId="77777777" w:rsidR="00C66B0D" w:rsidRPr="00EE0E68" w:rsidRDefault="00C66B0D" w:rsidP="00C66B0D">
            <w:pPr>
              <w:pStyle w:val="Marginlie"/>
              <w:rPr>
                <w:color w:val="0D0D0D" w:themeColor="text1" w:themeTint="F2"/>
                <w:spacing w:val="0"/>
              </w:rPr>
            </w:pPr>
          </w:p>
          <w:p w14:paraId="5CB9EB45" w14:textId="77777777" w:rsidR="00C66B0D" w:rsidRPr="00EE0E68" w:rsidRDefault="00C66B0D" w:rsidP="00C66B0D">
            <w:pPr>
              <w:pStyle w:val="Marginlie"/>
              <w:rPr>
                <w:color w:val="0D0D0D" w:themeColor="text1" w:themeTint="F2"/>
                <w:spacing w:val="0"/>
              </w:rPr>
            </w:pPr>
          </w:p>
          <w:p w14:paraId="63839F30" w14:textId="77777777" w:rsidR="00C66B0D" w:rsidRPr="00EE0E68" w:rsidRDefault="00C66B0D" w:rsidP="00C66B0D">
            <w:pPr>
              <w:pStyle w:val="Marginlie"/>
              <w:rPr>
                <w:color w:val="0D0D0D" w:themeColor="text1" w:themeTint="F2"/>
                <w:spacing w:val="0"/>
              </w:rPr>
            </w:pPr>
          </w:p>
          <w:p w14:paraId="4B7EEE92" w14:textId="77777777" w:rsidR="00C66B0D" w:rsidRPr="00EE0E68" w:rsidRDefault="00C66B0D" w:rsidP="00C66B0D">
            <w:pPr>
              <w:pStyle w:val="Marginlie"/>
              <w:rPr>
                <w:color w:val="0D0D0D" w:themeColor="text1" w:themeTint="F2"/>
                <w:spacing w:val="0"/>
              </w:rPr>
            </w:pPr>
          </w:p>
          <w:p w14:paraId="5F9333B9" w14:textId="77777777" w:rsidR="00C66B0D" w:rsidRPr="00EE0E68" w:rsidRDefault="00C66B0D" w:rsidP="00C66B0D">
            <w:pPr>
              <w:pStyle w:val="Marginlie"/>
              <w:rPr>
                <w:color w:val="0D0D0D" w:themeColor="text1" w:themeTint="F2"/>
                <w:spacing w:val="0"/>
              </w:rPr>
            </w:pPr>
            <w:r w:rsidRPr="00EE0E68">
              <w:rPr>
                <w:color w:val="0D0D0D" w:themeColor="text1" w:themeTint="F2"/>
                <w:spacing w:val="0"/>
              </w:rPr>
              <w:t xml:space="preserve">Mzdové tempo v těžbě </w:t>
            </w:r>
            <w:r w:rsidRPr="00EE0E68">
              <w:rPr>
                <w:color w:val="0D0D0D" w:themeColor="text1" w:themeTint="F2"/>
                <w:spacing w:val="0"/>
              </w:rPr>
              <w:br/>
              <w:t>a dobývání letos i loni zaostávalo a výše výdělků pozvolna padala k průměru celé ekonomiky.</w:t>
            </w:r>
          </w:p>
          <w:p w14:paraId="2D34347F" w14:textId="77777777" w:rsidR="00C66B0D" w:rsidRPr="00EE0E68" w:rsidRDefault="00C66B0D" w:rsidP="00C66B0D">
            <w:pPr>
              <w:pStyle w:val="Marginlie"/>
              <w:rPr>
                <w:color w:val="0D0D0D" w:themeColor="text1" w:themeTint="F2"/>
                <w:spacing w:val="0"/>
              </w:rPr>
            </w:pPr>
          </w:p>
        </w:tc>
        <w:tc>
          <w:tcPr>
            <w:tcW w:w="198" w:type="dxa"/>
            <w:shd w:val="clear" w:color="auto" w:fill="auto"/>
            <w:tcMar>
              <w:left w:w="0" w:type="dxa"/>
            </w:tcMar>
          </w:tcPr>
          <w:p w14:paraId="46CEC261" w14:textId="77777777" w:rsidR="00C66B0D" w:rsidRPr="00EE0E68" w:rsidRDefault="00C66B0D" w:rsidP="00C66B0D">
            <w:pPr>
              <w:pStyle w:val="Textpoznpodarou"/>
              <w:jc w:val="both"/>
              <w:rPr>
                <w:color w:val="0D0D0D" w:themeColor="text1" w:themeTint="F2"/>
              </w:rPr>
            </w:pPr>
          </w:p>
        </w:tc>
        <w:tc>
          <w:tcPr>
            <w:tcW w:w="7715" w:type="dxa"/>
            <w:shd w:val="clear" w:color="auto" w:fill="auto"/>
            <w:tcMar>
              <w:left w:w="0" w:type="dxa"/>
            </w:tcMar>
          </w:tcPr>
          <w:p w14:paraId="0503DFB4" w14:textId="49589E1F" w:rsidR="00C66B0D" w:rsidRPr="00EE0E68" w:rsidRDefault="00C66B0D" w:rsidP="00C66B0D">
            <w:pPr>
              <w:spacing w:after="200"/>
              <w:rPr>
                <w:rStyle w:val="normaltextrun"/>
                <w:rFonts w:eastAsia="MS Gothic" w:cs="Arial"/>
                <w:szCs w:val="20"/>
              </w:rPr>
            </w:pPr>
            <w:r w:rsidRPr="00EE0E68">
              <w:rPr>
                <w:rStyle w:val="normaltextrun"/>
                <w:rFonts w:eastAsia="MS Gothic" w:cs="Arial"/>
                <w:szCs w:val="20"/>
              </w:rPr>
              <w:t xml:space="preserve">Z odvětví hmotné výroby rostly mzdy nejvíce ve stavebnictví (+11,0 %), což souviselo s lepšící se ekonomickou situací tohoto odvětví i přetrvávajícím dlouhodobým problémem s nedostatkem specialistů i méně kvalifikovaných pracovníků na trhu. To částečně platí i pro zemědělství, lesnictví a rybářství, kde mzdový růst ve 2. čtvrtletí vystoupal na 9,3 %, ovšem úroveň výdělků je zde stále nízká (37,7 tis. korun). Ve zpracovatelském průmyslu byl naopak mzdový růst slabší (+7,5 %) a ve většině hlavních oborů docházelo k redukci pracovních míst (celkově o 1,7 %). Vyšší mzdový růst </w:t>
            </w:r>
            <w:r w:rsidRPr="00EE0E68">
              <w:rPr>
                <w:rStyle w:val="normaltextrun"/>
                <w:rFonts w:eastAsia="MS Gothic" w:cs="Arial"/>
                <w:szCs w:val="20"/>
              </w:rPr>
              <w:lastRenderedPageBreak/>
              <w:t>zaznamenala jen výroba motorových vozidel (+10,3 %), kde jde o důsledek zlepšené výroby ve 2. čtvrtletí, silné role odborů a také propuštění agenturních pracovníků vykonávajících zpravidla méně kvalifikované činnosti (často u subdodavatelských firem). Podobnou mzdovou úroveň jako v automobilovém průmyslu měli aktuálně i pracovníci v energetice (necelých 70 tis. korun). Růst výdělků zde byl ale slabší (+6,2 %) i kvůli vyšší loňské základně. Nejméně si polepšili zaměstnanci v útlumovém odvětví těžby a</w:t>
            </w:r>
            <w:r>
              <w:rPr>
                <w:rStyle w:val="normaltextrun"/>
                <w:rFonts w:eastAsia="MS Gothic" w:cs="Arial"/>
                <w:szCs w:val="20"/>
              </w:rPr>
              <w:t> </w:t>
            </w:r>
            <w:r w:rsidRPr="00EE0E68">
              <w:rPr>
                <w:rStyle w:val="normaltextrun"/>
                <w:rFonts w:eastAsia="MS Gothic" w:cs="Arial"/>
                <w:szCs w:val="20"/>
              </w:rPr>
              <w:t>dobývání (+4,8 %), úroveň jejich mezd (51,7 tis. korun) již navíc sestoupila do pásma širšího průměru.</w:t>
            </w:r>
          </w:p>
        </w:tc>
      </w:tr>
      <w:tr w:rsidR="00C66B0D" w:rsidRPr="00016778" w14:paraId="1796B266" w14:textId="77777777" w:rsidTr="00EE0E68">
        <w:trPr>
          <w:trHeight w:val="132"/>
        </w:trPr>
        <w:tc>
          <w:tcPr>
            <w:tcW w:w="1761" w:type="dxa"/>
            <w:shd w:val="clear" w:color="auto" w:fill="auto"/>
            <w:tcMar>
              <w:left w:w="0" w:type="dxa"/>
            </w:tcMar>
          </w:tcPr>
          <w:p w14:paraId="09A15FC1" w14:textId="77777777" w:rsidR="00C66B0D" w:rsidRPr="00EE0E68" w:rsidRDefault="00C66B0D" w:rsidP="00C66B0D">
            <w:pPr>
              <w:pStyle w:val="Marginlie"/>
              <w:rPr>
                <w:color w:val="0D0D0D" w:themeColor="text1" w:themeTint="F2"/>
                <w:spacing w:val="0"/>
              </w:rPr>
            </w:pPr>
            <w:r w:rsidRPr="00EE0E68">
              <w:rPr>
                <w:color w:val="0D0D0D" w:themeColor="text1" w:themeTint="F2"/>
                <w:spacing w:val="0"/>
              </w:rPr>
              <w:lastRenderedPageBreak/>
              <w:t>Výdělky v oblasti středních mezd rostly relativně pomaleji než na obou extrémech. Celkové mzdové diference se téměř nezměnily.</w:t>
            </w:r>
          </w:p>
        </w:tc>
        <w:tc>
          <w:tcPr>
            <w:tcW w:w="198" w:type="dxa"/>
            <w:shd w:val="clear" w:color="auto" w:fill="auto"/>
            <w:tcMar>
              <w:left w:w="0" w:type="dxa"/>
            </w:tcMar>
          </w:tcPr>
          <w:p w14:paraId="0EE32418" w14:textId="77777777" w:rsidR="00C66B0D" w:rsidRPr="00EE0E68" w:rsidRDefault="00C66B0D" w:rsidP="00C66B0D">
            <w:pPr>
              <w:pStyle w:val="Textpoznpodarou"/>
              <w:jc w:val="both"/>
              <w:rPr>
                <w:color w:val="0D0D0D" w:themeColor="text1" w:themeTint="F2"/>
              </w:rPr>
            </w:pPr>
          </w:p>
        </w:tc>
        <w:tc>
          <w:tcPr>
            <w:tcW w:w="7715" w:type="dxa"/>
            <w:shd w:val="clear" w:color="auto" w:fill="auto"/>
            <w:tcMar>
              <w:left w:w="0" w:type="dxa"/>
            </w:tcMar>
          </w:tcPr>
          <w:p w14:paraId="3AEC5571" w14:textId="1F29E98F" w:rsidR="00C66B0D" w:rsidRPr="00EE0E68" w:rsidRDefault="00C66B0D" w:rsidP="00C66B0D">
            <w:pPr>
              <w:spacing w:after="200"/>
              <w:rPr>
                <w:rStyle w:val="normaltextrun"/>
                <w:rFonts w:eastAsia="MS Gothic" w:cs="Arial"/>
                <w:szCs w:val="20"/>
              </w:rPr>
            </w:pPr>
            <w:r w:rsidRPr="00EE0E68">
              <w:rPr>
                <w:rStyle w:val="normaltextrun"/>
                <w:rFonts w:eastAsia="MS Gothic" w:cs="Arial"/>
                <w:szCs w:val="20"/>
              </w:rPr>
              <w:t>Mezi regiony rostly ve 2. čtvrtletí průměrné nominální mzdy meziročně nejvíce v Praze a Moravskoslezském kraji (shodně +8,2 %), nejméně na Ústecku (+5,6 %). Mzdová hladina převyšovala úroveň celé ekonomiky jen v</w:t>
            </w:r>
            <w:r w:rsidRPr="00EE0E68">
              <w:rPr>
                <w:rStyle w:val="normaltextrun"/>
                <w:rFonts w:eastAsia="MS Gothic" w:cs="Arial"/>
              </w:rPr>
              <w:t xml:space="preserve"> </w:t>
            </w:r>
            <w:r w:rsidRPr="00EE0E68">
              <w:rPr>
                <w:rStyle w:val="normaltextrun"/>
                <w:rFonts w:eastAsia="MS Gothic" w:cs="Arial"/>
                <w:szCs w:val="20"/>
              </w:rPr>
              <w:t>Praze (+26 %) a středních Čechách (+6 %), zaostávala nejvíce v kraji Karlovarském (−15 %), Olomouckém a Pardubickém (shodně o 12 %). Medián mezd činil ve 2. čtvrtletí 41,1 tis. korun a meziročně vzrostl o</w:t>
            </w:r>
            <w:r>
              <w:rPr>
                <w:rStyle w:val="normaltextrun"/>
                <w:rFonts w:eastAsia="MS Gothic" w:cs="Arial"/>
                <w:szCs w:val="20"/>
              </w:rPr>
              <w:t> </w:t>
            </w:r>
            <w:r w:rsidRPr="00EE0E68">
              <w:rPr>
                <w:rStyle w:val="normaltextrun"/>
                <w:rFonts w:eastAsia="MS Gothic" w:cs="Arial"/>
                <w:szCs w:val="20"/>
              </w:rPr>
              <w:t xml:space="preserve">7,2 % (u mužů na 44,5 tis., u žen na 37,9 tis.). Desetina zaměstnanců s nejnižšími mzdami pobírala hrubou mzdu pod hranicí 22,3 tis. korun (dolní decil meziročně vzrostl o 8,3 %), desetina s nejvyššími mzdami měla výdělky nad hranicí 80,9 tis. korun (horní decil se zvýšil o 8,0 %). Oblast středních mezd tak vzrostla relativně nejméně, a to </w:t>
            </w:r>
            <w:r>
              <w:rPr>
                <w:rStyle w:val="normaltextrun"/>
                <w:rFonts w:eastAsia="MS Gothic" w:cs="Arial"/>
                <w:szCs w:val="20"/>
              </w:rPr>
              <w:t>i </w:t>
            </w:r>
            <w:r w:rsidRPr="00EE0E68">
              <w:rPr>
                <w:rStyle w:val="normaltextrun"/>
                <w:rFonts w:eastAsia="MS Gothic" w:cs="Arial"/>
                <w:szCs w:val="20"/>
              </w:rPr>
              <w:t>vlivem slabšího tempa ve veřejných službách, průmyslu či obchodu. Celkové mzdové diference se meziročně téměř nezměnily. Mezera v prostředních výdělcích dle pohlaví se meziročně nevýrazně zvýšila o 0,2 p. b., na 14,7 %.</w:t>
            </w:r>
          </w:p>
        </w:tc>
      </w:tr>
    </w:tbl>
    <w:p w14:paraId="76B0188F" w14:textId="77777777" w:rsidR="00216286" w:rsidRDefault="00216286" w:rsidP="000C004E">
      <w:pPr>
        <w:pStyle w:val="Nadpis1"/>
      </w:pPr>
      <w:bookmarkStart w:id="2" w:name="_GoBack"/>
      <w:bookmarkEnd w:id="2"/>
    </w:p>
    <w:sectPr w:rsidR="00216286" w:rsidSect="001F11F7">
      <w:headerReference w:type="even" r:id="rId14"/>
      <w:headerReference w:type="default" r:id="rId15"/>
      <w:footerReference w:type="even" r:id="rId16"/>
      <w:footerReference w:type="default" r:id="rId17"/>
      <w:pgSz w:w="11906" w:h="16838" w:code="9"/>
      <w:pgMar w:top="1134" w:right="1134" w:bottom="1418" w:left="1134" w:header="680" w:footer="680"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15D4F" w14:textId="77777777" w:rsidR="004C456F" w:rsidRDefault="004C456F" w:rsidP="00E71A58">
      <w:r>
        <w:separator/>
      </w:r>
    </w:p>
  </w:endnote>
  <w:endnote w:type="continuationSeparator" w:id="0">
    <w:p w14:paraId="1872982C" w14:textId="77777777" w:rsidR="004C456F" w:rsidRDefault="004C456F"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362E7" w14:textId="2C036131" w:rsidR="004C456F" w:rsidRPr="00932443" w:rsidRDefault="004C456F" w:rsidP="00A418BC">
    <w:pPr>
      <w:pStyle w:val="Zpat"/>
      <w:rPr>
        <w:szCs w:val="16"/>
      </w:rPr>
    </w:pPr>
    <w:r>
      <w:rPr>
        <w:szCs w:val="16"/>
        <w:lang w:eastAsia="cs-CZ"/>
      </w:rPr>
      <w:drawing>
        <wp:anchor distT="0" distB="0" distL="114300" distR="114300" simplePos="0" relativeHeight="251658240"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1F11F7">
      <w:rPr>
        <w:szCs w:val="16"/>
      </w:rPr>
      <w:t>38</w:t>
    </w:r>
    <w:r w:rsidRPr="00932443">
      <w:rPr>
        <w:szCs w:val="16"/>
      </w:rPr>
      <w:fldChar w:fldCharType="end"/>
    </w:r>
    <w:r w:rsidRPr="00932443">
      <w:rPr>
        <w:szCs w:val="16"/>
      </w:rPr>
      <w:tab/>
    </w:r>
    <w:r>
      <w:rPr>
        <w:szCs w:val="16"/>
      </w:rPr>
      <w:t>1. pololetí 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9" w14:textId="5D6436FB" w:rsidR="004C456F" w:rsidRPr="00932443" w:rsidRDefault="004C456F" w:rsidP="00A418BC">
    <w:pPr>
      <w:pStyle w:val="Zpat"/>
      <w:rPr>
        <w:szCs w:val="16"/>
      </w:rPr>
    </w:pPr>
    <w:r>
      <w:rPr>
        <w:szCs w:val="16"/>
        <w:lang w:eastAsia="cs-CZ"/>
      </w:rPr>
      <w:drawing>
        <wp:anchor distT="0" distB="0" distL="114300" distR="114300" simplePos="0" relativeHeight="251657216"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1. pololetí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1F11F7">
      <w:rPr>
        <w:rStyle w:val="ZpatChar"/>
        <w:szCs w:val="16"/>
      </w:rPr>
      <w:t>39</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A2FFA" w14:textId="77777777" w:rsidR="004C456F" w:rsidRDefault="004C456F" w:rsidP="00EA4302">
      <w:pPr>
        <w:spacing w:after="0"/>
      </w:pPr>
      <w:r>
        <w:separator/>
      </w:r>
    </w:p>
  </w:footnote>
  <w:footnote w:type="continuationSeparator" w:id="0">
    <w:p w14:paraId="41362B96" w14:textId="77777777" w:rsidR="004C456F" w:rsidRDefault="004C456F" w:rsidP="00E71A58">
      <w:r>
        <w:continuationSeparator/>
      </w:r>
    </w:p>
  </w:footnote>
  <w:footnote w:id="1">
    <w:p w14:paraId="7A24246F" w14:textId="77777777" w:rsidR="004C456F" w:rsidRPr="00F72E52" w:rsidRDefault="004C456F" w:rsidP="006712EC">
      <w:pPr>
        <w:pStyle w:val="Textpoznpodarou"/>
        <w:jc w:val="both"/>
        <w:rPr>
          <w:color w:val="0D0D0D" w:themeColor="text1" w:themeTint="F2"/>
          <w:spacing w:val="-2"/>
          <w:sz w:val="16"/>
          <w:szCs w:val="16"/>
        </w:rPr>
      </w:pPr>
      <w:r w:rsidRPr="00F72E52">
        <w:rPr>
          <w:rStyle w:val="Znakapoznpodarou"/>
          <w:color w:val="0D0D0D" w:themeColor="text1" w:themeTint="F2"/>
          <w:spacing w:val="-2"/>
          <w:sz w:val="16"/>
          <w:szCs w:val="16"/>
        </w:rPr>
        <w:footnoteRef/>
      </w:r>
      <w:r w:rsidRPr="00F72E52">
        <w:rPr>
          <w:color w:val="0D0D0D" w:themeColor="text1" w:themeTint="F2"/>
          <w:spacing w:val="-2"/>
          <w:sz w:val="16"/>
          <w:szCs w:val="16"/>
        </w:rPr>
        <w:t xml:space="preserve"> Údaje </w:t>
      </w:r>
      <w:r>
        <w:rPr>
          <w:color w:val="0D0D0D" w:themeColor="text1" w:themeTint="F2"/>
          <w:spacing w:val="-2"/>
          <w:sz w:val="16"/>
          <w:szCs w:val="16"/>
        </w:rPr>
        <w:t xml:space="preserve">o zaměstnanosti </w:t>
      </w:r>
      <w:r w:rsidRPr="00F72E52">
        <w:rPr>
          <w:color w:val="0D0D0D" w:themeColor="text1" w:themeTint="F2"/>
          <w:spacing w:val="-2"/>
          <w:sz w:val="16"/>
          <w:szCs w:val="16"/>
        </w:rPr>
        <w:t>vycház</w:t>
      </w:r>
      <w:r>
        <w:rPr>
          <w:color w:val="0D0D0D" w:themeColor="text1" w:themeTint="F2"/>
          <w:spacing w:val="-2"/>
          <w:sz w:val="16"/>
          <w:szCs w:val="16"/>
        </w:rPr>
        <w:t>ej</w:t>
      </w:r>
      <w:r w:rsidRPr="00F72E52">
        <w:rPr>
          <w:color w:val="0D0D0D" w:themeColor="text1" w:themeTint="F2"/>
          <w:spacing w:val="-2"/>
          <w:sz w:val="16"/>
          <w:szCs w:val="16"/>
        </w:rPr>
        <w:t>í z</w:t>
      </w:r>
      <w:r>
        <w:rPr>
          <w:color w:val="0D0D0D" w:themeColor="text1" w:themeTint="F2"/>
          <w:spacing w:val="-2"/>
          <w:sz w:val="16"/>
          <w:szCs w:val="16"/>
        </w:rPr>
        <w:t> </w:t>
      </w:r>
      <w:r w:rsidRPr="00F72E52">
        <w:rPr>
          <w:color w:val="0D0D0D" w:themeColor="text1" w:themeTint="F2"/>
          <w:spacing w:val="-2"/>
          <w:sz w:val="16"/>
          <w:szCs w:val="16"/>
        </w:rPr>
        <w:t>pojetí národních účtů. Jsou vyjádřeny ve fyzických osobách a</w:t>
      </w:r>
      <w:r>
        <w:rPr>
          <w:color w:val="0D0D0D" w:themeColor="text1" w:themeTint="F2"/>
          <w:spacing w:val="-2"/>
          <w:sz w:val="16"/>
          <w:szCs w:val="16"/>
        </w:rPr>
        <w:t> </w:t>
      </w:r>
      <w:r w:rsidRPr="00F72E52">
        <w:rPr>
          <w:color w:val="0D0D0D" w:themeColor="text1" w:themeTint="F2"/>
          <w:spacing w:val="-2"/>
          <w:sz w:val="16"/>
          <w:szCs w:val="16"/>
        </w:rPr>
        <w:t>očištěny o sezónní vlivy.</w:t>
      </w:r>
      <w:r>
        <w:rPr>
          <w:color w:val="0D0D0D" w:themeColor="text1" w:themeTint="F2"/>
          <w:spacing w:val="-2"/>
          <w:sz w:val="16"/>
          <w:szCs w:val="16"/>
        </w:rPr>
        <w:t xml:space="preserve"> Na rozdíl od údajů z podnikové statistiky či z </w:t>
      </w:r>
      <w:r w:rsidRPr="00946AFA">
        <w:rPr>
          <w:sz w:val="16"/>
          <w:szCs w:val="16"/>
        </w:rPr>
        <w:t xml:space="preserve">výběrového šetření pracovních sil </w:t>
      </w:r>
      <w:r>
        <w:rPr>
          <w:sz w:val="16"/>
          <w:szCs w:val="16"/>
        </w:rPr>
        <w:t>(VŠPS) zahrnují např. i odhad vlivu šedé ekonomiky.</w:t>
      </w:r>
    </w:p>
  </w:footnote>
  <w:footnote w:id="2">
    <w:p w14:paraId="5796B7A6" w14:textId="77777777" w:rsidR="004C456F" w:rsidRPr="000412D4" w:rsidRDefault="004C456F" w:rsidP="006712EC">
      <w:pPr>
        <w:pStyle w:val="Textpoznpodarou"/>
        <w:rPr>
          <w:sz w:val="16"/>
          <w:szCs w:val="16"/>
        </w:rPr>
      </w:pPr>
      <w:r w:rsidRPr="000412D4">
        <w:rPr>
          <w:rStyle w:val="Znakapoznpodarou"/>
          <w:sz w:val="16"/>
          <w:szCs w:val="16"/>
        </w:rPr>
        <w:footnoteRef/>
      </w:r>
      <w:r w:rsidRPr="000412D4">
        <w:rPr>
          <w:sz w:val="16"/>
          <w:szCs w:val="16"/>
        </w:rPr>
        <w:t xml:space="preserve"> V odvětví veřejná správa a obrana, vzdělávání, zdravotní a sociální péče</w:t>
      </w:r>
      <w:r>
        <w:rPr>
          <w:sz w:val="16"/>
          <w:szCs w:val="16"/>
        </w:rPr>
        <w:t xml:space="preserve"> bylo letos ve 2. čtvrtletí ve srovnání s koncem roku 2018 zaměstnáno o 11 % (+114 tis.) osob více. Významný vliv mělo rovněž navýšení ve stavebnictví (+9 %), i</w:t>
      </w:r>
      <w:r w:rsidRPr="00591EF5">
        <w:rPr>
          <w:sz w:val="16"/>
          <w:szCs w:val="16"/>
        </w:rPr>
        <w:t>nformační</w:t>
      </w:r>
      <w:r>
        <w:rPr>
          <w:sz w:val="16"/>
          <w:szCs w:val="16"/>
        </w:rPr>
        <w:t>ch</w:t>
      </w:r>
      <w:r w:rsidRPr="00591EF5">
        <w:rPr>
          <w:sz w:val="16"/>
          <w:szCs w:val="16"/>
        </w:rPr>
        <w:t xml:space="preserve"> a komunikační</w:t>
      </w:r>
      <w:r>
        <w:rPr>
          <w:sz w:val="16"/>
          <w:szCs w:val="16"/>
        </w:rPr>
        <w:t>ch činnostech (+16</w:t>
      </w:r>
      <w:r w:rsidRPr="000412D4">
        <w:rPr>
          <w:sz w:val="16"/>
          <w:szCs w:val="16"/>
        </w:rPr>
        <w:t> </w:t>
      </w:r>
      <w:r>
        <w:rPr>
          <w:sz w:val="16"/>
          <w:szCs w:val="16"/>
        </w:rPr>
        <w:t>%), profesních</w:t>
      </w:r>
      <w:r w:rsidRPr="00591EF5">
        <w:rPr>
          <w:sz w:val="16"/>
          <w:szCs w:val="16"/>
        </w:rPr>
        <w:t>, vě</w:t>
      </w:r>
      <w:r>
        <w:rPr>
          <w:sz w:val="16"/>
          <w:szCs w:val="16"/>
        </w:rPr>
        <w:t>deckých, technických a administrativních činnostech (+6 %) a též v oblasti nemovitostí.</w:t>
      </w:r>
    </w:p>
  </w:footnote>
  <w:footnote w:id="3">
    <w:p w14:paraId="4C1048ED" w14:textId="77777777" w:rsidR="004C456F" w:rsidRPr="004F5EA9" w:rsidRDefault="004C456F" w:rsidP="006712EC">
      <w:pPr>
        <w:pStyle w:val="Textpoznpodarou"/>
        <w:rPr>
          <w:sz w:val="16"/>
          <w:szCs w:val="16"/>
        </w:rPr>
      </w:pPr>
      <w:r w:rsidRPr="004F5EA9">
        <w:rPr>
          <w:rStyle w:val="Znakapoznpodarou"/>
          <w:sz w:val="16"/>
          <w:szCs w:val="16"/>
        </w:rPr>
        <w:footnoteRef/>
      </w:r>
      <w:r w:rsidRPr="004F5EA9">
        <w:rPr>
          <w:sz w:val="16"/>
          <w:szCs w:val="16"/>
        </w:rPr>
        <w:t xml:space="preserve"> Na rozdíl od loňského roku se tak tuzemská zaměstnanost zvyšovala rychleji než v EU, kde </w:t>
      </w:r>
      <w:r>
        <w:rPr>
          <w:sz w:val="16"/>
          <w:szCs w:val="16"/>
        </w:rPr>
        <w:t xml:space="preserve">v 1. pololetí </w:t>
      </w:r>
      <w:r w:rsidRPr="004F5EA9">
        <w:rPr>
          <w:sz w:val="16"/>
          <w:szCs w:val="16"/>
        </w:rPr>
        <w:t>činil její růst 0,4 %.</w:t>
      </w:r>
      <w:r w:rsidRPr="004C5E04">
        <w:rPr>
          <w:sz w:val="16"/>
          <w:szCs w:val="16"/>
        </w:rPr>
        <w:t xml:space="preserve"> </w:t>
      </w:r>
      <w:r>
        <w:rPr>
          <w:sz w:val="16"/>
          <w:szCs w:val="16"/>
        </w:rPr>
        <w:t xml:space="preserve">V Unii </w:t>
      </w:r>
      <w:r>
        <w:rPr>
          <w:sz w:val="16"/>
          <w:szCs w:val="16"/>
        </w:rPr>
        <w:br/>
        <w:t xml:space="preserve">(i eurozóně) v kontrastu s trendem v Česku navíc zpomalilo aktuální tempo růstu zaměstnanosti. Podobně jako v tuzemsku zde dochází k rozšiřování pracovních míst výhradně jen ve stavebnictví (+0,6 %) a službách </w:t>
      </w:r>
      <w:r>
        <w:rPr>
          <w:spacing w:val="-3"/>
          <w:sz w:val="16"/>
          <w:szCs w:val="16"/>
        </w:rPr>
        <w:t>−</w:t>
      </w:r>
      <w:r>
        <w:rPr>
          <w:sz w:val="16"/>
          <w:szCs w:val="16"/>
        </w:rPr>
        <w:t xml:space="preserve"> relativně nejvíce v oblasti nemovitostí (+3,9 %), peněžnictví a pojišťovnictví (+1,6 %) a také v odvětvích s významnou rolí státu (+1,3 %). Pracovníků naopak ubývá ve zpracovatelském průmyslu (</w:t>
      </w:r>
      <w:r>
        <w:rPr>
          <w:spacing w:val="-3"/>
          <w:sz w:val="16"/>
          <w:szCs w:val="16"/>
        </w:rPr>
        <w:t xml:space="preserve">−0,8 %), kde se situace spíše zhoršuje, což platí i pro primární sektor (−4,6 %). Z </w:t>
      </w:r>
      <w:r w:rsidRPr="000B4BE2">
        <w:rPr>
          <w:spacing w:val="-3"/>
          <w:sz w:val="16"/>
          <w:szCs w:val="16"/>
        </w:rPr>
        <w:t>jednotlivých států vzrostl celkový počet</w:t>
      </w:r>
      <w:r>
        <w:rPr>
          <w:spacing w:val="-3"/>
          <w:sz w:val="16"/>
          <w:szCs w:val="16"/>
        </w:rPr>
        <w:t xml:space="preserve"> pracovníků nejvíce na Maltě (+3,8 %) a v Irsku (+2,8 %), z významných ekonomik hlavně ve Španělsku (+2,8</w:t>
      </w:r>
      <w:r w:rsidRPr="000B4BE2">
        <w:rPr>
          <w:spacing w:val="-3"/>
          <w:sz w:val="16"/>
          <w:szCs w:val="16"/>
        </w:rPr>
        <w:t> %)</w:t>
      </w:r>
      <w:r>
        <w:rPr>
          <w:spacing w:val="-3"/>
          <w:sz w:val="16"/>
          <w:szCs w:val="16"/>
        </w:rPr>
        <w:t xml:space="preserve"> a</w:t>
      </w:r>
      <w:r w:rsidRPr="000B4BE2">
        <w:rPr>
          <w:spacing w:val="-3"/>
          <w:sz w:val="16"/>
          <w:szCs w:val="16"/>
        </w:rPr>
        <w:t xml:space="preserve"> </w:t>
      </w:r>
      <w:r>
        <w:rPr>
          <w:spacing w:val="-3"/>
          <w:sz w:val="16"/>
          <w:szCs w:val="16"/>
        </w:rPr>
        <w:t>v Itálii (+1,4</w:t>
      </w:r>
      <w:r w:rsidRPr="000B4BE2">
        <w:rPr>
          <w:spacing w:val="-3"/>
          <w:sz w:val="16"/>
          <w:szCs w:val="16"/>
        </w:rPr>
        <w:t xml:space="preserve"> %</w:t>
      </w:r>
      <w:r>
        <w:rPr>
          <w:spacing w:val="-3"/>
          <w:sz w:val="16"/>
          <w:szCs w:val="16"/>
        </w:rPr>
        <w:t xml:space="preserve">). K poklesu </w:t>
      </w:r>
      <w:r w:rsidRPr="00425501">
        <w:rPr>
          <w:spacing w:val="-6"/>
          <w:sz w:val="16"/>
          <w:szCs w:val="16"/>
        </w:rPr>
        <w:t>naopak došlo ve třetině členských zemí – především Rumunsku (−4,4 %), Lotyšsku (−1,7 %), Estonsku (−1,0 %) a Finsku (−0,8 %), k drobnému</w:t>
      </w:r>
      <w:r>
        <w:rPr>
          <w:spacing w:val="-3"/>
          <w:sz w:val="16"/>
          <w:szCs w:val="16"/>
        </w:rPr>
        <w:t xml:space="preserve"> poklesu došlo ve Francii a Polsku. V Německu</w:t>
      </w:r>
      <w:r w:rsidRPr="004C5E04">
        <w:rPr>
          <w:spacing w:val="-3"/>
          <w:sz w:val="16"/>
          <w:szCs w:val="16"/>
        </w:rPr>
        <w:t xml:space="preserve"> </w:t>
      </w:r>
      <w:r>
        <w:rPr>
          <w:spacing w:val="-3"/>
          <w:sz w:val="16"/>
          <w:szCs w:val="16"/>
        </w:rPr>
        <w:t>letos zaměstnanost stagnovala (stejně jako po většinu loňského roku), z toho ve zpracovatelském průmyslu došlo k úbytku o rovná 2 % (nejhlubšímu za poslední čtyři roky). Ani z mezikvartálních temp nebyly v této největší evropské ekonomice patrné náznaky oživení (celková zaměstnanost dále stagnovala a v průmyslu pokračoval úbytek pracovních míst).</w:t>
      </w:r>
    </w:p>
  </w:footnote>
  <w:footnote w:id="4">
    <w:p w14:paraId="27CA7BF9" w14:textId="77777777" w:rsidR="004C456F" w:rsidRDefault="004C456F" w:rsidP="006712EC">
      <w:pPr>
        <w:pStyle w:val="Textpoznpodarou"/>
      </w:pPr>
      <w:r w:rsidRPr="00442EDD">
        <w:rPr>
          <w:rStyle w:val="Znakapoznpodarou"/>
          <w:sz w:val="16"/>
          <w:szCs w:val="16"/>
        </w:rPr>
        <w:footnoteRef/>
      </w:r>
      <w:r w:rsidRPr="00442EDD">
        <w:rPr>
          <w:sz w:val="16"/>
          <w:szCs w:val="16"/>
        </w:rPr>
        <w:t xml:space="preserve"> </w:t>
      </w:r>
      <w:r>
        <w:rPr>
          <w:sz w:val="16"/>
          <w:szCs w:val="16"/>
        </w:rPr>
        <w:t xml:space="preserve">Pro zjednodušení </w:t>
      </w:r>
      <w:r>
        <w:rPr>
          <w:spacing w:val="-2"/>
          <w:sz w:val="16"/>
          <w:szCs w:val="16"/>
        </w:rPr>
        <w:t>z</w:t>
      </w:r>
      <w:r w:rsidRPr="00442EDD">
        <w:rPr>
          <w:spacing w:val="-2"/>
          <w:sz w:val="16"/>
          <w:szCs w:val="16"/>
        </w:rPr>
        <w:t>ahrnují od</w:t>
      </w:r>
      <w:r>
        <w:rPr>
          <w:spacing w:val="-2"/>
          <w:sz w:val="16"/>
          <w:szCs w:val="16"/>
        </w:rPr>
        <w:t>větví Veřejná správa a obrana, Vzdělávání, Z</w:t>
      </w:r>
      <w:r w:rsidRPr="00442EDD">
        <w:rPr>
          <w:spacing w:val="-2"/>
          <w:sz w:val="16"/>
          <w:szCs w:val="16"/>
        </w:rPr>
        <w:t>dravotní a sociální péče.</w:t>
      </w:r>
    </w:p>
  </w:footnote>
  <w:footnote w:id="5">
    <w:p w14:paraId="1E02CB10" w14:textId="77777777" w:rsidR="004C456F" w:rsidRDefault="004C456F" w:rsidP="006712EC">
      <w:pPr>
        <w:pStyle w:val="Textpoznpodarou"/>
      </w:pPr>
      <w:r w:rsidRPr="00AF2AB5">
        <w:rPr>
          <w:rStyle w:val="Znakapoznpodarou"/>
          <w:sz w:val="16"/>
          <w:szCs w:val="16"/>
        </w:rPr>
        <w:footnoteRef/>
      </w:r>
      <w:r w:rsidRPr="00AF2AB5">
        <w:rPr>
          <w:sz w:val="16"/>
          <w:szCs w:val="16"/>
        </w:rPr>
        <w:t xml:space="preserve"> </w:t>
      </w:r>
      <w:r>
        <w:rPr>
          <w:sz w:val="16"/>
          <w:szCs w:val="16"/>
        </w:rPr>
        <w:t>Ty zahrnují</w:t>
      </w:r>
      <w:r w:rsidRPr="00AF2AB5">
        <w:rPr>
          <w:sz w:val="16"/>
          <w:szCs w:val="16"/>
        </w:rPr>
        <w:t xml:space="preserve"> vedle</w:t>
      </w:r>
      <w:r w:rsidRPr="00180D79">
        <w:rPr>
          <w:sz w:val="16"/>
          <w:szCs w:val="16"/>
        </w:rPr>
        <w:t xml:space="preserve"> kulturních, zábavních a rekreačních činností např. různé služby pro domácnosti (opravy výrobků, kadeřnické </w:t>
      </w:r>
      <w:r>
        <w:rPr>
          <w:sz w:val="16"/>
          <w:szCs w:val="16"/>
        </w:rPr>
        <w:br/>
      </w:r>
      <w:r w:rsidRPr="00180D79">
        <w:rPr>
          <w:sz w:val="16"/>
          <w:szCs w:val="16"/>
        </w:rPr>
        <w:t xml:space="preserve">a kosmetické činnosti aj.). Zaměstnanost </w:t>
      </w:r>
      <w:r>
        <w:rPr>
          <w:sz w:val="16"/>
          <w:szCs w:val="16"/>
        </w:rPr>
        <w:t xml:space="preserve">je </w:t>
      </w:r>
      <w:r w:rsidRPr="00180D79">
        <w:rPr>
          <w:sz w:val="16"/>
          <w:szCs w:val="16"/>
        </w:rPr>
        <w:t>v</w:t>
      </w:r>
      <w:r>
        <w:rPr>
          <w:sz w:val="16"/>
          <w:szCs w:val="16"/>
        </w:rPr>
        <w:t> </w:t>
      </w:r>
      <w:r w:rsidRPr="00180D79">
        <w:rPr>
          <w:sz w:val="16"/>
          <w:szCs w:val="16"/>
        </w:rPr>
        <w:t>t</w:t>
      </w:r>
      <w:r>
        <w:rPr>
          <w:sz w:val="16"/>
          <w:szCs w:val="16"/>
        </w:rPr>
        <w:t xml:space="preserve">omto odvětví tvořená z více než třetiny </w:t>
      </w:r>
      <w:r w:rsidRPr="00180D79">
        <w:rPr>
          <w:sz w:val="16"/>
          <w:szCs w:val="16"/>
        </w:rPr>
        <w:t>drobnými podnikateli</w:t>
      </w:r>
      <w:r>
        <w:rPr>
          <w:sz w:val="16"/>
          <w:szCs w:val="16"/>
        </w:rPr>
        <w:t xml:space="preserve">. </w:t>
      </w:r>
    </w:p>
  </w:footnote>
  <w:footnote w:id="6">
    <w:p w14:paraId="6C34E2DA" w14:textId="77777777" w:rsidR="004C456F" w:rsidRPr="003933FD" w:rsidRDefault="004C456F" w:rsidP="006712EC">
      <w:pPr>
        <w:pStyle w:val="Textpoznpodarou"/>
        <w:rPr>
          <w:sz w:val="16"/>
          <w:szCs w:val="16"/>
        </w:rPr>
      </w:pPr>
      <w:r w:rsidRPr="003933FD">
        <w:rPr>
          <w:rStyle w:val="Znakapoznpodarou"/>
          <w:sz w:val="16"/>
          <w:szCs w:val="16"/>
        </w:rPr>
        <w:footnoteRef/>
      </w:r>
      <w:r w:rsidRPr="003933FD">
        <w:rPr>
          <w:sz w:val="16"/>
          <w:szCs w:val="16"/>
        </w:rPr>
        <w:t xml:space="preserve"> V dlouhodobějším pohledu jsou však trendy v obou hlavních skupinách pracovníků opačné. Počet zaměstnaneckých míst </w:t>
      </w:r>
      <w:r>
        <w:rPr>
          <w:sz w:val="16"/>
          <w:szCs w:val="16"/>
        </w:rPr>
        <w:t xml:space="preserve">v souvislosti s rychlým rozvojem digitalizace </w:t>
      </w:r>
      <w:r w:rsidRPr="003933FD">
        <w:rPr>
          <w:sz w:val="16"/>
          <w:szCs w:val="16"/>
        </w:rPr>
        <w:t>ubývá</w:t>
      </w:r>
      <w:r>
        <w:rPr>
          <w:sz w:val="16"/>
          <w:szCs w:val="16"/>
        </w:rPr>
        <w:t xml:space="preserve">, naopak stavy sebezaměstnaných se spíše mírně zvyšují. </w:t>
      </w:r>
    </w:p>
  </w:footnote>
  <w:footnote w:id="7">
    <w:p w14:paraId="43EFAE52" w14:textId="77777777" w:rsidR="004C456F" w:rsidRPr="00443624" w:rsidRDefault="004C456F" w:rsidP="006712EC">
      <w:pPr>
        <w:pStyle w:val="Textpoznpodarou"/>
        <w:rPr>
          <w:sz w:val="16"/>
          <w:szCs w:val="16"/>
        </w:rPr>
      </w:pPr>
      <w:r w:rsidRPr="00443624">
        <w:rPr>
          <w:rStyle w:val="Znakapoznpodarou"/>
          <w:sz w:val="16"/>
          <w:szCs w:val="16"/>
        </w:rPr>
        <w:footnoteRef/>
      </w:r>
      <w:r w:rsidRPr="00443624">
        <w:rPr>
          <w:sz w:val="16"/>
          <w:szCs w:val="16"/>
        </w:rPr>
        <w:t xml:space="preserve"> Údaje </w:t>
      </w:r>
      <w:r w:rsidRPr="00443624">
        <w:rPr>
          <w:color w:val="0D0D0D" w:themeColor="text1" w:themeTint="F2"/>
          <w:spacing w:val="-2"/>
          <w:sz w:val="16"/>
          <w:szCs w:val="16"/>
        </w:rPr>
        <w:t>vycházejí z pojetí národních účtů.</w:t>
      </w:r>
    </w:p>
  </w:footnote>
  <w:footnote w:id="8">
    <w:p w14:paraId="5CFF53A2" w14:textId="77777777" w:rsidR="004C456F" w:rsidRPr="00397638" w:rsidRDefault="004C456F" w:rsidP="006712EC">
      <w:pPr>
        <w:pStyle w:val="Textpoznpodarou"/>
        <w:rPr>
          <w:sz w:val="16"/>
          <w:szCs w:val="16"/>
        </w:rPr>
      </w:pPr>
      <w:r w:rsidRPr="00397638">
        <w:rPr>
          <w:rStyle w:val="Znakapoznpodarou"/>
          <w:sz w:val="16"/>
          <w:szCs w:val="16"/>
        </w:rPr>
        <w:footnoteRef/>
      </w:r>
      <w:r w:rsidRPr="00397638">
        <w:rPr>
          <w:sz w:val="16"/>
          <w:szCs w:val="16"/>
        </w:rPr>
        <w:t xml:space="preserve"> Analogické navýšení u počtu fyzických pracovníků činilo 2,6 %, z toho u sebezaměstnaných 3,4 %.</w:t>
      </w:r>
    </w:p>
  </w:footnote>
  <w:footnote w:id="9">
    <w:p w14:paraId="4A385182" w14:textId="7FCF7DA2" w:rsidR="004C456F" w:rsidRPr="00164965" w:rsidRDefault="004C456F" w:rsidP="006712EC">
      <w:pPr>
        <w:pStyle w:val="Textpoznpodarou"/>
        <w:rPr>
          <w:sz w:val="16"/>
          <w:szCs w:val="16"/>
        </w:rPr>
      </w:pPr>
      <w:r w:rsidRPr="00164965">
        <w:rPr>
          <w:rStyle w:val="Znakapoznpodarou"/>
          <w:sz w:val="16"/>
          <w:szCs w:val="16"/>
        </w:rPr>
        <w:footnoteRef/>
      </w:r>
      <w:r w:rsidRPr="00164965">
        <w:rPr>
          <w:sz w:val="16"/>
          <w:szCs w:val="16"/>
        </w:rPr>
        <w:t xml:space="preserve"> Vyjadřuje sezónně očištěné HDP ve stálých cenách na o</w:t>
      </w:r>
      <w:r w:rsidR="00216286">
        <w:rPr>
          <w:sz w:val="16"/>
          <w:szCs w:val="16"/>
        </w:rPr>
        <w:t>d</w:t>
      </w:r>
      <w:r w:rsidRPr="00164965">
        <w:rPr>
          <w:sz w:val="16"/>
          <w:szCs w:val="16"/>
        </w:rPr>
        <w:t>pracovanou hodinu zaměstnanými osobami (po sezónním očištění).</w:t>
      </w:r>
    </w:p>
  </w:footnote>
  <w:footnote w:id="10">
    <w:p w14:paraId="6D9BB207" w14:textId="77777777" w:rsidR="004C456F" w:rsidRPr="00AD3730" w:rsidRDefault="004C456F" w:rsidP="006712EC">
      <w:pPr>
        <w:pStyle w:val="Textpoznpodarou"/>
        <w:rPr>
          <w:sz w:val="16"/>
          <w:szCs w:val="16"/>
        </w:rPr>
      </w:pPr>
      <w:r w:rsidRPr="00AD3730">
        <w:rPr>
          <w:rStyle w:val="Znakapoznpodarou"/>
          <w:sz w:val="16"/>
          <w:szCs w:val="16"/>
        </w:rPr>
        <w:footnoteRef/>
      </w:r>
      <w:r>
        <w:rPr>
          <w:sz w:val="16"/>
          <w:szCs w:val="16"/>
        </w:rPr>
        <w:t xml:space="preserve"> Oprávnění k zaměstnání (pracovní povolení, zaměstnanecké či modré karty) nepotřebovaly</w:t>
      </w:r>
      <w:r w:rsidRPr="00AD3730">
        <w:rPr>
          <w:sz w:val="16"/>
          <w:szCs w:val="16"/>
        </w:rPr>
        <w:t xml:space="preserve"> </w:t>
      </w:r>
      <w:r>
        <w:rPr>
          <w:sz w:val="16"/>
          <w:szCs w:val="16"/>
        </w:rPr>
        <w:t>na konci 2. čtvrtletí 2025 skoro čtyři pětiny veškerých</w:t>
      </w:r>
      <w:r w:rsidRPr="00AD3730">
        <w:rPr>
          <w:sz w:val="16"/>
          <w:szCs w:val="16"/>
        </w:rPr>
        <w:t xml:space="preserve"> občanů Ukrajiny </w:t>
      </w:r>
      <w:r>
        <w:rPr>
          <w:sz w:val="16"/>
          <w:szCs w:val="16"/>
        </w:rPr>
        <w:t xml:space="preserve">(resp. 70 % mužů a 90 % žen) </w:t>
      </w:r>
      <w:r w:rsidRPr="00AD3730">
        <w:rPr>
          <w:sz w:val="16"/>
          <w:szCs w:val="16"/>
        </w:rPr>
        <w:t xml:space="preserve">působících </w:t>
      </w:r>
      <w:r>
        <w:rPr>
          <w:sz w:val="16"/>
          <w:szCs w:val="16"/>
        </w:rPr>
        <w:t>v ČR v zaměstnaneckém postavení.</w:t>
      </w:r>
    </w:p>
  </w:footnote>
  <w:footnote w:id="11">
    <w:p w14:paraId="0909B387" w14:textId="77777777" w:rsidR="004C456F" w:rsidRPr="00CF611C" w:rsidRDefault="004C456F" w:rsidP="006712EC">
      <w:pPr>
        <w:pStyle w:val="Textpoznpodarou"/>
        <w:rPr>
          <w:color w:val="0D0D0D" w:themeColor="text1" w:themeTint="F2"/>
          <w:sz w:val="16"/>
          <w:szCs w:val="16"/>
        </w:rPr>
      </w:pPr>
      <w:r w:rsidRPr="00223F13">
        <w:rPr>
          <w:rStyle w:val="Znakapoznpodarou"/>
          <w:sz w:val="16"/>
          <w:szCs w:val="16"/>
        </w:rPr>
        <w:footnoteRef/>
      </w:r>
      <w:r>
        <w:rPr>
          <w:sz w:val="16"/>
          <w:szCs w:val="16"/>
        </w:rPr>
        <w:t xml:space="preserve"> Od 1. července 2024 nově nepotřebují </w:t>
      </w:r>
      <w:r w:rsidRPr="00223F13">
        <w:rPr>
          <w:sz w:val="16"/>
          <w:szCs w:val="16"/>
        </w:rPr>
        <w:t xml:space="preserve">v Česku pracovní povolení </w:t>
      </w:r>
      <w:r>
        <w:rPr>
          <w:sz w:val="16"/>
          <w:szCs w:val="16"/>
        </w:rPr>
        <w:t>ani zaměstnanecké karty</w:t>
      </w:r>
      <w:r w:rsidRPr="00223F13">
        <w:rPr>
          <w:sz w:val="16"/>
          <w:szCs w:val="16"/>
        </w:rPr>
        <w:t xml:space="preserve"> cizinci z některých ekonomicky vyspělých </w:t>
      </w:r>
      <w:r w:rsidRPr="00CF611C">
        <w:rPr>
          <w:color w:val="0D0D0D" w:themeColor="text1" w:themeTint="F2"/>
          <w:sz w:val="16"/>
          <w:szCs w:val="16"/>
        </w:rPr>
        <w:t xml:space="preserve">zemí mimo EU (USA, Velká </w:t>
      </w:r>
      <w:r w:rsidRPr="00B007A6">
        <w:rPr>
          <w:color w:val="0D0D0D" w:themeColor="text1" w:themeTint="F2"/>
          <w:sz w:val="16"/>
          <w:szCs w:val="16"/>
        </w:rPr>
        <w:t>Británie, Kanada, Austrálie, Nový Zéland, Japonsko, Jižní Korea, Izrael a Singapur</w:t>
      </w:r>
      <w:r w:rsidRPr="00CF611C">
        <w:rPr>
          <w:color w:val="0D0D0D" w:themeColor="text1" w:themeTint="F2"/>
          <w:sz w:val="16"/>
          <w:szCs w:val="16"/>
        </w:rPr>
        <w:t>).</w:t>
      </w:r>
      <w:r>
        <w:rPr>
          <w:color w:val="0D0D0D" w:themeColor="text1" w:themeTint="F2"/>
          <w:sz w:val="16"/>
          <w:szCs w:val="16"/>
        </w:rPr>
        <w:t xml:space="preserve"> Letos na konci srpna pracovalo z těchto zemí v Česku v zaměstnaneckém postavení 9,5 tis. osob, meziročně o 2 % více.</w:t>
      </w:r>
    </w:p>
  </w:footnote>
  <w:footnote w:id="12">
    <w:p w14:paraId="5438F49E" w14:textId="77777777" w:rsidR="004C456F" w:rsidRPr="00A47DAB" w:rsidRDefault="004C456F" w:rsidP="006712EC">
      <w:pPr>
        <w:pStyle w:val="Textpoznpodarou"/>
        <w:rPr>
          <w:sz w:val="16"/>
          <w:szCs w:val="16"/>
        </w:rPr>
      </w:pPr>
      <w:r w:rsidRPr="00A47DAB">
        <w:rPr>
          <w:rStyle w:val="Znakapoznpodarou"/>
          <w:sz w:val="16"/>
          <w:szCs w:val="16"/>
        </w:rPr>
        <w:footnoteRef/>
      </w:r>
      <w:r w:rsidRPr="00A47DAB">
        <w:rPr>
          <w:sz w:val="16"/>
          <w:szCs w:val="16"/>
        </w:rPr>
        <w:t xml:space="preserve"> Jedná se o údaje v novém modelu sezónního oči</w:t>
      </w:r>
      <w:r>
        <w:rPr>
          <w:sz w:val="16"/>
          <w:szCs w:val="16"/>
        </w:rPr>
        <w:t>štění – pomocí trendcyklu. Inovo</w:t>
      </w:r>
      <w:r w:rsidRPr="00A47DAB">
        <w:rPr>
          <w:sz w:val="16"/>
          <w:szCs w:val="16"/>
        </w:rPr>
        <w:t>vaný model očištění lépe odráží změny charakteru trhu práce a sezónnosti.</w:t>
      </w:r>
      <w:r>
        <w:rPr>
          <w:sz w:val="16"/>
          <w:szCs w:val="16"/>
        </w:rPr>
        <w:t xml:space="preserve"> Obdobně je očištěna i měsíční míra nezaměstnanosti.</w:t>
      </w:r>
    </w:p>
  </w:footnote>
  <w:footnote w:id="13">
    <w:p w14:paraId="280D428B" w14:textId="77777777" w:rsidR="004C456F" w:rsidRPr="00492216" w:rsidRDefault="004C456F" w:rsidP="00C66B0D">
      <w:pPr>
        <w:pStyle w:val="Textpoznpodarou"/>
        <w:rPr>
          <w:color w:val="0D0D0D" w:themeColor="text1" w:themeTint="F2"/>
          <w:sz w:val="16"/>
          <w:szCs w:val="16"/>
        </w:rPr>
      </w:pPr>
      <w:r w:rsidRPr="00492216">
        <w:rPr>
          <w:rStyle w:val="Znakapoznpodarou"/>
          <w:color w:val="0D0D0D" w:themeColor="text1" w:themeTint="F2"/>
          <w:sz w:val="16"/>
          <w:szCs w:val="16"/>
        </w:rPr>
        <w:footnoteRef/>
      </w:r>
      <w:r w:rsidRPr="00492216">
        <w:rPr>
          <w:color w:val="0D0D0D" w:themeColor="text1" w:themeTint="F2"/>
          <w:sz w:val="16"/>
          <w:szCs w:val="16"/>
        </w:rPr>
        <w:t xml:space="preserve"> Dle údajů z VŠPS letos</w:t>
      </w:r>
      <w:r>
        <w:rPr>
          <w:color w:val="0D0D0D" w:themeColor="text1" w:themeTint="F2"/>
          <w:sz w:val="16"/>
          <w:szCs w:val="16"/>
        </w:rPr>
        <w:t xml:space="preserve"> v</w:t>
      </w:r>
      <w:r w:rsidRPr="00492216">
        <w:rPr>
          <w:color w:val="0D0D0D" w:themeColor="text1" w:themeTint="F2"/>
          <w:sz w:val="16"/>
          <w:szCs w:val="16"/>
        </w:rPr>
        <w:t xml:space="preserve"> 1. čtvrtletí praktikovalo v Česku 9,6 % všech pracujících (z toho u žen 14,6 %). Za poslední tři roky se tento podíl zvýšil o 2,7 p. b. (z toho u žen o 3,6 p. b.). Takto pracující</w:t>
      </w:r>
      <w:r>
        <w:rPr>
          <w:color w:val="0D0D0D" w:themeColor="text1" w:themeTint="F2"/>
          <w:sz w:val="16"/>
          <w:szCs w:val="16"/>
        </w:rPr>
        <w:t xml:space="preserve"> byli nejvíce soustře</w:t>
      </w:r>
      <w:r w:rsidRPr="00492216">
        <w:rPr>
          <w:color w:val="0D0D0D" w:themeColor="text1" w:themeTint="F2"/>
          <w:sz w:val="16"/>
          <w:szCs w:val="16"/>
        </w:rPr>
        <w:t>d</w:t>
      </w:r>
      <w:r>
        <w:rPr>
          <w:color w:val="0D0D0D" w:themeColor="text1" w:themeTint="F2"/>
          <w:sz w:val="16"/>
          <w:szCs w:val="16"/>
        </w:rPr>
        <w:t>ě</w:t>
      </w:r>
      <w:r w:rsidRPr="00492216">
        <w:rPr>
          <w:color w:val="0D0D0D" w:themeColor="text1" w:themeTint="F2"/>
          <w:sz w:val="16"/>
          <w:szCs w:val="16"/>
        </w:rPr>
        <w:t>ni ve veřejných službách, v případě žen také v obchodu. Přestože jsou tyto úvazky spojeny zejména s vyš</w:t>
      </w:r>
      <w:r>
        <w:rPr>
          <w:color w:val="0D0D0D" w:themeColor="text1" w:themeTint="F2"/>
          <w:sz w:val="16"/>
          <w:szCs w:val="16"/>
        </w:rPr>
        <w:t>š</w:t>
      </w:r>
      <w:r w:rsidRPr="00492216">
        <w:rPr>
          <w:color w:val="0D0D0D" w:themeColor="text1" w:themeTint="F2"/>
          <w:sz w:val="16"/>
          <w:szCs w:val="16"/>
        </w:rPr>
        <w:t xml:space="preserve">í flexibilitou, část z nich </w:t>
      </w:r>
      <w:r>
        <w:rPr>
          <w:color w:val="0D0D0D" w:themeColor="text1" w:themeTint="F2"/>
          <w:sz w:val="16"/>
          <w:szCs w:val="16"/>
        </w:rPr>
        <w:t>není zcela dobrovo</w:t>
      </w:r>
      <w:r w:rsidRPr="00492216">
        <w:rPr>
          <w:color w:val="0D0D0D" w:themeColor="text1" w:themeTint="F2"/>
          <w:sz w:val="16"/>
          <w:szCs w:val="16"/>
        </w:rPr>
        <w:t>lná (55 tis. tis. žen, tj. skoro šestina z celkového počtu takto prac</w:t>
      </w:r>
      <w:r>
        <w:rPr>
          <w:color w:val="0D0D0D" w:themeColor="text1" w:themeTint="F2"/>
          <w:sz w:val="16"/>
          <w:szCs w:val="16"/>
        </w:rPr>
        <w:t>ujících</w:t>
      </w:r>
      <w:r w:rsidRPr="00492216">
        <w:rPr>
          <w:color w:val="0D0D0D" w:themeColor="text1" w:themeTint="F2"/>
          <w:sz w:val="16"/>
          <w:szCs w:val="16"/>
        </w:rPr>
        <w:t xml:space="preserve"> žen uvádí, že pro ně byla dostupná jen práce na kratší úvazek). Ačkoli nárůst podílu</w:t>
      </w:r>
      <w:r>
        <w:rPr>
          <w:color w:val="0D0D0D" w:themeColor="text1" w:themeTint="F2"/>
          <w:sz w:val="16"/>
          <w:szCs w:val="16"/>
        </w:rPr>
        <w:t xml:space="preserve"> všech pracujících</w:t>
      </w:r>
      <w:r w:rsidRPr="00492216">
        <w:rPr>
          <w:color w:val="0D0D0D" w:themeColor="text1" w:themeTint="F2"/>
          <w:sz w:val="16"/>
          <w:szCs w:val="16"/>
        </w:rPr>
        <w:t xml:space="preserve"> na zkrácený úvazek patřil v posledních třech letech v Česku v rámci EU k nejvyšším (spolu s Dánskem, kde se zvýšil </w:t>
      </w:r>
      <w:r>
        <w:rPr>
          <w:color w:val="0D0D0D" w:themeColor="text1" w:themeTint="F2"/>
          <w:sz w:val="16"/>
          <w:szCs w:val="16"/>
        </w:rPr>
        <w:t>o</w:t>
      </w:r>
      <w:r w:rsidRPr="00492216">
        <w:rPr>
          <w:color w:val="0D0D0D" w:themeColor="text1" w:themeTint="F2"/>
          <w:sz w:val="16"/>
          <w:szCs w:val="16"/>
        </w:rPr>
        <w:t> 3,</w:t>
      </w:r>
      <w:r>
        <w:rPr>
          <w:color w:val="0D0D0D" w:themeColor="text1" w:themeTint="F2"/>
          <w:sz w:val="16"/>
          <w:szCs w:val="16"/>
        </w:rPr>
        <w:t>3</w:t>
      </w:r>
      <w:r w:rsidRPr="00492216">
        <w:rPr>
          <w:color w:val="0D0D0D" w:themeColor="text1" w:themeTint="F2"/>
          <w:sz w:val="16"/>
          <w:szCs w:val="16"/>
        </w:rPr>
        <w:t> </w:t>
      </w:r>
      <w:r>
        <w:rPr>
          <w:color w:val="0D0D0D" w:themeColor="text1" w:themeTint="F2"/>
          <w:sz w:val="16"/>
          <w:szCs w:val="16"/>
        </w:rPr>
        <w:t>p.</w:t>
      </w:r>
      <w:r w:rsidRPr="00492216">
        <w:rPr>
          <w:color w:val="0D0D0D" w:themeColor="text1" w:themeTint="F2"/>
          <w:sz w:val="16"/>
          <w:szCs w:val="16"/>
        </w:rPr>
        <w:t> b.), jejich celkové rozšíření je stále výrazně podprůměrné. Např. mezi ženami ve věku 25 až 49 let pracovalo v 1.</w:t>
      </w:r>
      <w:r>
        <w:rPr>
          <w:color w:val="0D0D0D" w:themeColor="text1" w:themeTint="F2"/>
          <w:sz w:val="16"/>
          <w:szCs w:val="16"/>
        </w:rPr>
        <w:t xml:space="preserve"> čtvrtletí</w:t>
      </w:r>
      <w:r w:rsidRPr="00492216">
        <w:rPr>
          <w:color w:val="0D0D0D" w:themeColor="text1" w:themeTint="F2"/>
          <w:sz w:val="16"/>
          <w:szCs w:val="16"/>
        </w:rPr>
        <w:t xml:space="preserve"> 2025 touto formou jen 13,8 %, v EU 25,9 % a v Nizozemsku 56,7 %. Na druhou stranu v rámci států, jež do Unie vstoupily až po roce 2000, měly oproti Česku vyšší podíl jen Estonsko (17,2 %) a Malta (15,8 %).</w:t>
      </w:r>
    </w:p>
  </w:footnote>
  <w:footnote w:id="14">
    <w:p w14:paraId="1FBE8C9D" w14:textId="77777777" w:rsidR="004C456F" w:rsidRPr="00DE6088" w:rsidRDefault="004C456F" w:rsidP="00C66B0D">
      <w:pPr>
        <w:pStyle w:val="Textpoznpodarou"/>
        <w:rPr>
          <w:sz w:val="16"/>
          <w:szCs w:val="16"/>
        </w:rPr>
      </w:pPr>
      <w:r w:rsidRPr="00DE6088">
        <w:rPr>
          <w:rStyle w:val="Znakapoznpodarou"/>
          <w:sz w:val="16"/>
          <w:szCs w:val="16"/>
        </w:rPr>
        <w:footnoteRef/>
      </w:r>
      <w:r w:rsidRPr="00DE6088">
        <w:rPr>
          <w:sz w:val="16"/>
          <w:szCs w:val="16"/>
        </w:rPr>
        <w:t xml:space="preserve"> S </w:t>
      </w:r>
      <w:r>
        <w:rPr>
          <w:sz w:val="16"/>
          <w:szCs w:val="16"/>
        </w:rPr>
        <w:t>rostoucí</w:t>
      </w:r>
      <w:r w:rsidRPr="00DE6088">
        <w:rPr>
          <w:sz w:val="16"/>
          <w:szCs w:val="16"/>
        </w:rPr>
        <w:t xml:space="preserve"> vzděl</w:t>
      </w:r>
      <w:r>
        <w:rPr>
          <w:sz w:val="16"/>
          <w:szCs w:val="16"/>
        </w:rPr>
        <w:t>aností s</w:t>
      </w:r>
      <w:r w:rsidRPr="00DE6088">
        <w:rPr>
          <w:sz w:val="16"/>
          <w:szCs w:val="16"/>
        </w:rPr>
        <w:t>e obecně pojí i vyšší p</w:t>
      </w:r>
      <w:r>
        <w:rPr>
          <w:sz w:val="16"/>
          <w:szCs w:val="16"/>
        </w:rPr>
        <w:t>a</w:t>
      </w:r>
      <w:r w:rsidRPr="00DE6088">
        <w:rPr>
          <w:sz w:val="16"/>
          <w:szCs w:val="16"/>
        </w:rPr>
        <w:t>r</w:t>
      </w:r>
      <w:r>
        <w:rPr>
          <w:sz w:val="16"/>
          <w:szCs w:val="16"/>
        </w:rPr>
        <w:t>t</w:t>
      </w:r>
      <w:r w:rsidRPr="00DE6088">
        <w:rPr>
          <w:sz w:val="16"/>
          <w:szCs w:val="16"/>
        </w:rPr>
        <w:t>icipace na trhu práce, zejména pak ve vyšší</w:t>
      </w:r>
      <w:r>
        <w:rPr>
          <w:sz w:val="16"/>
          <w:szCs w:val="16"/>
        </w:rPr>
        <w:t xml:space="preserve">m středním </w:t>
      </w:r>
      <w:r w:rsidRPr="00DE6088">
        <w:rPr>
          <w:sz w:val="16"/>
          <w:szCs w:val="16"/>
        </w:rPr>
        <w:t xml:space="preserve">či postproduktivním věku. </w:t>
      </w:r>
      <w:r w:rsidRPr="00DE6088">
        <w:rPr>
          <w:spacing w:val="-4"/>
          <w:sz w:val="16"/>
          <w:szCs w:val="16"/>
        </w:rPr>
        <w:t xml:space="preserve">Dle údajů VŠPS </w:t>
      </w:r>
      <w:r>
        <w:rPr>
          <w:spacing w:val="-4"/>
          <w:sz w:val="16"/>
          <w:szCs w:val="16"/>
        </w:rPr>
        <w:t>přib</w:t>
      </w:r>
      <w:r w:rsidRPr="00DE6088">
        <w:rPr>
          <w:spacing w:val="-4"/>
          <w:sz w:val="16"/>
          <w:szCs w:val="16"/>
        </w:rPr>
        <w:t xml:space="preserve">ylo letos </w:t>
      </w:r>
      <w:r>
        <w:rPr>
          <w:spacing w:val="-4"/>
          <w:sz w:val="16"/>
          <w:szCs w:val="16"/>
        </w:rPr>
        <w:t xml:space="preserve">ve </w:t>
      </w:r>
      <w:r w:rsidRPr="00DE6088">
        <w:rPr>
          <w:spacing w:val="-4"/>
          <w:sz w:val="16"/>
          <w:szCs w:val="16"/>
        </w:rPr>
        <w:t xml:space="preserve">2. čtvrtletí </w:t>
      </w:r>
      <w:r>
        <w:rPr>
          <w:spacing w:val="-4"/>
          <w:sz w:val="16"/>
          <w:szCs w:val="16"/>
        </w:rPr>
        <w:t>vysokoškolsky</w:t>
      </w:r>
      <w:r w:rsidRPr="00DE6088">
        <w:rPr>
          <w:spacing w:val="-4"/>
          <w:sz w:val="16"/>
          <w:szCs w:val="16"/>
        </w:rPr>
        <w:t xml:space="preserve"> vzděl</w:t>
      </w:r>
      <w:r>
        <w:rPr>
          <w:spacing w:val="-4"/>
          <w:sz w:val="16"/>
          <w:szCs w:val="16"/>
        </w:rPr>
        <w:t>a</w:t>
      </w:r>
      <w:r w:rsidRPr="00DE6088">
        <w:rPr>
          <w:spacing w:val="-4"/>
          <w:sz w:val="16"/>
          <w:szCs w:val="16"/>
        </w:rPr>
        <w:t>ných pracujících žen meziročně o 73 tis.</w:t>
      </w:r>
    </w:p>
  </w:footnote>
  <w:footnote w:id="15">
    <w:p w14:paraId="6C252CC3" w14:textId="77777777" w:rsidR="004C456F" w:rsidRPr="002D4EC7" w:rsidRDefault="004C456F" w:rsidP="00C66B0D">
      <w:pPr>
        <w:pStyle w:val="Textpoznpodarou"/>
        <w:rPr>
          <w:sz w:val="16"/>
          <w:szCs w:val="16"/>
        </w:rPr>
      </w:pPr>
      <w:r w:rsidRPr="002D4EC7">
        <w:rPr>
          <w:rStyle w:val="Znakapoznpodarou"/>
          <w:sz w:val="16"/>
          <w:szCs w:val="16"/>
        </w:rPr>
        <w:footnoteRef/>
      </w:r>
      <w:r w:rsidRPr="002D4EC7">
        <w:rPr>
          <w:sz w:val="16"/>
          <w:szCs w:val="16"/>
        </w:rPr>
        <w:t xml:space="preserve"> </w:t>
      </w:r>
      <w:r w:rsidRPr="002D4EC7">
        <w:rPr>
          <w:spacing w:val="-4"/>
          <w:sz w:val="16"/>
          <w:szCs w:val="16"/>
        </w:rPr>
        <w:t xml:space="preserve">Tomu odpovídá i nárůst pracujících žen ve věku 60 a více let. Ten </w:t>
      </w:r>
      <w:r>
        <w:rPr>
          <w:spacing w:val="-4"/>
          <w:sz w:val="16"/>
          <w:szCs w:val="16"/>
        </w:rPr>
        <w:t>činil</w:t>
      </w:r>
      <w:r w:rsidRPr="002D4EC7">
        <w:rPr>
          <w:spacing w:val="-4"/>
          <w:sz w:val="16"/>
          <w:szCs w:val="16"/>
        </w:rPr>
        <w:t xml:space="preserve"> dle údajů VŠPS ve 2. čtvrtletí 2025 meziročně 9,6 % (+24 tis. osob).</w:t>
      </w:r>
    </w:p>
  </w:footnote>
  <w:footnote w:id="16">
    <w:p w14:paraId="69332ADA" w14:textId="77777777" w:rsidR="004C456F" w:rsidRPr="00126939" w:rsidRDefault="004C456F" w:rsidP="00C66B0D">
      <w:pPr>
        <w:pStyle w:val="Textpoznpodarou"/>
        <w:rPr>
          <w:sz w:val="16"/>
          <w:szCs w:val="16"/>
        </w:rPr>
      </w:pPr>
      <w:r w:rsidRPr="00126939">
        <w:rPr>
          <w:rStyle w:val="Znakapoznpodarou"/>
          <w:sz w:val="16"/>
          <w:szCs w:val="16"/>
        </w:rPr>
        <w:footnoteRef/>
      </w:r>
      <w:r w:rsidRPr="00126939">
        <w:rPr>
          <w:sz w:val="16"/>
          <w:szCs w:val="16"/>
        </w:rPr>
        <w:t xml:space="preserve"> </w:t>
      </w:r>
      <w:r>
        <w:rPr>
          <w:sz w:val="16"/>
          <w:szCs w:val="16"/>
        </w:rPr>
        <w:t>Není-li uvedeno jinak, jsou dále použity</w:t>
      </w:r>
      <w:r w:rsidRPr="00126939">
        <w:rPr>
          <w:sz w:val="16"/>
          <w:szCs w:val="16"/>
        </w:rPr>
        <w:t xml:space="preserve"> sezónně očištěné údaje.</w:t>
      </w:r>
    </w:p>
  </w:footnote>
  <w:footnote w:id="17">
    <w:p w14:paraId="6AFFCA54" w14:textId="77777777" w:rsidR="004C456F" w:rsidRPr="00A82316" w:rsidRDefault="004C456F" w:rsidP="00C66B0D">
      <w:pPr>
        <w:pStyle w:val="Textpoznpodarou"/>
        <w:rPr>
          <w:color w:val="0D0D0D" w:themeColor="text1" w:themeTint="F2"/>
          <w:spacing w:val="-2"/>
          <w:sz w:val="16"/>
          <w:szCs w:val="16"/>
        </w:rPr>
      </w:pPr>
      <w:r w:rsidRPr="00A82316">
        <w:rPr>
          <w:rStyle w:val="Znakapoznpodarou"/>
          <w:color w:val="0D0D0D" w:themeColor="text1" w:themeTint="F2"/>
          <w:spacing w:val="-2"/>
          <w:sz w:val="16"/>
          <w:szCs w:val="16"/>
        </w:rPr>
        <w:footnoteRef/>
      </w:r>
      <w:r w:rsidRPr="00A82316">
        <w:rPr>
          <w:color w:val="0D0D0D" w:themeColor="text1" w:themeTint="F2"/>
          <w:spacing w:val="-2"/>
          <w:sz w:val="16"/>
          <w:szCs w:val="16"/>
        </w:rPr>
        <w:t xml:space="preserve"> Převažující </w:t>
      </w:r>
      <w:r w:rsidRPr="003F1273">
        <w:rPr>
          <w:color w:val="0D0D0D" w:themeColor="text1" w:themeTint="F2"/>
          <w:spacing w:val="-2"/>
          <w:sz w:val="16"/>
          <w:szCs w:val="16"/>
        </w:rPr>
        <w:t>negativní oč</w:t>
      </w:r>
      <w:r>
        <w:rPr>
          <w:color w:val="0D0D0D" w:themeColor="text1" w:themeTint="F2"/>
          <w:spacing w:val="-2"/>
          <w:sz w:val="16"/>
          <w:szCs w:val="16"/>
        </w:rPr>
        <w:t>ekávání zaměstnanosti vyjádřily</w:t>
      </w:r>
      <w:r w:rsidRPr="00A82316">
        <w:rPr>
          <w:color w:val="0D0D0D" w:themeColor="text1" w:themeTint="F2"/>
          <w:spacing w:val="-2"/>
          <w:sz w:val="16"/>
          <w:szCs w:val="16"/>
        </w:rPr>
        <w:t xml:space="preserve"> podniky v</w:t>
      </w:r>
      <w:r>
        <w:rPr>
          <w:color w:val="0D0D0D" w:themeColor="text1" w:themeTint="F2"/>
          <w:spacing w:val="-2"/>
          <w:sz w:val="16"/>
          <w:szCs w:val="16"/>
        </w:rPr>
        <w:t> mírně nadpoloviční části</w:t>
      </w:r>
      <w:r w:rsidRPr="00A82316">
        <w:rPr>
          <w:color w:val="0D0D0D" w:themeColor="text1" w:themeTint="F2"/>
          <w:spacing w:val="-2"/>
          <w:sz w:val="16"/>
          <w:szCs w:val="16"/>
        </w:rPr>
        <w:t xml:space="preserve"> zpracovatelských průmyslových oborů. Nejhorší vyhlídky měly hutnictví</w:t>
      </w:r>
      <w:r>
        <w:rPr>
          <w:color w:val="0D0D0D" w:themeColor="text1" w:themeTint="F2"/>
          <w:spacing w:val="-2"/>
          <w:sz w:val="16"/>
          <w:szCs w:val="16"/>
        </w:rPr>
        <w:t xml:space="preserve"> a slévárenství, </w:t>
      </w:r>
      <w:r w:rsidRPr="00A82316">
        <w:rPr>
          <w:color w:val="0D0D0D" w:themeColor="text1" w:themeTint="F2"/>
          <w:spacing w:val="-2"/>
          <w:sz w:val="16"/>
          <w:szCs w:val="16"/>
        </w:rPr>
        <w:t>elektronický</w:t>
      </w:r>
      <w:r>
        <w:rPr>
          <w:color w:val="0D0D0D" w:themeColor="text1" w:themeTint="F2"/>
          <w:spacing w:val="-2"/>
          <w:sz w:val="16"/>
          <w:szCs w:val="16"/>
        </w:rPr>
        <w:t xml:space="preserve"> a textilní průmysl a výroba stavebních materiálů, s mírným odstupem pak strojírenský, chemický a kožedělný průmysl, ale i výroba motorových vozidel. </w:t>
      </w:r>
      <w:r w:rsidRPr="00A82316">
        <w:rPr>
          <w:color w:val="0D0D0D" w:themeColor="text1" w:themeTint="F2"/>
          <w:spacing w:val="-2"/>
          <w:sz w:val="16"/>
          <w:szCs w:val="16"/>
        </w:rPr>
        <w:t xml:space="preserve">Naopak pozitivní perspektivy </w:t>
      </w:r>
      <w:r>
        <w:rPr>
          <w:color w:val="0D0D0D" w:themeColor="text1" w:themeTint="F2"/>
          <w:spacing w:val="-2"/>
          <w:sz w:val="16"/>
          <w:szCs w:val="16"/>
        </w:rPr>
        <w:t xml:space="preserve">zaměstnanosti </w:t>
      </w:r>
      <w:r w:rsidRPr="00A82316">
        <w:rPr>
          <w:color w:val="0D0D0D" w:themeColor="text1" w:themeTint="F2"/>
          <w:spacing w:val="-2"/>
          <w:sz w:val="16"/>
          <w:szCs w:val="16"/>
        </w:rPr>
        <w:t xml:space="preserve">přetrvávaly </w:t>
      </w:r>
      <w:r>
        <w:rPr>
          <w:color w:val="0D0D0D" w:themeColor="text1" w:themeTint="F2"/>
          <w:spacing w:val="-2"/>
          <w:sz w:val="16"/>
          <w:szCs w:val="16"/>
        </w:rPr>
        <w:t>především</w:t>
      </w:r>
      <w:r w:rsidRPr="00A82316">
        <w:rPr>
          <w:color w:val="0D0D0D" w:themeColor="text1" w:themeTint="F2"/>
          <w:spacing w:val="-2"/>
          <w:sz w:val="16"/>
          <w:szCs w:val="16"/>
        </w:rPr>
        <w:t xml:space="preserve"> ve výrobě kolejových dopravních prostředků, </w:t>
      </w:r>
      <w:r>
        <w:rPr>
          <w:color w:val="0D0D0D" w:themeColor="text1" w:themeTint="F2"/>
          <w:spacing w:val="-2"/>
          <w:sz w:val="16"/>
          <w:szCs w:val="16"/>
        </w:rPr>
        <w:t xml:space="preserve">opravách strojů a zařízení, v menší míře v gumárenství a plastikářství, farmacii </w:t>
      </w:r>
      <w:r>
        <w:rPr>
          <w:color w:val="0D0D0D" w:themeColor="text1" w:themeTint="F2"/>
          <w:spacing w:val="-2"/>
          <w:sz w:val="16"/>
          <w:szCs w:val="16"/>
        </w:rPr>
        <w:br/>
        <w:t xml:space="preserve">a </w:t>
      </w:r>
      <w:r w:rsidRPr="00A82316">
        <w:rPr>
          <w:color w:val="0D0D0D" w:themeColor="text1" w:themeTint="F2"/>
          <w:spacing w:val="-2"/>
          <w:sz w:val="16"/>
          <w:szCs w:val="16"/>
        </w:rPr>
        <w:t>potravinářství</w:t>
      </w:r>
      <w:r>
        <w:rPr>
          <w:color w:val="0D0D0D" w:themeColor="text1" w:themeTint="F2"/>
          <w:spacing w:val="-2"/>
          <w:sz w:val="16"/>
          <w:szCs w:val="16"/>
        </w:rPr>
        <w:t xml:space="preserve">. </w:t>
      </w:r>
      <w:r w:rsidRPr="00A82316">
        <w:rPr>
          <w:color w:val="0D0D0D" w:themeColor="text1" w:themeTint="F2"/>
          <w:spacing w:val="-2"/>
          <w:sz w:val="16"/>
          <w:szCs w:val="16"/>
        </w:rPr>
        <w:t>Ve službách převažovala negativní očekávání v</w:t>
      </w:r>
      <w:r>
        <w:rPr>
          <w:color w:val="0D0D0D" w:themeColor="text1" w:themeTint="F2"/>
          <w:spacing w:val="-2"/>
          <w:sz w:val="16"/>
          <w:szCs w:val="16"/>
        </w:rPr>
        <w:t>e třetině</w:t>
      </w:r>
      <w:r w:rsidRPr="00A82316">
        <w:rPr>
          <w:color w:val="0D0D0D" w:themeColor="text1" w:themeTint="F2"/>
          <w:spacing w:val="-2"/>
          <w:sz w:val="16"/>
          <w:szCs w:val="16"/>
        </w:rPr>
        <w:t xml:space="preserve"> dílčích odvětví. Nejvíce byla patrná ve veterinárních činnostech</w:t>
      </w:r>
      <w:r>
        <w:rPr>
          <w:color w:val="0D0D0D" w:themeColor="text1" w:themeTint="F2"/>
          <w:spacing w:val="-2"/>
          <w:sz w:val="16"/>
          <w:szCs w:val="16"/>
        </w:rPr>
        <w:t>,</w:t>
      </w:r>
      <w:r w:rsidRPr="00A82316">
        <w:rPr>
          <w:color w:val="0D0D0D" w:themeColor="text1" w:themeTint="F2"/>
          <w:spacing w:val="-2"/>
          <w:sz w:val="16"/>
          <w:szCs w:val="16"/>
        </w:rPr>
        <w:t xml:space="preserve"> </w:t>
      </w:r>
      <w:r>
        <w:rPr>
          <w:color w:val="0D0D0D" w:themeColor="text1" w:themeTint="F2"/>
          <w:spacing w:val="-2"/>
          <w:sz w:val="16"/>
          <w:szCs w:val="16"/>
        </w:rPr>
        <w:t>telekomunikacích</w:t>
      </w:r>
      <w:r w:rsidRPr="00A82316">
        <w:rPr>
          <w:color w:val="0D0D0D" w:themeColor="text1" w:themeTint="F2"/>
          <w:spacing w:val="-2"/>
          <w:sz w:val="16"/>
          <w:szCs w:val="16"/>
        </w:rPr>
        <w:t>, vydavatels</w:t>
      </w:r>
      <w:r>
        <w:rPr>
          <w:color w:val="0D0D0D" w:themeColor="text1" w:themeTint="F2"/>
          <w:spacing w:val="-2"/>
          <w:sz w:val="16"/>
          <w:szCs w:val="16"/>
        </w:rPr>
        <w:t>kých činnostech</w:t>
      </w:r>
      <w:r w:rsidRPr="00A82316">
        <w:rPr>
          <w:color w:val="0D0D0D" w:themeColor="text1" w:themeTint="F2"/>
          <w:spacing w:val="-2"/>
          <w:sz w:val="16"/>
          <w:szCs w:val="16"/>
        </w:rPr>
        <w:t xml:space="preserve">, </w:t>
      </w:r>
      <w:r>
        <w:rPr>
          <w:color w:val="0D0D0D" w:themeColor="text1" w:themeTint="F2"/>
          <w:spacing w:val="-2"/>
          <w:sz w:val="16"/>
          <w:szCs w:val="16"/>
        </w:rPr>
        <w:t xml:space="preserve">peněžnictví, pozemní dopravě a v menší míře pak v reklamě, právních a účetnických činnostech, pojišťovnictví a také v malých odvětvích filmového a hudebního průmyslu a ve vodní dopravě. </w:t>
      </w:r>
      <w:r w:rsidRPr="00A82316">
        <w:rPr>
          <w:color w:val="0D0D0D" w:themeColor="text1" w:themeTint="F2"/>
          <w:spacing w:val="-2"/>
          <w:sz w:val="16"/>
          <w:szCs w:val="16"/>
        </w:rPr>
        <w:t xml:space="preserve">Naopak optimismus převládal </w:t>
      </w:r>
      <w:r>
        <w:rPr>
          <w:color w:val="0D0D0D" w:themeColor="text1" w:themeTint="F2"/>
          <w:spacing w:val="-2"/>
          <w:sz w:val="16"/>
          <w:szCs w:val="16"/>
        </w:rPr>
        <w:t>v ubytování, informačních činnostech,</w:t>
      </w:r>
      <w:r w:rsidRPr="00A82316">
        <w:rPr>
          <w:color w:val="0D0D0D" w:themeColor="text1" w:themeTint="F2"/>
          <w:spacing w:val="-2"/>
          <w:sz w:val="16"/>
          <w:szCs w:val="16"/>
        </w:rPr>
        <w:t xml:space="preserve"> vědě a výzkumu,</w:t>
      </w:r>
      <w:r w:rsidRPr="008B741B">
        <w:rPr>
          <w:color w:val="0D0D0D" w:themeColor="text1" w:themeTint="F2"/>
          <w:spacing w:val="-2"/>
          <w:sz w:val="16"/>
          <w:szCs w:val="16"/>
        </w:rPr>
        <w:t xml:space="preserve"> </w:t>
      </w:r>
      <w:r>
        <w:rPr>
          <w:color w:val="0D0D0D" w:themeColor="text1" w:themeTint="F2"/>
          <w:spacing w:val="-2"/>
          <w:sz w:val="16"/>
          <w:szCs w:val="16"/>
        </w:rPr>
        <w:t>programování, skladování a vedlejších činnostech v dopravě, b</w:t>
      </w:r>
      <w:r w:rsidRPr="008B741B">
        <w:rPr>
          <w:color w:val="0D0D0D" w:themeColor="text1" w:themeTint="F2"/>
          <w:spacing w:val="-2"/>
          <w:sz w:val="16"/>
          <w:szCs w:val="16"/>
        </w:rPr>
        <w:t>ezpečnostní</w:t>
      </w:r>
      <w:r>
        <w:rPr>
          <w:color w:val="0D0D0D" w:themeColor="text1" w:themeTint="F2"/>
          <w:spacing w:val="-2"/>
          <w:sz w:val="16"/>
          <w:szCs w:val="16"/>
        </w:rPr>
        <w:t>ch</w:t>
      </w:r>
      <w:r w:rsidRPr="008B741B">
        <w:rPr>
          <w:color w:val="0D0D0D" w:themeColor="text1" w:themeTint="F2"/>
          <w:spacing w:val="-2"/>
          <w:sz w:val="16"/>
          <w:szCs w:val="16"/>
        </w:rPr>
        <w:t xml:space="preserve"> </w:t>
      </w:r>
      <w:r>
        <w:rPr>
          <w:color w:val="0D0D0D" w:themeColor="text1" w:themeTint="F2"/>
          <w:spacing w:val="-2"/>
          <w:sz w:val="16"/>
          <w:szCs w:val="16"/>
        </w:rPr>
        <w:br/>
      </w:r>
      <w:r w:rsidRPr="008B741B">
        <w:rPr>
          <w:color w:val="0D0D0D" w:themeColor="text1" w:themeTint="F2"/>
          <w:spacing w:val="-2"/>
          <w:sz w:val="16"/>
          <w:szCs w:val="16"/>
        </w:rPr>
        <w:t>a pátrací</w:t>
      </w:r>
      <w:r>
        <w:rPr>
          <w:color w:val="0D0D0D" w:themeColor="text1" w:themeTint="F2"/>
          <w:spacing w:val="-2"/>
          <w:sz w:val="16"/>
          <w:szCs w:val="16"/>
        </w:rPr>
        <w:t>ch</w:t>
      </w:r>
      <w:r w:rsidRPr="008B741B">
        <w:rPr>
          <w:color w:val="0D0D0D" w:themeColor="text1" w:themeTint="F2"/>
          <w:spacing w:val="-2"/>
          <w:sz w:val="16"/>
          <w:szCs w:val="16"/>
        </w:rPr>
        <w:t xml:space="preserve"> činnost</w:t>
      </w:r>
      <w:r>
        <w:rPr>
          <w:color w:val="0D0D0D" w:themeColor="text1" w:themeTint="F2"/>
          <w:spacing w:val="-2"/>
          <w:sz w:val="16"/>
          <w:szCs w:val="16"/>
        </w:rPr>
        <w:t>ech a také v č</w:t>
      </w:r>
      <w:r w:rsidRPr="008B741B">
        <w:rPr>
          <w:color w:val="0D0D0D" w:themeColor="text1" w:themeTint="F2"/>
          <w:spacing w:val="-2"/>
          <w:sz w:val="16"/>
          <w:szCs w:val="16"/>
        </w:rPr>
        <w:t>innost</w:t>
      </w:r>
      <w:r>
        <w:rPr>
          <w:color w:val="0D0D0D" w:themeColor="text1" w:themeTint="F2"/>
          <w:spacing w:val="-2"/>
          <w:sz w:val="16"/>
          <w:szCs w:val="16"/>
        </w:rPr>
        <w:t>ech</w:t>
      </w:r>
      <w:r w:rsidRPr="008B741B">
        <w:rPr>
          <w:color w:val="0D0D0D" w:themeColor="text1" w:themeTint="F2"/>
          <w:spacing w:val="-2"/>
          <w:sz w:val="16"/>
          <w:szCs w:val="16"/>
        </w:rPr>
        <w:t xml:space="preserve"> heren, kasin a sázkových kanceláří</w:t>
      </w:r>
      <w:r>
        <w:rPr>
          <w:color w:val="0D0D0D" w:themeColor="text1" w:themeTint="F2"/>
          <w:spacing w:val="-2"/>
          <w:sz w:val="16"/>
          <w:szCs w:val="16"/>
        </w:rPr>
        <w:t>.</w:t>
      </w:r>
    </w:p>
  </w:footnote>
  <w:footnote w:id="18">
    <w:p w14:paraId="7201F040" w14:textId="77777777" w:rsidR="004C456F" w:rsidRPr="00A4613D" w:rsidRDefault="004C456F" w:rsidP="00C66B0D">
      <w:pPr>
        <w:pStyle w:val="Textpoznpodarou"/>
        <w:rPr>
          <w:sz w:val="16"/>
          <w:szCs w:val="16"/>
        </w:rPr>
      </w:pPr>
      <w:r w:rsidRPr="00A82316">
        <w:rPr>
          <w:rStyle w:val="Znakapoznpodarou"/>
          <w:color w:val="0D0D0D" w:themeColor="text1" w:themeTint="F2"/>
          <w:sz w:val="16"/>
          <w:szCs w:val="16"/>
        </w:rPr>
        <w:footnoteRef/>
      </w:r>
      <w:r w:rsidRPr="00A82316">
        <w:rPr>
          <w:color w:val="0D0D0D" w:themeColor="text1" w:themeTint="F2"/>
          <w:sz w:val="16"/>
          <w:szCs w:val="16"/>
        </w:rPr>
        <w:t xml:space="preserve"> Podniky mohly uvést více bariér současně.</w:t>
      </w:r>
    </w:p>
  </w:footnote>
  <w:footnote w:id="19">
    <w:p w14:paraId="4F6AAB47" w14:textId="77777777" w:rsidR="004C456F" w:rsidRPr="004E68B1" w:rsidRDefault="004C456F" w:rsidP="00C66B0D">
      <w:pPr>
        <w:pStyle w:val="Textpoznpodarou"/>
        <w:rPr>
          <w:spacing w:val="-3"/>
          <w:sz w:val="16"/>
          <w:szCs w:val="16"/>
        </w:rPr>
      </w:pPr>
      <w:r w:rsidRPr="004E68B1">
        <w:rPr>
          <w:rStyle w:val="Znakapoznpodarou"/>
          <w:spacing w:val="-3"/>
          <w:sz w:val="16"/>
          <w:szCs w:val="16"/>
        </w:rPr>
        <w:footnoteRef/>
      </w:r>
      <w:r>
        <w:rPr>
          <w:spacing w:val="-3"/>
          <w:sz w:val="16"/>
          <w:szCs w:val="16"/>
        </w:rPr>
        <w:t xml:space="preserve"> Není-li uvedeno jinak, vycházejí v</w:t>
      </w:r>
      <w:r w:rsidRPr="004E68B1">
        <w:rPr>
          <w:spacing w:val="-3"/>
          <w:sz w:val="16"/>
          <w:szCs w:val="16"/>
        </w:rPr>
        <w:t>šechny údaje o </w:t>
      </w:r>
      <w:r>
        <w:rPr>
          <w:spacing w:val="-3"/>
          <w:sz w:val="16"/>
          <w:szCs w:val="16"/>
        </w:rPr>
        <w:t xml:space="preserve">mírách </w:t>
      </w:r>
      <w:r w:rsidRPr="004E68B1">
        <w:rPr>
          <w:spacing w:val="-3"/>
          <w:sz w:val="16"/>
          <w:szCs w:val="16"/>
        </w:rPr>
        <w:t>nezaměstnanosti z</w:t>
      </w:r>
      <w:r>
        <w:rPr>
          <w:spacing w:val="-3"/>
          <w:sz w:val="16"/>
          <w:szCs w:val="16"/>
        </w:rPr>
        <w:t> VŠPS (dle metodiky ILO) a jsou očištěny o sezónní vlivy.</w:t>
      </w:r>
    </w:p>
  </w:footnote>
  <w:footnote w:id="20">
    <w:p w14:paraId="220F23EF" w14:textId="51D16A69" w:rsidR="004C456F" w:rsidRPr="00C66B0D" w:rsidRDefault="004C456F" w:rsidP="00C66B0D">
      <w:pPr>
        <w:pStyle w:val="paragraph"/>
        <w:spacing w:before="0" w:beforeAutospacing="0" w:after="0" w:afterAutospacing="0"/>
        <w:textAlignment w:val="baseline"/>
        <w:rPr>
          <w:rFonts w:ascii="Arial" w:eastAsiaTheme="majorEastAsia" w:hAnsi="Arial" w:cs="Arial"/>
          <w:sz w:val="16"/>
          <w:szCs w:val="16"/>
        </w:rPr>
      </w:pPr>
      <w:r w:rsidRPr="00D5643C">
        <w:rPr>
          <w:rStyle w:val="Znakapoznpodarou"/>
          <w:rFonts w:ascii="Arial" w:hAnsi="Arial" w:cs="Arial"/>
          <w:color w:val="0D0D0D" w:themeColor="text1" w:themeTint="F2"/>
          <w:sz w:val="16"/>
          <w:szCs w:val="16"/>
        </w:rPr>
        <w:footnoteRef/>
      </w:r>
      <w:r w:rsidRPr="00D5643C">
        <w:rPr>
          <w:rFonts w:ascii="Arial" w:hAnsi="Arial" w:cs="Arial"/>
          <w:color w:val="0D0D0D" w:themeColor="text1" w:themeTint="F2"/>
          <w:sz w:val="16"/>
          <w:szCs w:val="16"/>
        </w:rPr>
        <w:t xml:space="preserve"> </w:t>
      </w:r>
      <w:r w:rsidRPr="00D5643C">
        <w:rPr>
          <w:rFonts w:ascii="Arial" w:eastAsia="Calibri" w:hAnsi="Arial" w:cs="Arial"/>
          <w:color w:val="0D0D0D" w:themeColor="text1" w:themeTint="F2"/>
          <w:spacing w:val="-3"/>
          <w:sz w:val="16"/>
          <w:szCs w:val="16"/>
        </w:rPr>
        <w:t xml:space="preserve">Nízká </w:t>
      </w:r>
      <w:r w:rsidRPr="00D5643C">
        <w:rPr>
          <w:rFonts w:ascii="Arial" w:eastAsia="Calibri" w:hAnsi="Arial" w:cs="Arial"/>
          <w:color w:val="0D0D0D" w:themeColor="text1" w:themeTint="F2"/>
          <w:spacing w:val="-2"/>
          <w:sz w:val="16"/>
          <w:szCs w:val="16"/>
        </w:rPr>
        <w:t xml:space="preserve">nezaměstnanost přetrvává rovněž v EU – </w:t>
      </w:r>
      <w:r w:rsidRPr="00D5643C">
        <w:rPr>
          <w:rStyle w:val="normaltextrun"/>
          <w:rFonts w:ascii="Arial" w:eastAsiaTheme="majorEastAsia" w:hAnsi="Arial" w:cs="Arial"/>
          <w:sz w:val="16"/>
          <w:szCs w:val="16"/>
        </w:rPr>
        <w:t>letos v červenci činila sezónně očištěná míra nezaměstnanosti (15</w:t>
      </w:r>
      <w:r>
        <w:rPr>
          <w:rStyle w:val="normaltextrun"/>
          <w:rFonts w:ascii="Arial" w:eastAsiaTheme="majorEastAsia" w:hAnsi="Arial" w:cs="Arial"/>
          <w:sz w:val="16"/>
          <w:szCs w:val="16"/>
        </w:rPr>
        <w:t>–</w:t>
      </w:r>
      <w:r w:rsidRPr="00D5643C">
        <w:rPr>
          <w:rStyle w:val="normaltextrun"/>
          <w:rFonts w:ascii="Arial" w:eastAsiaTheme="majorEastAsia" w:hAnsi="Arial" w:cs="Arial"/>
          <w:sz w:val="16"/>
          <w:szCs w:val="16"/>
        </w:rPr>
        <w:t xml:space="preserve">74letých) v EU </w:t>
      </w:r>
      <w:r>
        <w:rPr>
          <w:rStyle w:val="normaltextrun"/>
          <w:rFonts w:ascii="Arial" w:eastAsiaTheme="majorEastAsia" w:hAnsi="Arial" w:cs="Arial"/>
          <w:sz w:val="16"/>
          <w:szCs w:val="16"/>
        </w:rPr>
        <w:br/>
      </w:r>
      <w:r w:rsidRPr="00D5643C">
        <w:rPr>
          <w:rStyle w:val="normaltextrun"/>
          <w:rFonts w:ascii="Arial" w:eastAsiaTheme="majorEastAsia" w:hAnsi="Arial" w:cs="Arial"/>
          <w:sz w:val="16"/>
          <w:szCs w:val="16"/>
        </w:rPr>
        <w:t>5,9 % a v eurozóně 6,2 %. Meziročně i meziměsíčně nastal v obou případech velmi mírný pokles (</w:t>
      </w:r>
      <w:r>
        <w:rPr>
          <w:rStyle w:val="normaltextrun"/>
          <w:rFonts w:ascii="Arial" w:eastAsiaTheme="majorEastAsia" w:hAnsi="Arial" w:cs="Arial"/>
          <w:sz w:val="16"/>
          <w:szCs w:val="16"/>
        </w:rPr>
        <w:t>−</w:t>
      </w:r>
      <w:r w:rsidRPr="00D5643C">
        <w:rPr>
          <w:rStyle w:val="normaltextrun"/>
          <w:rFonts w:ascii="Arial" w:eastAsiaTheme="majorEastAsia" w:hAnsi="Arial" w:cs="Arial"/>
          <w:sz w:val="16"/>
          <w:szCs w:val="16"/>
        </w:rPr>
        <w:t>0,1 p. b.), jenž byl nepatrně znatelnější u žen, což souvisí s lepšími výsledky služeb oproti průmyslu. Celková nezaměstnanost v EU je v dostupné řadě (od roku 2000) aktuálně nejnižší a proti počátku roku 2008 je příznivější zhruba o 1 p. b. (v EU i eurozóně). I přes mírný nárůst byla tuzemská nezaměstnanost (2,8 %) stále druhá nejnižší v EU (po Maltě s 2,6 %). Velmi dobrou pozici mělo i Slovinsko (2,9 %), Polsko (3,1 %) a Bulharsko (3,7 %), Nizozemsko (3,8 %) a také Německo (3,7 %), kde ovšem aktuální nezaměstnanost patřila k nejvyšším po roce 2016 (to zde potvrzují i údaje ze spolkového úřadu práce – poprvé za poslední dekádu přes 3 mil. registrovaných uchazečů o práci). Na opačném pólu se i přes meziroční zlepšení stále nacházelo zejména Španělsko (10,4 %), dále Finsko (9,9 %, kde situaci výrazně zhoršují muži: 11,1 %), Švédsko (8,9 %), Řecko (8,0 %), Francie (7,6 %) a všechny pobaltské státy (shodně okolo 7 %).  Meziročně se snížila nezaměstnanost v jedenácti státech Unie – nejvíce v Řecku (o 1,8 p. b.), Slovinsku (1,2 p. b.) a Španělsku (1,1 p. b.). Řecko tak letos poprvé od jara 2011 vypadlo z tria členských států EU postižených nejvyšší obecnou mírou nezaměstnanosti. Nárůst nezaměstnanosti se vyskytl hlavně v severských státech –</w:t>
      </w:r>
      <w:r>
        <w:rPr>
          <w:rStyle w:val="normaltextrun"/>
          <w:rFonts w:ascii="Arial" w:eastAsiaTheme="majorEastAsia" w:hAnsi="Arial" w:cs="Arial"/>
          <w:sz w:val="16"/>
          <w:szCs w:val="16"/>
        </w:rPr>
        <w:t xml:space="preserve"> </w:t>
      </w:r>
      <w:r w:rsidRPr="00D5643C">
        <w:rPr>
          <w:rStyle w:val="normaltextrun"/>
          <w:rFonts w:ascii="Arial" w:eastAsiaTheme="majorEastAsia" w:hAnsi="Arial" w:cs="Arial"/>
          <w:sz w:val="16"/>
          <w:szCs w:val="16"/>
        </w:rPr>
        <w:t>Finsku (+1,4 p. b.) a Dánsku (+0,7), jinde byl s</w:t>
      </w:r>
      <w:r w:rsidR="00C66B0D">
        <w:rPr>
          <w:rStyle w:val="normaltextrun"/>
          <w:rFonts w:ascii="Arial" w:eastAsiaTheme="majorEastAsia" w:hAnsi="Arial" w:cs="Arial"/>
          <w:sz w:val="16"/>
          <w:szCs w:val="16"/>
        </w:rPr>
        <w:t xml:space="preserve">píše drobný. </w:t>
      </w:r>
      <w:r w:rsidRPr="00D5643C">
        <w:rPr>
          <w:rFonts w:ascii="Arial" w:eastAsia="Calibri" w:hAnsi="Arial" w:cs="Arial"/>
          <w:color w:val="0D0D0D" w:themeColor="text1" w:themeTint="F2"/>
          <w:spacing w:val="-3"/>
          <w:sz w:val="16"/>
          <w:szCs w:val="16"/>
        </w:rPr>
        <w:t>Příznivé postavení má Česko i v nezaměstnanosti mladých, neboť dlouhodobě patří do třetiny zemí Unie s nejnižší nezaměstnaností osob do 25 let. Ta letos v červenci dosahovala v EU 14,4 %, m</w:t>
      </w:r>
      <w:r w:rsidRPr="00D5643C">
        <w:rPr>
          <w:rStyle w:val="normaltextrun"/>
          <w:rFonts w:ascii="Arial" w:eastAsiaTheme="majorEastAsia" w:hAnsi="Arial" w:cs="Arial"/>
          <w:sz w:val="16"/>
          <w:szCs w:val="16"/>
        </w:rPr>
        <w:t xml:space="preserve">eziročně se snížila o 0,9 p. b. </w:t>
      </w:r>
      <w:r w:rsidRPr="00D5643C">
        <w:rPr>
          <w:rFonts w:ascii="Arial" w:eastAsia="Calibri" w:hAnsi="Arial" w:cs="Arial"/>
          <w:color w:val="0D0D0D" w:themeColor="text1" w:themeTint="F2"/>
          <w:spacing w:val="-3"/>
          <w:sz w:val="16"/>
          <w:szCs w:val="16"/>
        </w:rPr>
        <w:t>Nejlepší pozici drželo</w:t>
      </w:r>
      <w:r>
        <w:rPr>
          <w:rFonts w:ascii="Arial" w:eastAsia="Calibri" w:hAnsi="Arial" w:cs="Arial"/>
          <w:color w:val="0D0D0D" w:themeColor="text1" w:themeTint="F2"/>
          <w:spacing w:val="-3"/>
          <w:sz w:val="16"/>
          <w:szCs w:val="16"/>
        </w:rPr>
        <w:t xml:space="preserve"> Německo (6,3 %), n</w:t>
      </w:r>
      <w:r w:rsidRPr="00D5643C">
        <w:rPr>
          <w:rFonts w:ascii="Arial" w:eastAsia="Calibri" w:hAnsi="Arial" w:cs="Arial"/>
          <w:color w:val="0D0D0D" w:themeColor="text1" w:themeTint="F2"/>
          <w:spacing w:val="-3"/>
          <w:sz w:val="16"/>
          <w:szCs w:val="16"/>
        </w:rPr>
        <w:t>aopak v</w:t>
      </w:r>
      <w:r w:rsidRPr="00D5643C">
        <w:rPr>
          <w:rStyle w:val="normaltextrun"/>
          <w:rFonts w:ascii="Arial" w:eastAsiaTheme="majorEastAsia" w:hAnsi="Arial" w:cs="Arial"/>
          <w:sz w:val="16"/>
          <w:szCs w:val="16"/>
        </w:rPr>
        <w:t xml:space="preserve">ysoká nezaměstnanost mladých (přes 20 %) byla v šesti členských státech – Estonsku, Švédsku, Finsku, Rumunsku, Španělsku </w:t>
      </w:r>
      <w:r>
        <w:rPr>
          <w:rStyle w:val="normaltextrun"/>
          <w:rFonts w:ascii="Arial" w:eastAsiaTheme="majorEastAsia" w:hAnsi="Arial" w:cs="Arial"/>
          <w:sz w:val="16"/>
          <w:szCs w:val="16"/>
        </w:rPr>
        <w:br/>
      </w:r>
      <w:r w:rsidRPr="00D5643C">
        <w:rPr>
          <w:rStyle w:val="normaltextrun"/>
          <w:rFonts w:ascii="Arial" w:eastAsiaTheme="majorEastAsia" w:hAnsi="Arial" w:cs="Arial"/>
          <w:sz w:val="16"/>
          <w:szCs w:val="16"/>
        </w:rPr>
        <w:t>a Lucembursku). Meziročně se zhoršila pozice mladých na trhu práce v necelé třetině států EU – nejvíce ve Finsku.</w:t>
      </w:r>
    </w:p>
  </w:footnote>
  <w:footnote w:id="21">
    <w:p w14:paraId="39E25E84" w14:textId="77777777" w:rsidR="004C456F" w:rsidRPr="004A5CB3" w:rsidRDefault="004C456F" w:rsidP="00C66B0D">
      <w:pPr>
        <w:pStyle w:val="Textpoznpodarou"/>
        <w:rPr>
          <w:sz w:val="16"/>
          <w:szCs w:val="16"/>
        </w:rPr>
      </w:pPr>
      <w:r w:rsidRPr="004A5CB3">
        <w:rPr>
          <w:rStyle w:val="Znakapoznpodarou"/>
          <w:sz w:val="16"/>
          <w:szCs w:val="16"/>
        </w:rPr>
        <w:footnoteRef/>
      </w:r>
      <w:r>
        <w:rPr>
          <w:sz w:val="16"/>
          <w:szCs w:val="16"/>
        </w:rPr>
        <w:t xml:space="preserve"> Pouze pětina z tohoto počtu byla ovšem schop</w:t>
      </w:r>
      <w:r w:rsidRPr="004A5CB3">
        <w:rPr>
          <w:sz w:val="16"/>
          <w:szCs w:val="16"/>
        </w:rPr>
        <w:t>n</w:t>
      </w:r>
      <w:r>
        <w:rPr>
          <w:sz w:val="16"/>
          <w:szCs w:val="16"/>
        </w:rPr>
        <w:t>a</w:t>
      </w:r>
      <w:r w:rsidRPr="004A5CB3">
        <w:rPr>
          <w:sz w:val="16"/>
          <w:szCs w:val="16"/>
        </w:rPr>
        <w:t xml:space="preserve"> </w:t>
      </w:r>
      <w:r>
        <w:rPr>
          <w:sz w:val="16"/>
          <w:szCs w:val="16"/>
        </w:rPr>
        <w:t xml:space="preserve">nastoupit </w:t>
      </w:r>
      <w:r w:rsidRPr="004A5CB3">
        <w:rPr>
          <w:sz w:val="16"/>
          <w:szCs w:val="16"/>
        </w:rPr>
        <w:t>bezprostředně do práce</w:t>
      </w:r>
      <w:r>
        <w:rPr>
          <w:sz w:val="16"/>
          <w:szCs w:val="16"/>
        </w:rPr>
        <w:t>.</w:t>
      </w:r>
      <w:r w:rsidRPr="004A5CB3">
        <w:rPr>
          <w:sz w:val="16"/>
          <w:szCs w:val="16"/>
        </w:rPr>
        <w:t xml:space="preserve"> Významnou část pracovních rezerv totiž tvoří studenti a ženy na rodičovské dovolené.</w:t>
      </w:r>
    </w:p>
  </w:footnote>
  <w:footnote w:id="22">
    <w:p w14:paraId="6649AEF8" w14:textId="77777777" w:rsidR="00C66B0D" w:rsidRPr="00EA122A" w:rsidRDefault="00C66B0D" w:rsidP="00C66B0D">
      <w:pPr>
        <w:pStyle w:val="Textpoznpodarou"/>
        <w:rPr>
          <w:sz w:val="16"/>
          <w:szCs w:val="16"/>
        </w:rPr>
      </w:pPr>
      <w:r w:rsidRPr="00EA122A">
        <w:rPr>
          <w:rStyle w:val="Znakapoznpodarou"/>
          <w:sz w:val="16"/>
          <w:szCs w:val="16"/>
        </w:rPr>
        <w:footnoteRef/>
      </w:r>
      <w:r w:rsidRPr="00EA122A">
        <w:rPr>
          <w:sz w:val="16"/>
          <w:szCs w:val="16"/>
        </w:rPr>
        <w:t xml:space="preserve"> </w:t>
      </w:r>
      <w:r w:rsidRPr="00EA122A">
        <w:rPr>
          <w:rFonts w:cs="Arial"/>
          <w:sz w:val="16"/>
          <w:szCs w:val="16"/>
        </w:rPr>
        <w:t xml:space="preserve">Nynější nárůst registrovaných uchazečů o práci může souviset i s vyšší aktivitou ÚP práce v oblasti poradenství a rekvalifikací a </w:t>
      </w:r>
      <w:r>
        <w:rPr>
          <w:rFonts w:cs="Arial"/>
          <w:sz w:val="16"/>
          <w:szCs w:val="16"/>
        </w:rPr>
        <w:t xml:space="preserve">také </w:t>
      </w:r>
      <w:r w:rsidRPr="000B5026">
        <w:rPr>
          <w:rFonts w:cs="Arial"/>
          <w:spacing w:val="-2"/>
          <w:sz w:val="16"/>
          <w:szCs w:val="16"/>
        </w:rPr>
        <w:t xml:space="preserve">s flexibilnější možností kontaktu ÚP (digitálně na dálku). Nelze vyloučit, že se může projevovat větší ochota i odvaha lidí měnit nevyhovující </w:t>
      </w:r>
      <w:r w:rsidRPr="00EA122A">
        <w:rPr>
          <w:rFonts w:cs="Arial"/>
          <w:sz w:val="16"/>
          <w:szCs w:val="16"/>
        </w:rPr>
        <w:t>pracovní místa (např. s motivací</w:t>
      </w:r>
      <w:r>
        <w:rPr>
          <w:rFonts w:cs="Arial"/>
          <w:sz w:val="16"/>
          <w:szCs w:val="16"/>
        </w:rPr>
        <w:t xml:space="preserve"> k vyššímu výdělku i očekávaným navýšením podpory státu v případě krátkodobé nezaměstnanosti).</w:t>
      </w:r>
    </w:p>
  </w:footnote>
  <w:footnote w:id="23">
    <w:p w14:paraId="33CA4087" w14:textId="77777777" w:rsidR="00C66B0D" w:rsidRPr="000B5026" w:rsidRDefault="00C66B0D" w:rsidP="00C66B0D">
      <w:pPr>
        <w:pStyle w:val="Textpoznpodarou"/>
        <w:rPr>
          <w:sz w:val="16"/>
          <w:szCs w:val="16"/>
        </w:rPr>
      </w:pPr>
      <w:r w:rsidRPr="000B5026">
        <w:rPr>
          <w:rStyle w:val="Znakapoznpodarou"/>
          <w:sz w:val="16"/>
          <w:szCs w:val="16"/>
        </w:rPr>
        <w:footnoteRef/>
      </w:r>
      <w:r w:rsidRPr="000B5026">
        <w:rPr>
          <w:sz w:val="16"/>
          <w:szCs w:val="16"/>
        </w:rPr>
        <w:t xml:space="preserve"> </w:t>
      </w:r>
      <w:r w:rsidRPr="000B5026">
        <w:rPr>
          <w:rFonts w:cs="Arial"/>
          <w:sz w:val="16"/>
          <w:szCs w:val="16"/>
        </w:rPr>
        <w:t>Nejvyšší podíl nezaměstnaných (k obyvatelstvu ve věku 15-64 let) měli aktuálně muži v okrese Karviná (9,7 %) a ženy na Mostecku (11,0 %). Celková nezaměstnanost vyšší než 6 % se celkem vyskytovala v deseti okresech (náležících do krajů Moravskoslezského, Ústeckého, Karlovarské</w:t>
      </w:r>
      <w:r>
        <w:rPr>
          <w:rFonts w:cs="Arial"/>
          <w:sz w:val="16"/>
          <w:szCs w:val="16"/>
        </w:rPr>
        <w:t>ho</w:t>
      </w:r>
      <w:r w:rsidRPr="000B5026">
        <w:rPr>
          <w:rFonts w:cs="Arial"/>
          <w:sz w:val="16"/>
          <w:szCs w:val="16"/>
        </w:rPr>
        <w:t xml:space="preserve"> a Jihomoravského), naopak pod 3 % byla v bezprostředním zázemí Prahy a okresech Rychnov nad Kněžnou (blízkost automobilového průmyslu) a Pelhřimov (vyšší nabídka sezónních prací). Meziročně vzrostla nezaměstnanost ve všech okresech ČR – nejvíce na Českolipsku (z 3,7 % na 5,4 %), Sokolovsku (z 5,4 % na 7,1 %) a Ostravsku (z 5,8 % na 7,1 %).</w:t>
      </w:r>
    </w:p>
  </w:footnote>
  <w:footnote w:id="24">
    <w:p w14:paraId="407ECB68" w14:textId="77777777" w:rsidR="00C66B0D" w:rsidRPr="00A657A4" w:rsidRDefault="00C66B0D" w:rsidP="006712EC">
      <w:pPr>
        <w:pStyle w:val="Textpoznpodarou"/>
        <w:rPr>
          <w:rFonts w:cs="Arial"/>
          <w:sz w:val="16"/>
          <w:szCs w:val="16"/>
        </w:rPr>
      </w:pPr>
      <w:r w:rsidRPr="00723CD6">
        <w:rPr>
          <w:rStyle w:val="Znakapoznpodarou"/>
          <w:sz w:val="16"/>
          <w:szCs w:val="16"/>
        </w:rPr>
        <w:footnoteRef/>
      </w:r>
      <w:r w:rsidRPr="00723CD6">
        <w:rPr>
          <w:sz w:val="16"/>
          <w:szCs w:val="16"/>
        </w:rPr>
        <w:t xml:space="preserve"> </w:t>
      </w:r>
      <w:r w:rsidRPr="00723CD6">
        <w:rPr>
          <w:rStyle w:val="eop"/>
          <w:rFonts w:cs="Arial"/>
          <w:sz w:val="16"/>
          <w:szCs w:val="16"/>
        </w:rPr>
        <w:t>Dle experimentální statistiky ČSÚ (šetření u podniků p</w:t>
      </w:r>
      <w:r>
        <w:rPr>
          <w:rStyle w:val="eop"/>
          <w:rFonts w:cs="Arial"/>
          <w:sz w:val="16"/>
          <w:szCs w:val="16"/>
        </w:rPr>
        <w:t>rováděná od roku 2020) byla ve 2</w:t>
      </w:r>
      <w:r w:rsidRPr="00723CD6">
        <w:rPr>
          <w:rStyle w:val="eop"/>
          <w:rFonts w:cs="Arial"/>
          <w:sz w:val="16"/>
          <w:szCs w:val="16"/>
        </w:rPr>
        <w:t xml:space="preserve"> čtvrtletí 2025 nabídka t</w:t>
      </w:r>
      <w:r>
        <w:rPr>
          <w:rStyle w:val="eop"/>
          <w:rFonts w:cs="Arial"/>
          <w:sz w:val="16"/>
          <w:szCs w:val="16"/>
        </w:rPr>
        <w:t>uzemských firem odhadnuta na 105</w:t>
      </w:r>
      <w:r w:rsidRPr="00723CD6">
        <w:rPr>
          <w:rStyle w:val="eop"/>
          <w:rFonts w:cs="Arial"/>
          <w:sz w:val="16"/>
          <w:szCs w:val="16"/>
        </w:rPr>
        <w:t xml:space="preserve"> tis. volných míst (jedná se jen o místa v pracovním poměru, nejde o přechodná zaměstnání, např. různé typy dohod). Počet míst se meziročně </w:t>
      </w:r>
      <w:r>
        <w:rPr>
          <w:rStyle w:val="eop"/>
          <w:rFonts w:cs="Arial"/>
          <w:sz w:val="16"/>
          <w:szCs w:val="16"/>
        </w:rPr>
        <w:t>mírně snížil</w:t>
      </w:r>
      <w:r w:rsidRPr="00723CD6">
        <w:rPr>
          <w:rStyle w:val="eop"/>
          <w:rFonts w:cs="Arial"/>
          <w:sz w:val="16"/>
          <w:szCs w:val="16"/>
        </w:rPr>
        <w:t xml:space="preserve"> o </w:t>
      </w:r>
      <w:r>
        <w:rPr>
          <w:rStyle w:val="eop"/>
          <w:rFonts w:cs="Arial"/>
          <w:sz w:val="16"/>
          <w:szCs w:val="16"/>
        </w:rPr>
        <w:t>8</w:t>
      </w:r>
      <w:r w:rsidRPr="00723CD6">
        <w:rPr>
          <w:rStyle w:val="eop"/>
          <w:rFonts w:cs="Arial"/>
          <w:sz w:val="16"/>
          <w:szCs w:val="16"/>
        </w:rPr>
        <w:t xml:space="preserve"> % (</w:t>
      </w:r>
      <w:r>
        <w:rPr>
          <w:rStyle w:val="eop"/>
          <w:rFonts w:cs="Arial"/>
          <w:sz w:val="16"/>
          <w:szCs w:val="16"/>
        </w:rPr>
        <w:t>menším tempem klesal i letos na počátku roku</w:t>
      </w:r>
      <w:r w:rsidRPr="00723CD6">
        <w:rPr>
          <w:rStyle w:val="eop"/>
          <w:rFonts w:cs="Arial"/>
          <w:sz w:val="16"/>
          <w:szCs w:val="16"/>
        </w:rPr>
        <w:t xml:space="preserve">). </w:t>
      </w:r>
      <w:r>
        <w:rPr>
          <w:rStyle w:val="eop"/>
          <w:rFonts w:cs="Arial"/>
          <w:sz w:val="16"/>
          <w:szCs w:val="16"/>
        </w:rPr>
        <w:t>Na současném poklesu nabídky se podílely hlavně primární sektor ekonomiky, stavebnictví, doprava skladování, u</w:t>
      </w:r>
      <w:r w:rsidRPr="008E0B90">
        <w:rPr>
          <w:rStyle w:val="eop"/>
          <w:rFonts w:cs="Arial"/>
          <w:sz w:val="16"/>
          <w:szCs w:val="16"/>
        </w:rPr>
        <w:t>bytování, stravování a pohostinství</w:t>
      </w:r>
      <w:r>
        <w:rPr>
          <w:rStyle w:val="eop"/>
          <w:rFonts w:cs="Arial"/>
          <w:sz w:val="16"/>
          <w:szCs w:val="16"/>
        </w:rPr>
        <w:t xml:space="preserve"> a také a</w:t>
      </w:r>
      <w:r w:rsidRPr="00723CD6">
        <w:rPr>
          <w:rStyle w:val="eop"/>
          <w:rFonts w:cs="Arial"/>
          <w:sz w:val="16"/>
          <w:szCs w:val="16"/>
        </w:rPr>
        <w:t>dministrativní a podpůrné činnosti</w:t>
      </w:r>
      <w:r>
        <w:rPr>
          <w:rStyle w:val="eop"/>
          <w:rFonts w:cs="Arial"/>
          <w:sz w:val="16"/>
          <w:szCs w:val="16"/>
        </w:rPr>
        <w:t xml:space="preserve">. V absolutním vyjádření naopak nejvíce rostla nabídka míst v obchodu a ve vzdělávání. Nejvíce volných pozic se nacházelo v průmyslu (27 tis.), odvětvích s významnou rolí státu (27 tis.) a obchodu (14 tis.). </w:t>
      </w:r>
    </w:p>
  </w:footnote>
  <w:footnote w:id="25">
    <w:p w14:paraId="5B4E1AFD" w14:textId="77777777" w:rsidR="00C66B0D" w:rsidRPr="00C00597" w:rsidRDefault="00C66B0D" w:rsidP="006712EC">
      <w:pPr>
        <w:pStyle w:val="Textpoznpodarou"/>
        <w:rPr>
          <w:rFonts w:cs="Arial"/>
          <w:sz w:val="16"/>
          <w:szCs w:val="16"/>
        </w:rPr>
      </w:pPr>
      <w:r w:rsidRPr="00C00597">
        <w:rPr>
          <w:rStyle w:val="Znakapoznpodarou"/>
          <w:rFonts w:cs="Arial"/>
          <w:sz w:val="16"/>
          <w:szCs w:val="16"/>
        </w:rPr>
        <w:footnoteRef/>
      </w:r>
      <w:r w:rsidRPr="00C00597">
        <w:rPr>
          <w:rFonts w:cs="Arial"/>
          <w:sz w:val="16"/>
          <w:szCs w:val="16"/>
        </w:rPr>
        <w:t xml:space="preserve"> </w:t>
      </w:r>
      <w:r w:rsidRPr="00C00597">
        <w:rPr>
          <w:rStyle w:val="cfu"/>
          <w:rFonts w:cs="Arial"/>
          <w:color w:val="000000"/>
          <w:sz w:val="16"/>
          <w:szCs w:val="16"/>
          <w:bdr w:val="none" w:sz="0" w:space="0" w:color="auto" w:frame="1"/>
        </w:rPr>
        <w:t>Firmy omezily nábory kvůli dovoleným a nižší potřebě sezónních pracovníků.</w:t>
      </w:r>
      <w:r w:rsidRPr="00C00597">
        <w:rPr>
          <w:rStyle w:val="Znakapoznpodarou"/>
          <w:rFonts w:cs="Arial"/>
          <w:color w:val="000000"/>
          <w:sz w:val="16"/>
          <w:szCs w:val="16"/>
          <w:bdr w:val="none" w:sz="0" w:space="0" w:color="auto" w:frame="1"/>
        </w:rPr>
        <w:t xml:space="preserve"> </w:t>
      </w:r>
      <w:r>
        <w:rPr>
          <w:rStyle w:val="cfu"/>
          <w:rFonts w:cs="Arial"/>
          <w:color w:val="000000"/>
          <w:sz w:val="16"/>
          <w:szCs w:val="16"/>
          <w:bdr w:val="none" w:sz="0" w:space="0" w:color="auto" w:frame="1"/>
        </w:rPr>
        <w:t>R</w:t>
      </w:r>
      <w:r w:rsidRPr="00C00597">
        <w:rPr>
          <w:rStyle w:val="cfu"/>
          <w:rFonts w:cs="Arial"/>
          <w:color w:val="000000"/>
          <w:sz w:val="16"/>
          <w:szCs w:val="16"/>
          <w:bdr w:val="none" w:sz="0" w:space="0" w:color="auto" w:frame="1"/>
        </w:rPr>
        <w:t>oli mohlo mít deštivější a chladnější letní počasí. Sektor cestovního ruchu i sezónní prodeje zaznamenaly slabší výkonnost, což dále utlumilo trh práce a poptávku po brigádnících.</w:t>
      </w:r>
    </w:p>
  </w:footnote>
  <w:footnote w:id="26">
    <w:p w14:paraId="5E6E5452" w14:textId="77777777" w:rsidR="00C66B0D" w:rsidRPr="00EA37B9" w:rsidRDefault="00C66B0D" w:rsidP="006712EC">
      <w:pPr>
        <w:pStyle w:val="Textpoznpodarou"/>
        <w:rPr>
          <w:sz w:val="16"/>
          <w:szCs w:val="16"/>
        </w:rPr>
      </w:pPr>
      <w:r w:rsidRPr="00EA37B9">
        <w:rPr>
          <w:rStyle w:val="Znakapoznpodarou"/>
          <w:sz w:val="16"/>
          <w:szCs w:val="16"/>
        </w:rPr>
        <w:footnoteRef/>
      </w:r>
      <w:r w:rsidRPr="00EA37B9">
        <w:rPr>
          <w:sz w:val="16"/>
          <w:szCs w:val="16"/>
        </w:rPr>
        <w:t xml:space="preserve"> U </w:t>
      </w:r>
      <w:r>
        <w:rPr>
          <w:color w:val="0D0D0D" w:themeColor="text1" w:themeTint="F2"/>
          <w:spacing w:val="-6"/>
          <w:sz w:val="16"/>
          <w:szCs w:val="16"/>
        </w:rPr>
        <w:t>téměř tří</w:t>
      </w:r>
      <w:r w:rsidRPr="00EA37B9">
        <w:rPr>
          <w:color w:val="0D0D0D" w:themeColor="text1" w:themeTint="F2"/>
          <w:spacing w:val="-6"/>
          <w:sz w:val="16"/>
          <w:szCs w:val="16"/>
        </w:rPr>
        <w:t xml:space="preserve"> čtvrtin volných pracovních míst postačovalo uchazečům pouze základní vzdělání. Naopak více než třetina všech </w:t>
      </w:r>
      <w:r>
        <w:rPr>
          <w:color w:val="0D0D0D" w:themeColor="text1" w:themeTint="F2"/>
          <w:spacing w:val="-6"/>
          <w:sz w:val="16"/>
          <w:szCs w:val="16"/>
        </w:rPr>
        <w:t xml:space="preserve">registrovaných </w:t>
      </w:r>
      <w:r w:rsidRPr="00EA37B9">
        <w:rPr>
          <w:color w:val="0D0D0D" w:themeColor="text1" w:themeTint="F2"/>
          <w:spacing w:val="-6"/>
          <w:sz w:val="16"/>
          <w:szCs w:val="16"/>
        </w:rPr>
        <w:t xml:space="preserve">uchazečů </w:t>
      </w:r>
      <w:r>
        <w:rPr>
          <w:color w:val="0D0D0D" w:themeColor="text1" w:themeTint="F2"/>
          <w:spacing w:val="-6"/>
          <w:sz w:val="16"/>
          <w:szCs w:val="16"/>
        </w:rPr>
        <w:t xml:space="preserve">o práci </w:t>
      </w:r>
      <w:r w:rsidRPr="00EA37B9">
        <w:rPr>
          <w:color w:val="0D0D0D" w:themeColor="text1" w:themeTint="F2"/>
          <w:spacing w:val="-6"/>
          <w:sz w:val="16"/>
          <w:szCs w:val="16"/>
        </w:rPr>
        <w:t>disponuje alespoň maturitním vzděláním.</w:t>
      </w:r>
    </w:p>
  </w:footnote>
  <w:footnote w:id="27">
    <w:p w14:paraId="49A5A3A8" w14:textId="77777777" w:rsidR="00C66B0D" w:rsidRPr="00D8487A" w:rsidRDefault="00C66B0D" w:rsidP="006712EC">
      <w:pPr>
        <w:pStyle w:val="Textpoznpodarou"/>
        <w:rPr>
          <w:sz w:val="16"/>
          <w:szCs w:val="16"/>
        </w:rPr>
      </w:pPr>
      <w:r w:rsidRPr="00D8487A">
        <w:rPr>
          <w:rStyle w:val="Znakapoznpodarou"/>
          <w:sz w:val="16"/>
          <w:szCs w:val="16"/>
        </w:rPr>
        <w:footnoteRef/>
      </w:r>
      <w:r w:rsidRPr="00D8487A">
        <w:rPr>
          <w:sz w:val="16"/>
          <w:szCs w:val="16"/>
        </w:rPr>
        <w:t xml:space="preserve"> </w:t>
      </w:r>
      <w:r w:rsidRPr="00D8487A">
        <w:rPr>
          <w:color w:val="0D0D0D" w:themeColor="text1" w:themeTint="F2"/>
          <w:spacing w:val="-6"/>
          <w:sz w:val="16"/>
          <w:szCs w:val="16"/>
        </w:rPr>
        <w:t>V případě čistých výdělků promlouvá do vývoje jejich kupní síly mírné zvýšení daňového zatížení práce vlivem znovuzavedení zaměstnaneckých odvodů na nemocenské pojištění (celkový odvod sociálního pojištění za zaměstnance se zvýšil z 6,5 % na 7,1 %), jež bylo schváleno v rámci vlád</w:t>
      </w:r>
      <w:r>
        <w:rPr>
          <w:color w:val="0D0D0D" w:themeColor="text1" w:themeTint="F2"/>
          <w:spacing w:val="-6"/>
          <w:sz w:val="16"/>
          <w:szCs w:val="16"/>
        </w:rPr>
        <w:t>ního konsolidačního balíčku (s ú</w:t>
      </w:r>
      <w:r w:rsidRPr="00D8487A">
        <w:rPr>
          <w:color w:val="0D0D0D" w:themeColor="text1" w:themeTint="F2"/>
          <w:spacing w:val="-6"/>
          <w:sz w:val="16"/>
          <w:szCs w:val="16"/>
        </w:rPr>
        <w:t xml:space="preserve">činností od ledna 2024). </w:t>
      </w:r>
      <w:r>
        <w:rPr>
          <w:color w:val="0D0D0D" w:themeColor="text1" w:themeTint="F2"/>
          <w:spacing w:val="-6"/>
          <w:sz w:val="16"/>
          <w:szCs w:val="16"/>
        </w:rPr>
        <w:t xml:space="preserve">K růstu kupní síly výdělků naopak přispělo </w:t>
      </w:r>
      <w:r w:rsidRPr="00D8487A">
        <w:rPr>
          <w:color w:val="0D0D0D" w:themeColor="text1" w:themeTint="F2"/>
          <w:spacing w:val="-6"/>
          <w:sz w:val="16"/>
          <w:szCs w:val="16"/>
        </w:rPr>
        <w:t>zrušení superhrubé mzdy (</w:t>
      </w:r>
      <w:r>
        <w:rPr>
          <w:color w:val="0D0D0D" w:themeColor="text1" w:themeTint="F2"/>
          <w:spacing w:val="-6"/>
          <w:sz w:val="16"/>
          <w:szCs w:val="16"/>
        </w:rPr>
        <w:t xml:space="preserve">od </w:t>
      </w:r>
      <w:r w:rsidRPr="00D8487A">
        <w:rPr>
          <w:color w:val="0D0D0D" w:themeColor="text1" w:themeTint="F2"/>
          <w:spacing w:val="-6"/>
          <w:sz w:val="16"/>
          <w:szCs w:val="16"/>
        </w:rPr>
        <w:t>ledna 2021).</w:t>
      </w:r>
    </w:p>
  </w:footnote>
  <w:footnote w:id="28">
    <w:p w14:paraId="72844403" w14:textId="77777777" w:rsidR="00C66B0D" w:rsidRPr="00E8092D" w:rsidRDefault="00C66B0D" w:rsidP="006712EC">
      <w:pPr>
        <w:pStyle w:val="Textpoznpodarou"/>
        <w:rPr>
          <w:sz w:val="16"/>
          <w:szCs w:val="16"/>
        </w:rPr>
      </w:pPr>
      <w:r w:rsidRPr="00E8092D">
        <w:rPr>
          <w:rStyle w:val="Znakapoznpodarou"/>
          <w:sz w:val="16"/>
          <w:szCs w:val="16"/>
        </w:rPr>
        <w:footnoteRef/>
      </w:r>
      <w:r w:rsidRPr="00E8092D">
        <w:rPr>
          <w:sz w:val="16"/>
          <w:szCs w:val="16"/>
        </w:rPr>
        <w:t xml:space="preserve"> </w:t>
      </w:r>
      <w:r>
        <w:rPr>
          <w:sz w:val="16"/>
          <w:szCs w:val="16"/>
        </w:rPr>
        <w:t>Souhrnné</w:t>
      </w:r>
      <w:r w:rsidRPr="00E8092D">
        <w:rPr>
          <w:sz w:val="16"/>
          <w:szCs w:val="16"/>
        </w:rPr>
        <w:t xml:space="preserve"> m</w:t>
      </w:r>
      <w:r>
        <w:rPr>
          <w:sz w:val="16"/>
          <w:szCs w:val="16"/>
        </w:rPr>
        <w:t>zdové tempo za</w:t>
      </w:r>
      <w:r w:rsidRPr="00E8092D">
        <w:rPr>
          <w:sz w:val="16"/>
          <w:szCs w:val="16"/>
        </w:rPr>
        <w:t> </w:t>
      </w:r>
      <w:r>
        <w:rPr>
          <w:sz w:val="16"/>
          <w:szCs w:val="16"/>
        </w:rPr>
        <w:t>tato</w:t>
      </w:r>
      <w:r w:rsidRPr="00E8092D">
        <w:rPr>
          <w:sz w:val="16"/>
          <w:szCs w:val="16"/>
        </w:rPr>
        <w:t xml:space="preserve"> </w:t>
      </w:r>
      <w:r>
        <w:rPr>
          <w:sz w:val="16"/>
          <w:szCs w:val="16"/>
        </w:rPr>
        <w:t>odvětví</w:t>
      </w:r>
      <w:r w:rsidRPr="00E8092D">
        <w:rPr>
          <w:sz w:val="16"/>
          <w:szCs w:val="16"/>
        </w:rPr>
        <w:t xml:space="preserve"> bylo nižší než v celé ekon</w:t>
      </w:r>
      <w:r>
        <w:rPr>
          <w:sz w:val="16"/>
          <w:szCs w:val="16"/>
        </w:rPr>
        <w:t>omice již čtvrtý</w:t>
      </w:r>
      <w:r w:rsidRPr="00E8092D">
        <w:rPr>
          <w:sz w:val="16"/>
          <w:szCs w:val="16"/>
        </w:rPr>
        <w:t xml:space="preserve"> rok v řadě.</w:t>
      </w:r>
    </w:p>
  </w:footnote>
  <w:footnote w:id="29">
    <w:p w14:paraId="57321B14" w14:textId="77777777" w:rsidR="00C66B0D" w:rsidRPr="009F596B" w:rsidRDefault="00C66B0D" w:rsidP="006712EC">
      <w:pPr>
        <w:pStyle w:val="Textpoznpodarou"/>
        <w:rPr>
          <w:sz w:val="16"/>
          <w:szCs w:val="16"/>
        </w:rPr>
      </w:pPr>
      <w:r w:rsidRPr="009F596B">
        <w:rPr>
          <w:rStyle w:val="Znakapoznpodarou"/>
          <w:sz w:val="16"/>
          <w:szCs w:val="16"/>
        </w:rPr>
        <w:footnoteRef/>
      </w:r>
      <w:r w:rsidRPr="009F596B">
        <w:rPr>
          <w:sz w:val="16"/>
          <w:szCs w:val="16"/>
        </w:rPr>
        <w:t xml:space="preserve"> </w:t>
      </w:r>
      <w:r w:rsidRPr="009F596B">
        <w:rPr>
          <w:rStyle w:val="normaltextrun"/>
          <w:rFonts w:eastAsia="MS Gothic" w:cs="Arial"/>
          <w:sz w:val="16"/>
          <w:szCs w:val="16"/>
        </w:rPr>
        <w:t xml:space="preserve">Úroveň výdělků zde byla při zahrnutí nepedagogických pracovníků skoro </w:t>
      </w:r>
      <w:r>
        <w:rPr>
          <w:rStyle w:val="normaltextrun"/>
          <w:rFonts w:eastAsia="MS Gothic" w:cs="Arial"/>
          <w:sz w:val="16"/>
          <w:szCs w:val="16"/>
        </w:rPr>
        <w:t xml:space="preserve">o </w:t>
      </w:r>
      <w:r w:rsidRPr="009F596B">
        <w:rPr>
          <w:rStyle w:val="normaltextrun"/>
          <w:rFonts w:eastAsia="MS Gothic" w:cs="Arial"/>
          <w:sz w:val="16"/>
          <w:szCs w:val="16"/>
        </w:rPr>
        <w:t>desetinu nižší než v celé ekonomice</w:t>
      </w:r>
      <w:r>
        <w:rPr>
          <w:rStyle w:val="normaltextrun"/>
          <w:rFonts w:eastAsia="MS Gothic"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6" w14:textId="3C11EE3B" w:rsidR="004C456F" w:rsidRPr="00C27E4F" w:rsidRDefault="004C456F" w:rsidP="00C27E4F">
    <w:pPr>
      <w:pStyle w:val="Zhlav"/>
    </w:pPr>
    <w:r>
      <w:t>Vývoj ekonomiky České republiky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7" w14:textId="4F78F164" w:rsidR="004C456F" w:rsidRPr="006F5416" w:rsidRDefault="004C456F" w:rsidP="00937AE2">
    <w:pPr>
      <w:pStyle w:val="Zhlav"/>
    </w:pPr>
    <w:r>
      <w:t>Vývoj ekonomiky České republiky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8"/>
  </w:num>
  <w:num w:numId="13">
    <w:abstractNumId w:val="34"/>
  </w:num>
  <w:num w:numId="14">
    <w:abstractNumId w:val="15"/>
  </w:num>
  <w:num w:numId="15">
    <w:abstractNumId w:val="24"/>
  </w:num>
  <w:num w:numId="16">
    <w:abstractNumId w:val="19"/>
  </w:num>
  <w:num w:numId="17">
    <w:abstractNumId w:val="35"/>
  </w:num>
  <w:num w:numId="18">
    <w:abstractNumId w:val="25"/>
  </w:num>
  <w:num w:numId="19">
    <w:abstractNumId w:val="38"/>
  </w:num>
  <w:num w:numId="20">
    <w:abstractNumId w:val="43"/>
  </w:num>
  <w:num w:numId="21">
    <w:abstractNumId w:val="33"/>
  </w:num>
  <w:num w:numId="22">
    <w:abstractNumId w:val="23"/>
  </w:num>
  <w:num w:numId="23">
    <w:abstractNumId w:val="21"/>
  </w:num>
  <w:num w:numId="24">
    <w:abstractNumId w:val="22"/>
  </w:num>
  <w:num w:numId="25">
    <w:abstractNumId w:val="41"/>
  </w:num>
  <w:num w:numId="26">
    <w:abstractNumId w:val="42"/>
  </w:num>
  <w:num w:numId="27">
    <w:abstractNumId w:val="43"/>
  </w:num>
  <w:num w:numId="28">
    <w:abstractNumId w:val="13"/>
  </w:num>
  <w:num w:numId="29">
    <w:abstractNumId w:val="27"/>
  </w:num>
  <w:num w:numId="30">
    <w:abstractNumId w:val="26"/>
  </w:num>
  <w:num w:numId="31">
    <w:abstractNumId w:val="10"/>
  </w:num>
  <w:num w:numId="32">
    <w:abstractNumId w:val="28"/>
  </w:num>
  <w:num w:numId="33">
    <w:abstractNumId w:val="12"/>
  </w:num>
  <w:num w:numId="34">
    <w:abstractNumId w:val="45"/>
  </w:num>
  <w:num w:numId="35">
    <w:abstractNumId w:val="11"/>
  </w:num>
  <w:num w:numId="36">
    <w:abstractNumId w:val="37"/>
  </w:num>
  <w:num w:numId="37">
    <w:abstractNumId w:val="30"/>
  </w:num>
  <w:num w:numId="38">
    <w:abstractNumId w:val="29"/>
  </w:num>
  <w:num w:numId="39">
    <w:abstractNumId w:val="39"/>
  </w:num>
  <w:num w:numId="40">
    <w:abstractNumId w:val="44"/>
  </w:num>
  <w:num w:numId="41">
    <w:abstractNumId w:val="40"/>
  </w:num>
  <w:num w:numId="42">
    <w:abstractNumId w:val="32"/>
  </w:num>
  <w:num w:numId="43">
    <w:abstractNumId w:val="20"/>
  </w:num>
  <w:num w:numId="44">
    <w:abstractNumId w:val="14"/>
  </w:num>
  <w:num w:numId="45">
    <w:abstractNumId w:val="36"/>
  </w:num>
  <w:num w:numId="46">
    <w:abstractNumId w:val="16"/>
  </w:num>
  <w:num w:numId="47">
    <w:abstractNumId w:val="43"/>
  </w:num>
  <w:num w:numId="48">
    <w:abstractNumId w:val="43"/>
    <w:lvlOverride w:ilvl="0">
      <w:startOverride w:val="1"/>
    </w:lvlOverride>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62"/>
    <w:rsid w:val="0000209D"/>
    <w:rsid w:val="00004D5A"/>
    <w:rsid w:val="000056D5"/>
    <w:rsid w:val="00006ABD"/>
    <w:rsid w:val="0000767A"/>
    <w:rsid w:val="00010256"/>
    <w:rsid w:val="00010702"/>
    <w:rsid w:val="00011912"/>
    <w:rsid w:val="0002195D"/>
    <w:rsid w:val="000234D6"/>
    <w:rsid w:val="00023D29"/>
    <w:rsid w:val="00026389"/>
    <w:rsid w:val="00031AE0"/>
    <w:rsid w:val="000322EF"/>
    <w:rsid w:val="00033FCD"/>
    <w:rsid w:val="00040D10"/>
    <w:rsid w:val="00041CEC"/>
    <w:rsid w:val="0004694F"/>
    <w:rsid w:val="000522E4"/>
    <w:rsid w:val="000610E1"/>
    <w:rsid w:val="00062EC5"/>
    <w:rsid w:val="00062F22"/>
    <w:rsid w:val="000712B3"/>
    <w:rsid w:val="0008263E"/>
    <w:rsid w:val="00082C19"/>
    <w:rsid w:val="00085395"/>
    <w:rsid w:val="00087634"/>
    <w:rsid w:val="00087F2B"/>
    <w:rsid w:val="000912CC"/>
    <w:rsid w:val="00092201"/>
    <w:rsid w:val="00095135"/>
    <w:rsid w:val="000974D1"/>
    <w:rsid w:val="0009799E"/>
    <w:rsid w:val="000A1183"/>
    <w:rsid w:val="000A256D"/>
    <w:rsid w:val="000A3A2C"/>
    <w:rsid w:val="000A5265"/>
    <w:rsid w:val="000A57D4"/>
    <w:rsid w:val="000B7C8D"/>
    <w:rsid w:val="000C004E"/>
    <w:rsid w:val="000C3408"/>
    <w:rsid w:val="000C6AFD"/>
    <w:rsid w:val="000D1B52"/>
    <w:rsid w:val="000D5637"/>
    <w:rsid w:val="000E6FBD"/>
    <w:rsid w:val="00100F5C"/>
    <w:rsid w:val="00101CDA"/>
    <w:rsid w:val="00102C41"/>
    <w:rsid w:val="00104C4C"/>
    <w:rsid w:val="00107F50"/>
    <w:rsid w:val="00117623"/>
    <w:rsid w:val="0012096D"/>
    <w:rsid w:val="0012192F"/>
    <w:rsid w:val="001224E5"/>
    <w:rsid w:val="00124940"/>
    <w:rsid w:val="00125D69"/>
    <w:rsid w:val="001405FA"/>
    <w:rsid w:val="00142254"/>
    <w:rsid w:val="001425C3"/>
    <w:rsid w:val="001476BD"/>
    <w:rsid w:val="001612F4"/>
    <w:rsid w:val="0016256B"/>
    <w:rsid w:val="00163793"/>
    <w:rsid w:val="001706D6"/>
    <w:rsid w:val="001714F2"/>
    <w:rsid w:val="00175B9F"/>
    <w:rsid w:val="00181BBC"/>
    <w:rsid w:val="00184B08"/>
    <w:rsid w:val="00185010"/>
    <w:rsid w:val="0019143B"/>
    <w:rsid w:val="001A0487"/>
    <w:rsid w:val="001A552F"/>
    <w:rsid w:val="001A7280"/>
    <w:rsid w:val="001B2CA9"/>
    <w:rsid w:val="001B3110"/>
    <w:rsid w:val="001B4729"/>
    <w:rsid w:val="001B6310"/>
    <w:rsid w:val="001B6C09"/>
    <w:rsid w:val="001B73E6"/>
    <w:rsid w:val="001C05CD"/>
    <w:rsid w:val="001C3924"/>
    <w:rsid w:val="001D40D7"/>
    <w:rsid w:val="001D48D4"/>
    <w:rsid w:val="001D68B2"/>
    <w:rsid w:val="001E1C2E"/>
    <w:rsid w:val="001E504C"/>
    <w:rsid w:val="001E6062"/>
    <w:rsid w:val="001E6753"/>
    <w:rsid w:val="001F11F7"/>
    <w:rsid w:val="001F4597"/>
    <w:rsid w:val="00203DA4"/>
    <w:rsid w:val="002118B9"/>
    <w:rsid w:val="00213E46"/>
    <w:rsid w:val="00214CF7"/>
    <w:rsid w:val="00216286"/>
    <w:rsid w:val="00217C5B"/>
    <w:rsid w:val="0022139E"/>
    <w:rsid w:val="00222729"/>
    <w:rsid w:val="002252E0"/>
    <w:rsid w:val="002255F6"/>
    <w:rsid w:val="00227850"/>
    <w:rsid w:val="00227A53"/>
    <w:rsid w:val="00230C6E"/>
    <w:rsid w:val="00233CD7"/>
    <w:rsid w:val="00236443"/>
    <w:rsid w:val="00241B06"/>
    <w:rsid w:val="00242C10"/>
    <w:rsid w:val="002436BA"/>
    <w:rsid w:val="00244A15"/>
    <w:rsid w:val="0024661A"/>
    <w:rsid w:val="00247319"/>
    <w:rsid w:val="0024799E"/>
    <w:rsid w:val="00247EE7"/>
    <w:rsid w:val="00253C0F"/>
    <w:rsid w:val="002558C1"/>
    <w:rsid w:val="00261A17"/>
    <w:rsid w:val="00271465"/>
    <w:rsid w:val="00275385"/>
    <w:rsid w:val="0028207A"/>
    <w:rsid w:val="00285412"/>
    <w:rsid w:val="00291407"/>
    <w:rsid w:val="00291640"/>
    <w:rsid w:val="00295A5D"/>
    <w:rsid w:val="002A1407"/>
    <w:rsid w:val="002A16D4"/>
    <w:rsid w:val="002A230C"/>
    <w:rsid w:val="002A66B0"/>
    <w:rsid w:val="002B2299"/>
    <w:rsid w:val="002B4845"/>
    <w:rsid w:val="002B48B4"/>
    <w:rsid w:val="002C2FE9"/>
    <w:rsid w:val="002C43BD"/>
    <w:rsid w:val="002C5568"/>
    <w:rsid w:val="002D0E59"/>
    <w:rsid w:val="002E02A1"/>
    <w:rsid w:val="002E42AC"/>
    <w:rsid w:val="002E4E4C"/>
    <w:rsid w:val="002F3E4F"/>
    <w:rsid w:val="00302ADD"/>
    <w:rsid w:val="00304771"/>
    <w:rsid w:val="0030495D"/>
    <w:rsid w:val="003052D4"/>
    <w:rsid w:val="00306C5B"/>
    <w:rsid w:val="003103E0"/>
    <w:rsid w:val="00314F9F"/>
    <w:rsid w:val="003209D6"/>
    <w:rsid w:val="00321924"/>
    <w:rsid w:val="0032656E"/>
    <w:rsid w:val="00332190"/>
    <w:rsid w:val="00343182"/>
    <w:rsid w:val="0034335E"/>
    <w:rsid w:val="00344668"/>
    <w:rsid w:val="003462D9"/>
    <w:rsid w:val="00360C86"/>
    <w:rsid w:val="00360FBC"/>
    <w:rsid w:val="00362E90"/>
    <w:rsid w:val="00364FA0"/>
    <w:rsid w:val="003657F3"/>
    <w:rsid w:val="00366591"/>
    <w:rsid w:val="00373504"/>
    <w:rsid w:val="0038123E"/>
    <w:rsid w:val="003818DC"/>
    <w:rsid w:val="00384327"/>
    <w:rsid w:val="00385D98"/>
    <w:rsid w:val="003A2B4D"/>
    <w:rsid w:val="003A2B5E"/>
    <w:rsid w:val="003A2D12"/>
    <w:rsid w:val="003A478C"/>
    <w:rsid w:val="003A5525"/>
    <w:rsid w:val="003A6B38"/>
    <w:rsid w:val="003B461F"/>
    <w:rsid w:val="003B5A32"/>
    <w:rsid w:val="003B7AFA"/>
    <w:rsid w:val="003C3490"/>
    <w:rsid w:val="003C6550"/>
    <w:rsid w:val="003C7E62"/>
    <w:rsid w:val="003D6920"/>
    <w:rsid w:val="003E3F1E"/>
    <w:rsid w:val="003E48F2"/>
    <w:rsid w:val="003E4C91"/>
    <w:rsid w:val="003E62A5"/>
    <w:rsid w:val="003F313C"/>
    <w:rsid w:val="003F37FC"/>
    <w:rsid w:val="003F4B2C"/>
    <w:rsid w:val="003F551C"/>
    <w:rsid w:val="003F62B0"/>
    <w:rsid w:val="003F72ED"/>
    <w:rsid w:val="003F7D23"/>
    <w:rsid w:val="00400DF4"/>
    <w:rsid w:val="0040550D"/>
    <w:rsid w:val="004069FF"/>
    <w:rsid w:val="00407C13"/>
    <w:rsid w:val="0041041D"/>
    <w:rsid w:val="00410638"/>
    <w:rsid w:val="0041501E"/>
    <w:rsid w:val="004159C3"/>
    <w:rsid w:val="00416EB7"/>
    <w:rsid w:val="00432A58"/>
    <w:rsid w:val="00434617"/>
    <w:rsid w:val="00440900"/>
    <w:rsid w:val="00441BF6"/>
    <w:rsid w:val="00443556"/>
    <w:rsid w:val="004441A0"/>
    <w:rsid w:val="004455BA"/>
    <w:rsid w:val="0045078A"/>
    <w:rsid w:val="0045086D"/>
    <w:rsid w:val="00451504"/>
    <w:rsid w:val="004557A9"/>
    <w:rsid w:val="00456339"/>
    <w:rsid w:val="004607BF"/>
    <w:rsid w:val="00460FB3"/>
    <w:rsid w:val="0046627E"/>
    <w:rsid w:val="00476240"/>
    <w:rsid w:val="00476439"/>
    <w:rsid w:val="0047735C"/>
    <w:rsid w:val="004776BC"/>
    <w:rsid w:val="0048139F"/>
    <w:rsid w:val="00481E40"/>
    <w:rsid w:val="00484ECE"/>
    <w:rsid w:val="00485567"/>
    <w:rsid w:val="004915CB"/>
    <w:rsid w:val="004924DC"/>
    <w:rsid w:val="004A14E4"/>
    <w:rsid w:val="004A3212"/>
    <w:rsid w:val="004A5494"/>
    <w:rsid w:val="004A61C5"/>
    <w:rsid w:val="004A77DF"/>
    <w:rsid w:val="004B1417"/>
    <w:rsid w:val="004B55B7"/>
    <w:rsid w:val="004B5A60"/>
    <w:rsid w:val="004B6468"/>
    <w:rsid w:val="004B7125"/>
    <w:rsid w:val="004C384C"/>
    <w:rsid w:val="004C3867"/>
    <w:rsid w:val="004C456F"/>
    <w:rsid w:val="004C4CD0"/>
    <w:rsid w:val="004C5B81"/>
    <w:rsid w:val="004C6092"/>
    <w:rsid w:val="004C70DC"/>
    <w:rsid w:val="004D0211"/>
    <w:rsid w:val="004D0794"/>
    <w:rsid w:val="004D5C93"/>
    <w:rsid w:val="004E1288"/>
    <w:rsid w:val="004E7C6B"/>
    <w:rsid w:val="004F06F5"/>
    <w:rsid w:val="004F2C1B"/>
    <w:rsid w:val="004F33A0"/>
    <w:rsid w:val="005040A8"/>
    <w:rsid w:val="0050689D"/>
    <w:rsid w:val="005108C0"/>
    <w:rsid w:val="00511873"/>
    <w:rsid w:val="00512A2F"/>
    <w:rsid w:val="00513B7E"/>
    <w:rsid w:val="00515C74"/>
    <w:rsid w:val="0051713B"/>
    <w:rsid w:val="0052007E"/>
    <w:rsid w:val="0052337A"/>
    <w:rsid w:val="00525137"/>
    <w:rsid w:val="005251DD"/>
    <w:rsid w:val="00532CE7"/>
    <w:rsid w:val="00532E62"/>
    <w:rsid w:val="0053324C"/>
    <w:rsid w:val="00534A28"/>
    <w:rsid w:val="00541508"/>
    <w:rsid w:val="00543498"/>
    <w:rsid w:val="00545512"/>
    <w:rsid w:val="00553016"/>
    <w:rsid w:val="0055599F"/>
    <w:rsid w:val="00556995"/>
    <w:rsid w:val="00556D68"/>
    <w:rsid w:val="00563EB8"/>
    <w:rsid w:val="005647BF"/>
    <w:rsid w:val="00564AF1"/>
    <w:rsid w:val="0057364B"/>
    <w:rsid w:val="00574773"/>
    <w:rsid w:val="0058308D"/>
    <w:rsid w:val="00583FFD"/>
    <w:rsid w:val="00591099"/>
    <w:rsid w:val="005911BE"/>
    <w:rsid w:val="00593152"/>
    <w:rsid w:val="005A10F2"/>
    <w:rsid w:val="005A21E0"/>
    <w:rsid w:val="005A28FF"/>
    <w:rsid w:val="005A3DF8"/>
    <w:rsid w:val="005A5113"/>
    <w:rsid w:val="005A5549"/>
    <w:rsid w:val="005A7038"/>
    <w:rsid w:val="005B121D"/>
    <w:rsid w:val="005C06ED"/>
    <w:rsid w:val="005C2609"/>
    <w:rsid w:val="005C6CF0"/>
    <w:rsid w:val="005D5802"/>
    <w:rsid w:val="005D7119"/>
    <w:rsid w:val="005D7890"/>
    <w:rsid w:val="005E705E"/>
    <w:rsid w:val="005E7C78"/>
    <w:rsid w:val="005F18C5"/>
    <w:rsid w:val="005F3EB1"/>
    <w:rsid w:val="005F46D8"/>
    <w:rsid w:val="005F5469"/>
    <w:rsid w:val="00603FF5"/>
    <w:rsid w:val="00604307"/>
    <w:rsid w:val="0060487F"/>
    <w:rsid w:val="00604EAD"/>
    <w:rsid w:val="006104FB"/>
    <w:rsid w:val="00612A2F"/>
    <w:rsid w:val="006165E5"/>
    <w:rsid w:val="00616E05"/>
    <w:rsid w:val="00622275"/>
    <w:rsid w:val="00624093"/>
    <w:rsid w:val="00625F8F"/>
    <w:rsid w:val="006350D5"/>
    <w:rsid w:val="006404A7"/>
    <w:rsid w:val="006451E4"/>
    <w:rsid w:val="00645B33"/>
    <w:rsid w:val="006516CB"/>
    <w:rsid w:val="00656FC8"/>
    <w:rsid w:val="00657E87"/>
    <w:rsid w:val="00664803"/>
    <w:rsid w:val="0066504F"/>
    <w:rsid w:val="00665BA4"/>
    <w:rsid w:val="00667AF2"/>
    <w:rsid w:val="006710C9"/>
    <w:rsid w:val="006712EC"/>
    <w:rsid w:val="006741AC"/>
    <w:rsid w:val="00674D89"/>
    <w:rsid w:val="00675E37"/>
    <w:rsid w:val="0068174E"/>
    <w:rsid w:val="00681DCE"/>
    <w:rsid w:val="0068260E"/>
    <w:rsid w:val="00693FEC"/>
    <w:rsid w:val="00695BEF"/>
    <w:rsid w:val="006977F6"/>
    <w:rsid w:val="00697A13"/>
    <w:rsid w:val="006A109C"/>
    <w:rsid w:val="006A2056"/>
    <w:rsid w:val="006B0F92"/>
    <w:rsid w:val="006B173A"/>
    <w:rsid w:val="006B344A"/>
    <w:rsid w:val="006B759B"/>
    <w:rsid w:val="006B78D8"/>
    <w:rsid w:val="006C113F"/>
    <w:rsid w:val="006C123E"/>
    <w:rsid w:val="006C1752"/>
    <w:rsid w:val="006C4460"/>
    <w:rsid w:val="006C56D4"/>
    <w:rsid w:val="006C6924"/>
    <w:rsid w:val="006C7CA6"/>
    <w:rsid w:val="006D3E8A"/>
    <w:rsid w:val="006D61F6"/>
    <w:rsid w:val="006E279A"/>
    <w:rsid w:val="006E313B"/>
    <w:rsid w:val="006E4254"/>
    <w:rsid w:val="006E7227"/>
    <w:rsid w:val="006F438E"/>
    <w:rsid w:val="006F5416"/>
    <w:rsid w:val="006F7076"/>
    <w:rsid w:val="00705242"/>
    <w:rsid w:val="00706AD4"/>
    <w:rsid w:val="00707150"/>
    <w:rsid w:val="007140BE"/>
    <w:rsid w:val="007143B4"/>
    <w:rsid w:val="007211F5"/>
    <w:rsid w:val="00723946"/>
    <w:rsid w:val="007240E2"/>
    <w:rsid w:val="00725BB5"/>
    <w:rsid w:val="00730517"/>
    <w:rsid w:val="00730AE8"/>
    <w:rsid w:val="00730F1B"/>
    <w:rsid w:val="007342AC"/>
    <w:rsid w:val="00741493"/>
    <w:rsid w:val="00752180"/>
    <w:rsid w:val="00753CAB"/>
    <w:rsid w:val="00755202"/>
    <w:rsid w:val="00755D3A"/>
    <w:rsid w:val="007578D3"/>
    <w:rsid w:val="007609C6"/>
    <w:rsid w:val="00760EA4"/>
    <w:rsid w:val="0076175D"/>
    <w:rsid w:val="00763B85"/>
    <w:rsid w:val="00764744"/>
    <w:rsid w:val="0076521E"/>
    <w:rsid w:val="007661E9"/>
    <w:rsid w:val="00773220"/>
    <w:rsid w:val="00776169"/>
    <w:rsid w:val="00776527"/>
    <w:rsid w:val="00776EAB"/>
    <w:rsid w:val="00780EF1"/>
    <w:rsid w:val="00782AD8"/>
    <w:rsid w:val="00790711"/>
    <w:rsid w:val="00790764"/>
    <w:rsid w:val="0079124F"/>
    <w:rsid w:val="0079453C"/>
    <w:rsid w:val="00794677"/>
    <w:rsid w:val="00797445"/>
    <w:rsid w:val="007A3861"/>
    <w:rsid w:val="007A516D"/>
    <w:rsid w:val="007B6689"/>
    <w:rsid w:val="007C6BBD"/>
    <w:rsid w:val="007D293C"/>
    <w:rsid w:val="007D40DF"/>
    <w:rsid w:val="007E29B4"/>
    <w:rsid w:val="007E435A"/>
    <w:rsid w:val="007E7E61"/>
    <w:rsid w:val="007E7FCE"/>
    <w:rsid w:val="007F0845"/>
    <w:rsid w:val="007F708D"/>
    <w:rsid w:val="00800216"/>
    <w:rsid w:val="00801E13"/>
    <w:rsid w:val="00807C82"/>
    <w:rsid w:val="00810C82"/>
    <w:rsid w:val="00814B15"/>
    <w:rsid w:val="00816905"/>
    <w:rsid w:val="00821777"/>
    <w:rsid w:val="00821FF6"/>
    <w:rsid w:val="00822574"/>
    <w:rsid w:val="00825C4D"/>
    <w:rsid w:val="008304D1"/>
    <w:rsid w:val="0083143E"/>
    <w:rsid w:val="00831CDE"/>
    <w:rsid w:val="00834304"/>
    <w:rsid w:val="00834FAA"/>
    <w:rsid w:val="0083516C"/>
    <w:rsid w:val="00836086"/>
    <w:rsid w:val="00846121"/>
    <w:rsid w:val="008462A8"/>
    <w:rsid w:val="0084708F"/>
    <w:rsid w:val="008477C8"/>
    <w:rsid w:val="00850815"/>
    <w:rsid w:val="0085114D"/>
    <w:rsid w:val="00852217"/>
    <w:rsid w:val="00855408"/>
    <w:rsid w:val="00855712"/>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CF6"/>
    <w:rsid w:val="008B7C02"/>
    <w:rsid w:val="008B7D2B"/>
    <w:rsid w:val="008C0049"/>
    <w:rsid w:val="008C0E88"/>
    <w:rsid w:val="008C53CB"/>
    <w:rsid w:val="008D1E6A"/>
    <w:rsid w:val="008D2A16"/>
    <w:rsid w:val="008D6B35"/>
    <w:rsid w:val="008E2C57"/>
    <w:rsid w:val="008E31FF"/>
    <w:rsid w:val="008E6F06"/>
    <w:rsid w:val="008E7FC9"/>
    <w:rsid w:val="008F029B"/>
    <w:rsid w:val="008F3FC9"/>
    <w:rsid w:val="008F585B"/>
    <w:rsid w:val="009003A8"/>
    <w:rsid w:val="00902500"/>
    <w:rsid w:val="00902EFF"/>
    <w:rsid w:val="00906401"/>
    <w:rsid w:val="0091155E"/>
    <w:rsid w:val="00912A92"/>
    <w:rsid w:val="0091728D"/>
    <w:rsid w:val="0092180B"/>
    <w:rsid w:val="00921F14"/>
    <w:rsid w:val="009231A3"/>
    <w:rsid w:val="00924AC8"/>
    <w:rsid w:val="0092597A"/>
    <w:rsid w:val="00925E75"/>
    <w:rsid w:val="00930FB1"/>
    <w:rsid w:val="0093139F"/>
    <w:rsid w:val="00932443"/>
    <w:rsid w:val="00937AE2"/>
    <w:rsid w:val="0094427A"/>
    <w:rsid w:val="00945245"/>
    <w:rsid w:val="00957309"/>
    <w:rsid w:val="0095759C"/>
    <w:rsid w:val="00967E76"/>
    <w:rsid w:val="009721DB"/>
    <w:rsid w:val="0097239B"/>
    <w:rsid w:val="00974923"/>
    <w:rsid w:val="009808F7"/>
    <w:rsid w:val="00980D3D"/>
    <w:rsid w:val="00981FFA"/>
    <w:rsid w:val="009855E1"/>
    <w:rsid w:val="00987A30"/>
    <w:rsid w:val="00992CF3"/>
    <w:rsid w:val="00994868"/>
    <w:rsid w:val="0099574A"/>
    <w:rsid w:val="009968D6"/>
    <w:rsid w:val="009A1CAB"/>
    <w:rsid w:val="009A60D1"/>
    <w:rsid w:val="009B6FD3"/>
    <w:rsid w:val="009C1750"/>
    <w:rsid w:val="009C2E29"/>
    <w:rsid w:val="009C554B"/>
    <w:rsid w:val="009C719E"/>
    <w:rsid w:val="009C7A10"/>
    <w:rsid w:val="009D1120"/>
    <w:rsid w:val="009D3ACD"/>
    <w:rsid w:val="009E5273"/>
    <w:rsid w:val="009E5DDB"/>
    <w:rsid w:val="009E7F05"/>
    <w:rsid w:val="009F46B7"/>
    <w:rsid w:val="009F4CA7"/>
    <w:rsid w:val="00A04CEF"/>
    <w:rsid w:val="00A10D66"/>
    <w:rsid w:val="00A14114"/>
    <w:rsid w:val="00A1537C"/>
    <w:rsid w:val="00A16413"/>
    <w:rsid w:val="00A16E1D"/>
    <w:rsid w:val="00A17D5B"/>
    <w:rsid w:val="00A17EB2"/>
    <w:rsid w:val="00A206E5"/>
    <w:rsid w:val="00A20CC0"/>
    <w:rsid w:val="00A23447"/>
    <w:rsid w:val="00A23E43"/>
    <w:rsid w:val="00A25216"/>
    <w:rsid w:val="00A30F65"/>
    <w:rsid w:val="00A33549"/>
    <w:rsid w:val="00A33A89"/>
    <w:rsid w:val="00A40EAC"/>
    <w:rsid w:val="00A40EDD"/>
    <w:rsid w:val="00A418BC"/>
    <w:rsid w:val="00A4206C"/>
    <w:rsid w:val="00A46DE0"/>
    <w:rsid w:val="00A472EB"/>
    <w:rsid w:val="00A47FCA"/>
    <w:rsid w:val="00A50D73"/>
    <w:rsid w:val="00A52CAD"/>
    <w:rsid w:val="00A53FC7"/>
    <w:rsid w:val="00A62CE1"/>
    <w:rsid w:val="00A668A3"/>
    <w:rsid w:val="00A6741E"/>
    <w:rsid w:val="00A754EA"/>
    <w:rsid w:val="00A75E40"/>
    <w:rsid w:val="00A77D1D"/>
    <w:rsid w:val="00A84A6A"/>
    <w:rsid w:val="00A857C0"/>
    <w:rsid w:val="00A90FED"/>
    <w:rsid w:val="00AA2996"/>
    <w:rsid w:val="00AA2A70"/>
    <w:rsid w:val="00AA52BF"/>
    <w:rsid w:val="00AA559A"/>
    <w:rsid w:val="00AB2AF1"/>
    <w:rsid w:val="00AB535B"/>
    <w:rsid w:val="00AC45BD"/>
    <w:rsid w:val="00AD168E"/>
    <w:rsid w:val="00AD306C"/>
    <w:rsid w:val="00AD4F16"/>
    <w:rsid w:val="00AD68C4"/>
    <w:rsid w:val="00AE09B3"/>
    <w:rsid w:val="00AE0ED3"/>
    <w:rsid w:val="00AE1A83"/>
    <w:rsid w:val="00AE31A7"/>
    <w:rsid w:val="00AF6128"/>
    <w:rsid w:val="00B00913"/>
    <w:rsid w:val="00B01593"/>
    <w:rsid w:val="00B023F2"/>
    <w:rsid w:val="00B04705"/>
    <w:rsid w:val="00B04E70"/>
    <w:rsid w:val="00B07BBB"/>
    <w:rsid w:val="00B10A4D"/>
    <w:rsid w:val="00B14BC1"/>
    <w:rsid w:val="00B17E71"/>
    <w:rsid w:val="00B17FDE"/>
    <w:rsid w:val="00B2379C"/>
    <w:rsid w:val="00B25189"/>
    <w:rsid w:val="00B2687D"/>
    <w:rsid w:val="00B26897"/>
    <w:rsid w:val="00B32DDB"/>
    <w:rsid w:val="00B34528"/>
    <w:rsid w:val="00B34CC9"/>
    <w:rsid w:val="00B402FC"/>
    <w:rsid w:val="00B439DA"/>
    <w:rsid w:val="00B46604"/>
    <w:rsid w:val="00B530CD"/>
    <w:rsid w:val="00B55F5E"/>
    <w:rsid w:val="00B5752E"/>
    <w:rsid w:val="00B63A11"/>
    <w:rsid w:val="00B63B6A"/>
    <w:rsid w:val="00B64C24"/>
    <w:rsid w:val="00B6608F"/>
    <w:rsid w:val="00B67768"/>
    <w:rsid w:val="00B679FB"/>
    <w:rsid w:val="00B71EF7"/>
    <w:rsid w:val="00B7665A"/>
    <w:rsid w:val="00B76D1E"/>
    <w:rsid w:val="00B8028A"/>
    <w:rsid w:val="00B80EC6"/>
    <w:rsid w:val="00B84CF6"/>
    <w:rsid w:val="00B92D1D"/>
    <w:rsid w:val="00B938C5"/>
    <w:rsid w:val="00B95940"/>
    <w:rsid w:val="00BA37EA"/>
    <w:rsid w:val="00BA6C2B"/>
    <w:rsid w:val="00BB46F3"/>
    <w:rsid w:val="00BB4CB1"/>
    <w:rsid w:val="00BB4F98"/>
    <w:rsid w:val="00BB73ED"/>
    <w:rsid w:val="00BC5C12"/>
    <w:rsid w:val="00BC7154"/>
    <w:rsid w:val="00BC731E"/>
    <w:rsid w:val="00BD366B"/>
    <w:rsid w:val="00BD6D50"/>
    <w:rsid w:val="00BE18B9"/>
    <w:rsid w:val="00BE2495"/>
    <w:rsid w:val="00BF1578"/>
    <w:rsid w:val="00BF3B1D"/>
    <w:rsid w:val="00BF723F"/>
    <w:rsid w:val="00C21F94"/>
    <w:rsid w:val="00C27913"/>
    <w:rsid w:val="00C27E4F"/>
    <w:rsid w:val="00C325AE"/>
    <w:rsid w:val="00C32964"/>
    <w:rsid w:val="00C33B68"/>
    <w:rsid w:val="00C36A79"/>
    <w:rsid w:val="00C401D2"/>
    <w:rsid w:val="00C405D4"/>
    <w:rsid w:val="00C4431F"/>
    <w:rsid w:val="00C4513B"/>
    <w:rsid w:val="00C5390B"/>
    <w:rsid w:val="00C53E5D"/>
    <w:rsid w:val="00C54697"/>
    <w:rsid w:val="00C65535"/>
    <w:rsid w:val="00C66B0D"/>
    <w:rsid w:val="00C71E85"/>
    <w:rsid w:val="00C72884"/>
    <w:rsid w:val="00C73885"/>
    <w:rsid w:val="00C747B1"/>
    <w:rsid w:val="00C82191"/>
    <w:rsid w:val="00C83134"/>
    <w:rsid w:val="00C85545"/>
    <w:rsid w:val="00C90CF4"/>
    <w:rsid w:val="00C92EB6"/>
    <w:rsid w:val="00C93389"/>
    <w:rsid w:val="00CA0914"/>
    <w:rsid w:val="00CA6AB4"/>
    <w:rsid w:val="00CA7BE7"/>
    <w:rsid w:val="00CB4930"/>
    <w:rsid w:val="00CC2E7D"/>
    <w:rsid w:val="00CD10A5"/>
    <w:rsid w:val="00CD2076"/>
    <w:rsid w:val="00CD29B5"/>
    <w:rsid w:val="00CD6331"/>
    <w:rsid w:val="00CD7AFB"/>
    <w:rsid w:val="00CE670B"/>
    <w:rsid w:val="00CF39C9"/>
    <w:rsid w:val="00CF4908"/>
    <w:rsid w:val="00CF51EC"/>
    <w:rsid w:val="00CF73AE"/>
    <w:rsid w:val="00D040DD"/>
    <w:rsid w:val="00D075BE"/>
    <w:rsid w:val="00D13986"/>
    <w:rsid w:val="00D21D83"/>
    <w:rsid w:val="00D235B7"/>
    <w:rsid w:val="00D23C02"/>
    <w:rsid w:val="00D25F28"/>
    <w:rsid w:val="00D26071"/>
    <w:rsid w:val="00D27973"/>
    <w:rsid w:val="00D35E1A"/>
    <w:rsid w:val="00D42211"/>
    <w:rsid w:val="00D50F46"/>
    <w:rsid w:val="00D567C6"/>
    <w:rsid w:val="00D57677"/>
    <w:rsid w:val="00D66223"/>
    <w:rsid w:val="00D71625"/>
    <w:rsid w:val="00D751DA"/>
    <w:rsid w:val="00D8084C"/>
    <w:rsid w:val="00D915EA"/>
    <w:rsid w:val="00D96855"/>
    <w:rsid w:val="00DA48C1"/>
    <w:rsid w:val="00DA7C0C"/>
    <w:rsid w:val="00DB08A9"/>
    <w:rsid w:val="00DB2EC8"/>
    <w:rsid w:val="00DB5FC0"/>
    <w:rsid w:val="00DB6566"/>
    <w:rsid w:val="00DC1E84"/>
    <w:rsid w:val="00DC48F1"/>
    <w:rsid w:val="00DC5B3B"/>
    <w:rsid w:val="00DD129F"/>
    <w:rsid w:val="00DD4EFE"/>
    <w:rsid w:val="00DE02BD"/>
    <w:rsid w:val="00DF42FF"/>
    <w:rsid w:val="00DF5908"/>
    <w:rsid w:val="00E01C0E"/>
    <w:rsid w:val="00E03F9A"/>
    <w:rsid w:val="00E0465E"/>
    <w:rsid w:val="00E04694"/>
    <w:rsid w:val="00E063CE"/>
    <w:rsid w:val="00E12B1E"/>
    <w:rsid w:val="00E17262"/>
    <w:rsid w:val="00E253A2"/>
    <w:rsid w:val="00E3309D"/>
    <w:rsid w:val="00E43C1C"/>
    <w:rsid w:val="00E45931"/>
    <w:rsid w:val="00E47EBA"/>
    <w:rsid w:val="00E50156"/>
    <w:rsid w:val="00E51643"/>
    <w:rsid w:val="00E53470"/>
    <w:rsid w:val="00E53874"/>
    <w:rsid w:val="00E539F6"/>
    <w:rsid w:val="00E54E39"/>
    <w:rsid w:val="00E6519D"/>
    <w:rsid w:val="00E67696"/>
    <w:rsid w:val="00E71A58"/>
    <w:rsid w:val="00E72A7A"/>
    <w:rsid w:val="00E75C94"/>
    <w:rsid w:val="00E920F4"/>
    <w:rsid w:val="00E93820"/>
    <w:rsid w:val="00E94A86"/>
    <w:rsid w:val="00E96143"/>
    <w:rsid w:val="00EA0987"/>
    <w:rsid w:val="00EA0C68"/>
    <w:rsid w:val="00EA32BC"/>
    <w:rsid w:val="00EA4302"/>
    <w:rsid w:val="00EB39C7"/>
    <w:rsid w:val="00EB3D8F"/>
    <w:rsid w:val="00EB4511"/>
    <w:rsid w:val="00EC03D7"/>
    <w:rsid w:val="00ED62C6"/>
    <w:rsid w:val="00ED64C1"/>
    <w:rsid w:val="00EE0E68"/>
    <w:rsid w:val="00EE3446"/>
    <w:rsid w:val="00EE3E78"/>
    <w:rsid w:val="00EE4B1B"/>
    <w:rsid w:val="00EE7F19"/>
    <w:rsid w:val="00EF150D"/>
    <w:rsid w:val="00EF1F5A"/>
    <w:rsid w:val="00EF47BF"/>
    <w:rsid w:val="00EF6DB3"/>
    <w:rsid w:val="00F04811"/>
    <w:rsid w:val="00F0488C"/>
    <w:rsid w:val="00F10F11"/>
    <w:rsid w:val="00F15AAA"/>
    <w:rsid w:val="00F15BEF"/>
    <w:rsid w:val="00F24407"/>
    <w:rsid w:val="00F24931"/>
    <w:rsid w:val="00F24FAA"/>
    <w:rsid w:val="00F3364D"/>
    <w:rsid w:val="00F437CC"/>
    <w:rsid w:val="00F43E29"/>
    <w:rsid w:val="00F44537"/>
    <w:rsid w:val="00F44B6A"/>
    <w:rsid w:val="00F47067"/>
    <w:rsid w:val="00F50FC3"/>
    <w:rsid w:val="00F52106"/>
    <w:rsid w:val="00F525EB"/>
    <w:rsid w:val="00F63DDE"/>
    <w:rsid w:val="00F63FB7"/>
    <w:rsid w:val="00F6421B"/>
    <w:rsid w:val="00F649D2"/>
    <w:rsid w:val="00F6602B"/>
    <w:rsid w:val="00F66FD9"/>
    <w:rsid w:val="00F67C4E"/>
    <w:rsid w:val="00F73A0C"/>
    <w:rsid w:val="00F756DB"/>
    <w:rsid w:val="00F84E7D"/>
    <w:rsid w:val="00F85066"/>
    <w:rsid w:val="00F87A4D"/>
    <w:rsid w:val="00F9785E"/>
    <w:rsid w:val="00FA5D4D"/>
    <w:rsid w:val="00FA60AD"/>
    <w:rsid w:val="00FA7115"/>
    <w:rsid w:val="00FB0EE2"/>
    <w:rsid w:val="00FB4423"/>
    <w:rsid w:val="00FB542E"/>
    <w:rsid w:val="00FC0E5F"/>
    <w:rsid w:val="00FC1A95"/>
    <w:rsid w:val="00FC56DE"/>
    <w:rsid w:val="00FC684B"/>
    <w:rsid w:val="00FD3265"/>
    <w:rsid w:val="00FD5F92"/>
    <w:rsid w:val="00FD66F9"/>
    <w:rsid w:val="00FE2F78"/>
    <w:rsid w:val="00FF4082"/>
    <w:rsid w:val="00FF7090"/>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Qmakro-2025\1.%20pololet&#237;%202025\Trh%20pr&#225;ce\Grafy-TRH%20PR&#193;CE%202q-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Qmakro-2025\1.%20pololet&#237;%202025\Trh%20pr&#225;ce\Grafy-TRH%20PR&#193;CE%202q-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Qmakro-2025\1.%20pololet&#237;%202025\Trh%20pr&#225;ce\Grafy-TRH%20PR&#193;CE%202q-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88731014312048E-2"/>
          <c:y val="1.4522051060224651E-2"/>
          <c:w val="0.84495121574960907"/>
          <c:h val="0.67557130739459548"/>
        </c:manualLayout>
      </c:layout>
      <c:barChart>
        <c:barDir val="col"/>
        <c:grouping val="stacked"/>
        <c:varyColors val="0"/>
        <c:ser>
          <c:idx val="0"/>
          <c:order val="0"/>
          <c:tx>
            <c:strRef>
              <c:f>'Trh práce 1-SNÚ'!$AC$7</c:f>
              <c:strCache>
                <c:ptCount val="1"/>
                <c:pt idx="0">
                  <c:v>Zemědělství, lesnictví a rybářství</c:v>
                </c:pt>
              </c:strCache>
            </c:strRef>
          </c:tx>
          <c:spPr>
            <a:solidFill>
              <a:srgbClr val="7DBB2D"/>
            </a:solidFill>
            <a:ln>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1-SNÚ'!$AC$36:$AC$70</c:f>
              <c:numCache>
                <c:formatCode>#\ ##0.0</c:formatCode>
                <c:ptCount val="35"/>
                <c:pt idx="0">
                  <c:v>0.11233090567681299</c:v>
                </c:pt>
                <c:pt idx="1">
                  <c:v>5.0729616313726009E-2</c:v>
                </c:pt>
                <c:pt idx="2">
                  <c:v>4.2943740830219922E-2</c:v>
                </c:pt>
                <c:pt idx="3">
                  <c:v>-6.9425529421968724E-2</c:v>
                </c:pt>
                <c:pt idx="4">
                  <c:v>6.9696535208619856E-3</c:v>
                </c:pt>
                <c:pt idx="5">
                  <c:v>9.479406509684412E-3</c:v>
                </c:pt>
                <c:pt idx="6">
                  <c:v>-3.0827114025735328E-3</c:v>
                </c:pt>
                <c:pt idx="7">
                  <c:v>6.4491191371409462E-2</c:v>
                </c:pt>
                <c:pt idx="8">
                  <c:v>-7.7187206717196741E-2</c:v>
                </c:pt>
                <c:pt idx="9">
                  <c:v>-0.12718590883712605</c:v>
                </c:pt>
                <c:pt idx="10">
                  <c:v>-0.15865097587800736</c:v>
                </c:pt>
                <c:pt idx="11">
                  <c:v>-0.17609829358037335</c:v>
                </c:pt>
                <c:pt idx="12">
                  <c:v>-0.2250948926699913</c:v>
                </c:pt>
                <c:pt idx="13">
                  <c:v>-0.16640126097373187</c:v>
                </c:pt>
                <c:pt idx="14">
                  <c:v>-7.0549043823175311E-2</c:v>
                </c:pt>
                <c:pt idx="15">
                  <c:v>-7.5093576708931548E-2</c:v>
                </c:pt>
                <c:pt idx="16">
                  <c:v>2.5997211931659263E-2</c:v>
                </c:pt>
                <c:pt idx="17">
                  <c:v>-4.2507410945245912E-2</c:v>
                </c:pt>
                <c:pt idx="18">
                  <c:v>-5.8046329677072947E-2</c:v>
                </c:pt>
                <c:pt idx="19">
                  <c:v>-8.5212682410797293E-3</c:v>
                </c:pt>
                <c:pt idx="20">
                  <c:v>0.10306235339118135</c:v>
                </c:pt>
                <c:pt idx="21">
                  <c:v>0.19517688868299057</c:v>
                </c:pt>
                <c:pt idx="22">
                  <c:v>0.16543408341936516</c:v>
                </c:pt>
                <c:pt idx="23">
                  <c:v>7.650834296747365E-2</c:v>
                </c:pt>
                <c:pt idx="24">
                  <c:v>1.021676732039499E-2</c:v>
                </c:pt>
                <c:pt idx="25">
                  <c:v>-1.5016960166060134E-2</c:v>
                </c:pt>
                <c:pt idx="26">
                  <c:v>-1.6656098487454283E-2</c:v>
                </c:pt>
                <c:pt idx="27">
                  <c:v>1.7912694758528712E-2</c:v>
                </c:pt>
                <c:pt idx="28">
                  <c:v>3.9459073530592912E-3</c:v>
                </c:pt>
                <c:pt idx="29">
                  <c:v>-1.3470732342822514E-3</c:v>
                </c:pt>
                <c:pt idx="30">
                  <c:v>-6.0025414937663474E-2</c:v>
                </c:pt>
                <c:pt idx="31">
                  <c:v>-2.1795046670668117E-2</c:v>
                </c:pt>
                <c:pt idx="32">
                  <c:v>4.6819939911952472E-3</c:v>
                </c:pt>
                <c:pt idx="33">
                  <c:v>-1.5063009006470091E-2</c:v>
                </c:pt>
              </c:numCache>
            </c:numRef>
          </c:val>
          <c:extLst>
            <c:ext xmlns:c16="http://schemas.microsoft.com/office/drawing/2014/chart" uri="{C3380CC4-5D6E-409C-BE32-E72D297353CC}">
              <c16:uniqueId val="{00000000-558F-4697-8961-33DFC52C2B06}"/>
            </c:ext>
          </c:extLst>
        </c:ser>
        <c:ser>
          <c:idx val="1"/>
          <c:order val="1"/>
          <c:tx>
            <c:strRef>
              <c:f>'Trh práce 1-SNÚ'!$AD$7</c:f>
              <c:strCache>
                <c:ptCount val="1"/>
                <c:pt idx="0">
                  <c:v>Zpracovatelský průmysl</c:v>
                </c:pt>
              </c:strCache>
            </c:strRef>
          </c:tx>
          <c:spPr>
            <a:solidFill>
              <a:srgbClr val="A6CDE8"/>
            </a:solidFill>
            <a:ln>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1-SNÚ'!$AD$36:$AD$70</c:f>
              <c:numCache>
                <c:formatCode>#\ ##0.0</c:formatCode>
                <c:ptCount val="35"/>
                <c:pt idx="0">
                  <c:v>0.3412385063505306</c:v>
                </c:pt>
                <c:pt idx="1">
                  <c:v>0.52262990754001282</c:v>
                </c:pt>
                <c:pt idx="2">
                  <c:v>0.60052374148058973</c:v>
                </c:pt>
                <c:pt idx="3">
                  <c:v>0.58608461317236227</c:v>
                </c:pt>
                <c:pt idx="4">
                  <c:v>0.1196805353909325</c:v>
                </c:pt>
                <c:pt idx="5">
                  <c:v>7.6175829556865152E-2</c:v>
                </c:pt>
                <c:pt idx="6">
                  <c:v>-0.12295131270874073</c:v>
                </c:pt>
                <c:pt idx="7">
                  <c:v>-0.10359555303921339</c:v>
                </c:pt>
                <c:pt idx="8">
                  <c:v>-4.3860627420650888E-2</c:v>
                </c:pt>
                <c:pt idx="9">
                  <c:v>-0.13093050641677487</c:v>
                </c:pt>
                <c:pt idx="10">
                  <c:v>-0.22271976780709798</c:v>
                </c:pt>
                <c:pt idx="11">
                  <c:v>-0.58749039840145689</c:v>
                </c:pt>
                <c:pt idx="12">
                  <c:v>-1.0289411191473512</c:v>
                </c:pt>
                <c:pt idx="13">
                  <c:v>-1.36021427307888</c:v>
                </c:pt>
                <c:pt idx="14">
                  <c:v>-1.3451400845056487</c:v>
                </c:pt>
                <c:pt idx="15">
                  <c:v>-1.0778269079948288</c:v>
                </c:pt>
                <c:pt idx="16">
                  <c:v>-0.3488211912900257</c:v>
                </c:pt>
                <c:pt idx="17">
                  <c:v>2.4010060407391501E-3</c:v>
                </c:pt>
                <c:pt idx="18">
                  <c:v>0.30789292015034142</c:v>
                </c:pt>
                <c:pt idx="19">
                  <c:v>0.30237067823921421</c:v>
                </c:pt>
                <c:pt idx="20">
                  <c:v>-2.6580743871842144E-2</c:v>
                </c:pt>
                <c:pt idx="21">
                  <c:v>0.16853333211620991</c:v>
                </c:pt>
                <c:pt idx="22">
                  <c:v>-2.6403068489182765E-2</c:v>
                </c:pt>
                <c:pt idx="23">
                  <c:v>-9.2811547940365419E-2</c:v>
                </c:pt>
                <c:pt idx="24">
                  <c:v>-5.2764598693500184E-2</c:v>
                </c:pt>
                <c:pt idx="25">
                  <c:v>-0.31110042071860405</c:v>
                </c:pt>
                <c:pt idx="26">
                  <c:v>-0.50542192458507462</c:v>
                </c:pt>
                <c:pt idx="27">
                  <c:v>-0.46124722040365801</c:v>
                </c:pt>
                <c:pt idx="28">
                  <c:v>-0.54433143546920737</c:v>
                </c:pt>
                <c:pt idx="29">
                  <c:v>-0.56115749389757896</c:v>
                </c:pt>
                <c:pt idx="30">
                  <c:v>-0.35449284515857832</c:v>
                </c:pt>
                <c:pt idx="31">
                  <c:v>-0.31216250121722122</c:v>
                </c:pt>
                <c:pt idx="32">
                  <c:v>-0.12986081759043511</c:v>
                </c:pt>
                <c:pt idx="33">
                  <c:v>-0.10161117389401052</c:v>
                </c:pt>
              </c:numCache>
            </c:numRef>
          </c:val>
          <c:extLst>
            <c:ext xmlns:c16="http://schemas.microsoft.com/office/drawing/2014/chart" uri="{C3380CC4-5D6E-409C-BE32-E72D297353CC}">
              <c16:uniqueId val="{00000001-558F-4697-8961-33DFC52C2B06}"/>
            </c:ext>
          </c:extLst>
        </c:ser>
        <c:ser>
          <c:idx val="2"/>
          <c:order val="2"/>
          <c:tx>
            <c:strRef>
              <c:f>'Trh práce 1-SNÚ'!$AE$7</c:f>
              <c:strCache>
                <c:ptCount val="1"/>
                <c:pt idx="0">
                  <c:v>Stavebnictví</c:v>
                </c:pt>
              </c:strCache>
            </c:strRef>
          </c:tx>
          <c:spPr>
            <a:solidFill>
              <a:srgbClr val="48AEE7"/>
            </a:solidFill>
            <a:ln w="19050">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1-SNÚ'!$AE$36:$AE$70</c:f>
              <c:numCache>
                <c:formatCode>#\ ##0.0</c:formatCode>
                <c:ptCount val="35"/>
                <c:pt idx="0">
                  <c:v>-2.4917596145515041E-2</c:v>
                </c:pt>
                <c:pt idx="1">
                  <c:v>-5.0729616313726017E-3</c:v>
                </c:pt>
                <c:pt idx="2">
                  <c:v>4.3708885432985532E-2</c:v>
                </c:pt>
                <c:pt idx="3">
                  <c:v>-9.7823424059502784E-2</c:v>
                </c:pt>
                <c:pt idx="4">
                  <c:v>5.1256389244704353E-2</c:v>
                </c:pt>
                <c:pt idx="5">
                  <c:v>8.9117773773679798E-3</c:v>
                </c:pt>
                <c:pt idx="6">
                  <c:v>-5.6391062242198758E-3</c:v>
                </c:pt>
                <c:pt idx="7">
                  <c:v>5.0923988524626936E-2</c:v>
                </c:pt>
                <c:pt idx="8">
                  <c:v>-4.7272009553368181E-2</c:v>
                </c:pt>
                <c:pt idx="9">
                  <c:v>2.6435741121998226E-2</c:v>
                </c:pt>
                <c:pt idx="10">
                  <c:v>4.1039112569784514E-2</c:v>
                </c:pt>
                <c:pt idx="11">
                  <c:v>5.3949403273091355E-2</c:v>
                </c:pt>
                <c:pt idx="12">
                  <c:v>-5.1099289115963641E-2</c:v>
                </c:pt>
                <c:pt idx="13">
                  <c:v>-0.28554955941039528</c:v>
                </c:pt>
                <c:pt idx="14">
                  <c:v>-0.16527458730397476</c:v>
                </c:pt>
                <c:pt idx="15">
                  <c:v>-8.3857615087929036E-2</c:v>
                </c:pt>
                <c:pt idx="16">
                  <c:v>0.10143081302490671</c:v>
                </c:pt>
                <c:pt idx="17">
                  <c:v>0.31378267745211802</c:v>
                </c:pt>
                <c:pt idx="18">
                  <c:v>0.1716844366035131</c:v>
                </c:pt>
                <c:pt idx="19">
                  <c:v>0.23602377664143806</c:v>
                </c:pt>
                <c:pt idx="20">
                  <c:v>0.12253074614093086</c:v>
                </c:pt>
                <c:pt idx="21">
                  <c:v>0.14594050898891842</c:v>
                </c:pt>
                <c:pt idx="22">
                  <c:v>0.14253885117231668</c:v>
                </c:pt>
                <c:pt idx="23">
                  <c:v>0.12602038578353064</c:v>
                </c:pt>
                <c:pt idx="24">
                  <c:v>0.42623371242387226</c:v>
                </c:pt>
                <c:pt idx="25">
                  <c:v>0.38361677767530888</c:v>
                </c:pt>
                <c:pt idx="26">
                  <c:v>0.35275036864002512</c:v>
                </c:pt>
                <c:pt idx="27">
                  <c:v>0.24898458929216655</c:v>
                </c:pt>
                <c:pt idx="28">
                  <c:v>-0.12941835102569113</c:v>
                </c:pt>
                <c:pt idx="29">
                  <c:v>-8.2060748943194137E-2</c:v>
                </c:pt>
                <c:pt idx="30">
                  <c:v>-1.235166707869611E-3</c:v>
                </c:pt>
                <c:pt idx="31">
                  <c:v>6.030453791647699E-2</c:v>
                </c:pt>
                <c:pt idx="32">
                  <c:v>0.17295728196608265</c:v>
                </c:pt>
                <c:pt idx="33">
                  <c:v>8.1765384655559062E-2</c:v>
                </c:pt>
              </c:numCache>
            </c:numRef>
          </c:val>
          <c:extLst>
            <c:ext xmlns:c16="http://schemas.microsoft.com/office/drawing/2014/chart" uri="{C3380CC4-5D6E-409C-BE32-E72D297353CC}">
              <c16:uniqueId val="{00000002-558F-4697-8961-33DFC52C2B06}"/>
            </c:ext>
          </c:extLst>
        </c:ser>
        <c:ser>
          <c:idx val="3"/>
          <c:order val="3"/>
          <c:tx>
            <c:strRef>
              <c:f>'Trh práce 1-SNÚ'!$AF$7</c:f>
              <c:strCache>
                <c:ptCount val="1"/>
                <c:pt idx="0">
                  <c:v>Obchod, doprava, ubytování a pohost.</c:v>
                </c:pt>
              </c:strCache>
            </c:strRef>
          </c:tx>
          <c:spPr>
            <a:solidFill>
              <a:srgbClr val="FDDEB3"/>
            </a:solidFill>
            <a:ln w="19050">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1-SNÚ'!$AF$36:$AF$70</c:f>
              <c:numCache>
                <c:formatCode>#\ ##0.0</c:formatCode>
                <c:ptCount val="35"/>
                <c:pt idx="0">
                  <c:v>0.16879414011911728</c:v>
                </c:pt>
                <c:pt idx="1">
                  <c:v>-1.9200681193459315E-2</c:v>
                </c:pt>
                <c:pt idx="2">
                  <c:v>0.34341602633627533</c:v>
                </c:pt>
                <c:pt idx="3">
                  <c:v>0.17810976918008636</c:v>
                </c:pt>
                <c:pt idx="4">
                  <c:v>0.13394268741863646</c:v>
                </c:pt>
                <c:pt idx="5">
                  <c:v>0.36277177846343162</c:v>
                </c:pt>
                <c:pt idx="6">
                  <c:v>0.13140997204507052</c:v>
                </c:pt>
                <c:pt idx="7">
                  <c:v>0.13129369292308796</c:v>
                </c:pt>
                <c:pt idx="8">
                  <c:v>5.4732064986453249E-2</c:v>
                </c:pt>
                <c:pt idx="9">
                  <c:v>-0.15364027979782902</c:v>
                </c:pt>
                <c:pt idx="10">
                  <c:v>-0.32178098177727366</c:v>
                </c:pt>
                <c:pt idx="11">
                  <c:v>-0.33729538991186869</c:v>
                </c:pt>
                <c:pt idx="12">
                  <c:v>-0.17031226657786785</c:v>
                </c:pt>
                <c:pt idx="13">
                  <c:v>-0.74764066051253641</c:v>
                </c:pt>
                <c:pt idx="14">
                  <c:v>-0.58389796545600492</c:v>
                </c:pt>
                <c:pt idx="15">
                  <c:v>-0.96116032871885804</c:v>
                </c:pt>
                <c:pt idx="16">
                  <c:v>-0.80036168715842226</c:v>
                </c:pt>
                <c:pt idx="17">
                  <c:v>-0.32784296882668651</c:v>
                </c:pt>
                <c:pt idx="18">
                  <c:v>0.14896065045639337</c:v>
                </c:pt>
                <c:pt idx="19">
                  <c:v>0.62556472594142731</c:v>
                </c:pt>
                <c:pt idx="20">
                  <c:v>0.11242472443929792</c:v>
                </c:pt>
                <c:pt idx="21">
                  <c:v>0.33360547415736347</c:v>
                </c:pt>
                <c:pt idx="22">
                  <c:v>-3.4097677020316033E-2</c:v>
                </c:pt>
                <c:pt idx="23">
                  <c:v>-0.17029883624108427</c:v>
                </c:pt>
                <c:pt idx="24">
                  <c:v>0.23343708104880306</c:v>
                </c:pt>
                <c:pt idx="25">
                  <c:v>0.20303830037257334</c:v>
                </c:pt>
                <c:pt idx="26">
                  <c:v>0.31586767243828845</c:v>
                </c:pt>
                <c:pt idx="27">
                  <c:v>0.401289191024224</c:v>
                </c:pt>
                <c:pt idx="28">
                  <c:v>0.42449070933333621</c:v>
                </c:pt>
                <c:pt idx="29">
                  <c:v>0.58470359591051257</c:v>
                </c:pt>
                <c:pt idx="30">
                  <c:v>0.28913962158547729</c:v>
                </c:pt>
                <c:pt idx="31">
                  <c:v>3.4901527438840167E-2</c:v>
                </c:pt>
                <c:pt idx="32">
                  <c:v>0.20335337681443294</c:v>
                </c:pt>
                <c:pt idx="33">
                  <c:v>0.27216035251106302</c:v>
                </c:pt>
              </c:numCache>
            </c:numRef>
          </c:val>
          <c:extLst>
            <c:ext xmlns:c16="http://schemas.microsoft.com/office/drawing/2014/chart" uri="{C3380CC4-5D6E-409C-BE32-E72D297353CC}">
              <c16:uniqueId val="{00000003-558F-4697-8961-33DFC52C2B06}"/>
            </c:ext>
          </c:extLst>
        </c:ser>
        <c:ser>
          <c:idx val="4"/>
          <c:order val="4"/>
          <c:tx>
            <c:strRef>
              <c:f>'Trh práce 1-SNÚ'!$AG$7</c:f>
              <c:strCache>
                <c:ptCount val="1"/>
                <c:pt idx="0">
                  <c:v>Informační a komunikač. čin.</c:v>
                </c:pt>
              </c:strCache>
            </c:strRef>
          </c:tx>
          <c:spPr>
            <a:solidFill>
              <a:srgbClr val="F8A124"/>
            </a:solidFill>
            <a:ln w="19050">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1-SNÚ'!$AG$36:$AG$70</c:f>
              <c:numCache>
                <c:formatCode>#\ ##0.0</c:formatCode>
                <c:ptCount val="35"/>
                <c:pt idx="0">
                  <c:v>0.10297479979950704</c:v>
                </c:pt>
                <c:pt idx="1">
                  <c:v>0.11307918625101115</c:v>
                </c:pt>
                <c:pt idx="2">
                  <c:v>0.14195345242808999</c:v>
                </c:pt>
                <c:pt idx="3">
                  <c:v>0.14010642458143058</c:v>
                </c:pt>
                <c:pt idx="4">
                  <c:v>0.13192965397664363</c:v>
                </c:pt>
                <c:pt idx="5">
                  <c:v>0.14949459248107094</c:v>
                </c:pt>
                <c:pt idx="6">
                  <c:v>0.10537609830992209</c:v>
                </c:pt>
                <c:pt idx="7">
                  <c:v>0.12451009149969672</c:v>
                </c:pt>
                <c:pt idx="8">
                  <c:v>0.12599621261607491</c:v>
                </c:pt>
                <c:pt idx="9">
                  <c:v>7.6289189495829968E-2</c:v>
                </c:pt>
                <c:pt idx="10">
                  <c:v>0.11559629979865636</c:v>
                </c:pt>
                <c:pt idx="11">
                  <c:v>0.11960024608369116</c:v>
                </c:pt>
                <c:pt idx="12">
                  <c:v>9.8159995557559124E-2</c:v>
                </c:pt>
                <c:pt idx="13">
                  <c:v>5.3460156432470374E-2</c:v>
                </c:pt>
                <c:pt idx="14">
                  <c:v>7.6826712976932429E-2</c:v>
                </c:pt>
                <c:pt idx="15">
                  <c:v>6.039321318860455E-2</c:v>
                </c:pt>
                <c:pt idx="16">
                  <c:v>2.7532032752697451E-2</c:v>
                </c:pt>
                <c:pt idx="17">
                  <c:v>8.0385682243946738E-2</c:v>
                </c:pt>
                <c:pt idx="18">
                  <c:v>6.3128020250057523E-2</c:v>
                </c:pt>
                <c:pt idx="19">
                  <c:v>-1.7675873986564034E-2</c:v>
                </c:pt>
                <c:pt idx="20">
                  <c:v>0.18492112917440828</c:v>
                </c:pt>
                <c:pt idx="21">
                  <c:v>0.17372511722879458</c:v>
                </c:pt>
                <c:pt idx="22">
                  <c:v>0.17938999104936179</c:v>
                </c:pt>
                <c:pt idx="23">
                  <c:v>0.26610369779656495</c:v>
                </c:pt>
                <c:pt idx="24">
                  <c:v>0.27430415033038302</c:v>
                </c:pt>
                <c:pt idx="25">
                  <c:v>0.19353318326371879</c:v>
                </c:pt>
                <c:pt idx="26">
                  <c:v>0.15713935340689195</c:v>
                </c:pt>
                <c:pt idx="27">
                  <c:v>0.13924832056812467</c:v>
                </c:pt>
                <c:pt idx="28">
                  <c:v>9.9518376998284114E-2</c:v>
                </c:pt>
                <c:pt idx="29">
                  <c:v>7.0195432646707995E-2</c:v>
                </c:pt>
                <c:pt idx="30">
                  <c:v>4.0428665527732194E-2</c:v>
                </c:pt>
                <c:pt idx="31">
                  <c:v>-0.1006364190443772</c:v>
                </c:pt>
                <c:pt idx="32">
                  <c:v>-4.2948999997972151E-3</c:v>
                </c:pt>
                <c:pt idx="33">
                  <c:v>-4.0442896444378935E-2</c:v>
                </c:pt>
              </c:numCache>
            </c:numRef>
          </c:val>
          <c:extLst>
            <c:ext xmlns:c16="http://schemas.microsoft.com/office/drawing/2014/chart" uri="{C3380CC4-5D6E-409C-BE32-E72D297353CC}">
              <c16:uniqueId val="{00000004-558F-4697-8961-33DFC52C2B06}"/>
            </c:ext>
          </c:extLst>
        </c:ser>
        <c:ser>
          <c:idx val="5"/>
          <c:order val="5"/>
          <c:tx>
            <c:strRef>
              <c:f>'Trh práce 1-SNÚ'!$AH$7</c:f>
              <c:strCache>
                <c:ptCount val="1"/>
                <c:pt idx="0">
                  <c:v>Profesní, vědec., techn. a admin. čin.</c:v>
                </c:pt>
              </c:strCache>
            </c:strRef>
          </c:tx>
          <c:spPr>
            <a:solidFill>
              <a:srgbClr val="E8C0BE"/>
            </a:solidFill>
            <a:ln w="19050">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1-SNÚ'!$AH$36:$AH$70</c:f>
              <c:numCache>
                <c:formatCode>#\ ##0.0</c:formatCode>
                <c:ptCount val="35"/>
                <c:pt idx="0">
                  <c:v>0.30218108694896378</c:v>
                </c:pt>
                <c:pt idx="1">
                  <c:v>0.24690965706205212</c:v>
                </c:pt>
                <c:pt idx="2">
                  <c:v>0.20140518806297794</c:v>
                </c:pt>
                <c:pt idx="3">
                  <c:v>4.4888835461875665E-2</c:v>
                </c:pt>
                <c:pt idx="4">
                  <c:v>0.11405923445857516</c:v>
                </c:pt>
                <c:pt idx="5">
                  <c:v>0.12026169216677469</c:v>
                </c:pt>
                <c:pt idx="6">
                  <c:v>8.2368544915104994E-2</c:v>
                </c:pt>
                <c:pt idx="7">
                  <c:v>0.21654909363756486</c:v>
                </c:pt>
                <c:pt idx="8">
                  <c:v>4.1892522344083222E-2</c:v>
                </c:pt>
                <c:pt idx="9">
                  <c:v>2.5895475799561337E-3</c:v>
                </c:pt>
                <c:pt idx="10">
                  <c:v>1.655374845356929E-2</c:v>
                </c:pt>
                <c:pt idx="11">
                  <c:v>-0.16305742058229164</c:v>
                </c:pt>
                <c:pt idx="12">
                  <c:v>-0.17106015225830634</c:v>
                </c:pt>
                <c:pt idx="13">
                  <c:v>-0.35509622734956792</c:v>
                </c:pt>
                <c:pt idx="14">
                  <c:v>-0.52248517227624403</c:v>
                </c:pt>
                <c:pt idx="15">
                  <c:v>-0.259700179999866</c:v>
                </c:pt>
                <c:pt idx="16">
                  <c:v>-0.13767911216868525</c:v>
                </c:pt>
                <c:pt idx="17">
                  <c:v>0.17127816692216799</c:v>
                </c:pt>
                <c:pt idx="18">
                  <c:v>0.30499731533328217</c:v>
                </c:pt>
                <c:pt idx="19">
                  <c:v>0.11023910985757197</c:v>
                </c:pt>
                <c:pt idx="20">
                  <c:v>0.14110294451336577</c:v>
                </c:pt>
                <c:pt idx="21">
                  <c:v>0.11855526883462565</c:v>
                </c:pt>
                <c:pt idx="22">
                  <c:v>0.16494374071885179</c:v>
                </c:pt>
                <c:pt idx="23">
                  <c:v>0.23562461136341045</c:v>
                </c:pt>
                <c:pt idx="24">
                  <c:v>0.45505217255496794</c:v>
                </c:pt>
                <c:pt idx="25">
                  <c:v>0.46143875226871167</c:v>
                </c:pt>
                <c:pt idx="26">
                  <c:v>0.51807756844142316</c:v>
                </c:pt>
                <c:pt idx="27">
                  <c:v>0.51726408336593921</c:v>
                </c:pt>
                <c:pt idx="28">
                  <c:v>0.23008530199528826</c:v>
                </c:pt>
                <c:pt idx="29">
                  <c:v>0.17028481925967967</c:v>
                </c:pt>
                <c:pt idx="30">
                  <c:v>0.14108553455710646</c:v>
                </c:pt>
                <c:pt idx="31">
                  <c:v>0.10637970836975597</c:v>
                </c:pt>
                <c:pt idx="32">
                  <c:v>0.16551033089347292</c:v>
                </c:pt>
                <c:pt idx="33">
                  <c:v>8.8032475994017423E-2</c:v>
                </c:pt>
              </c:numCache>
            </c:numRef>
          </c:val>
          <c:extLst>
            <c:ext xmlns:c16="http://schemas.microsoft.com/office/drawing/2014/chart" uri="{C3380CC4-5D6E-409C-BE32-E72D297353CC}">
              <c16:uniqueId val="{00000005-558F-4697-8961-33DFC52C2B06}"/>
            </c:ext>
          </c:extLst>
        </c:ser>
        <c:ser>
          <c:idx val="6"/>
          <c:order val="6"/>
          <c:tx>
            <c:strRef>
              <c:f>'Trh práce 1-SNÚ'!$AI$7</c:f>
              <c:strCache>
                <c:ptCount val="1"/>
                <c:pt idx="0">
                  <c:v>Veř.spr.,obrana, vzděl.,zdrav.a soc.péče</c:v>
                </c:pt>
              </c:strCache>
            </c:strRef>
          </c:tx>
          <c:spPr>
            <a:solidFill>
              <a:srgbClr val="D58D8B"/>
            </a:solidFill>
            <a:ln>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1-SNÚ'!$AI$36:$AI$70</c:f>
              <c:numCache>
                <c:formatCode>#\ ##0.0</c:formatCode>
                <c:ptCount val="35"/>
                <c:pt idx="0">
                  <c:v>0.25372913823733012</c:v>
                </c:pt>
                <c:pt idx="1">
                  <c:v>0.32300408153264115</c:v>
                </c:pt>
                <c:pt idx="2">
                  <c:v>0.40403460749038084</c:v>
                </c:pt>
                <c:pt idx="3">
                  <c:v>0.45280661737517469</c:v>
                </c:pt>
                <c:pt idx="4">
                  <c:v>0.60960729705632077</c:v>
                </c:pt>
                <c:pt idx="5">
                  <c:v>0.68223345413111947</c:v>
                </c:pt>
                <c:pt idx="6">
                  <c:v>0.5434782608695643</c:v>
                </c:pt>
                <c:pt idx="7">
                  <c:v>0.5340066073405344</c:v>
                </c:pt>
                <c:pt idx="8">
                  <c:v>0.30745550067561389</c:v>
                </c:pt>
                <c:pt idx="9">
                  <c:v>0.28160864186055334</c:v>
                </c:pt>
                <c:pt idx="10">
                  <c:v>0.3282382500579219</c:v>
                </c:pt>
                <c:pt idx="11">
                  <c:v>0.35876353176605752</c:v>
                </c:pt>
                <c:pt idx="12">
                  <c:v>0.41133712424120017</c:v>
                </c:pt>
                <c:pt idx="13">
                  <c:v>0.31561623734818278</c:v>
                </c:pt>
                <c:pt idx="14">
                  <c:v>0.43203815926035638</c:v>
                </c:pt>
                <c:pt idx="15">
                  <c:v>0.41513077518294128</c:v>
                </c:pt>
                <c:pt idx="16">
                  <c:v>0.48992996479954942</c:v>
                </c:pt>
                <c:pt idx="17">
                  <c:v>0.61125772187553584</c:v>
                </c:pt>
                <c:pt idx="18">
                  <c:v>0.59327299225281893</c:v>
                </c:pt>
                <c:pt idx="19">
                  <c:v>0.46696166120205151</c:v>
                </c:pt>
                <c:pt idx="20">
                  <c:v>0.25751287373689258</c:v>
                </c:pt>
                <c:pt idx="21">
                  <c:v>0.20481877532064779</c:v>
                </c:pt>
                <c:pt idx="22">
                  <c:v>0.21446835347070459</c:v>
                </c:pt>
                <c:pt idx="23">
                  <c:v>0.25725553805377149</c:v>
                </c:pt>
                <c:pt idx="24">
                  <c:v>0.3121685098080022</c:v>
                </c:pt>
                <c:pt idx="25">
                  <c:v>0.29209018650089497</c:v>
                </c:pt>
                <c:pt idx="26">
                  <c:v>0.13623978201634884</c:v>
                </c:pt>
                <c:pt idx="27">
                  <c:v>0.10560831716863539</c:v>
                </c:pt>
                <c:pt idx="28">
                  <c:v>9.5665096578395212E-2</c:v>
                </c:pt>
                <c:pt idx="29">
                  <c:v>0.11009094405106729</c:v>
                </c:pt>
                <c:pt idx="30">
                  <c:v>0.19281505369564569</c:v>
                </c:pt>
                <c:pt idx="31">
                  <c:v>0.30238786457691319</c:v>
                </c:pt>
                <c:pt idx="32">
                  <c:v>0.33968419397537797</c:v>
                </c:pt>
                <c:pt idx="33">
                  <c:v>0.45379605235550524</c:v>
                </c:pt>
              </c:numCache>
            </c:numRef>
          </c:val>
          <c:extLst>
            <c:ext xmlns:c16="http://schemas.microsoft.com/office/drawing/2014/chart" uri="{C3380CC4-5D6E-409C-BE32-E72D297353CC}">
              <c16:uniqueId val="{00000006-558F-4697-8961-33DFC52C2B06}"/>
            </c:ext>
          </c:extLst>
        </c:ser>
        <c:ser>
          <c:idx val="7"/>
          <c:order val="7"/>
          <c:tx>
            <c:strRef>
              <c:f>'Trh práce 1-SNÚ'!$AJ$7</c:f>
              <c:strCache>
                <c:ptCount val="1"/>
                <c:pt idx="0">
                  <c:v>Ostatní odvětví*</c:v>
                </c:pt>
              </c:strCache>
            </c:strRef>
          </c:tx>
          <c:spPr>
            <a:solidFill>
              <a:schemeClr val="bg1">
                <a:lumMod val="85000"/>
              </a:schemeClr>
            </a:solidFill>
            <a:ln>
              <a:noFill/>
            </a:ln>
          </c:spPr>
          <c:invertIfNegative val="0"/>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1-SNÚ'!$AJ$36:$AJ$70</c:f>
              <c:numCache>
                <c:formatCode>#\ ##0.0</c:formatCode>
                <c:ptCount val="35"/>
                <c:pt idx="0">
                  <c:v>-9.3484211907537543E-2</c:v>
                </c:pt>
                <c:pt idx="1">
                  <c:v>-5.7295751557351692E-2</c:v>
                </c:pt>
                <c:pt idx="2">
                  <c:v>-1.3906503155264979E-2</c:v>
                </c:pt>
                <c:pt idx="3">
                  <c:v>-1.3143298857693261E-2</c:v>
                </c:pt>
                <c:pt idx="4">
                  <c:v>0.15044576346667207</c:v>
                </c:pt>
                <c:pt idx="5">
                  <c:v>0.15339231252297711</c:v>
                </c:pt>
                <c:pt idx="6">
                  <c:v>-1.0827083950502157E-2</c:v>
                </c:pt>
                <c:pt idx="7">
                  <c:v>-8.1553546198111036E-3</c:v>
                </c:pt>
                <c:pt idx="8">
                  <c:v>-0.11190083149627598</c:v>
                </c:pt>
                <c:pt idx="9">
                  <c:v>-3.0869642733721676E-2</c:v>
                </c:pt>
                <c:pt idx="10">
                  <c:v>8.9785889301152055E-2</c:v>
                </c:pt>
                <c:pt idx="11">
                  <c:v>7.3017726843752948E-2</c:v>
                </c:pt>
                <c:pt idx="12">
                  <c:v>-0.18902810573084244</c:v>
                </c:pt>
                <c:pt idx="13">
                  <c:v>-0.41036448530712522</c:v>
                </c:pt>
                <c:pt idx="14">
                  <c:v>-0.39059806942990016</c:v>
                </c:pt>
                <c:pt idx="15">
                  <c:v>-0.44320191520455926</c:v>
                </c:pt>
                <c:pt idx="16">
                  <c:v>1.4950291701223861E-2</c:v>
                </c:pt>
                <c:pt idx="17">
                  <c:v>0.1930600937237536</c:v>
                </c:pt>
                <c:pt idx="18">
                  <c:v>0.14821277901357677</c:v>
                </c:pt>
                <c:pt idx="19">
                  <c:v>0.23009343455474068</c:v>
                </c:pt>
                <c:pt idx="20">
                  <c:v>7.4040909938567476E-2</c:v>
                </c:pt>
                <c:pt idx="21">
                  <c:v>9.8548829499684021E-2</c:v>
                </c:pt>
                <c:pt idx="22">
                  <c:v>7.9699548168061685E-2</c:v>
                </c:pt>
                <c:pt idx="23">
                  <c:v>9.0514791581597767E-2</c:v>
                </c:pt>
                <c:pt idx="24">
                  <c:v>0.28236803137624006</c:v>
                </c:pt>
                <c:pt idx="25">
                  <c:v>0.38946608051152709</c:v>
                </c:pt>
                <c:pt idx="26">
                  <c:v>0.44360181493523027</c:v>
                </c:pt>
                <c:pt idx="27">
                  <c:v>0.50060284903371011</c:v>
                </c:pt>
                <c:pt idx="28">
                  <c:v>0.32098937420872459</c:v>
                </c:pt>
                <c:pt idx="29">
                  <c:v>0.40904893677170773</c:v>
                </c:pt>
                <c:pt idx="30">
                  <c:v>0.40858208576886845</c:v>
                </c:pt>
                <c:pt idx="31">
                  <c:v>0.46211389494970656</c:v>
                </c:pt>
                <c:pt idx="32">
                  <c:v>0.31339866865473065</c:v>
                </c:pt>
                <c:pt idx="33">
                  <c:v>0.21315440482148432</c:v>
                </c:pt>
              </c:numCache>
            </c:numRef>
          </c:val>
          <c:extLst>
            <c:ext xmlns:c16="http://schemas.microsoft.com/office/drawing/2014/chart" uri="{C3380CC4-5D6E-409C-BE32-E72D297353CC}">
              <c16:uniqueId val="{00000007-558F-4697-8961-33DFC52C2B06}"/>
            </c:ext>
          </c:extLst>
        </c:ser>
        <c:dLbls>
          <c:showLegendKey val="0"/>
          <c:showVal val="0"/>
          <c:showCatName val="0"/>
          <c:showSerName val="0"/>
          <c:showPercent val="0"/>
          <c:showBubbleSize val="0"/>
        </c:dLbls>
        <c:gapWidth val="47"/>
        <c:overlap val="100"/>
        <c:axId val="101898496"/>
        <c:axId val="101781504"/>
      </c:barChart>
      <c:lineChart>
        <c:grouping val="standard"/>
        <c:varyColors val="0"/>
        <c:ser>
          <c:idx val="8"/>
          <c:order val="8"/>
          <c:tx>
            <c:strRef>
              <c:f>'Trh práce 1-SNÚ'!$AK$7</c:f>
              <c:strCache>
                <c:ptCount val="1"/>
                <c:pt idx="0">
                  <c:v>Zaměstnanost celkem</c:v>
                </c:pt>
              </c:strCache>
            </c:strRef>
          </c:tx>
          <c:spPr>
            <a:ln w="19050">
              <a:solidFill>
                <a:schemeClr val="tx1">
                  <a:lumMod val="95000"/>
                  <a:lumOff val="5000"/>
                </a:schemeClr>
              </a:solidFill>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1-SNÚ'!$AK$36:$AK$70</c:f>
              <c:numCache>
                <c:formatCode>#\ ##0.0</c:formatCode>
                <c:ptCount val="35"/>
                <c:pt idx="0">
                  <c:v>1.1628467690792093</c:v>
                </c:pt>
                <c:pt idx="1">
                  <c:v>1.1747830543172597</c:v>
                </c:pt>
                <c:pt idx="2">
                  <c:v>1.7640791389062542</c:v>
                </c:pt>
                <c:pt idx="3">
                  <c:v>1.2216040074317647</c:v>
                </c:pt>
                <c:pt idx="4">
                  <c:v>1.317891214533347</c:v>
                </c:pt>
                <c:pt idx="5">
                  <c:v>1.5627208432092914</c:v>
                </c:pt>
                <c:pt idx="6">
                  <c:v>0.72013266185362568</c:v>
                </c:pt>
                <c:pt idx="7">
                  <c:v>1.0100237576378959</c:v>
                </c:pt>
                <c:pt idx="8">
                  <c:v>0.2498556254347335</c:v>
                </c:pt>
                <c:pt idx="9">
                  <c:v>-5.5703217727113952E-2</c:v>
                </c:pt>
                <c:pt idx="10">
                  <c:v>-0.11193842528129494</c:v>
                </c:pt>
                <c:pt idx="11">
                  <c:v>-0.65861059450939763</c:v>
                </c:pt>
                <c:pt idx="12">
                  <c:v>-1.3260387057015635</c:v>
                </c:pt>
                <c:pt idx="13">
                  <c:v>-2.9561900728515837</c:v>
                </c:pt>
                <c:pt idx="14">
                  <c:v>-2.569080050557659</c:v>
                </c:pt>
                <c:pt idx="15">
                  <c:v>-2.4253165353434269</c:v>
                </c:pt>
                <c:pt idx="16">
                  <c:v>-0.62702167640709661</c:v>
                </c:pt>
                <c:pt idx="17">
                  <c:v>1.0018149684863289</c:v>
                </c:pt>
                <c:pt idx="18">
                  <c:v>1.6801027843829104</c:v>
                </c:pt>
                <c:pt idx="19">
                  <c:v>1.9450562442088</c:v>
                </c:pt>
                <c:pt idx="20">
                  <c:v>0.9690149374628021</c:v>
                </c:pt>
                <c:pt idx="21">
                  <c:v>1.4389041948292345</c:v>
                </c:pt>
                <c:pt idx="22">
                  <c:v>0.8859738224891629</c:v>
                </c:pt>
                <c:pt idx="23">
                  <c:v>0.78891698336489924</c:v>
                </c:pt>
                <c:pt idx="24">
                  <c:v>1.9410158261691635</c:v>
                </c:pt>
                <c:pt idx="25">
                  <c:v>1.5970658997080704</c:v>
                </c:pt>
                <c:pt idx="26">
                  <c:v>1.4015985368056789</c:v>
                </c:pt>
                <c:pt idx="27">
                  <c:v>1.4696628248076706</c:v>
                </c:pt>
                <c:pt idx="28">
                  <c:v>0.50094497997218923</c:v>
                </c:pt>
                <c:pt idx="29">
                  <c:v>0.6997584125646199</c:v>
                </c:pt>
                <c:pt idx="30">
                  <c:v>0.65629753433071869</c:v>
                </c:pt>
                <c:pt idx="31">
                  <c:v>0.53149356631942624</c:v>
                </c:pt>
                <c:pt idx="32">
                  <c:v>1.06543012870506</c:v>
                </c:pt>
                <c:pt idx="33">
                  <c:v>0.95179159099276944</c:v>
                </c:pt>
              </c:numCache>
            </c:numRef>
          </c:val>
          <c:smooth val="0"/>
          <c:extLst>
            <c:ext xmlns:c16="http://schemas.microsoft.com/office/drawing/2014/chart" uri="{C3380CC4-5D6E-409C-BE32-E72D297353CC}">
              <c16:uniqueId val="{00000008-558F-4697-8961-33DFC52C2B06}"/>
            </c:ext>
          </c:extLst>
        </c:ser>
        <c:dLbls>
          <c:showLegendKey val="0"/>
          <c:showVal val="0"/>
          <c:showCatName val="0"/>
          <c:showSerName val="0"/>
          <c:showPercent val="0"/>
          <c:showBubbleSize val="0"/>
        </c:dLbls>
        <c:marker val="1"/>
        <c:smooth val="0"/>
        <c:axId val="101898496"/>
        <c:axId val="101781504"/>
      </c:lineChart>
      <c:lineChart>
        <c:grouping val="standard"/>
        <c:varyColors val="0"/>
        <c:ser>
          <c:idx val="9"/>
          <c:order val="9"/>
          <c:tx>
            <c:strRef>
              <c:f>'Trh práce 1-SNÚ'!$AL$7</c:f>
              <c:strCache>
                <c:ptCount val="1"/>
              </c:strCache>
            </c:strRef>
          </c:tx>
          <c:spPr>
            <a:ln>
              <a:noFill/>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1-SNÚ'!$AL$36:$AL$70</c:f>
              <c:numCache>
                <c:formatCode>General</c:formatCode>
                <c:ptCount val="35"/>
              </c:numCache>
            </c:numRef>
          </c:val>
          <c:smooth val="0"/>
          <c:extLst>
            <c:ext xmlns:c16="http://schemas.microsoft.com/office/drawing/2014/chart" uri="{C3380CC4-5D6E-409C-BE32-E72D297353CC}">
              <c16:uniqueId val="{00000009-558F-4697-8961-33DFC52C2B06}"/>
            </c:ext>
          </c:extLst>
        </c:ser>
        <c:ser>
          <c:idx val="10"/>
          <c:order val="10"/>
          <c:tx>
            <c:strRef>
              <c:f>'Trh práce 1-SNÚ'!$AM$7</c:f>
              <c:strCache>
                <c:ptCount val="1"/>
                <c:pt idx="0">
                  <c:v>Očekávání zaměstnanosti (průmysl)</c:v>
                </c:pt>
              </c:strCache>
            </c:strRef>
          </c:tx>
          <c:spPr>
            <a:ln w="15875">
              <a:solidFill>
                <a:schemeClr val="tx1">
                  <a:lumMod val="95000"/>
                  <a:lumOff val="5000"/>
                </a:schemeClr>
              </a:solidFill>
              <a:prstDash val="sysDot"/>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1-SNÚ'!$AM$36:$AM$70</c:f>
              <c:numCache>
                <c:formatCode>#\ ##0.0</c:formatCode>
                <c:ptCount val="35"/>
                <c:pt idx="0">
                  <c:v>11.1</c:v>
                </c:pt>
                <c:pt idx="1">
                  <c:v>5.7</c:v>
                </c:pt>
                <c:pt idx="2">
                  <c:v>8.1999999999999993</c:v>
                </c:pt>
                <c:pt idx="3">
                  <c:v>7.3</c:v>
                </c:pt>
                <c:pt idx="4">
                  <c:v>9.8000000000000007</c:v>
                </c:pt>
                <c:pt idx="5">
                  <c:v>9.4</c:v>
                </c:pt>
                <c:pt idx="6">
                  <c:v>6.2</c:v>
                </c:pt>
                <c:pt idx="7">
                  <c:v>6.3</c:v>
                </c:pt>
                <c:pt idx="8">
                  <c:v>2.5</c:v>
                </c:pt>
                <c:pt idx="9">
                  <c:v>2.6</c:v>
                </c:pt>
                <c:pt idx="10">
                  <c:v>0.5</c:v>
                </c:pt>
                <c:pt idx="11">
                  <c:v>-2.8</c:v>
                </c:pt>
                <c:pt idx="12">
                  <c:v>2.9</c:v>
                </c:pt>
                <c:pt idx="13">
                  <c:v>-19</c:v>
                </c:pt>
                <c:pt idx="14">
                  <c:v>-10.9</c:v>
                </c:pt>
                <c:pt idx="15">
                  <c:v>-3.5</c:v>
                </c:pt>
                <c:pt idx="16">
                  <c:v>4.4000000000000004</c:v>
                </c:pt>
                <c:pt idx="17">
                  <c:v>8.6</c:v>
                </c:pt>
                <c:pt idx="18">
                  <c:v>4.7</c:v>
                </c:pt>
                <c:pt idx="19">
                  <c:v>1.8</c:v>
                </c:pt>
                <c:pt idx="20">
                  <c:v>11.2</c:v>
                </c:pt>
                <c:pt idx="21">
                  <c:v>2.2999999999999998</c:v>
                </c:pt>
                <c:pt idx="22">
                  <c:v>2.1</c:v>
                </c:pt>
                <c:pt idx="23">
                  <c:v>-9.9</c:v>
                </c:pt>
                <c:pt idx="24">
                  <c:v>-13.6</c:v>
                </c:pt>
                <c:pt idx="25">
                  <c:v>-5.8</c:v>
                </c:pt>
                <c:pt idx="26">
                  <c:v>-4.3</c:v>
                </c:pt>
                <c:pt idx="27">
                  <c:v>-8.3000000000000007</c:v>
                </c:pt>
                <c:pt idx="28">
                  <c:v>-6</c:v>
                </c:pt>
                <c:pt idx="29">
                  <c:v>-9.6</c:v>
                </c:pt>
                <c:pt idx="30">
                  <c:v>-10.7</c:v>
                </c:pt>
                <c:pt idx="31">
                  <c:v>-13.2</c:v>
                </c:pt>
                <c:pt idx="32">
                  <c:v>-13</c:v>
                </c:pt>
                <c:pt idx="33">
                  <c:v>-11.9</c:v>
                </c:pt>
                <c:pt idx="34">
                  <c:v>-9.5</c:v>
                </c:pt>
              </c:numCache>
            </c:numRef>
          </c:val>
          <c:smooth val="0"/>
          <c:extLst>
            <c:ext xmlns:c16="http://schemas.microsoft.com/office/drawing/2014/chart" uri="{C3380CC4-5D6E-409C-BE32-E72D297353CC}">
              <c16:uniqueId val="{0000000A-558F-4697-8961-33DFC52C2B06}"/>
            </c:ext>
          </c:extLst>
        </c:ser>
        <c:ser>
          <c:idx val="11"/>
          <c:order val="11"/>
          <c:tx>
            <c:strRef>
              <c:f>'Trh práce 1-SNÚ'!$AN$7</c:f>
              <c:strCache>
                <c:ptCount val="1"/>
                <c:pt idx="0">
                  <c:v>Očekávání zaměstnanosti (stavebnictví)</c:v>
                </c:pt>
              </c:strCache>
            </c:strRef>
          </c:tx>
          <c:spPr>
            <a:ln w="15875">
              <a:solidFill>
                <a:srgbClr val="00B0F0"/>
              </a:solidFill>
              <a:prstDash val="sysDot"/>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1-SNÚ'!$AN$36:$AN$70</c:f>
              <c:numCache>
                <c:formatCode>#\ ##0.0</c:formatCode>
                <c:ptCount val="35"/>
                <c:pt idx="0">
                  <c:v>-7.4</c:v>
                </c:pt>
                <c:pt idx="1">
                  <c:v>-11.8</c:v>
                </c:pt>
                <c:pt idx="2">
                  <c:v>-6</c:v>
                </c:pt>
                <c:pt idx="3">
                  <c:v>-3.6</c:v>
                </c:pt>
                <c:pt idx="4">
                  <c:v>4.4000000000000004</c:v>
                </c:pt>
                <c:pt idx="5">
                  <c:v>6</c:v>
                </c:pt>
                <c:pt idx="6">
                  <c:v>9.1999999999999993</c:v>
                </c:pt>
                <c:pt idx="7">
                  <c:v>8.4</c:v>
                </c:pt>
                <c:pt idx="8">
                  <c:v>6.5</c:v>
                </c:pt>
                <c:pt idx="9">
                  <c:v>10.4</c:v>
                </c:pt>
                <c:pt idx="10">
                  <c:v>4.3</c:v>
                </c:pt>
                <c:pt idx="11">
                  <c:v>9.1</c:v>
                </c:pt>
                <c:pt idx="12">
                  <c:v>5.6</c:v>
                </c:pt>
                <c:pt idx="13">
                  <c:v>-3.1</c:v>
                </c:pt>
                <c:pt idx="14">
                  <c:v>1.9</c:v>
                </c:pt>
                <c:pt idx="15">
                  <c:v>-3.6</c:v>
                </c:pt>
                <c:pt idx="16">
                  <c:v>3.4</c:v>
                </c:pt>
                <c:pt idx="17">
                  <c:v>5.6</c:v>
                </c:pt>
                <c:pt idx="18">
                  <c:v>4.8</c:v>
                </c:pt>
                <c:pt idx="19">
                  <c:v>6</c:v>
                </c:pt>
                <c:pt idx="20">
                  <c:v>9.3000000000000007</c:v>
                </c:pt>
                <c:pt idx="21">
                  <c:v>9.1</c:v>
                </c:pt>
                <c:pt idx="22">
                  <c:v>2.2000000000000002</c:v>
                </c:pt>
                <c:pt idx="23">
                  <c:v>-3.4</c:v>
                </c:pt>
                <c:pt idx="24">
                  <c:v>-12.7</c:v>
                </c:pt>
                <c:pt idx="25">
                  <c:v>-11.8</c:v>
                </c:pt>
                <c:pt idx="26">
                  <c:v>-7.3</c:v>
                </c:pt>
                <c:pt idx="27">
                  <c:v>-2.5</c:v>
                </c:pt>
                <c:pt idx="28">
                  <c:v>0</c:v>
                </c:pt>
                <c:pt idx="29">
                  <c:v>-7.6</c:v>
                </c:pt>
                <c:pt idx="30">
                  <c:v>-6.2</c:v>
                </c:pt>
                <c:pt idx="31">
                  <c:v>7</c:v>
                </c:pt>
                <c:pt idx="32">
                  <c:v>2.8</c:v>
                </c:pt>
                <c:pt idx="33">
                  <c:v>7.7</c:v>
                </c:pt>
                <c:pt idx="34">
                  <c:v>12.5</c:v>
                </c:pt>
              </c:numCache>
            </c:numRef>
          </c:val>
          <c:smooth val="0"/>
          <c:extLst>
            <c:ext xmlns:c16="http://schemas.microsoft.com/office/drawing/2014/chart" uri="{C3380CC4-5D6E-409C-BE32-E72D297353CC}">
              <c16:uniqueId val="{0000000B-558F-4697-8961-33DFC52C2B06}"/>
            </c:ext>
          </c:extLst>
        </c:ser>
        <c:ser>
          <c:idx val="12"/>
          <c:order val="12"/>
          <c:tx>
            <c:strRef>
              <c:f>'Trh práce 1-SNÚ'!$AO$7</c:f>
              <c:strCache>
                <c:ptCount val="1"/>
                <c:pt idx="0">
                  <c:v>Očekávání zaměstnanosti (obchod)</c:v>
                </c:pt>
              </c:strCache>
            </c:strRef>
          </c:tx>
          <c:spPr>
            <a:ln w="15875">
              <a:solidFill>
                <a:schemeClr val="accent6">
                  <a:lumMod val="75000"/>
                </a:schemeClr>
              </a:solidFill>
              <a:prstDash val="sysDot"/>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1-SNÚ'!$AO$36:$AO$70</c:f>
              <c:numCache>
                <c:formatCode>#\ ##0.0</c:formatCode>
                <c:ptCount val="35"/>
                <c:pt idx="0">
                  <c:v>14.7</c:v>
                </c:pt>
                <c:pt idx="1">
                  <c:v>17</c:v>
                </c:pt>
                <c:pt idx="2">
                  <c:v>19</c:v>
                </c:pt>
                <c:pt idx="3">
                  <c:v>14.9</c:v>
                </c:pt>
                <c:pt idx="4">
                  <c:v>30.1</c:v>
                </c:pt>
                <c:pt idx="5">
                  <c:v>32.5</c:v>
                </c:pt>
                <c:pt idx="6">
                  <c:v>27.5</c:v>
                </c:pt>
                <c:pt idx="7">
                  <c:v>14.7</c:v>
                </c:pt>
                <c:pt idx="8">
                  <c:v>12.2</c:v>
                </c:pt>
                <c:pt idx="9">
                  <c:v>15.8</c:v>
                </c:pt>
                <c:pt idx="10">
                  <c:v>14.1</c:v>
                </c:pt>
                <c:pt idx="11">
                  <c:v>12.3</c:v>
                </c:pt>
                <c:pt idx="12">
                  <c:v>11.7</c:v>
                </c:pt>
                <c:pt idx="13">
                  <c:v>-5.9</c:v>
                </c:pt>
                <c:pt idx="14">
                  <c:v>-3.1</c:v>
                </c:pt>
                <c:pt idx="15">
                  <c:v>-0.2</c:v>
                </c:pt>
                <c:pt idx="16">
                  <c:v>6</c:v>
                </c:pt>
                <c:pt idx="17">
                  <c:v>13.2</c:v>
                </c:pt>
                <c:pt idx="18">
                  <c:v>11.4</c:v>
                </c:pt>
                <c:pt idx="19">
                  <c:v>8.5</c:v>
                </c:pt>
                <c:pt idx="20">
                  <c:v>10.5</c:v>
                </c:pt>
                <c:pt idx="21">
                  <c:v>3.2</c:v>
                </c:pt>
                <c:pt idx="22">
                  <c:v>5.9</c:v>
                </c:pt>
                <c:pt idx="23">
                  <c:v>12.5</c:v>
                </c:pt>
                <c:pt idx="24">
                  <c:v>11.3</c:v>
                </c:pt>
                <c:pt idx="25">
                  <c:v>9.1999999999999993</c:v>
                </c:pt>
                <c:pt idx="26">
                  <c:v>11.7</c:v>
                </c:pt>
                <c:pt idx="27">
                  <c:v>10.4</c:v>
                </c:pt>
                <c:pt idx="28">
                  <c:v>6.5</c:v>
                </c:pt>
                <c:pt idx="29">
                  <c:v>9.5</c:v>
                </c:pt>
                <c:pt idx="30">
                  <c:v>2.5</c:v>
                </c:pt>
                <c:pt idx="31">
                  <c:v>7.3</c:v>
                </c:pt>
                <c:pt idx="32">
                  <c:v>4.5999999999999996</c:v>
                </c:pt>
                <c:pt idx="33">
                  <c:v>8.6</c:v>
                </c:pt>
                <c:pt idx="34">
                  <c:v>13.7</c:v>
                </c:pt>
              </c:numCache>
            </c:numRef>
          </c:val>
          <c:smooth val="0"/>
          <c:extLst>
            <c:ext xmlns:c16="http://schemas.microsoft.com/office/drawing/2014/chart" uri="{C3380CC4-5D6E-409C-BE32-E72D297353CC}">
              <c16:uniqueId val="{0000000C-558F-4697-8961-33DFC52C2B06}"/>
            </c:ext>
          </c:extLst>
        </c:ser>
        <c:ser>
          <c:idx val="13"/>
          <c:order val="13"/>
          <c:tx>
            <c:strRef>
              <c:f>'Trh práce 1-SNÚ'!$AP$7</c:f>
              <c:strCache>
                <c:ptCount val="1"/>
                <c:pt idx="0">
                  <c:v>Očekávání zaměstnanosti (vybr. služby)</c:v>
                </c:pt>
              </c:strCache>
            </c:strRef>
          </c:tx>
          <c:spPr>
            <a:ln w="15875">
              <a:solidFill>
                <a:srgbClr val="C00000"/>
              </a:solidFill>
              <a:prstDash val="sysDot"/>
            </a:ln>
          </c:spPr>
          <c:marker>
            <c:symbol val="none"/>
          </c:marker>
          <c:cat>
            <c:multiLvlStrRef>
              <c:f>'Trh práce 1-SNÚ'!$AA$36:$AB$70</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 1-SNÚ'!$AP$36:$AP$70</c:f>
              <c:numCache>
                <c:formatCode>#\ ##0.0</c:formatCode>
                <c:ptCount val="35"/>
                <c:pt idx="0">
                  <c:v>11.1</c:v>
                </c:pt>
                <c:pt idx="1">
                  <c:v>11</c:v>
                </c:pt>
                <c:pt idx="2">
                  <c:v>19.7</c:v>
                </c:pt>
                <c:pt idx="3">
                  <c:v>3.1</c:v>
                </c:pt>
                <c:pt idx="4">
                  <c:v>15.7</c:v>
                </c:pt>
                <c:pt idx="5">
                  <c:v>10.5</c:v>
                </c:pt>
                <c:pt idx="6">
                  <c:v>9.5</c:v>
                </c:pt>
                <c:pt idx="7">
                  <c:v>-7.6</c:v>
                </c:pt>
                <c:pt idx="8">
                  <c:v>-6.5</c:v>
                </c:pt>
                <c:pt idx="9">
                  <c:v>-1.1000000000000001</c:v>
                </c:pt>
                <c:pt idx="10">
                  <c:v>-4.5999999999999996</c:v>
                </c:pt>
                <c:pt idx="11">
                  <c:v>-15.4</c:v>
                </c:pt>
                <c:pt idx="12">
                  <c:v>-20.5</c:v>
                </c:pt>
                <c:pt idx="13">
                  <c:v>-32.299999999999997</c:v>
                </c:pt>
                <c:pt idx="14">
                  <c:v>-28.6</c:v>
                </c:pt>
                <c:pt idx="15">
                  <c:v>-30.1</c:v>
                </c:pt>
                <c:pt idx="16">
                  <c:v>-27</c:v>
                </c:pt>
                <c:pt idx="17">
                  <c:v>-27.7</c:v>
                </c:pt>
                <c:pt idx="18">
                  <c:v>-12.1</c:v>
                </c:pt>
                <c:pt idx="19">
                  <c:v>-15.8</c:v>
                </c:pt>
                <c:pt idx="20">
                  <c:v>-6.8</c:v>
                </c:pt>
                <c:pt idx="21">
                  <c:v>-3.5</c:v>
                </c:pt>
                <c:pt idx="22">
                  <c:v>-6.1</c:v>
                </c:pt>
                <c:pt idx="23">
                  <c:v>-6.4</c:v>
                </c:pt>
                <c:pt idx="24">
                  <c:v>-10.7</c:v>
                </c:pt>
                <c:pt idx="25">
                  <c:v>-16.7</c:v>
                </c:pt>
                <c:pt idx="26">
                  <c:v>-14.5</c:v>
                </c:pt>
                <c:pt idx="27">
                  <c:v>-15.2</c:v>
                </c:pt>
                <c:pt idx="28">
                  <c:v>-23.7</c:v>
                </c:pt>
                <c:pt idx="29">
                  <c:v>-16</c:v>
                </c:pt>
                <c:pt idx="30">
                  <c:v>-15.7</c:v>
                </c:pt>
                <c:pt idx="31">
                  <c:v>-6.6</c:v>
                </c:pt>
                <c:pt idx="32">
                  <c:v>-14.3</c:v>
                </c:pt>
                <c:pt idx="33">
                  <c:v>-4.5999999999999996</c:v>
                </c:pt>
                <c:pt idx="34">
                  <c:v>-12.7</c:v>
                </c:pt>
              </c:numCache>
            </c:numRef>
          </c:val>
          <c:smooth val="0"/>
          <c:extLst>
            <c:ext xmlns:c16="http://schemas.microsoft.com/office/drawing/2014/chart" uri="{C3380CC4-5D6E-409C-BE32-E72D297353CC}">
              <c16:uniqueId val="{0000000D-558F-4697-8961-33DFC52C2B06}"/>
            </c:ext>
          </c:extLst>
        </c:ser>
        <c:dLbls>
          <c:showLegendKey val="0"/>
          <c:showVal val="0"/>
          <c:showCatName val="0"/>
          <c:showSerName val="0"/>
          <c:showPercent val="0"/>
          <c:showBubbleSize val="0"/>
        </c:dLbls>
        <c:marker val="1"/>
        <c:smooth val="0"/>
        <c:axId val="332941824"/>
        <c:axId val="332936832"/>
      </c:lineChart>
      <c:catAx>
        <c:axId val="101898496"/>
        <c:scaling>
          <c:orientation val="minMax"/>
        </c:scaling>
        <c:delete val="0"/>
        <c:axPos val="b"/>
        <c:numFmt formatCode="General" sourceLinked="1"/>
        <c:majorTickMark val="out"/>
        <c:minorTickMark val="none"/>
        <c:tickLblPos val="low"/>
        <c:spPr>
          <a:ln>
            <a:solidFill>
              <a:schemeClr val="tx1"/>
            </a:solidFill>
          </a:ln>
        </c:spPr>
        <c:crossAx val="101781504"/>
        <c:crosses val="autoZero"/>
        <c:auto val="1"/>
        <c:lblAlgn val="ctr"/>
        <c:lblOffset val="10"/>
        <c:noMultiLvlLbl val="0"/>
      </c:catAx>
      <c:valAx>
        <c:axId val="101781504"/>
        <c:scaling>
          <c:orientation val="minMax"/>
          <c:max val="2.5"/>
          <c:min val="-4.5"/>
        </c:scaling>
        <c:delete val="0"/>
        <c:axPos val="l"/>
        <c:majorGridlines>
          <c:spPr>
            <a:ln w="6350">
              <a:solidFill>
                <a:schemeClr val="bg1">
                  <a:lumMod val="75000"/>
                </a:schemeClr>
              </a:solidFill>
            </a:ln>
          </c:spPr>
        </c:majorGridlines>
        <c:title>
          <c:tx>
            <c:rich>
              <a:bodyPr/>
              <a:lstStyle/>
              <a:p>
                <a:pPr>
                  <a:defRPr sz="700" b="0" i="1"/>
                </a:pPr>
                <a:r>
                  <a:rPr lang="cs-CZ" sz="700" b="0" i="1"/>
                  <a:t>Příspěvek k růstu zaměstnanosti</a:t>
                </a:r>
              </a:p>
            </c:rich>
          </c:tx>
          <c:layout/>
          <c:overlay val="0"/>
        </c:title>
        <c:numFmt formatCode="0.0" sourceLinked="0"/>
        <c:majorTickMark val="out"/>
        <c:minorTickMark val="none"/>
        <c:tickLblPos val="nextTo"/>
        <c:spPr>
          <a:ln>
            <a:solidFill>
              <a:schemeClr val="tx1"/>
            </a:solidFill>
          </a:ln>
        </c:spPr>
        <c:crossAx val="101898496"/>
        <c:crosses val="autoZero"/>
        <c:crossBetween val="between"/>
        <c:majorUnit val="0.5"/>
      </c:valAx>
      <c:valAx>
        <c:axId val="332936832"/>
        <c:scaling>
          <c:orientation val="minMax"/>
          <c:max val="100"/>
          <c:min val="-40"/>
        </c:scaling>
        <c:delete val="0"/>
        <c:axPos val="r"/>
        <c:title>
          <c:tx>
            <c:rich>
              <a:bodyPr/>
              <a:lstStyle/>
              <a:p>
                <a:pPr>
                  <a:defRPr sz="700" b="0" i="1"/>
                </a:pPr>
                <a:r>
                  <a:rPr lang="cs-CZ" sz="700" b="0" i="1"/>
                  <a:t>Očekávání vývoje zaměstnanosti</a:t>
                </a:r>
              </a:p>
            </c:rich>
          </c:tx>
          <c:layout/>
          <c:overlay val="0"/>
        </c:title>
        <c:numFmt formatCode="#,##0" sourceLinked="0"/>
        <c:majorTickMark val="out"/>
        <c:minorTickMark val="none"/>
        <c:tickLblPos val="nextTo"/>
        <c:crossAx val="332941824"/>
        <c:crosses val="max"/>
        <c:crossBetween val="between"/>
        <c:majorUnit val="10"/>
      </c:valAx>
      <c:catAx>
        <c:axId val="332941824"/>
        <c:scaling>
          <c:orientation val="minMax"/>
        </c:scaling>
        <c:delete val="1"/>
        <c:axPos val="b"/>
        <c:numFmt formatCode="General" sourceLinked="1"/>
        <c:majorTickMark val="out"/>
        <c:minorTickMark val="none"/>
        <c:tickLblPos val="nextTo"/>
        <c:crossAx val="332936832"/>
        <c:crosses val="autoZero"/>
        <c:auto val="1"/>
        <c:lblAlgn val="ctr"/>
        <c:lblOffset val="100"/>
        <c:noMultiLvlLbl val="0"/>
      </c:catAx>
      <c:spPr>
        <a:ln>
          <a:solidFill>
            <a:schemeClr val="tx1"/>
          </a:solidFill>
        </a:ln>
      </c:spPr>
    </c:plotArea>
    <c:legend>
      <c:legendPos val="b"/>
      <c:layout>
        <c:manualLayout>
          <c:xMode val="edge"/>
          <c:yMode val="edge"/>
          <c:x val="1.5472441370721637E-2"/>
          <c:y val="0.77992823117070742"/>
          <c:w val="0.96005692595618608"/>
          <c:h val="0.21194618315349945"/>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036417007492182E-2"/>
          <c:y val="1.6081916099773243E-2"/>
          <c:w val="0.84389226838289211"/>
          <c:h val="0.76494082349138992"/>
        </c:manualLayout>
      </c:layout>
      <c:barChart>
        <c:barDir val="col"/>
        <c:grouping val="clustered"/>
        <c:varyColors val="0"/>
        <c:ser>
          <c:idx val="0"/>
          <c:order val="0"/>
          <c:tx>
            <c:strRef>
              <c:f>'Trh práce-2b'!$A$32</c:f>
              <c:strCache>
                <c:ptCount val="1"/>
                <c:pt idx="0">
                  <c:v>Míra nezaměstnanosti mužů</c:v>
                </c:pt>
              </c:strCache>
            </c:strRef>
          </c:tx>
          <c:spPr>
            <a:solidFill>
              <a:srgbClr val="BCBCBC"/>
            </a:solidFill>
          </c:spPr>
          <c:invertIfNegative val="0"/>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práce-2b'!$J$32:$AR$32</c:f>
              <c:numCache>
                <c:formatCode>0.0</c:formatCode>
                <c:ptCount val="35"/>
                <c:pt idx="0">
                  <c:v>2.7666591328662071</c:v>
                </c:pt>
                <c:pt idx="1">
                  <c:v>2.4601917476705091</c:v>
                </c:pt>
                <c:pt idx="2">
                  <c:v>2.2521949824768464</c:v>
                </c:pt>
                <c:pt idx="3">
                  <c:v>2.0545968318001098</c:v>
                </c:pt>
                <c:pt idx="4">
                  <c:v>1.9120710452923664</c:v>
                </c:pt>
                <c:pt idx="5">
                  <c:v>1.8552446587272617</c:v>
                </c:pt>
                <c:pt idx="6">
                  <c:v>1.8428731984057933</c:v>
                </c:pt>
                <c:pt idx="7">
                  <c:v>1.704439256455837</c:v>
                </c:pt>
                <c:pt idx="8">
                  <c:v>1.7876701754792297</c:v>
                </c:pt>
                <c:pt idx="9">
                  <c:v>1.7137897432702822</c:v>
                </c:pt>
                <c:pt idx="10">
                  <c:v>1.7284429170552631</c:v>
                </c:pt>
                <c:pt idx="11">
                  <c:v>1.850767438617875</c:v>
                </c:pt>
                <c:pt idx="12">
                  <c:v>1.8629891562887153</c:v>
                </c:pt>
                <c:pt idx="13">
                  <c:v>2.2499439586705177</c:v>
                </c:pt>
                <c:pt idx="14">
                  <c:v>2.4964618799822249</c:v>
                </c:pt>
                <c:pt idx="15">
                  <c:v>2.5371659125712491</c:v>
                </c:pt>
                <c:pt idx="16">
                  <c:v>2.6740642945366346</c:v>
                </c:pt>
                <c:pt idx="17">
                  <c:v>2.5496115107874258</c:v>
                </c:pt>
                <c:pt idx="18">
                  <c:v>2.2624960706628037</c:v>
                </c:pt>
                <c:pt idx="19">
                  <c:v>1.9994413065078394</c:v>
                </c:pt>
                <c:pt idx="20">
                  <c:v>1.9729957188250584</c:v>
                </c:pt>
                <c:pt idx="21">
                  <c:v>1.9049114865702215</c:v>
                </c:pt>
                <c:pt idx="22">
                  <c:v>1.9367780567802793</c:v>
                </c:pt>
                <c:pt idx="23">
                  <c:v>2.0806608720344002</c:v>
                </c:pt>
                <c:pt idx="24">
                  <c:v>2.1944653021333131</c:v>
                </c:pt>
                <c:pt idx="25">
                  <c:v>2.2372955769310185</c:v>
                </c:pt>
                <c:pt idx="26">
                  <c:v>2.3287613899389004</c:v>
                </c:pt>
                <c:pt idx="27">
                  <c:v>2.4506905170063069</c:v>
                </c:pt>
                <c:pt idx="28">
                  <c:v>2.3967626046001063</c:v>
                </c:pt>
                <c:pt idx="29">
                  <c:v>2.3727552022647909</c:v>
                </c:pt>
                <c:pt idx="30">
                  <c:v>2.3294231211117524</c:v>
                </c:pt>
                <c:pt idx="31">
                  <c:v>2.3334243144238278</c:v>
                </c:pt>
                <c:pt idx="32">
                  <c:v>2.3064995286360408</c:v>
                </c:pt>
                <c:pt idx="33">
                  <c:v>2.5250968993124765</c:v>
                </c:pt>
              </c:numCache>
            </c:numRef>
          </c:val>
          <c:extLst>
            <c:ext xmlns:c16="http://schemas.microsoft.com/office/drawing/2014/chart" uri="{C3380CC4-5D6E-409C-BE32-E72D297353CC}">
              <c16:uniqueId val="{00000000-F271-4D3A-B172-84D0FEC72144}"/>
            </c:ext>
          </c:extLst>
        </c:ser>
        <c:ser>
          <c:idx val="1"/>
          <c:order val="1"/>
          <c:tx>
            <c:strRef>
              <c:f>'Trh práce-2b'!$A$33</c:f>
              <c:strCache>
                <c:ptCount val="1"/>
                <c:pt idx="0">
                  <c:v>Míra nezaměstnanosti žen</c:v>
                </c:pt>
              </c:strCache>
            </c:strRef>
          </c:tx>
          <c:spPr>
            <a:solidFill>
              <a:schemeClr val="bg1">
                <a:lumMod val="95000"/>
              </a:schemeClr>
            </a:solidFill>
            <a:ln>
              <a:solidFill>
                <a:schemeClr val="bg1">
                  <a:lumMod val="65000"/>
                </a:schemeClr>
              </a:solidFill>
            </a:ln>
          </c:spPr>
          <c:invertIfNegative val="0"/>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práce-2b'!$J$33:$AR$33</c:f>
              <c:numCache>
                <c:formatCode>0.0</c:formatCode>
                <c:ptCount val="35"/>
                <c:pt idx="0">
                  <c:v>4.2643107196858665</c:v>
                </c:pt>
                <c:pt idx="1">
                  <c:v>3.8623367796938974</c:v>
                </c:pt>
                <c:pt idx="2">
                  <c:v>3.400515047571639</c:v>
                </c:pt>
                <c:pt idx="3">
                  <c:v>3.1295265689091996</c:v>
                </c:pt>
                <c:pt idx="4">
                  <c:v>2.9301318364814311</c:v>
                </c:pt>
                <c:pt idx="5">
                  <c:v>2.8147201615941007</c:v>
                </c:pt>
                <c:pt idx="6">
                  <c:v>2.8245375715300849</c:v>
                </c:pt>
                <c:pt idx="7">
                  <c:v>2.6587405283585208</c:v>
                </c:pt>
                <c:pt idx="8">
                  <c:v>2.3674176116231411</c:v>
                </c:pt>
                <c:pt idx="9">
                  <c:v>2.4242355044530286</c:v>
                </c:pt>
                <c:pt idx="10">
                  <c:v>2.5383149448004372</c:v>
                </c:pt>
                <c:pt idx="11">
                  <c:v>2.4007232046871576</c:v>
                </c:pt>
                <c:pt idx="12">
                  <c:v>2.1584087377558068</c:v>
                </c:pt>
                <c:pt idx="13">
                  <c:v>2.8457308025938954</c:v>
                </c:pt>
                <c:pt idx="14">
                  <c:v>3.3818758024084357</c:v>
                </c:pt>
                <c:pt idx="15">
                  <c:v>3.8598983649355767</c:v>
                </c:pt>
                <c:pt idx="16">
                  <c:v>4.0917452192694244</c:v>
                </c:pt>
                <c:pt idx="17">
                  <c:v>3.7925467423323282</c:v>
                </c:pt>
                <c:pt idx="18">
                  <c:v>3.253790639884921</c:v>
                </c:pt>
                <c:pt idx="19">
                  <c:v>2.8699607840019241</c:v>
                </c:pt>
                <c:pt idx="20">
                  <c:v>2.9771315017874671</c:v>
                </c:pt>
                <c:pt idx="21">
                  <c:v>3.1054604444442737</c:v>
                </c:pt>
                <c:pt idx="22">
                  <c:v>2.9260556788528653</c:v>
                </c:pt>
                <c:pt idx="23">
                  <c:v>2.8425239687630692</c:v>
                </c:pt>
                <c:pt idx="24">
                  <c:v>3.0293738791432276</c:v>
                </c:pt>
                <c:pt idx="25">
                  <c:v>3.1646310027777873</c:v>
                </c:pt>
                <c:pt idx="26">
                  <c:v>3.2185824571379467</c:v>
                </c:pt>
                <c:pt idx="27">
                  <c:v>3.3106714576656997</c:v>
                </c:pt>
                <c:pt idx="28">
                  <c:v>3.4372682812461925</c:v>
                </c:pt>
                <c:pt idx="29">
                  <c:v>3.2680427783278638</c:v>
                </c:pt>
                <c:pt idx="30">
                  <c:v>3.2549937916484493</c:v>
                </c:pt>
                <c:pt idx="31">
                  <c:v>3.2835310985744339</c:v>
                </c:pt>
                <c:pt idx="32">
                  <c:v>3.2118497188020001</c:v>
                </c:pt>
                <c:pt idx="33">
                  <c:v>3.2613588810609802</c:v>
                </c:pt>
              </c:numCache>
            </c:numRef>
          </c:val>
          <c:extLst>
            <c:ext xmlns:c16="http://schemas.microsoft.com/office/drawing/2014/chart" uri="{C3380CC4-5D6E-409C-BE32-E72D297353CC}">
              <c16:uniqueId val="{00000001-F271-4D3A-B172-84D0FEC72144}"/>
            </c:ext>
          </c:extLst>
        </c:ser>
        <c:dLbls>
          <c:showLegendKey val="0"/>
          <c:showVal val="0"/>
          <c:showCatName val="0"/>
          <c:showSerName val="0"/>
          <c:showPercent val="0"/>
          <c:showBubbleSize val="0"/>
        </c:dLbls>
        <c:gapWidth val="68"/>
        <c:axId val="100654464"/>
        <c:axId val="101647488"/>
      </c:barChart>
      <c:lineChart>
        <c:grouping val="standard"/>
        <c:varyColors val="0"/>
        <c:ser>
          <c:idx val="4"/>
          <c:order val="2"/>
          <c:tx>
            <c:strRef>
              <c:f>'Trh práce-2b'!$A$34</c:f>
              <c:strCache>
                <c:ptCount val="1"/>
                <c:pt idx="0">
                  <c:v>VPM pro vyučené a SŠ bez mat.</c:v>
                </c:pt>
              </c:strCache>
            </c:strRef>
          </c:tx>
          <c:spPr>
            <a:ln w="19050">
              <a:noFill/>
              <a:prstDash val="sysDash"/>
            </a:ln>
          </c:spPr>
          <c:marker>
            <c:symbol val="circle"/>
            <c:size val="4"/>
            <c:spPr>
              <a:solidFill>
                <a:schemeClr val="accent1">
                  <a:lumMod val="40000"/>
                  <a:lumOff val="60000"/>
                </a:schemeClr>
              </a:solidFill>
              <a:ln>
                <a:solidFill>
                  <a:srgbClr val="0070C0"/>
                </a:solidFill>
              </a:ln>
            </c:spPr>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práce-2b'!$J$34:$AR$34</c:f>
              <c:numCache>
                <c:formatCode>0.0</c:formatCode>
                <c:ptCount val="35"/>
                <c:pt idx="0">
                  <c:v>31.84</c:v>
                </c:pt>
                <c:pt idx="1">
                  <c:v>38.021999999999998</c:v>
                </c:pt>
                <c:pt idx="2">
                  <c:v>36.262</c:v>
                </c:pt>
                <c:pt idx="3">
                  <c:v>29.895</c:v>
                </c:pt>
                <c:pt idx="4">
                  <c:v>32.848999999999997</c:v>
                </c:pt>
                <c:pt idx="5">
                  <c:v>39.597999999999999</c:v>
                </c:pt>
                <c:pt idx="6">
                  <c:v>36.892000000000003</c:v>
                </c:pt>
                <c:pt idx="7">
                  <c:v>30.317</c:v>
                </c:pt>
                <c:pt idx="8">
                  <c:v>31.245000000000001</c:v>
                </c:pt>
                <c:pt idx="9">
                  <c:v>30.555</c:v>
                </c:pt>
                <c:pt idx="10">
                  <c:v>27.914999999999999</c:v>
                </c:pt>
                <c:pt idx="11">
                  <c:v>22.228000000000002</c:v>
                </c:pt>
                <c:pt idx="12">
                  <c:v>22.292000000000002</c:v>
                </c:pt>
                <c:pt idx="13">
                  <c:v>21.922000000000001</c:v>
                </c:pt>
                <c:pt idx="14">
                  <c:v>23.152999999999999</c:v>
                </c:pt>
                <c:pt idx="15">
                  <c:v>20.832999999999998</c:v>
                </c:pt>
                <c:pt idx="16">
                  <c:v>21.22</c:v>
                </c:pt>
                <c:pt idx="17">
                  <c:v>28</c:v>
                </c:pt>
                <c:pt idx="18">
                  <c:v>28.465</c:v>
                </c:pt>
                <c:pt idx="19">
                  <c:v>22.591000000000001</c:v>
                </c:pt>
                <c:pt idx="20">
                  <c:v>26.402999999999999</c:v>
                </c:pt>
                <c:pt idx="21">
                  <c:v>24.98</c:v>
                </c:pt>
                <c:pt idx="22">
                  <c:v>20.081</c:v>
                </c:pt>
                <c:pt idx="23">
                  <c:v>16.219000000000001</c:v>
                </c:pt>
                <c:pt idx="24">
                  <c:v>18.276</c:v>
                </c:pt>
                <c:pt idx="25">
                  <c:v>19.419</c:v>
                </c:pt>
                <c:pt idx="26">
                  <c:v>17.792000000000002</c:v>
                </c:pt>
                <c:pt idx="27">
                  <c:v>14.455</c:v>
                </c:pt>
                <c:pt idx="28">
                  <c:v>14.478</c:v>
                </c:pt>
                <c:pt idx="29">
                  <c:v>15.478</c:v>
                </c:pt>
                <c:pt idx="30">
                  <c:v>15.435</c:v>
                </c:pt>
                <c:pt idx="31">
                  <c:v>14.093</c:v>
                </c:pt>
                <c:pt idx="32">
                  <c:v>12.814</c:v>
                </c:pt>
                <c:pt idx="33">
                  <c:v>14.827999999999999</c:v>
                </c:pt>
              </c:numCache>
            </c:numRef>
          </c:val>
          <c:smooth val="0"/>
          <c:extLst>
            <c:ext xmlns:c16="http://schemas.microsoft.com/office/drawing/2014/chart" uri="{C3380CC4-5D6E-409C-BE32-E72D297353CC}">
              <c16:uniqueId val="{00000002-F271-4D3A-B172-84D0FEC72144}"/>
            </c:ext>
          </c:extLst>
        </c:ser>
        <c:ser>
          <c:idx val="5"/>
          <c:order val="3"/>
          <c:tx>
            <c:strRef>
              <c:f>'Trh práce-2b'!$A$35</c:f>
              <c:strCache>
                <c:ptCount val="1"/>
                <c:pt idx="0">
                  <c:v>VPM pro SŠ s mat., VOŠ a VŠ</c:v>
                </c:pt>
              </c:strCache>
            </c:strRef>
          </c:tx>
          <c:spPr>
            <a:ln w="19050">
              <a:noFill/>
              <a:prstDash val="dash"/>
            </a:ln>
          </c:spPr>
          <c:marker>
            <c:symbol val="dash"/>
            <c:size val="7"/>
            <c:spPr>
              <a:solidFill>
                <a:srgbClr val="00B050"/>
              </a:solidFill>
              <a:ln>
                <a:solidFill>
                  <a:srgbClr val="00B050"/>
                </a:solidFill>
              </a:ln>
            </c:spPr>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práce-2b'!$J$35:$AR$35</c:f>
              <c:numCache>
                <c:formatCode>0.0</c:formatCode>
                <c:ptCount val="35"/>
                <c:pt idx="0">
                  <c:v>15.456</c:v>
                </c:pt>
                <c:pt idx="1">
                  <c:v>18.981000000000002</c:v>
                </c:pt>
                <c:pt idx="2">
                  <c:v>17.684999999999999</c:v>
                </c:pt>
                <c:pt idx="3">
                  <c:v>16.105</c:v>
                </c:pt>
                <c:pt idx="4">
                  <c:v>18.106999999999999</c:v>
                </c:pt>
                <c:pt idx="5">
                  <c:v>20.411000000000001</c:v>
                </c:pt>
                <c:pt idx="6">
                  <c:v>18.263000000000002</c:v>
                </c:pt>
                <c:pt idx="7">
                  <c:v>16.600000000000001</c:v>
                </c:pt>
                <c:pt idx="8">
                  <c:v>17.779</c:v>
                </c:pt>
                <c:pt idx="9">
                  <c:v>19.105</c:v>
                </c:pt>
                <c:pt idx="10">
                  <c:v>18.321000000000002</c:v>
                </c:pt>
                <c:pt idx="11">
                  <c:v>16.137</c:v>
                </c:pt>
                <c:pt idx="12">
                  <c:v>17.05</c:v>
                </c:pt>
                <c:pt idx="13">
                  <c:v>17.387</c:v>
                </c:pt>
                <c:pt idx="14">
                  <c:v>15.683</c:v>
                </c:pt>
                <c:pt idx="15">
                  <c:v>14.997</c:v>
                </c:pt>
                <c:pt idx="16">
                  <c:v>16.512</c:v>
                </c:pt>
                <c:pt idx="17">
                  <c:v>19.815999999999999</c:v>
                </c:pt>
                <c:pt idx="18">
                  <c:v>19.486999999999998</c:v>
                </c:pt>
                <c:pt idx="19">
                  <c:v>18.061</c:v>
                </c:pt>
                <c:pt idx="20">
                  <c:v>21.087</c:v>
                </c:pt>
                <c:pt idx="21">
                  <c:v>21.347999999999999</c:v>
                </c:pt>
                <c:pt idx="22">
                  <c:v>18.567</c:v>
                </c:pt>
                <c:pt idx="23">
                  <c:v>16.672999999999998</c:v>
                </c:pt>
                <c:pt idx="24">
                  <c:v>18.158000000000001</c:v>
                </c:pt>
                <c:pt idx="25">
                  <c:v>18.765000000000001</c:v>
                </c:pt>
                <c:pt idx="26">
                  <c:v>17.125</c:v>
                </c:pt>
                <c:pt idx="27">
                  <c:v>15.332000000000001</c:v>
                </c:pt>
                <c:pt idx="28">
                  <c:v>16.600000000000001</c:v>
                </c:pt>
                <c:pt idx="29">
                  <c:v>15.853999999999999</c:v>
                </c:pt>
                <c:pt idx="30">
                  <c:v>14.837999999999999</c:v>
                </c:pt>
                <c:pt idx="31">
                  <c:v>13.59</c:v>
                </c:pt>
                <c:pt idx="32">
                  <c:v>10.319000000000001</c:v>
                </c:pt>
                <c:pt idx="33">
                  <c:v>11.635</c:v>
                </c:pt>
              </c:numCache>
            </c:numRef>
          </c:val>
          <c:smooth val="0"/>
          <c:extLst>
            <c:ext xmlns:c16="http://schemas.microsoft.com/office/drawing/2014/chart" uri="{C3380CC4-5D6E-409C-BE32-E72D297353CC}">
              <c16:uniqueId val="{00000003-F271-4D3A-B172-84D0FEC72144}"/>
            </c:ext>
          </c:extLst>
        </c:ser>
        <c:ser>
          <c:idx val="6"/>
          <c:order val="4"/>
          <c:tx>
            <c:strRef>
              <c:f>'Trh práce-2b'!$A$36</c:f>
              <c:strCache>
                <c:ptCount val="1"/>
                <c:pt idx="0">
                  <c:v>Pracující cizinci (Ukrajinci)</c:v>
                </c:pt>
              </c:strCache>
            </c:strRef>
          </c:tx>
          <c:spPr>
            <a:ln w="15875">
              <a:solidFill>
                <a:srgbClr val="FFC000"/>
              </a:solidFill>
              <a:prstDash val="sysDash"/>
            </a:ln>
          </c:spPr>
          <c:marker>
            <c:symbol val="none"/>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práce-2b'!$J$36:$AR$36</c:f>
              <c:numCache>
                <c:formatCode>#,##0</c:formatCode>
                <c:ptCount val="35"/>
                <c:pt idx="0">
                  <c:v>59.363</c:v>
                </c:pt>
                <c:pt idx="1">
                  <c:v>69.864000000000004</c:v>
                </c:pt>
                <c:pt idx="2">
                  <c:v>76.724000000000004</c:v>
                </c:pt>
                <c:pt idx="3">
                  <c:v>81.688999999999993</c:v>
                </c:pt>
                <c:pt idx="4">
                  <c:v>97.317999999999998</c:v>
                </c:pt>
                <c:pt idx="5">
                  <c:v>115.39100000000001</c:v>
                </c:pt>
                <c:pt idx="6">
                  <c:v>134.202</c:v>
                </c:pt>
                <c:pt idx="7">
                  <c:v>121.08499999999999</c:v>
                </c:pt>
                <c:pt idx="8">
                  <c:v>146.08500000000001</c:v>
                </c:pt>
                <c:pt idx="9">
                  <c:v>152.69800000000001</c:v>
                </c:pt>
                <c:pt idx="10">
                  <c:v>164.92400000000001</c:v>
                </c:pt>
                <c:pt idx="11">
                  <c:v>144.114</c:v>
                </c:pt>
                <c:pt idx="12">
                  <c:v>169.14699999999999</c:v>
                </c:pt>
                <c:pt idx="13">
                  <c:v>133.08600000000001</c:v>
                </c:pt>
                <c:pt idx="14">
                  <c:v>173.584</c:v>
                </c:pt>
                <c:pt idx="15">
                  <c:v>159.46799999999999</c:v>
                </c:pt>
                <c:pt idx="16">
                  <c:v>186.35599999999999</c:v>
                </c:pt>
                <c:pt idx="17">
                  <c:v>191.58500000000001</c:v>
                </c:pt>
                <c:pt idx="18">
                  <c:v>214.10599999999999</c:v>
                </c:pt>
                <c:pt idx="19">
                  <c:v>195.11600000000001</c:v>
                </c:pt>
                <c:pt idx="20">
                  <c:v>238.024</c:v>
                </c:pt>
                <c:pt idx="21">
                  <c:v>248.58799999999999</c:v>
                </c:pt>
                <c:pt idx="22">
                  <c:v>262.17899999999997</c:v>
                </c:pt>
                <c:pt idx="23">
                  <c:v>269.911</c:v>
                </c:pt>
                <c:pt idx="24">
                  <c:v>261.31299999999999</c:v>
                </c:pt>
                <c:pt idx="25">
                  <c:v>269.04500000000002</c:v>
                </c:pt>
                <c:pt idx="26">
                  <c:v>282.22300000000001</c:v>
                </c:pt>
                <c:pt idx="27">
                  <c:v>285.54500000000002</c:v>
                </c:pt>
                <c:pt idx="28">
                  <c:v>283.649</c:v>
                </c:pt>
                <c:pt idx="29">
                  <c:v>286.25599999999997</c:v>
                </c:pt>
                <c:pt idx="30">
                  <c:v>291.79199999999997</c:v>
                </c:pt>
                <c:pt idx="31">
                  <c:v>304.68200000000002</c:v>
                </c:pt>
                <c:pt idx="32">
                  <c:v>312.71899999999999</c:v>
                </c:pt>
                <c:pt idx="33">
                  <c:v>320.50299999999999</c:v>
                </c:pt>
              </c:numCache>
            </c:numRef>
          </c:val>
          <c:smooth val="0"/>
          <c:extLst>
            <c:ext xmlns:c16="http://schemas.microsoft.com/office/drawing/2014/chart" uri="{C3380CC4-5D6E-409C-BE32-E72D297353CC}">
              <c16:uniqueId val="{00000004-F271-4D3A-B172-84D0FEC72144}"/>
            </c:ext>
          </c:extLst>
        </c:ser>
        <c:ser>
          <c:idx val="7"/>
          <c:order val="5"/>
          <c:tx>
            <c:strRef>
              <c:f>'Trh práce-2b'!$A$37</c:f>
              <c:strCache>
                <c:ptCount val="1"/>
                <c:pt idx="0">
                  <c:v>Pracující cizinci (Slováci)</c:v>
                </c:pt>
              </c:strCache>
            </c:strRef>
          </c:tx>
          <c:spPr>
            <a:ln w="19050">
              <a:solidFill>
                <a:schemeClr val="accent2">
                  <a:lumMod val="60000"/>
                  <a:lumOff val="40000"/>
                </a:schemeClr>
              </a:solidFill>
              <a:prstDash val="sysDash"/>
            </a:ln>
          </c:spPr>
          <c:marker>
            <c:symbol val="none"/>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práce-2b'!$J$37:$AR$37</c:f>
              <c:numCache>
                <c:formatCode>#,##0</c:formatCode>
                <c:ptCount val="35"/>
                <c:pt idx="0">
                  <c:v>159.88200000000001</c:v>
                </c:pt>
                <c:pt idx="1">
                  <c:v>165.69800000000001</c:v>
                </c:pt>
                <c:pt idx="2">
                  <c:v>170.643</c:v>
                </c:pt>
                <c:pt idx="3">
                  <c:v>177.059</c:v>
                </c:pt>
                <c:pt idx="4">
                  <c:v>180.01900000000001</c:v>
                </c:pt>
                <c:pt idx="5">
                  <c:v>187.33799999999999</c:v>
                </c:pt>
                <c:pt idx="6">
                  <c:v>192.66499999999999</c:v>
                </c:pt>
                <c:pt idx="7">
                  <c:v>191.81800000000001</c:v>
                </c:pt>
                <c:pt idx="8">
                  <c:v>187.18299999999999</c:v>
                </c:pt>
                <c:pt idx="9">
                  <c:v>191.41800000000001</c:v>
                </c:pt>
                <c:pt idx="10">
                  <c:v>199.02799999999999</c:v>
                </c:pt>
                <c:pt idx="11">
                  <c:v>201.952</c:v>
                </c:pt>
                <c:pt idx="12">
                  <c:v>198.05799999999999</c:v>
                </c:pt>
                <c:pt idx="13">
                  <c:v>199.249</c:v>
                </c:pt>
                <c:pt idx="14">
                  <c:v>202.91</c:v>
                </c:pt>
                <c:pt idx="15">
                  <c:v>204.29400000000001</c:v>
                </c:pt>
                <c:pt idx="16">
                  <c:v>201.91800000000001</c:v>
                </c:pt>
                <c:pt idx="17">
                  <c:v>204.476</c:v>
                </c:pt>
                <c:pt idx="18">
                  <c:v>208.249</c:v>
                </c:pt>
                <c:pt idx="19">
                  <c:v>209.273</c:v>
                </c:pt>
                <c:pt idx="20">
                  <c:v>207.86</c:v>
                </c:pt>
                <c:pt idx="21">
                  <c:v>211.31700000000001</c:v>
                </c:pt>
                <c:pt idx="22">
                  <c:v>212.55099999999999</c:v>
                </c:pt>
                <c:pt idx="23">
                  <c:v>213.447</c:v>
                </c:pt>
                <c:pt idx="24">
                  <c:v>209.79599999999999</c:v>
                </c:pt>
                <c:pt idx="25">
                  <c:v>212.12299999999999</c:v>
                </c:pt>
                <c:pt idx="26">
                  <c:v>215.20599999999999</c:v>
                </c:pt>
                <c:pt idx="27">
                  <c:v>216.239</c:v>
                </c:pt>
                <c:pt idx="28">
                  <c:v>213.9</c:v>
                </c:pt>
                <c:pt idx="29">
                  <c:v>216.68</c:v>
                </c:pt>
                <c:pt idx="30">
                  <c:v>212.44300000000001</c:v>
                </c:pt>
                <c:pt idx="31">
                  <c:v>215.61099999999999</c:v>
                </c:pt>
                <c:pt idx="32">
                  <c:v>216.32300000000001</c:v>
                </c:pt>
                <c:pt idx="33">
                  <c:v>220.511</c:v>
                </c:pt>
              </c:numCache>
            </c:numRef>
          </c:val>
          <c:smooth val="0"/>
          <c:extLst>
            <c:ext xmlns:c16="http://schemas.microsoft.com/office/drawing/2014/chart" uri="{C3380CC4-5D6E-409C-BE32-E72D297353CC}">
              <c16:uniqueId val="{00000005-F271-4D3A-B172-84D0FEC72144}"/>
            </c:ext>
          </c:extLst>
        </c:ser>
        <c:ser>
          <c:idx val="2"/>
          <c:order val="6"/>
          <c:tx>
            <c:strRef>
              <c:f>'Trh práce-2b'!$A$38</c:f>
              <c:strCache>
                <c:ptCount val="1"/>
                <c:pt idx="0">
                  <c:v>Pracující cizinci (občané ostat. zemí)</c:v>
                </c:pt>
              </c:strCache>
            </c:strRef>
          </c:tx>
          <c:spPr>
            <a:ln w="19050">
              <a:solidFill>
                <a:srgbClr val="D4A97E"/>
              </a:solidFill>
              <a:prstDash val="sysDash"/>
            </a:ln>
          </c:spPr>
          <c:marker>
            <c:symbol val="none"/>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práce-2b'!$J$38:$AR$38</c:f>
              <c:numCache>
                <c:formatCode>#,##0</c:formatCode>
                <c:ptCount val="35"/>
                <c:pt idx="0">
                  <c:v>173.614</c:v>
                </c:pt>
                <c:pt idx="1">
                  <c:v>187.52799999999999</c:v>
                </c:pt>
                <c:pt idx="2">
                  <c:v>199.11799999999999</c:v>
                </c:pt>
                <c:pt idx="3">
                  <c:v>213.59899999999999</c:v>
                </c:pt>
                <c:pt idx="4">
                  <c:v>228.61600000000001</c:v>
                </c:pt>
                <c:pt idx="5">
                  <c:v>244.029</c:v>
                </c:pt>
                <c:pt idx="6">
                  <c:v>258.82100000000003</c:v>
                </c:pt>
                <c:pt idx="7">
                  <c:v>255.77199999999999</c:v>
                </c:pt>
                <c:pt idx="8">
                  <c:v>255.12200000000001</c:v>
                </c:pt>
                <c:pt idx="9">
                  <c:v>262.36599999999999</c:v>
                </c:pt>
                <c:pt idx="10">
                  <c:v>277.37400000000002</c:v>
                </c:pt>
                <c:pt idx="11">
                  <c:v>275.80399999999997</c:v>
                </c:pt>
                <c:pt idx="12">
                  <c:v>277.709</c:v>
                </c:pt>
                <c:pt idx="13">
                  <c:v>270.178</c:v>
                </c:pt>
                <c:pt idx="14">
                  <c:v>278.71699999999998</c:v>
                </c:pt>
                <c:pt idx="15">
                  <c:v>280.40199999999999</c:v>
                </c:pt>
                <c:pt idx="16">
                  <c:v>281.459</c:v>
                </c:pt>
                <c:pt idx="17">
                  <c:v>285.55</c:v>
                </c:pt>
                <c:pt idx="18">
                  <c:v>297.53500000000003</c:v>
                </c:pt>
                <c:pt idx="19">
                  <c:v>297.44099999999997</c:v>
                </c:pt>
                <c:pt idx="20">
                  <c:v>300.39299999999997</c:v>
                </c:pt>
                <c:pt idx="21">
                  <c:v>307.61</c:v>
                </c:pt>
                <c:pt idx="22">
                  <c:v>310.33499999999998</c:v>
                </c:pt>
                <c:pt idx="23">
                  <c:v>309.93200000000002</c:v>
                </c:pt>
                <c:pt idx="24">
                  <c:v>308.2</c:v>
                </c:pt>
                <c:pt idx="25">
                  <c:v>314.923</c:v>
                </c:pt>
                <c:pt idx="26">
                  <c:v>320.48399999999998</c:v>
                </c:pt>
                <c:pt idx="27">
                  <c:v>322.161</c:v>
                </c:pt>
                <c:pt idx="28">
                  <c:v>320.39100000000002</c:v>
                </c:pt>
                <c:pt idx="29">
                  <c:v>324.68299999999999</c:v>
                </c:pt>
                <c:pt idx="30">
                  <c:v>319.55900000000003</c:v>
                </c:pt>
                <c:pt idx="31">
                  <c:v>325.17500000000001</c:v>
                </c:pt>
                <c:pt idx="32">
                  <c:v>329.69</c:v>
                </c:pt>
                <c:pt idx="33">
                  <c:v>336.50700000000001</c:v>
                </c:pt>
              </c:numCache>
            </c:numRef>
          </c:val>
          <c:smooth val="0"/>
          <c:extLst>
            <c:ext xmlns:c16="http://schemas.microsoft.com/office/drawing/2014/chart" uri="{C3380CC4-5D6E-409C-BE32-E72D297353CC}">
              <c16:uniqueId val="{00000006-F271-4D3A-B172-84D0FEC72144}"/>
            </c:ext>
          </c:extLst>
        </c:ser>
        <c:ser>
          <c:idx val="3"/>
          <c:order val="7"/>
          <c:tx>
            <c:strRef>
              <c:f>'Trh práce-2b'!$A$39</c:f>
              <c:strCache>
                <c:ptCount val="1"/>
                <c:pt idx="0">
                  <c:v>Očekávání vývoje nezaměstnanosti</c:v>
                </c:pt>
              </c:strCache>
            </c:strRef>
          </c:tx>
          <c:spPr>
            <a:ln w="15875">
              <a:solidFill>
                <a:schemeClr val="bg2">
                  <a:lumMod val="50000"/>
                </a:schemeClr>
              </a:solidFill>
              <a:prstDash val="solid"/>
            </a:ln>
          </c:spPr>
          <c:marker>
            <c:symbol val="none"/>
          </c:marker>
          <c:cat>
            <c:multiLvlStrRef>
              <c:f>'Trh práce-2b'!$J$30:$AR$31</c:f>
              <c:multiLvlStrCache>
                <c:ptCount val="35"/>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pt idx="24">
                    <c:v>1</c:v>
                  </c:pt>
                  <c:pt idx="25">
                    <c:v>2</c:v>
                  </c:pt>
                  <c:pt idx="26">
                    <c:v>3</c:v>
                  </c:pt>
                  <c:pt idx="27">
                    <c:v>4</c:v>
                  </c:pt>
                  <c:pt idx="28">
                    <c:v>1</c:v>
                  </c:pt>
                  <c:pt idx="29">
                    <c:v>2</c:v>
                  </c:pt>
                  <c:pt idx="30">
                    <c:v>3</c:v>
                  </c:pt>
                  <c:pt idx="31">
                    <c:v>4</c:v>
                  </c:pt>
                  <c:pt idx="32">
                    <c:v>1</c:v>
                  </c:pt>
                  <c:pt idx="33">
                    <c:v>2</c:v>
                  </c:pt>
                  <c:pt idx="34">
                    <c:v>3</c:v>
                  </c:pt>
                </c:lvl>
                <c:lvl>
                  <c:pt idx="0">
                    <c:v>2017</c:v>
                  </c:pt>
                  <c:pt idx="4">
                    <c:v>2018</c:v>
                  </c:pt>
                  <c:pt idx="8">
                    <c:v>2019</c:v>
                  </c:pt>
                  <c:pt idx="12">
                    <c:v>2020</c:v>
                  </c:pt>
                  <c:pt idx="16">
                    <c:v>2021</c:v>
                  </c:pt>
                  <c:pt idx="20">
                    <c:v>2022</c:v>
                  </c:pt>
                  <c:pt idx="24">
                    <c:v>2023</c:v>
                  </c:pt>
                  <c:pt idx="28">
                    <c:v>2024</c:v>
                  </c:pt>
                  <c:pt idx="32">
                    <c:v>2025</c:v>
                  </c:pt>
                </c:lvl>
              </c:multiLvlStrCache>
            </c:multiLvlStrRef>
          </c:cat>
          <c:val>
            <c:numRef>
              <c:f>'Trh práce-2b'!$J$39:$AR$39</c:f>
              <c:numCache>
                <c:formatCode>0.0</c:formatCode>
                <c:ptCount val="35"/>
                <c:pt idx="0">
                  <c:v>1</c:v>
                </c:pt>
                <c:pt idx="1">
                  <c:v>-3</c:v>
                </c:pt>
                <c:pt idx="2">
                  <c:v>0</c:v>
                </c:pt>
                <c:pt idx="3">
                  <c:v>-1</c:v>
                </c:pt>
                <c:pt idx="4">
                  <c:v>-1</c:v>
                </c:pt>
                <c:pt idx="5">
                  <c:v>-2</c:v>
                </c:pt>
                <c:pt idx="6">
                  <c:v>-2</c:v>
                </c:pt>
                <c:pt idx="7">
                  <c:v>4</c:v>
                </c:pt>
                <c:pt idx="8">
                  <c:v>8</c:v>
                </c:pt>
                <c:pt idx="9">
                  <c:v>8</c:v>
                </c:pt>
                <c:pt idx="10">
                  <c:v>11</c:v>
                </c:pt>
                <c:pt idx="11">
                  <c:v>12</c:v>
                </c:pt>
                <c:pt idx="12">
                  <c:v>18</c:v>
                </c:pt>
                <c:pt idx="13">
                  <c:v>49</c:v>
                </c:pt>
                <c:pt idx="14">
                  <c:v>46</c:v>
                </c:pt>
                <c:pt idx="15">
                  <c:v>60</c:v>
                </c:pt>
                <c:pt idx="16">
                  <c:v>57</c:v>
                </c:pt>
                <c:pt idx="17">
                  <c:v>24</c:v>
                </c:pt>
                <c:pt idx="18">
                  <c:v>16</c:v>
                </c:pt>
                <c:pt idx="19">
                  <c:v>20</c:v>
                </c:pt>
                <c:pt idx="20">
                  <c:v>14</c:v>
                </c:pt>
                <c:pt idx="21">
                  <c:v>20</c:v>
                </c:pt>
                <c:pt idx="22">
                  <c:v>26</c:v>
                </c:pt>
                <c:pt idx="23">
                  <c:v>40</c:v>
                </c:pt>
                <c:pt idx="24">
                  <c:v>35</c:v>
                </c:pt>
                <c:pt idx="25">
                  <c:v>29</c:v>
                </c:pt>
                <c:pt idx="26">
                  <c:v>25</c:v>
                </c:pt>
                <c:pt idx="27">
                  <c:v>17</c:v>
                </c:pt>
                <c:pt idx="28">
                  <c:v>25</c:v>
                </c:pt>
                <c:pt idx="29">
                  <c:v>22</c:v>
                </c:pt>
                <c:pt idx="30">
                  <c:v>24</c:v>
                </c:pt>
                <c:pt idx="31">
                  <c:v>19</c:v>
                </c:pt>
                <c:pt idx="32">
                  <c:v>30</c:v>
                </c:pt>
                <c:pt idx="33">
                  <c:v>30</c:v>
                </c:pt>
                <c:pt idx="34">
                  <c:v>27</c:v>
                </c:pt>
              </c:numCache>
            </c:numRef>
          </c:val>
          <c:smooth val="0"/>
          <c:extLst>
            <c:ext xmlns:c16="http://schemas.microsoft.com/office/drawing/2014/chart" uri="{C3380CC4-5D6E-409C-BE32-E72D297353CC}">
              <c16:uniqueId val="{00000007-F271-4D3A-B172-84D0FEC72144}"/>
            </c:ext>
          </c:extLst>
        </c:ser>
        <c:dLbls>
          <c:showLegendKey val="0"/>
          <c:showVal val="0"/>
          <c:showCatName val="0"/>
          <c:showSerName val="0"/>
          <c:showPercent val="0"/>
          <c:showBubbleSize val="0"/>
        </c:dLbls>
        <c:marker val="1"/>
        <c:smooth val="0"/>
        <c:axId val="331670576"/>
        <c:axId val="323971328"/>
      </c:lineChart>
      <c:catAx>
        <c:axId val="100654464"/>
        <c:scaling>
          <c:orientation val="minMax"/>
        </c:scaling>
        <c:delete val="0"/>
        <c:axPos val="b"/>
        <c:numFmt formatCode="General" sourceLinked="0"/>
        <c:majorTickMark val="out"/>
        <c:minorTickMark val="none"/>
        <c:tickLblPos val="low"/>
        <c:spPr>
          <a:ln>
            <a:solidFill>
              <a:schemeClr val="tx1"/>
            </a:solidFill>
          </a:ln>
        </c:spPr>
        <c:crossAx val="101647488"/>
        <c:crossesAt val="-50"/>
        <c:auto val="1"/>
        <c:lblAlgn val="ctr"/>
        <c:lblOffset val="0"/>
        <c:noMultiLvlLbl val="0"/>
      </c:catAx>
      <c:valAx>
        <c:axId val="101647488"/>
        <c:scaling>
          <c:orientation val="minMax"/>
          <c:max val="7.5"/>
          <c:min val="0"/>
        </c:scaling>
        <c:delete val="0"/>
        <c:axPos val="l"/>
        <c:majorGridlines>
          <c:spPr>
            <a:ln w="6350">
              <a:solidFill>
                <a:schemeClr val="bg1">
                  <a:lumMod val="75000"/>
                </a:schemeClr>
              </a:solidFill>
            </a:ln>
          </c:spPr>
        </c:majorGridlines>
        <c:title>
          <c:tx>
            <c:rich>
              <a:bodyPr/>
              <a:lstStyle/>
              <a:p>
                <a:pPr>
                  <a:defRPr sz="700" b="0" i="1"/>
                </a:pPr>
                <a:r>
                  <a:rPr lang="cs-CZ" sz="700" b="0" i="1"/>
                  <a:t>Míra nezaměstnanosti</a:t>
                </a:r>
              </a:p>
            </c:rich>
          </c:tx>
          <c:layout/>
          <c:overlay val="0"/>
        </c:title>
        <c:numFmt formatCode="0.0" sourceLinked="0"/>
        <c:majorTickMark val="out"/>
        <c:minorTickMark val="none"/>
        <c:tickLblPos val="nextTo"/>
        <c:spPr>
          <a:ln>
            <a:solidFill>
              <a:schemeClr val="tx1"/>
            </a:solidFill>
          </a:ln>
        </c:spPr>
        <c:crossAx val="100654464"/>
        <c:crosses val="autoZero"/>
        <c:crossBetween val="between"/>
        <c:majorUnit val="0.5"/>
      </c:valAx>
      <c:valAx>
        <c:axId val="323971328"/>
        <c:scaling>
          <c:orientation val="minMax"/>
          <c:max val="350"/>
          <c:min val="-25"/>
        </c:scaling>
        <c:delete val="0"/>
        <c:axPos val="r"/>
        <c:title>
          <c:tx>
            <c:rich>
              <a:bodyPr/>
              <a:lstStyle/>
              <a:p>
                <a:pPr>
                  <a:defRPr sz="700" b="0" i="1"/>
                </a:pPr>
                <a:r>
                  <a:rPr lang="cs-CZ" sz="700" b="0" i="1"/>
                  <a:t>Volná</a:t>
                </a:r>
                <a:r>
                  <a:rPr lang="cs-CZ" sz="700" b="0" i="1" baseline="0"/>
                  <a:t> pracovní místa, zaměstnaní cizinci</a:t>
                </a:r>
                <a:endParaRPr lang="cs-CZ" sz="700" b="0" i="1"/>
              </a:p>
            </c:rich>
          </c:tx>
          <c:layout/>
          <c:overlay val="0"/>
        </c:title>
        <c:numFmt formatCode="#,##0" sourceLinked="0"/>
        <c:majorTickMark val="out"/>
        <c:minorTickMark val="none"/>
        <c:tickLblPos val="nextTo"/>
        <c:crossAx val="331670576"/>
        <c:crosses val="max"/>
        <c:crossBetween val="between"/>
        <c:majorUnit val="25"/>
      </c:valAx>
      <c:catAx>
        <c:axId val="331670576"/>
        <c:scaling>
          <c:orientation val="minMax"/>
        </c:scaling>
        <c:delete val="1"/>
        <c:axPos val="b"/>
        <c:numFmt formatCode="General" sourceLinked="1"/>
        <c:majorTickMark val="out"/>
        <c:minorTickMark val="none"/>
        <c:tickLblPos val="nextTo"/>
        <c:crossAx val="323971328"/>
        <c:crosses val="autoZero"/>
        <c:auto val="1"/>
        <c:lblAlgn val="ctr"/>
        <c:lblOffset val="100"/>
        <c:noMultiLvlLbl val="0"/>
      </c:catAx>
      <c:spPr>
        <a:ln>
          <a:solidFill>
            <a:schemeClr val="tx1"/>
          </a:solidFill>
        </a:ln>
      </c:spPr>
    </c:plotArea>
    <c:legend>
      <c:legendPos val="b"/>
      <c:layout>
        <c:manualLayout>
          <c:xMode val="edge"/>
          <c:yMode val="edge"/>
          <c:x val="7.2346890231882358E-2"/>
          <c:y val="0.87065667466923102"/>
          <c:w val="0.85260043993190393"/>
          <c:h val="0.12573975955987693"/>
        </c:manualLayout>
      </c:layout>
      <c:overlay val="0"/>
      <c:spPr>
        <a:ln w="6350">
          <a:solidFill>
            <a:schemeClr val="tx1"/>
          </a:solidFill>
        </a:ln>
      </c:spPr>
      <c:txPr>
        <a:bodyPr/>
        <a:lstStyle/>
        <a:p>
          <a:pPr>
            <a:defRPr sz="770"/>
          </a:pPr>
          <a:endParaRPr lang="cs-CZ"/>
        </a:p>
      </c:tx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11162452186132E-2"/>
          <c:y val="1.6620151538667759E-2"/>
          <c:w val="0.94100987714831696"/>
          <c:h val="0.76753601512564729"/>
        </c:manualLayout>
      </c:layout>
      <c:barChart>
        <c:barDir val="col"/>
        <c:grouping val="clustered"/>
        <c:varyColors val="0"/>
        <c:ser>
          <c:idx val="4"/>
          <c:order val="1"/>
          <c:tx>
            <c:strRef>
              <c:f>'Trh práce 3'!$D$98</c:f>
              <c:strCache>
                <c:ptCount val="1"/>
                <c:pt idx="0">
                  <c:v>Průměrná mzda celkem (reálně)</c:v>
                </c:pt>
              </c:strCache>
            </c:strRef>
          </c:tx>
          <c:spPr>
            <a:solidFill>
              <a:srgbClr val="DBDBDB"/>
            </a:solidFill>
            <a:ln w="19050">
              <a:noFill/>
            </a:ln>
          </c:spPr>
          <c:invertIfNegative val="0"/>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3'!$D$99:$D$134</c:f>
              <c:numCache>
                <c:formatCode>0.0</c:formatCode>
                <c:ptCount val="36"/>
                <c:pt idx="0">
                  <c:v>1.4</c:v>
                </c:pt>
                <c:pt idx="1">
                  <c:v>1.5</c:v>
                </c:pt>
                <c:pt idx="2">
                  <c:v>0.59999999999999432</c:v>
                </c:pt>
                <c:pt idx="3">
                  <c:v>4.1000000000000014</c:v>
                </c:pt>
                <c:pt idx="4">
                  <c:v>2</c:v>
                </c:pt>
                <c:pt idx="5">
                  <c:v>-0.55000000000000426</c:v>
                </c:pt>
                <c:pt idx="6">
                  <c:v>0.94999999999999574</c:v>
                </c:pt>
                <c:pt idx="7">
                  <c:v>0.14999999999999858</c:v>
                </c:pt>
                <c:pt idx="8">
                  <c:v>-0.89999999999999858</c:v>
                </c:pt>
                <c:pt idx="9">
                  <c:v>-0.69999999999999574</c:v>
                </c:pt>
                <c:pt idx="10">
                  <c:v>-1.4500000000000028</c:v>
                </c:pt>
                <c:pt idx="11">
                  <c:v>-1.5499999999999972</c:v>
                </c:pt>
                <c:pt idx="12">
                  <c:v>3.1499999999999986</c:v>
                </c:pt>
                <c:pt idx="13">
                  <c:v>1.9499999999999957</c:v>
                </c:pt>
                <c:pt idx="14">
                  <c:v>2.3999999999999986</c:v>
                </c:pt>
                <c:pt idx="15">
                  <c:v>3.3499999999999943</c:v>
                </c:pt>
                <c:pt idx="16">
                  <c:v>4</c:v>
                </c:pt>
                <c:pt idx="17">
                  <c:v>3.6000000000000014</c:v>
                </c:pt>
                <c:pt idx="18">
                  <c:v>3.75</c:v>
                </c:pt>
                <c:pt idx="19">
                  <c:v>4.5999999999999943</c:v>
                </c:pt>
                <c:pt idx="20">
                  <c:v>6.3999999999999986</c:v>
                </c:pt>
                <c:pt idx="21">
                  <c:v>5.4000000000000057</c:v>
                </c:pt>
                <c:pt idx="22">
                  <c:v>5.2999999999999972</c:v>
                </c:pt>
                <c:pt idx="23">
                  <c:v>4.6499999999999986</c:v>
                </c:pt>
                <c:pt idx="24">
                  <c:v>-0.14999999999999858</c:v>
                </c:pt>
                <c:pt idx="25">
                  <c:v>3</c:v>
                </c:pt>
                <c:pt idx="26">
                  <c:v>4.4499999999999957</c:v>
                </c:pt>
                <c:pt idx="27">
                  <c:v>-0.44999999999999574</c:v>
                </c:pt>
                <c:pt idx="28">
                  <c:v>-8.3999999999999986</c:v>
                </c:pt>
                <c:pt idx="29">
                  <c:v>-10.149999999999999</c:v>
                </c:pt>
                <c:pt idx="30">
                  <c:v>-5.0499999999999972</c:v>
                </c:pt>
                <c:pt idx="31">
                  <c:v>-1.1999999999999957</c:v>
                </c:pt>
                <c:pt idx="32">
                  <c:v>5.0499999999999972</c:v>
                </c:pt>
                <c:pt idx="33">
                  <c:v>4.3500000000000014</c:v>
                </c:pt>
                <c:pt idx="34">
                  <c:v>4.5499999999999972</c:v>
                </c:pt>
              </c:numCache>
            </c:numRef>
          </c:val>
          <c:extLst>
            <c:ext xmlns:c16="http://schemas.microsoft.com/office/drawing/2014/chart" uri="{C3380CC4-5D6E-409C-BE32-E72D297353CC}">
              <c16:uniqueId val="{00000000-461A-4F13-ACFF-9B673C6878B1}"/>
            </c:ext>
          </c:extLst>
        </c:ser>
        <c:dLbls>
          <c:showLegendKey val="0"/>
          <c:showVal val="0"/>
          <c:showCatName val="0"/>
          <c:showSerName val="0"/>
          <c:showPercent val="0"/>
          <c:showBubbleSize val="0"/>
        </c:dLbls>
        <c:gapWidth val="37"/>
        <c:axId val="100688640"/>
        <c:axId val="100690560"/>
      </c:barChart>
      <c:lineChart>
        <c:grouping val="standard"/>
        <c:varyColors val="0"/>
        <c:ser>
          <c:idx val="0"/>
          <c:order val="0"/>
          <c:tx>
            <c:strRef>
              <c:f>'Trh práce 3'!$C$98</c:f>
              <c:strCache>
                <c:ptCount val="1"/>
                <c:pt idx="0">
                  <c:v>Průměrná mzda celkem (nominálně)</c:v>
                </c:pt>
              </c:strCache>
            </c:strRef>
          </c:tx>
          <c:spPr>
            <a:ln w="19050">
              <a:solidFill>
                <a:schemeClr val="tx1">
                  <a:lumMod val="95000"/>
                  <a:lumOff val="5000"/>
                </a:schemeClr>
              </a:solidFill>
              <a:prstDash val="sysDash"/>
            </a:ln>
          </c:spPr>
          <c:marker>
            <c:symbol val="none"/>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3'!$C$99:$C$134</c:f>
              <c:numCache>
                <c:formatCode>0.0</c:formatCode>
                <c:ptCount val="36"/>
                <c:pt idx="0">
                  <c:v>8.6000000000000014</c:v>
                </c:pt>
                <c:pt idx="1">
                  <c:v>7.2000000000000028</c:v>
                </c:pt>
                <c:pt idx="2">
                  <c:v>2.3500000000000014</c:v>
                </c:pt>
                <c:pt idx="3">
                  <c:v>4.3499999999999943</c:v>
                </c:pt>
                <c:pt idx="4">
                  <c:v>2.9499999999999957</c:v>
                </c:pt>
                <c:pt idx="5">
                  <c:v>1.4500000000000028</c:v>
                </c:pt>
                <c:pt idx="6">
                  <c:v>2.6999999999999957</c:v>
                </c:pt>
                <c:pt idx="7">
                  <c:v>2.25</c:v>
                </c:pt>
                <c:pt idx="8">
                  <c:v>2.6499999999999986</c:v>
                </c:pt>
                <c:pt idx="9">
                  <c:v>2.3000000000000043</c:v>
                </c:pt>
                <c:pt idx="10">
                  <c:v>0.20000000000000284</c:v>
                </c:pt>
                <c:pt idx="11">
                  <c:v>-0.39999999999999858</c:v>
                </c:pt>
                <c:pt idx="12">
                  <c:v>3.3500000000000014</c:v>
                </c:pt>
                <c:pt idx="13">
                  <c:v>2.5</c:v>
                </c:pt>
                <c:pt idx="14">
                  <c:v>2.7999999999999972</c:v>
                </c:pt>
                <c:pt idx="15">
                  <c:v>3.6000000000000014</c:v>
                </c:pt>
                <c:pt idx="16">
                  <c:v>4.3500000000000014</c:v>
                </c:pt>
                <c:pt idx="17">
                  <c:v>4.5500000000000043</c:v>
                </c:pt>
                <c:pt idx="18">
                  <c:v>6.1499999999999986</c:v>
                </c:pt>
                <c:pt idx="19">
                  <c:v>7.25</c:v>
                </c:pt>
                <c:pt idx="20">
                  <c:v>8.6000000000000014</c:v>
                </c:pt>
                <c:pt idx="21">
                  <c:v>7.75</c:v>
                </c:pt>
                <c:pt idx="22">
                  <c:v>8.1499999999999986</c:v>
                </c:pt>
                <c:pt idx="23">
                  <c:v>7.6499999999999986</c:v>
                </c:pt>
                <c:pt idx="24">
                  <c:v>3.2000000000000028</c:v>
                </c:pt>
                <c:pt idx="25">
                  <c:v>6.0500000000000043</c:v>
                </c:pt>
                <c:pt idx="26">
                  <c:v>7.1000000000000014</c:v>
                </c:pt>
                <c:pt idx="27">
                  <c:v>4.6000000000000014</c:v>
                </c:pt>
                <c:pt idx="28">
                  <c:v>3.8999999999999986</c:v>
                </c:pt>
                <c:pt idx="29">
                  <c:v>4.75</c:v>
                </c:pt>
                <c:pt idx="30">
                  <c:v>8</c:v>
                </c:pt>
                <c:pt idx="31">
                  <c:v>6.5</c:v>
                </c:pt>
                <c:pt idx="32">
                  <c:v>7.4499999999999957</c:v>
                </c:pt>
                <c:pt idx="33">
                  <c:v>7.0500000000000043</c:v>
                </c:pt>
                <c:pt idx="34">
                  <c:v>7.1999999999999957</c:v>
                </c:pt>
              </c:numCache>
            </c:numRef>
          </c:val>
          <c:smooth val="0"/>
          <c:extLst>
            <c:ext xmlns:c16="http://schemas.microsoft.com/office/drawing/2014/chart" uri="{C3380CC4-5D6E-409C-BE32-E72D297353CC}">
              <c16:uniqueId val="{00000001-461A-4F13-ACFF-9B673C6878B1}"/>
            </c:ext>
          </c:extLst>
        </c:ser>
        <c:ser>
          <c:idx val="5"/>
          <c:order val="2"/>
          <c:tx>
            <c:strRef>
              <c:f>'Trh práce 3'!$E$98</c:f>
              <c:strCache>
                <c:ptCount val="1"/>
                <c:pt idx="0">
                  <c:v>Prům. mzda v průmyslu (nominálně)</c:v>
                </c:pt>
              </c:strCache>
            </c:strRef>
          </c:tx>
          <c:spPr>
            <a:ln w="9525">
              <a:solidFill>
                <a:srgbClr val="C00000"/>
              </a:solidFill>
              <a:prstDash val="solid"/>
            </a:ln>
          </c:spPr>
          <c:marker>
            <c:symbol val="none"/>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3'!$E$99:$E$134</c:f>
              <c:numCache>
                <c:formatCode>0.0</c:formatCode>
                <c:ptCount val="36"/>
                <c:pt idx="0">
                  <c:v>10.965779626599343</c:v>
                </c:pt>
                <c:pt idx="1">
                  <c:v>7.2045848058037194</c:v>
                </c:pt>
                <c:pt idx="2">
                  <c:v>-0.10207158875207512</c:v>
                </c:pt>
                <c:pt idx="3">
                  <c:v>4.775678798547176</c:v>
                </c:pt>
                <c:pt idx="4">
                  <c:v>5.2247862331461405</c:v>
                </c:pt>
                <c:pt idx="5">
                  <c:v>3.4322578877170642</c:v>
                </c:pt>
                <c:pt idx="6">
                  <c:v>4.0718748809917713</c:v>
                </c:pt>
                <c:pt idx="7">
                  <c:v>2.4423868557449282</c:v>
                </c:pt>
                <c:pt idx="8">
                  <c:v>3.3491932249592722</c:v>
                </c:pt>
                <c:pt idx="9">
                  <c:v>2.7243464773580328</c:v>
                </c:pt>
                <c:pt idx="10">
                  <c:v>0.82649064706659914</c:v>
                </c:pt>
                <c:pt idx="11">
                  <c:v>0.83258081439371523</c:v>
                </c:pt>
                <c:pt idx="12">
                  <c:v>3.8171645430344086</c:v>
                </c:pt>
                <c:pt idx="13">
                  <c:v>2.8172030641298562</c:v>
                </c:pt>
                <c:pt idx="14">
                  <c:v>2.1650997607555382</c:v>
                </c:pt>
                <c:pt idx="15">
                  <c:v>2.9944452782884241</c:v>
                </c:pt>
                <c:pt idx="16">
                  <c:v>4.2995514923439941</c:v>
                </c:pt>
                <c:pt idx="17">
                  <c:v>4.275871439841552</c:v>
                </c:pt>
                <c:pt idx="18">
                  <c:v>6.6237644181187676</c:v>
                </c:pt>
                <c:pt idx="19">
                  <c:v>6.957870030534707</c:v>
                </c:pt>
                <c:pt idx="20">
                  <c:v>8.0477489864729392</c:v>
                </c:pt>
                <c:pt idx="21">
                  <c:v>7.4868067232467439</c:v>
                </c:pt>
                <c:pt idx="22">
                  <c:v>7.1445354202982472</c:v>
                </c:pt>
                <c:pt idx="23">
                  <c:v>6.1891260339134462</c:v>
                </c:pt>
                <c:pt idx="24">
                  <c:v>0.68490810298792582</c:v>
                </c:pt>
                <c:pt idx="25">
                  <c:v>3.4815846936054058</c:v>
                </c:pt>
                <c:pt idx="26">
                  <c:v>6.0344055023863206</c:v>
                </c:pt>
                <c:pt idx="27">
                  <c:v>4.2384595160887315</c:v>
                </c:pt>
                <c:pt idx="28">
                  <c:v>5.3935361837117028</c:v>
                </c:pt>
                <c:pt idx="29">
                  <c:v>6.5020185510501705</c:v>
                </c:pt>
                <c:pt idx="30">
                  <c:v>9.6647080359317243</c:v>
                </c:pt>
                <c:pt idx="31">
                  <c:v>7.5613470158754126</c:v>
                </c:pt>
                <c:pt idx="32">
                  <c:v>8.4258256452773921</c:v>
                </c:pt>
                <c:pt idx="33">
                  <c:v>7.5199140837512743</c:v>
                </c:pt>
                <c:pt idx="34">
                  <c:v>6.612595702195847</c:v>
                </c:pt>
              </c:numCache>
            </c:numRef>
          </c:val>
          <c:smooth val="0"/>
          <c:extLst>
            <c:ext xmlns:c16="http://schemas.microsoft.com/office/drawing/2014/chart" uri="{C3380CC4-5D6E-409C-BE32-E72D297353CC}">
              <c16:uniqueId val="{00000002-461A-4F13-ACFF-9B673C6878B1}"/>
            </c:ext>
          </c:extLst>
        </c:ser>
        <c:ser>
          <c:idx val="1"/>
          <c:order val="3"/>
          <c:tx>
            <c:strRef>
              <c:f>'Trh práce 3'!$F$98</c:f>
              <c:strCache>
                <c:ptCount val="1"/>
                <c:pt idx="0">
                  <c:v>Prům. mzda v obchodu (nominálně)</c:v>
                </c:pt>
              </c:strCache>
            </c:strRef>
          </c:tx>
          <c:spPr>
            <a:ln w="9525">
              <a:solidFill>
                <a:srgbClr val="0070C0"/>
              </a:solidFill>
              <a:prstDash val="solid"/>
            </a:ln>
          </c:spPr>
          <c:marker>
            <c:symbol val="none"/>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3'!$F$99:$F$134</c:f>
              <c:numCache>
                <c:formatCode>0.0</c:formatCode>
                <c:ptCount val="36"/>
                <c:pt idx="0">
                  <c:v>9.5236281670593428</c:v>
                </c:pt>
                <c:pt idx="1">
                  <c:v>6.1173932151438422</c:v>
                </c:pt>
                <c:pt idx="2">
                  <c:v>-0.56987922579376971</c:v>
                </c:pt>
                <c:pt idx="3">
                  <c:v>0.86090696307550729</c:v>
                </c:pt>
                <c:pt idx="4">
                  <c:v>3.1242388374649579</c:v>
                </c:pt>
                <c:pt idx="5">
                  <c:v>3.1449702537917474</c:v>
                </c:pt>
                <c:pt idx="6">
                  <c:v>3.4890379198127093</c:v>
                </c:pt>
                <c:pt idx="7">
                  <c:v>3.5017847929104704</c:v>
                </c:pt>
                <c:pt idx="8">
                  <c:v>2.4115907095162967</c:v>
                </c:pt>
                <c:pt idx="9">
                  <c:v>2.0776709847314265</c:v>
                </c:pt>
                <c:pt idx="10">
                  <c:v>0.23379388629743403</c:v>
                </c:pt>
                <c:pt idx="11">
                  <c:v>-1.6674125328935219</c:v>
                </c:pt>
                <c:pt idx="12">
                  <c:v>3.8180889226283057</c:v>
                </c:pt>
                <c:pt idx="13">
                  <c:v>2.8255381000689113</c:v>
                </c:pt>
                <c:pt idx="14">
                  <c:v>3.5098256642731656</c:v>
                </c:pt>
                <c:pt idx="15">
                  <c:v>4.8703883325637847</c:v>
                </c:pt>
                <c:pt idx="16">
                  <c:v>4.8006939294931357</c:v>
                </c:pt>
                <c:pt idx="17">
                  <c:v>4.7464148837768363</c:v>
                </c:pt>
                <c:pt idx="18">
                  <c:v>6.7757963852022343</c:v>
                </c:pt>
                <c:pt idx="19">
                  <c:v>8.0429381053703324</c:v>
                </c:pt>
                <c:pt idx="20">
                  <c:v>7.140432936852541</c:v>
                </c:pt>
                <c:pt idx="21">
                  <c:v>6.7676237129747037</c:v>
                </c:pt>
                <c:pt idx="22">
                  <c:v>8.4786853865892482</c:v>
                </c:pt>
                <c:pt idx="23">
                  <c:v>7.232378367973638</c:v>
                </c:pt>
                <c:pt idx="24">
                  <c:v>3.6410633902801095</c:v>
                </c:pt>
                <c:pt idx="25">
                  <c:v>3.5929532276403506</c:v>
                </c:pt>
                <c:pt idx="26">
                  <c:v>6.061000040897909</c:v>
                </c:pt>
                <c:pt idx="27">
                  <c:v>7.6602746826361425</c:v>
                </c:pt>
                <c:pt idx="28">
                  <c:v>6.1888233099539818</c:v>
                </c:pt>
                <c:pt idx="29">
                  <c:v>4.4014967849833369</c:v>
                </c:pt>
                <c:pt idx="30">
                  <c:v>7.5941920481506671</c:v>
                </c:pt>
                <c:pt idx="31">
                  <c:v>5.960882451652175</c:v>
                </c:pt>
                <c:pt idx="32">
                  <c:v>6.4063759655939236</c:v>
                </c:pt>
                <c:pt idx="33">
                  <c:v>6.0359034849182862</c:v>
                </c:pt>
                <c:pt idx="34">
                  <c:v>6.2726466635275742</c:v>
                </c:pt>
              </c:numCache>
            </c:numRef>
          </c:val>
          <c:smooth val="0"/>
          <c:extLst>
            <c:ext xmlns:c16="http://schemas.microsoft.com/office/drawing/2014/chart" uri="{C3380CC4-5D6E-409C-BE32-E72D297353CC}">
              <c16:uniqueId val="{00000003-461A-4F13-ACFF-9B673C6878B1}"/>
            </c:ext>
          </c:extLst>
        </c:ser>
        <c:ser>
          <c:idx val="2"/>
          <c:order val="4"/>
          <c:tx>
            <c:strRef>
              <c:f>'Trh práce 3'!$G$98</c:f>
              <c:strCache>
                <c:ptCount val="1"/>
                <c:pt idx="0">
                  <c:v>Prům. mzda ve veř. službách (nominálně)*</c:v>
                </c:pt>
              </c:strCache>
            </c:strRef>
          </c:tx>
          <c:spPr>
            <a:ln w="9525">
              <a:solidFill>
                <a:srgbClr val="00B050"/>
              </a:solidFill>
              <a:prstDash val="solid"/>
            </a:ln>
          </c:spPr>
          <c:marker>
            <c:symbol val="none"/>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3'!$G$99:$G$134</c:f>
              <c:numCache>
                <c:formatCode>0.0</c:formatCode>
                <c:ptCount val="36"/>
                <c:pt idx="0">
                  <c:v>3.5657045736146955</c:v>
                </c:pt>
                <c:pt idx="1">
                  <c:v>5.270641590760583</c:v>
                </c:pt>
                <c:pt idx="2">
                  <c:v>4.9793477923024483</c:v>
                </c:pt>
                <c:pt idx="3">
                  <c:v>6.1469428778748991</c:v>
                </c:pt>
                <c:pt idx="4">
                  <c:v>2.8386853624388522</c:v>
                </c:pt>
                <c:pt idx="5">
                  <c:v>-2.1753764637075363</c:v>
                </c:pt>
                <c:pt idx="6">
                  <c:v>0.19348481132529827</c:v>
                </c:pt>
                <c:pt idx="7">
                  <c:v>2.4787428508100575</c:v>
                </c:pt>
                <c:pt idx="8">
                  <c:v>2.4926987811426713</c:v>
                </c:pt>
                <c:pt idx="9">
                  <c:v>1.4759480783641123</c:v>
                </c:pt>
                <c:pt idx="10">
                  <c:v>0.81328517016101642</c:v>
                </c:pt>
                <c:pt idx="11">
                  <c:v>0.40922312282597773</c:v>
                </c:pt>
                <c:pt idx="12">
                  <c:v>2.0274703102504361</c:v>
                </c:pt>
                <c:pt idx="13">
                  <c:v>3.0167538052527476</c:v>
                </c:pt>
                <c:pt idx="14">
                  <c:v>3.8030490245786126</c:v>
                </c:pt>
                <c:pt idx="15">
                  <c:v>3.7263593007908256</c:v>
                </c:pt>
                <c:pt idx="16">
                  <c:v>4.2239545746046758</c:v>
                </c:pt>
                <c:pt idx="17">
                  <c:v>5.4939178255430079</c:v>
                </c:pt>
                <c:pt idx="18">
                  <c:v>6.3879284532635694</c:v>
                </c:pt>
                <c:pt idx="19">
                  <c:v>9.2411219451734112</c:v>
                </c:pt>
                <c:pt idx="20">
                  <c:v>12.035938363262254</c:v>
                </c:pt>
                <c:pt idx="21">
                  <c:v>8.7447651066878649</c:v>
                </c:pt>
                <c:pt idx="22">
                  <c:v>9.3592646182937287</c:v>
                </c:pt>
                <c:pt idx="23">
                  <c:v>9.7167924346275427</c:v>
                </c:pt>
                <c:pt idx="24">
                  <c:v>5.1117019583668011</c:v>
                </c:pt>
                <c:pt idx="25">
                  <c:v>11.379812548838132</c:v>
                </c:pt>
                <c:pt idx="26">
                  <c:v>11.167111313827647</c:v>
                </c:pt>
                <c:pt idx="27">
                  <c:v>2.5296257137618738</c:v>
                </c:pt>
                <c:pt idx="28">
                  <c:v>-2.3632409229601805</c:v>
                </c:pt>
                <c:pt idx="29">
                  <c:v>1.8533165396900202</c:v>
                </c:pt>
                <c:pt idx="30">
                  <c:v>7.2872418171801385</c:v>
                </c:pt>
                <c:pt idx="31">
                  <c:v>5.8135921027025788</c:v>
                </c:pt>
                <c:pt idx="32">
                  <c:v>4.7413882220039767</c:v>
                </c:pt>
                <c:pt idx="33">
                  <c:v>4.3501985881681406</c:v>
                </c:pt>
                <c:pt idx="34">
                  <c:v>6.1230067047797547</c:v>
                </c:pt>
              </c:numCache>
            </c:numRef>
          </c:val>
          <c:smooth val="0"/>
          <c:extLst>
            <c:ext xmlns:c16="http://schemas.microsoft.com/office/drawing/2014/chart" uri="{C3380CC4-5D6E-409C-BE32-E72D297353CC}">
              <c16:uniqueId val="{00000004-461A-4F13-ACFF-9B673C6878B1}"/>
            </c:ext>
          </c:extLst>
        </c:ser>
        <c:ser>
          <c:idx val="3"/>
          <c:order val="5"/>
          <c:tx>
            <c:strRef>
              <c:f>'Trh práce 3'!$H$98</c:f>
              <c:strCache>
                <c:ptCount val="1"/>
                <c:pt idx="0">
                  <c:v>Produktivita práce v NH (reálně)**</c:v>
                </c:pt>
              </c:strCache>
            </c:strRef>
          </c:tx>
          <c:spPr>
            <a:ln w="19050">
              <a:noFill/>
            </a:ln>
          </c:spPr>
          <c:marker>
            <c:symbol val="circle"/>
            <c:size val="5"/>
            <c:spPr>
              <a:solidFill>
                <a:srgbClr val="FFFF00"/>
              </a:solidFill>
              <a:ln w="6350">
                <a:solidFill>
                  <a:schemeClr val="bg1">
                    <a:lumMod val="50000"/>
                  </a:schemeClr>
                </a:solidFill>
              </a:ln>
            </c:spPr>
          </c:marker>
          <c:cat>
            <c:multiLvlStrRef>
              <c:f>'Trh práce 3'!$A$99:$B$134</c:f>
              <c:multiLvlStrCache>
                <c:ptCount val="36"/>
                <c:lvl>
                  <c:pt idx="0">
                    <c:v>1</c:v>
                  </c:pt>
                  <c:pt idx="1">
                    <c:v>2</c:v>
                  </c:pt>
                  <c:pt idx="2">
                    <c:v>1</c:v>
                  </c:pt>
                  <c:pt idx="3">
                    <c:v>2</c:v>
                  </c:pt>
                  <c:pt idx="4">
                    <c:v>1</c:v>
                  </c:pt>
                  <c:pt idx="5">
                    <c:v>2</c:v>
                  </c:pt>
                  <c:pt idx="6">
                    <c:v>1</c:v>
                  </c:pt>
                  <c:pt idx="7">
                    <c:v>2</c:v>
                  </c:pt>
                  <c:pt idx="8">
                    <c:v>1</c:v>
                  </c:pt>
                  <c:pt idx="9">
                    <c:v>2</c:v>
                  </c:pt>
                  <c:pt idx="10">
                    <c:v>1</c:v>
                  </c:pt>
                  <c:pt idx="11">
                    <c:v>2</c:v>
                  </c:pt>
                  <c:pt idx="12">
                    <c:v>1</c:v>
                  </c:pt>
                  <c:pt idx="13">
                    <c:v>2</c:v>
                  </c:pt>
                  <c:pt idx="14">
                    <c:v>1</c:v>
                  </c:pt>
                  <c:pt idx="15">
                    <c:v>2</c:v>
                  </c:pt>
                  <c:pt idx="16">
                    <c:v>1</c:v>
                  </c:pt>
                  <c:pt idx="17">
                    <c:v>2</c:v>
                  </c:pt>
                  <c:pt idx="18">
                    <c:v>1</c:v>
                  </c:pt>
                  <c:pt idx="19">
                    <c:v>2</c:v>
                  </c:pt>
                  <c:pt idx="20">
                    <c:v>1</c:v>
                  </c:pt>
                  <c:pt idx="21">
                    <c:v>2</c:v>
                  </c:pt>
                  <c:pt idx="22">
                    <c:v>1</c:v>
                  </c:pt>
                  <c:pt idx="23">
                    <c:v>2</c:v>
                  </c:pt>
                  <c:pt idx="24">
                    <c:v>1</c:v>
                  </c:pt>
                  <c:pt idx="25">
                    <c:v>2</c:v>
                  </c:pt>
                  <c:pt idx="26">
                    <c:v>1</c:v>
                  </c:pt>
                  <c:pt idx="27">
                    <c:v>2</c:v>
                  </c:pt>
                  <c:pt idx="28">
                    <c:v>1</c:v>
                  </c:pt>
                  <c:pt idx="29">
                    <c:v>2</c:v>
                  </c:pt>
                  <c:pt idx="30">
                    <c:v>1</c:v>
                  </c:pt>
                  <c:pt idx="31">
                    <c:v>2</c:v>
                  </c:pt>
                  <c:pt idx="32">
                    <c:v>1</c:v>
                  </c:pt>
                  <c:pt idx="33">
                    <c:v>2</c:v>
                  </c:pt>
                  <c:pt idx="34">
                    <c:v>1</c:v>
                  </c:pt>
                  <c:pt idx="35">
                    <c:v>2</c:v>
                  </c:pt>
                </c:lvl>
                <c:lvl>
                  <c:pt idx="0">
                    <c:v>2008</c:v>
                  </c:pt>
                  <c:pt idx="2">
                    <c:v>2009</c:v>
                  </c:pt>
                  <c:pt idx="4">
                    <c:v>2010</c:v>
                  </c:pt>
                  <c:pt idx="6">
                    <c:v>2011</c:v>
                  </c:pt>
                  <c:pt idx="8">
                    <c:v>2012</c:v>
                  </c:pt>
                  <c:pt idx="10">
                    <c:v>2013</c:v>
                  </c:pt>
                  <c:pt idx="12">
                    <c:v>2014</c:v>
                  </c:pt>
                  <c:pt idx="14">
                    <c:v>2015</c:v>
                  </c:pt>
                  <c:pt idx="16">
                    <c:v>2016</c:v>
                  </c:pt>
                  <c:pt idx="18">
                    <c:v>2017</c:v>
                  </c:pt>
                  <c:pt idx="20">
                    <c:v>2018</c:v>
                  </c:pt>
                  <c:pt idx="22">
                    <c:v>2019</c:v>
                  </c:pt>
                  <c:pt idx="24">
                    <c:v>2020</c:v>
                  </c:pt>
                  <c:pt idx="26">
                    <c:v>2021</c:v>
                  </c:pt>
                  <c:pt idx="28">
                    <c:v>2022</c:v>
                  </c:pt>
                  <c:pt idx="30">
                    <c:v>2023</c:v>
                  </c:pt>
                  <c:pt idx="32">
                    <c:v>2024</c:v>
                  </c:pt>
                  <c:pt idx="34">
                    <c:v>2025</c:v>
                  </c:pt>
                </c:lvl>
              </c:multiLvlStrCache>
            </c:multiLvlStrRef>
          </c:cat>
          <c:val>
            <c:numRef>
              <c:f>'Trh práce 3'!$H$99:$H$134</c:f>
              <c:numCache>
                <c:formatCode>#\ ##0.0</c:formatCode>
                <c:ptCount val="36"/>
                <c:pt idx="0">
                  <c:v>1.7948162191702863</c:v>
                </c:pt>
                <c:pt idx="1">
                  <c:v>-0.85342685173492328</c:v>
                </c:pt>
                <c:pt idx="2">
                  <c:v>-4.4223831327183802</c:v>
                </c:pt>
                <c:pt idx="3">
                  <c:v>-1.6734521600787531</c:v>
                </c:pt>
                <c:pt idx="4">
                  <c:v>4.0477610475263077</c:v>
                </c:pt>
                <c:pt idx="5">
                  <c:v>3.4875100759086024</c:v>
                </c:pt>
                <c:pt idx="6">
                  <c:v>2.9305494367656308</c:v>
                </c:pt>
                <c:pt idx="7">
                  <c:v>1.6937541992632958</c:v>
                </c:pt>
                <c:pt idx="8">
                  <c:v>-0.46141086403324039</c:v>
                </c:pt>
                <c:pt idx="9">
                  <c:v>-2.0842167578810091</c:v>
                </c:pt>
                <c:pt idx="10">
                  <c:v>-1.9632838663297463</c:v>
                </c:pt>
                <c:pt idx="11">
                  <c:v>1.0997874886978138</c:v>
                </c:pt>
                <c:pt idx="12">
                  <c:v>1.9399028762067161</c:v>
                </c:pt>
                <c:pt idx="13">
                  <c:v>1.4695970981852895</c:v>
                </c:pt>
                <c:pt idx="14">
                  <c:v>3.5008548408138154</c:v>
                </c:pt>
                <c:pt idx="15">
                  <c:v>3.5345024183069285</c:v>
                </c:pt>
                <c:pt idx="16">
                  <c:v>2.102189770532533</c:v>
                </c:pt>
                <c:pt idx="17">
                  <c:v>0.9949299967222629</c:v>
                </c:pt>
                <c:pt idx="18">
                  <c:v>3.4840400032813363</c:v>
                </c:pt>
                <c:pt idx="19">
                  <c:v>4.0780401362267042</c:v>
                </c:pt>
                <c:pt idx="20">
                  <c:v>1.725027742913781</c:v>
                </c:pt>
                <c:pt idx="21">
                  <c:v>1.6105068163183205</c:v>
                </c:pt>
                <c:pt idx="22">
                  <c:v>3.2333697645609618</c:v>
                </c:pt>
                <c:pt idx="23">
                  <c:v>4.1872672684672096</c:v>
                </c:pt>
                <c:pt idx="24">
                  <c:v>-4.0534827749106483</c:v>
                </c:pt>
                <c:pt idx="25">
                  <c:v>-2.0979571742623477</c:v>
                </c:pt>
                <c:pt idx="26">
                  <c:v>3.9663905479637975</c:v>
                </c:pt>
                <c:pt idx="27">
                  <c:v>2.0695630177625333</c:v>
                </c:pt>
                <c:pt idx="28">
                  <c:v>3.1253944847325954</c:v>
                </c:pt>
                <c:pt idx="29">
                  <c:v>0.58898636106864899</c:v>
                </c:pt>
                <c:pt idx="30">
                  <c:v>-1.6048749525355106</c:v>
                </c:pt>
                <c:pt idx="31">
                  <c:v>-1.4520061124631951</c:v>
                </c:pt>
                <c:pt idx="32">
                  <c:v>-0.18723084728266315</c:v>
                </c:pt>
                <c:pt idx="33">
                  <c:v>1.4186078356966334</c:v>
                </c:pt>
                <c:pt idx="34">
                  <c:v>1.3503639204184026</c:v>
                </c:pt>
              </c:numCache>
            </c:numRef>
          </c:val>
          <c:smooth val="0"/>
          <c:extLst>
            <c:ext xmlns:c16="http://schemas.microsoft.com/office/drawing/2014/chart" uri="{C3380CC4-5D6E-409C-BE32-E72D297353CC}">
              <c16:uniqueId val="{00000005-461A-4F13-ACFF-9B673C6878B1}"/>
            </c:ext>
          </c:extLst>
        </c:ser>
        <c:dLbls>
          <c:showLegendKey val="0"/>
          <c:showVal val="0"/>
          <c:showCatName val="0"/>
          <c:showSerName val="0"/>
          <c:showPercent val="0"/>
          <c:showBubbleSize val="0"/>
        </c:dLbls>
        <c:marker val="1"/>
        <c:smooth val="0"/>
        <c:axId val="100688640"/>
        <c:axId val="100690560"/>
      </c:lineChart>
      <c:catAx>
        <c:axId val="100688640"/>
        <c:scaling>
          <c:orientation val="minMax"/>
        </c:scaling>
        <c:delete val="0"/>
        <c:axPos val="b"/>
        <c:numFmt formatCode="General" sourceLinked="1"/>
        <c:majorTickMark val="none"/>
        <c:minorTickMark val="none"/>
        <c:tickLblPos val="low"/>
        <c:spPr>
          <a:ln>
            <a:solidFill>
              <a:schemeClr val="tx1"/>
            </a:solidFill>
          </a:ln>
        </c:spPr>
        <c:txPr>
          <a:bodyPr rot="0" vert="horz"/>
          <a:lstStyle/>
          <a:p>
            <a:pPr>
              <a:defRPr/>
            </a:pPr>
            <a:endParaRPr lang="cs-CZ"/>
          </a:p>
        </c:txPr>
        <c:crossAx val="100690560"/>
        <c:crosses val="autoZero"/>
        <c:auto val="1"/>
        <c:lblAlgn val="ctr"/>
        <c:lblOffset val="0"/>
        <c:tickMarkSkip val="1"/>
        <c:noMultiLvlLbl val="0"/>
      </c:catAx>
      <c:valAx>
        <c:axId val="100690560"/>
        <c:scaling>
          <c:orientation val="minMax"/>
          <c:max val="14"/>
          <c:min val="-12"/>
        </c:scaling>
        <c:delete val="0"/>
        <c:axPos val="l"/>
        <c:majorGridlines>
          <c:spPr>
            <a:ln>
              <a:solidFill>
                <a:schemeClr val="bg1">
                  <a:lumMod val="75000"/>
                </a:schemeClr>
              </a:solidFill>
            </a:ln>
          </c:spPr>
        </c:majorGridlines>
        <c:numFmt formatCode="0" sourceLinked="0"/>
        <c:majorTickMark val="out"/>
        <c:minorTickMark val="none"/>
        <c:tickLblPos val="nextTo"/>
        <c:spPr>
          <a:ln>
            <a:solidFill>
              <a:schemeClr val="tx1"/>
            </a:solidFill>
          </a:ln>
        </c:spPr>
        <c:crossAx val="100688640"/>
        <c:crosses val="autoZero"/>
        <c:crossBetween val="midCat"/>
        <c:majorUnit val="2"/>
      </c:valAx>
      <c:spPr>
        <a:ln>
          <a:solidFill>
            <a:schemeClr val="tx1"/>
          </a:solidFill>
        </a:ln>
      </c:spPr>
    </c:plotArea>
    <c:legend>
      <c:legendPos val="b"/>
      <c:layout>
        <c:manualLayout>
          <c:xMode val="edge"/>
          <c:yMode val="edge"/>
          <c:x val="1.8875442035332712E-2"/>
          <c:y val="0.87578175045503925"/>
          <c:w val="0.97559048893060707"/>
          <c:h val="0.11341893424036281"/>
        </c:manualLayout>
      </c:layout>
      <c:overlay val="0"/>
      <c:spPr>
        <a:ln w="6350">
          <a:solidFill>
            <a:schemeClr val="tx1"/>
          </a:solidFill>
        </a:ln>
      </c:spPr>
    </c:legend>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1E7681AD-41B0-431A-9D34-CF6700A12FAC}">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b8c0c86d-151e-4fca-b0d5-747e6692fa1d"/>
    <ds:schemaRef ds:uri="http://purl.org/dc/terms/"/>
    <ds:schemaRef ds:uri="http://schemas.microsoft.com/office/2006/metadata/properties"/>
    <ds:schemaRef ds:uri="http://purl.org/dc/elements/1.1/"/>
    <ds:schemaRef ds:uri="http://www.w3.org/XML/1998/namespace"/>
  </ds:schemaRefs>
</ds:datastoreItem>
</file>

<file path=customXml/itemProps3.xml><?xml version="1.0" encoding="utf-8"?>
<ds:datastoreItem xmlns:ds="http://schemas.openxmlformats.org/officeDocument/2006/customXml" ds:itemID="{E5BC6B78-CD4F-4CCE-9179-CFFE2F383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19E1F-7FE3-4A95-84B7-C8719E8C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3291</Words>
  <Characters>19419</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3</cp:revision>
  <cp:lastPrinted>2014-07-17T14:07:00Z</cp:lastPrinted>
  <dcterms:created xsi:type="dcterms:W3CDTF">2025-09-16T11:02:00Z</dcterms:created>
  <dcterms:modified xsi:type="dcterms:W3CDTF">2025-09-16T11:13:00Z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