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B" w:rsidRDefault="00A333BA" w:rsidP="00C91277">
      <w:pPr>
        <w:pStyle w:val="Nadpis1"/>
      </w:pPr>
      <w:bookmarkStart w:id="0" w:name="_Toc483838339"/>
      <w:r>
        <w:t>3. Pracovní neschopnost pro nemoc a úraz v České republice za rok</w:t>
      </w:r>
      <w:r w:rsidR="00825628">
        <w:t xml:space="preserve"> </w:t>
      </w:r>
      <w:r w:rsidR="00F2077B">
        <w:t>2016</w:t>
      </w:r>
      <w:bookmarkEnd w:id="0"/>
    </w:p>
    <w:p w:rsidR="00DA5EBB" w:rsidRPr="00DA5EBB" w:rsidRDefault="00A333BA" w:rsidP="00DA5EBB">
      <w:pPr>
        <w:pStyle w:val="Nadpis2"/>
        <w:spacing w:before="360" w:after="240"/>
        <w:rPr>
          <w:i/>
        </w:rPr>
      </w:pPr>
      <w:bookmarkStart w:id="1" w:name="_Toc483838340"/>
      <w:r>
        <w:t>3.1 Nemocensky pojištěné osoby</w:t>
      </w:r>
      <w:bookmarkStart w:id="2" w:name="_Toc444112497"/>
      <w:bookmarkEnd w:id="1"/>
    </w:p>
    <w:p w:rsidR="00A333BA" w:rsidRPr="003E6827" w:rsidRDefault="00A333BA" w:rsidP="00A333BA">
      <w:pPr>
        <w:ind w:firstLine="708"/>
        <w:jc w:val="both"/>
        <w:rPr>
          <w:rFonts w:cs="Arial"/>
        </w:rPr>
      </w:pPr>
      <w:r w:rsidRPr="003E6827">
        <w:rPr>
          <w:rFonts w:cs="Arial"/>
        </w:rPr>
        <w:t xml:space="preserve">Základním ukazatelem, </w:t>
      </w:r>
      <w:r>
        <w:rPr>
          <w:rFonts w:cs="Arial"/>
        </w:rPr>
        <w:t xml:space="preserve">ke kterému se vztahují údaje o pracovní neschopnosti, </w:t>
      </w:r>
      <w:r w:rsidR="00984FF2" w:rsidRPr="00984FF2">
        <w:rPr>
          <w:rFonts w:cs="Arial"/>
        </w:rPr>
        <w:t>je ukazatel</w:t>
      </w:r>
      <w:r>
        <w:rPr>
          <w:rFonts w:cs="Arial"/>
          <w:b/>
        </w:rPr>
        <w:t xml:space="preserve"> průměrného počtu nemocensky pojištěných osob. </w:t>
      </w:r>
    </w:p>
    <w:p w:rsidR="00A333BA" w:rsidRPr="003E6827" w:rsidRDefault="00984FF2" w:rsidP="00A333BA">
      <w:pPr>
        <w:ind w:firstLine="708"/>
        <w:jc w:val="both"/>
        <w:rPr>
          <w:rFonts w:cs="Arial"/>
        </w:rPr>
      </w:pPr>
      <w:r w:rsidRPr="003E6827">
        <w:rPr>
          <w:rFonts w:cs="Arial"/>
        </w:rPr>
        <w:t>Průměrný počet nemocensky pojištěných za rok</w:t>
      </w:r>
      <w:r w:rsidR="00A333BA" w:rsidRPr="003E6827">
        <w:rPr>
          <w:rFonts w:cs="Arial"/>
        </w:rPr>
        <w:t xml:space="preserve"> </w:t>
      </w:r>
      <w:r w:rsidRPr="003E6827">
        <w:rPr>
          <w:rFonts w:cs="Arial"/>
        </w:rPr>
        <w:t>2016</w:t>
      </w:r>
      <w:r w:rsidR="00A333BA" w:rsidRPr="003E6827">
        <w:rPr>
          <w:rFonts w:cs="Arial"/>
        </w:rPr>
        <w:t xml:space="preserve"> činil </w:t>
      </w:r>
      <w:r w:rsidRPr="003E6827">
        <w:rPr>
          <w:rFonts w:cs="Arial"/>
        </w:rPr>
        <w:t>celkem</w:t>
      </w:r>
      <w:r w:rsidR="00CB6DF5" w:rsidRPr="003E6827">
        <w:rPr>
          <w:rFonts w:cs="Arial"/>
        </w:rPr>
        <w:t xml:space="preserve"> </w:t>
      </w:r>
      <w:r w:rsidR="00A333BA" w:rsidRPr="003E6827">
        <w:rPr>
          <w:rFonts w:cs="Arial"/>
        </w:rPr>
        <w:t>4 571,3 tis. osob, z čehož 51</w:t>
      </w:r>
      <w:r w:rsidR="00CB6DF5" w:rsidRPr="003E6827">
        <w:rPr>
          <w:rFonts w:cs="Arial"/>
        </w:rPr>
        <w:t> </w:t>
      </w:r>
      <w:r w:rsidR="00A333BA" w:rsidRPr="003E6827">
        <w:rPr>
          <w:rFonts w:cs="Arial"/>
        </w:rPr>
        <w:t>% tvořili muži</w:t>
      </w:r>
      <w:r w:rsidR="00CB6DF5" w:rsidRPr="003E6827">
        <w:rPr>
          <w:rFonts w:cs="Arial"/>
        </w:rPr>
        <w:t xml:space="preserve"> </w:t>
      </w:r>
      <w:r w:rsidRPr="003E6827">
        <w:rPr>
          <w:rFonts w:cs="Arial"/>
        </w:rPr>
        <w:t>a 49</w:t>
      </w:r>
      <w:r w:rsidRPr="003E6827">
        <w:rPr>
          <w:rFonts w:cs="Arial"/>
          <w:lang w:val="en-US"/>
        </w:rPr>
        <w:t> %</w:t>
      </w:r>
      <w:r w:rsidR="00A333BA" w:rsidRPr="003E6827">
        <w:rPr>
          <w:rFonts w:cs="Arial"/>
          <w:lang w:val="en-US"/>
        </w:rPr>
        <w:t xml:space="preserve"> </w:t>
      </w:r>
      <w:r w:rsidR="007D0416" w:rsidRPr="003E6827">
        <w:rPr>
          <w:rFonts w:cs="Arial"/>
        </w:rPr>
        <w:t>ženy.</w:t>
      </w:r>
      <w:r w:rsidR="00A333BA" w:rsidRPr="003E6827">
        <w:rPr>
          <w:rFonts w:cs="Arial"/>
        </w:rPr>
        <w:t xml:space="preserve"> Oproti roku 2015 průměrný počet pojištěnců </w:t>
      </w:r>
      <w:r w:rsidRPr="003E6827">
        <w:rPr>
          <w:rFonts w:cs="Arial"/>
        </w:rPr>
        <w:t>vzrostl o 1,4 </w:t>
      </w:r>
      <w:r w:rsidRPr="003E6827">
        <w:rPr>
          <w:rFonts w:cs="Arial"/>
          <w:lang w:val="en-US"/>
        </w:rPr>
        <w:t xml:space="preserve">%, </w:t>
      </w:r>
      <w:proofErr w:type="spellStart"/>
      <w:r w:rsidRPr="003E6827">
        <w:rPr>
          <w:rFonts w:cs="Arial"/>
          <w:lang w:val="en-US"/>
        </w:rPr>
        <w:t>tj</w:t>
      </w:r>
      <w:proofErr w:type="spellEnd"/>
      <w:r w:rsidRPr="003E6827">
        <w:rPr>
          <w:rFonts w:cs="Arial"/>
          <w:lang w:val="en-US"/>
        </w:rPr>
        <w:t xml:space="preserve">. o </w:t>
      </w:r>
      <w:r w:rsidRPr="003E6827">
        <w:rPr>
          <w:rFonts w:cs="Arial"/>
        </w:rPr>
        <w:t>64,3 tis. osob.</w:t>
      </w:r>
      <w:r w:rsidR="00A333BA" w:rsidRPr="003E6827">
        <w:rPr>
          <w:rFonts w:cs="Arial"/>
        </w:rPr>
        <w:t xml:space="preserve"> </w:t>
      </w:r>
      <w:r w:rsidR="00A333BA" w:rsidRPr="003E6827">
        <w:rPr>
          <w:rFonts w:cs="Arial"/>
          <w:color w:val="FF0000"/>
        </w:rPr>
        <w:t xml:space="preserve"> </w:t>
      </w:r>
      <w:r w:rsidR="00A333BA" w:rsidRPr="003E6827">
        <w:rPr>
          <w:rFonts w:cs="Arial"/>
        </w:rPr>
        <w:t xml:space="preserve">Průměrný počet nemocensky pojištěných </w:t>
      </w:r>
      <w:r w:rsidRPr="003E6827">
        <w:rPr>
          <w:rFonts w:cs="Arial"/>
        </w:rPr>
        <w:t>mužů</w:t>
      </w:r>
      <w:r w:rsidR="00A333BA" w:rsidRPr="003E6827">
        <w:rPr>
          <w:rFonts w:cs="Arial"/>
        </w:rPr>
        <w:t xml:space="preserve"> meziročně stoup</w:t>
      </w:r>
      <w:r w:rsidR="00CB6DF5" w:rsidRPr="003E6827">
        <w:rPr>
          <w:rFonts w:cs="Arial"/>
        </w:rPr>
        <w:t>l</w:t>
      </w:r>
      <w:r w:rsidR="00A333BA" w:rsidRPr="003E6827">
        <w:rPr>
          <w:rFonts w:cs="Arial"/>
        </w:rPr>
        <w:t xml:space="preserve"> z 2 301,3 tis. osob v roce 2015 na 2 328,5 tis. osob v roce </w:t>
      </w:r>
      <w:r w:rsidR="003E6827" w:rsidRPr="003E6827">
        <w:rPr>
          <w:rFonts w:cs="Arial"/>
        </w:rPr>
        <w:t>2016 (</w:t>
      </w:r>
      <w:r w:rsidR="00A333BA" w:rsidRPr="003E6827">
        <w:rPr>
          <w:rFonts w:cs="Arial"/>
        </w:rPr>
        <w:t>tj.</w:t>
      </w:r>
      <w:r w:rsidR="0075019E" w:rsidRPr="003E6827">
        <w:rPr>
          <w:rFonts w:cs="Arial"/>
        </w:rPr>
        <w:t xml:space="preserve"> o</w:t>
      </w:r>
      <w:r w:rsidR="00A333BA" w:rsidRPr="003E6827">
        <w:rPr>
          <w:rFonts w:cs="Arial"/>
        </w:rPr>
        <w:t xml:space="preserve"> 1,2 </w:t>
      </w:r>
      <w:r w:rsidR="00A333BA" w:rsidRPr="003E6827">
        <w:rPr>
          <w:rFonts w:cs="Arial"/>
          <w:lang w:val="en-US"/>
        </w:rPr>
        <w:t>%</w:t>
      </w:r>
      <w:r w:rsidR="00A333BA" w:rsidRPr="003E6827">
        <w:rPr>
          <w:rFonts w:cs="Arial"/>
        </w:rPr>
        <w:t>). Průměrný počet nemocensky pojištěn žen meziročně vzrostl z 2 205,7 tis. osob v roce 2015 na 2 242,</w:t>
      </w:r>
      <w:r w:rsidR="003E6827" w:rsidRPr="003E6827">
        <w:rPr>
          <w:rFonts w:cs="Arial"/>
        </w:rPr>
        <w:t>8 tis.</w:t>
      </w:r>
      <w:r w:rsidR="00A333BA" w:rsidRPr="003E6827">
        <w:rPr>
          <w:rFonts w:cs="Arial"/>
        </w:rPr>
        <w:t xml:space="preserve"> osob v roce </w:t>
      </w:r>
      <w:r w:rsidR="003E6827" w:rsidRPr="003E6827">
        <w:rPr>
          <w:rFonts w:cs="Arial"/>
        </w:rPr>
        <w:t>2016 (</w:t>
      </w:r>
      <w:r w:rsidR="00A333BA" w:rsidRPr="003E6827">
        <w:rPr>
          <w:rFonts w:cs="Arial"/>
        </w:rPr>
        <w:t>tj. o 1,7 </w:t>
      </w:r>
      <w:r w:rsidR="00A333BA" w:rsidRPr="003E6827">
        <w:rPr>
          <w:rFonts w:cs="Arial"/>
          <w:lang w:val="en-US"/>
        </w:rPr>
        <w:t>%</w:t>
      </w:r>
      <w:r w:rsidR="00A333BA" w:rsidRPr="003E6827">
        <w:rPr>
          <w:rFonts w:cs="Arial"/>
        </w:rPr>
        <w:t xml:space="preserve">). </w:t>
      </w:r>
    </w:p>
    <w:p w:rsidR="00A333BA" w:rsidRPr="003E6827" w:rsidRDefault="00A333BA" w:rsidP="007D0416">
      <w:pPr>
        <w:ind w:firstLine="708"/>
        <w:jc w:val="both"/>
        <w:rPr>
          <w:rFonts w:cs="Arial"/>
        </w:rPr>
      </w:pPr>
      <w:r w:rsidRPr="003E6827">
        <w:rPr>
          <w:rFonts w:cs="Arial"/>
        </w:rPr>
        <w:t>Podíl mladistvých</w:t>
      </w:r>
      <w:r w:rsidR="007D0416" w:rsidRPr="003E6827">
        <w:rPr>
          <w:rFonts w:cs="Arial"/>
        </w:rPr>
        <w:t xml:space="preserve"> (tj. nemocensky pojištěných osob do 18 let) </w:t>
      </w:r>
      <w:r w:rsidRPr="003E6827">
        <w:rPr>
          <w:rFonts w:cs="Arial"/>
        </w:rPr>
        <w:t>na celkovém počtu nemocensky pojištěných meziročně vzrostl ze 7,3 tis. osob v roce 2015 na 8,8 tis. v roce 2016 a jejich podíl na celkovém počtu nemocensky pojištěných se meziročně zvýšil z </w:t>
      </w:r>
      <w:r w:rsidR="007D0416" w:rsidRPr="003E6827">
        <w:rPr>
          <w:rFonts w:cs="Arial"/>
        </w:rPr>
        <w:t>0,16 %</w:t>
      </w:r>
      <w:r w:rsidRPr="003E6827">
        <w:rPr>
          <w:rFonts w:cs="Arial"/>
        </w:rPr>
        <w:t xml:space="preserve"> na 0,19</w:t>
      </w:r>
      <w:r w:rsidR="007D0416" w:rsidRPr="003E6827">
        <w:rPr>
          <w:rFonts w:cs="Arial"/>
        </w:rPr>
        <w:t xml:space="preserve"> </w:t>
      </w:r>
      <w:r w:rsidRPr="003E6827">
        <w:rPr>
          <w:rFonts w:cs="Arial"/>
        </w:rPr>
        <w:t>% (tj. o 0,3 p.</w:t>
      </w:r>
      <w:r w:rsidR="007D0416" w:rsidRPr="003E6827">
        <w:rPr>
          <w:rFonts w:cs="Arial"/>
        </w:rPr>
        <w:t xml:space="preserve"> </w:t>
      </w:r>
      <w:r w:rsidRPr="003E6827">
        <w:rPr>
          <w:rFonts w:cs="Arial"/>
        </w:rPr>
        <w:t xml:space="preserve">b.). </w:t>
      </w:r>
    </w:p>
    <w:p w:rsidR="00F87E03" w:rsidRDefault="00A333BA" w:rsidP="00A333BA">
      <w:pPr>
        <w:ind w:firstLine="708"/>
        <w:jc w:val="both"/>
        <w:rPr>
          <w:rFonts w:cs="Arial"/>
        </w:rPr>
      </w:pPr>
      <w:r w:rsidRPr="003E6827">
        <w:rPr>
          <w:rFonts w:cs="Arial"/>
        </w:rPr>
        <w:t xml:space="preserve">Průměrný počet dobrovolně nemocensky pojištěných </w:t>
      </w:r>
      <w:r w:rsidR="00606E50">
        <w:rPr>
          <w:rFonts w:cs="Arial"/>
        </w:rPr>
        <w:t xml:space="preserve">osob </w:t>
      </w:r>
      <w:r w:rsidR="00606E50" w:rsidRPr="00606E50">
        <w:rPr>
          <w:rFonts w:cs="Arial"/>
        </w:rPr>
        <w:t xml:space="preserve">samostatně výdělečně činných </w:t>
      </w:r>
      <w:r w:rsidR="00606E50">
        <w:rPr>
          <w:rFonts w:cs="Arial"/>
        </w:rPr>
        <w:t>(</w:t>
      </w:r>
      <w:r w:rsidRPr="003E6827">
        <w:rPr>
          <w:rFonts w:cs="Arial"/>
        </w:rPr>
        <w:t>OSVČ</w:t>
      </w:r>
      <w:r w:rsidR="00606E50">
        <w:rPr>
          <w:rFonts w:cs="Arial"/>
        </w:rPr>
        <w:t>)</w:t>
      </w:r>
      <w:r w:rsidRPr="003E6827">
        <w:rPr>
          <w:rFonts w:cs="Arial"/>
        </w:rPr>
        <w:t xml:space="preserve"> v roce 2016 zůstává obdobně jako v</w:t>
      </w:r>
      <w:r w:rsidR="003E6827">
        <w:rPr>
          <w:rFonts w:cs="Arial"/>
        </w:rPr>
        <w:t> </w:t>
      </w:r>
      <w:r w:rsidRPr="003E6827">
        <w:rPr>
          <w:rFonts w:cs="Arial"/>
        </w:rPr>
        <w:t>loňském roce 2015 na 89,5 tis. osob. Z tohoto počtu tvořili 61</w:t>
      </w:r>
      <w:r w:rsidR="00DA5EBB" w:rsidRPr="003E6827">
        <w:rPr>
          <w:rFonts w:cs="Arial"/>
        </w:rPr>
        <w:t xml:space="preserve"> </w:t>
      </w:r>
      <w:r w:rsidRPr="003E6827">
        <w:rPr>
          <w:rFonts w:cs="Arial"/>
        </w:rPr>
        <w:t>% muži a</w:t>
      </w:r>
      <w:r w:rsidR="00C43067">
        <w:rPr>
          <w:rFonts w:cs="Arial"/>
        </w:rPr>
        <w:t> </w:t>
      </w:r>
      <w:r w:rsidRPr="003E6827">
        <w:rPr>
          <w:rFonts w:cs="Arial"/>
        </w:rPr>
        <w:t>39</w:t>
      </w:r>
      <w:r w:rsidR="00DA5EBB" w:rsidRPr="003E6827">
        <w:rPr>
          <w:rFonts w:cs="Arial"/>
        </w:rPr>
        <w:t xml:space="preserve"> </w:t>
      </w:r>
      <w:r w:rsidRPr="003E6827">
        <w:rPr>
          <w:rFonts w:cs="Arial"/>
        </w:rPr>
        <w:t xml:space="preserve">% ženy. </w:t>
      </w:r>
    </w:p>
    <w:p w:rsidR="00A333BA" w:rsidRPr="003E6827" w:rsidRDefault="00984FF2" w:rsidP="00A333BA">
      <w:pPr>
        <w:ind w:firstLine="708"/>
        <w:jc w:val="both"/>
        <w:rPr>
          <w:rFonts w:cs="Arial"/>
        </w:rPr>
      </w:pPr>
      <w:r w:rsidRPr="003E6827">
        <w:rPr>
          <w:rFonts w:cs="Arial"/>
        </w:rPr>
        <w:t xml:space="preserve">Zatímco počet nemocensky pojištěných zaměstnanců v posledních </w:t>
      </w:r>
      <w:r w:rsidR="001F7E69" w:rsidRPr="003E6827">
        <w:rPr>
          <w:rFonts w:cs="Arial"/>
        </w:rPr>
        <w:t xml:space="preserve">třech </w:t>
      </w:r>
      <w:r w:rsidRPr="003E6827">
        <w:rPr>
          <w:rFonts w:cs="Arial"/>
        </w:rPr>
        <w:t xml:space="preserve">letech </w:t>
      </w:r>
      <w:r w:rsidR="001F7E69" w:rsidRPr="003E6827">
        <w:rPr>
          <w:rFonts w:cs="Arial"/>
        </w:rPr>
        <w:t xml:space="preserve">postupně </w:t>
      </w:r>
      <w:r w:rsidRPr="003E6827">
        <w:rPr>
          <w:rFonts w:cs="Arial"/>
        </w:rPr>
        <w:t>roste</w:t>
      </w:r>
      <w:r w:rsidR="00A333BA" w:rsidRPr="003E6827">
        <w:rPr>
          <w:rFonts w:cs="Arial"/>
        </w:rPr>
        <w:t xml:space="preserve">, </w:t>
      </w:r>
      <w:r w:rsidRPr="003E6827">
        <w:rPr>
          <w:rFonts w:cs="Arial"/>
        </w:rPr>
        <w:t>počet</w:t>
      </w:r>
      <w:r w:rsidR="00A333BA" w:rsidRPr="003E6827">
        <w:rPr>
          <w:rFonts w:cs="Arial"/>
        </w:rPr>
        <w:t xml:space="preserve"> dobrovolně nemocensky pojištěných </w:t>
      </w:r>
      <w:r w:rsidRPr="003E6827">
        <w:rPr>
          <w:rFonts w:cs="Arial"/>
        </w:rPr>
        <w:t>OSVČ</w:t>
      </w:r>
      <w:r w:rsidR="00A333BA" w:rsidRPr="003E6827">
        <w:rPr>
          <w:rFonts w:cs="Arial"/>
        </w:rPr>
        <w:t xml:space="preserve"> </w:t>
      </w:r>
      <w:r w:rsidRPr="003E6827">
        <w:rPr>
          <w:rFonts w:cs="Arial"/>
        </w:rPr>
        <w:t>má v kontextu posledních několika let snižující se tendenci</w:t>
      </w:r>
      <w:r w:rsidR="00A333BA" w:rsidRPr="003E6827">
        <w:rPr>
          <w:rFonts w:cs="Arial"/>
        </w:rPr>
        <w:t>.</w:t>
      </w:r>
      <w:r w:rsidR="001F7E69" w:rsidRPr="003E6827">
        <w:rPr>
          <w:rFonts w:cs="Arial"/>
        </w:rPr>
        <w:t xml:space="preserve"> Od roku 2010 klesl počet dobrovolně nemocensky pojištěných OSVČ o polovinu z 178,2 tisíc v roce 2010 na výše zmíněných 89,5 tisíc v roce 2016.</w:t>
      </w:r>
      <w:r w:rsidR="00A333BA" w:rsidRPr="003E6827">
        <w:rPr>
          <w:rFonts w:cs="Arial"/>
        </w:rPr>
        <w:t xml:space="preserve"> </w:t>
      </w:r>
    </w:p>
    <w:p w:rsidR="00A333BA" w:rsidRDefault="00984FF2" w:rsidP="00A333BA">
      <w:pPr>
        <w:ind w:firstLine="708"/>
        <w:jc w:val="both"/>
        <w:rPr>
          <w:rFonts w:cs="Arial"/>
        </w:rPr>
      </w:pPr>
      <w:r w:rsidRPr="003E6827">
        <w:rPr>
          <w:rFonts w:cs="Arial"/>
        </w:rPr>
        <w:t>Celkový průměrný počet nemocensky pojištěných osob</w:t>
      </w:r>
      <w:r w:rsidR="00A333BA" w:rsidRPr="003E6827">
        <w:rPr>
          <w:rFonts w:cs="Arial"/>
        </w:rPr>
        <w:t xml:space="preserve"> (v rámci pojištění zaměstnanců a OSVČ) </w:t>
      </w:r>
      <w:r w:rsidRPr="003E6827">
        <w:rPr>
          <w:rFonts w:cs="Arial"/>
        </w:rPr>
        <w:t>se</w:t>
      </w:r>
      <w:r w:rsidR="001F7E69" w:rsidRPr="003E6827">
        <w:rPr>
          <w:rFonts w:cs="Arial"/>
        </w:rPr>
        <w:t xml:space="preserve"> za </w:t>
      </w:r>
      <w:r w:rsidRPr="003E6827">
        <w:rPr>
          <w:rFonts w:cs="Arial"/>
        </w:rPr>
        <w:t>posledních deset let</w:t>
      </w:r>
      <w:r w:rsidR="001F7E69" w:rsidRPr="003E6827">
        <w:rPr>
          <w:rFonts w:cs="Arial"/>
        </w:rPr>
        <w:t xml:space="preserve"> (</w:t>
      </w:r>
      <w:r w:rsidRPr="003E6827">
        <w:rPr>
          <w:rFonts w:cs="Arial"/>
        </w:rPr>
        <w:t>v průběhu let 2006 – 2016</w:t>
      </w:r>
      <w:r w:rsidR="001F7E69" w:rsidRPr="003E6827">
        <w:rPr>
          <w:rFonts w:cs="Arial"/>
        </w:rPr>
        <w:t>)</w:t>
      </w:r>
      <w:r w:rsidR="00A333BA" w:rsidRPr="003E6827">
        <w:rPr>
          <w:rFonts w:cs="Arial"/>
        </w:rPr>
        <w:t xml:space="preserve"> zvýšil o 74,3 tis. osob (tj. o 1,7</w:t>
      </w:r>
      <w:r w:rsidR="00FC3B99" w:rsidRPr="003E6827">
        <w:rPr>
          <w:rFonts w:cs="Arial"/>
        </w:rPr>
        <w:t> </w:t>
      </w:r>
      <w:r w:rsidR="00A333BA" w:rsidRPr="003E6827">
        <w:rPr>
          <w:rFonts w:cs="Arial"/>
        </w:rPr>
        <w:t xml:space="preserve">%), z toho počet mužů klesl o 60,9 tis., naopak počet žen stoupl o 135,2 tis. </w:t>
      </w:r>
      <w:r w:rsidR="00825628" w:rsidRPr="003E6827">
        <w:rPr>
          <w:rFonts w:cs="Arial"/>
        </w:rPr>
        <w:t>Podíl OSVČ</w:t>
      </w:r>
      <w:r w:rsidR="00A333BA" w:rsidRPr="003E6827">
        <w:rPr>
          <w:rFonts w:cs="Arial"/>
        </w:rPr>
        <w:t xml:space="preserve"> se v průběhu sledovaného období snížil o</w:t>
      </w:r>
      <w:r w:rsidR="007D0416" w:rsidRPr="003E6827">
        <w:rPr>
          <w:rFonts w:cs="Arial"/>
        </w:rPr>
        <w:t> </w:t>
      </w:r>
      <w:r w:rsidR="00A333BA" w:rsidRPr="003E6827">
        <w:rPr>
          <w:rFonts w:cs="Arial"/>
        </w:rPr>
        <w:t>131,6 tis. osob. (tj. o 59,5</w:t>
      </w:r>
      <w:r w:rsidR="00FC3B99" w:rsidRPr="003E6827">
        <w:rPr>
          <w:rFonts w:cs="Arial"/>
        </w:rPr>
        <w:t> </w:t>
      </w:r>
      <w:r w:rsidR="00A333BA" w:rsidRPr="003E6827">
        <w:rPr>
          <w:rFonts w:cs="Arial"/>
        </w:rPr>
        <w:t>%), z toho počet mužů klesl o 94,8 tis. a počet žen se snížil o 36,8 tis</w:t>
      </w:r>
      <w:r w:rsidR="0075019E" w:rsidRPr="003E6827">
        <w:rPr>
          <w:rFonts w:cs="Arial"/>
        </w:rPr>
        <w:t xml:space="preserve">. </w:t>
      </w:r>
    </w:p>
    <w:p w:rsidR="00A333BA" w:rsidRDefault="00A333BA" w:rsidP="00A333BA">
      <w:pPr>
        <w:autoSpaceDE w:val="0"/>
        <w:autoSpaceDN w:val="0"/>
        <w:adjustRightInd w:val="0"/>
        <w:spacing w:after="20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Tabulka č. 1: Průměrný počet nemocensky pojištěný</w:t>
      </w:r>
      <w:r w:rsidR="00F212F9">
        <w:rPr>
          <w:rFonts w:cs="Arial"/>
          <w:b/>
          <w:bCs/>
          <w:color w:val="000000"/>
          <w:szCs w:val="20"/>
        </w:rPr>
        <w:t>ch osob v letech 200</w:t>
      </w:r>
      <w:r w:rsidR="000E4E05">
        <w:rPr>
          <w:rFonts w:cs="Arial"/>
          <w:b/>
          <w:bCs/>
          <w:color w:val="000000"/>
          <w:szCs w:val="20"/>
        </w:rPr>
        <w:t>6</w:t>
      </w:r>
      <w:r w:rsidR="00F212F9">
        <w:rPr>
          <w:rFonts w:cs="Arial"/>
          <w:b/>
          <w:bCs/>
          <w:color w:val="000000"/>
          <w:szCs w:val="20"/>
        </w:rPr>
        <w:t xml:space="preserve"> – 2016 (</w:t>
      </w:r>
      <w:r w:rsidR="005C019F">
        <w:rPr>
          <w:rFonts w:cs="Arial"/>
          <w:b/>
          <w:bCs/>
          <w:color w:val="000000"/>
          <w:szCs w:val="20"/>
        </w:rPr>
        <w:t xml:space="preserve">v </w:t>
      </w:r>
      <w:r>
        <w:rPr>
          <w:rFonts w:cs="Arial"/>
          <w:b/>
          <w:bCs/>
          <w:color w:val="000000"/>
          <w:szCs w:val="20"/>
        </w:rPr>
        <w:t>tis.</w:t>
      </w:r>
      <w:r w:rsidR="00F212F9">
        <w:rPr>
          <w:rFonts w:cs="Arial"/>
          <w:b/>
          <w:bCs/>
          <w:color w:val="000000"/>
          <w:szCs w:val="20"/>
        </w:rPr>
        <w:t xml:space="preserve"> osob</w:t>
      </w:r>
      <w:r>
        <w:rPr>
          <w:rFonts w:cs="Arial"/>
          <w:b/>
          <w:bCs/>
          <w:color w:val="000000"/>
          <w:szCs w:val="20"/>
        </w:rPr>
        <w:t>)</w:t>
      </w:r>
    </w:p>
    <w:tbl>
      <w:tblPr>
        <w:tblStyle w:val="Mkatabulky"/>
        <w:tblW w:w="0" w:type="auto"/>
        <w:tblLook w:val="04A0"/>
      </w:tblPr>
      <w:tblGrid>
        <w:gridCol w:w="932"/>
        <w:gridCol w:w="965"/>
        <w:gridCol w:w="956"/>
        <w:gridCol w:w="1083"/>
        <w:gridCol w:w="1134"/>
        <w:gridCol w:w="1034"/>
        <w:gridCol w:w="928"/>
        <w:gridCol w:w="966"/>
        <w:gridCol w:w="928"/>
        <w:gridCol w:w="928"/>
      </w:tblGrid>
      <w:tr w:rsidR="00A333BA" w:rsidRPr="002D4591" w:rsidTr="0011739E">
        <w:tc>
          <w:tcPr>
            <w:tcW w:w="932" w:type="dxa"/>
            <w:vMerge w:val="restart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Rok</w:t>
            </w:r>
          </w:p>
        </w:tc>
        <w:tc>
          <w:tcPr>
            <w:tcW w:w="8922" w:type="dxa"/>
            <w:gridSpan w:val="9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Průměrný počet nemocensky pojištěných osob</w:t>
            </w:r>
          </w:p>
        </w:tc>
      </w:tr>
      <w:tr w:rsidR="00A333BA" w:rsidRPr="002D4591" w:rsidTr="0075019E">
        <w:tc>
          <w:tcPr>
            <w:tcW w:w="932" w:type="dxa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</w:p>
        </w:tc>
        <w:tc>
          <w:tcPr>
            <w:tcW w:w="965" w:type="dxa"/>
            <w:vMerge w:val="restart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Celkem</w:t>
            </w:r>
          </w:p>
        </w:tc>
        <w:tc>
          <w:tcPr>
            <w:tcW w:w="2039" w:type="dxa"/>
            <w:gridSpan w:val="2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z toho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Celkem zaměstnanci</w:t>
            </w:r>
          </w:p>
        </w:tc>
        <w:tc>
          <w:tcPr>
            <w:tcW w:w="1962" w:type="dxa"/>
            <w:gridSpan w:val="2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z toho</w:t>
            </w:r>
          </w:p>
        </w:tc>
        <w:tc>
          <w:tcPr>
            <w:tcW w:w="966" w:type="dxa"/>
            <w:vMerge w:val="restart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10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Celkem OSVČ</w:t>
            </w:r>
          </w:p>
        </w:tc>
        <w:tc>
          <w:tcPr>
            <w:tcW w:w="1856" w:type="dxa"/>
            <w:gridSpan w:val="2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z toho</w:t>
            </w:r>
          </w:p>
        </w:tc>
      </w:tr>
      <w:tr w:rsidR="00A333BA" w:rsidRPr="002D4591" w:rsidTr="00821C6F">
        <w:tc>
          <w:tcPr>
            <w:tcW w:w="932" w:type="dxa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</w:p>
        </w:tc>
        <w:tc>
          <w:tcPr>
            <w:tcW w:w="965" w:type="dxa"/>
            <w:vMerge/>
            <w:shd w:val="clear" w:color="auto" w:fill="F2DBDB" w:themeFill="accent2" w:themeFillTint="33"/>
            <w:vAlign w:val="center"/>
          </w:tcPr>
          <w:p w:rsid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muži</w:t>
            </w:r>
          </w:p>
        </w:tc>
        <w:tc>
          <w:tcPr>
            <w:tcW w:w="1083" w:type="dxa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ženy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</w:p>
        </w:tc>
        <w:tc>
          <w:tcPr>
            <w:tcW w:w="1034" w:type="dxa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muži</w:t>
            </w:r>
          </w:p>
        </w:tc>
        <w:tc>
          <w:tcPr>
            <w:tcW w:w="928" w:type="dxa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ženy</w:t>
            </w:r>
          </w:p>
        </w:tc>
        <w:tc>
          <w:tcPr>
            <w:tcW w:w="966" w:type="dxa"/>
            <w:vMerge/>
            <w:shd w:val="clear" w:color="auto" w:fill="F2DBDB" w:themeFill="accent2" w:themeFillTint="33"/>
            <w:vAlign w:val="center"/>
          </w:tcPr>
          <w:p w:rsid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</w:p>
        </w:tc>
        <w:tc>
          <w:tcPr>
            <w:tcW w:w="928" w:type="dxa"/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muži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ženy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2006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497,0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389,4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275,9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239,6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036,4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221,1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149,8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71,3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2007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597,0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435,1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161,9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390,0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294,0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096,0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207,0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141,1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65,9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2008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572,4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423,8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148,6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381,0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293,0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088,0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191,4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130,8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60,7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2009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253,1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234,1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019,0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079,2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121,5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957,7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173,9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112,6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61,3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2010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311,0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234,1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076,8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132,8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121,9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010,9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178,2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112,2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66,0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2011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211,5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D3656E">
              <w:rPr>
                <w:rFonts w:eastAsia="MS Gothic" w:cs="Arial"/>
                <w:bCs/>
                <w:sz w:val="16"/>
                <w:szCs w:val="20"/>
              </w:rPr>
              <w:t>2 148,4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P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D3656E">
              <w:rPr>
                <w:rFonts w:eastAsia="MS Gothic" w:cs="Arial"/>
                <w:bCs/>
                <w:sz w:val="16"/>
                <w:szCs w:val="20"/>
              </w:rPr>
              <w:t>2 063,2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061,8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F0736C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>
              <w:rPr>
                <w:rFonts w:eastAsia="MS Gothic" w:cs="Arial"/>
                <w:bCs/>
                <w:sz w:val="16"/>
                <w:szCs w:val="20"/>
              </w:rPr>
              <w:t>2 053,8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F0736C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>
              <w:rPr>
                <w:rFonts w:eastAsia="MS Gothic" w:cs="Arial"/>
                <w:bCs/>
                <w:sz w:val="16"/>
                <w:szCs w:val="20"/>
              </w:rPr>
              <w:t>2 008,0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149,7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94,6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55,2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2012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471,9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D3656E">
              <w:rPr>
                <w:rFonts w:eastAsia="MS Gothic" w:cs="Arial"/>
                <w:bCs/>
                <w:sz w:val="16"/>
                <w:szCs w:val="20"/>
              </w:rPr>
              <w:t>2 281,4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Pr="00D3656E" w:rsidRDefault="00D3656E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D3656E">
              <w:rPr>
                <w:rFonts w:eastAsia="MS Gothic" w:cs="Arial"/>
                <w:bCs/>
                <w:sz w:val="16"/>
                <w:szCs w:val="20"/>
              </w:rPr>
              <w:t>2 190,5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366,2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F0736C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>
              <w:rPr>
                <w:rFonts w:eastAsia="MS Gothic" w:cs="Arial"/>
                <w:bCs/>
                <w:sz w:val="16"/>
                <w:szCs w:val="20"/>
              </w:rPr>
              <w:t>2 216,3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 w:rsidR="00F0736C">
              <w:rPr>
                <w:rFonts w:eastAsia="MS Gothic" w:cs="Arial"/>
                <w:bCs/>
                <w:sz w:val="16"/>
                <w:szCs w:val="20"/>
              </w:rPr>
              <w:t> 149,9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105,7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65,1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40,6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2013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440,3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260,7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179,6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331,2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194,2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136,9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109,2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66,5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42,7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464,1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272,9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191,2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358,3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207,8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150,6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105,7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65,1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40,6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2015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507,0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301,3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205,7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417,6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252,8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164,8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89,4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48,5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40,9</w:t>
            </w:r>
          </w:p>
        </w:tc>
      </w:tr>
      <w:tr w:rsidR="00A333BA" w:rsidRPr="002D4591" w:rsidTr="00821C6F"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center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2016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571,3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A333BA" w:rsidRPr="002D4591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328,5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242,8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4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481,8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273,5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2</w:t>
            </w:r>
            <w:r>
              <w:rPr>
                <w:rFonts w:eastAsia="MS Gothic" w:cs="Arial"/>
                <w:bCs/>
                <w:sz w:val="16"/>
                <w:szCs w:val="20"/>
              </w:rPr>
              <w:t xml:space="preserve"> </w:t>
            </w:r>
            <w:r w:rsidRPr="002D4591">
              <w:rPr>
                <w:rFonts w:eastAsia="MS Gothic" w:cs="Arial"/>
                <w:bCs/>
                <w:sz w:val="16"/>
                <w:szCs w:val="20"/>
              </w:rPr>
              <w:t>208,3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89,5</w:t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55,0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  <w:vAlign w:val="center"/>
          </w:tcPr>
          <w:p w:rsidR="00D3656E" w:rsidRDefault="00A333BA" w:rsidP="00C02546">
            <w:pPr>
              <w:autoSpaceDE w:val="0"/>
              <w:autoSpaceDN w:val="0"/>
              <w:adjustRightInd w:val="0"/>
              <w:spacing w:beforeLines="20" w:afterLines="20" w:line="240" w:lineRule="auto"/>
              <w:jc w:val="right"/>
              <w:rPr>
                <w:rFonts w:eastAsia="MS Gothic" w:cs="Arial"/>
                <w:bCs/>
                <w:sz w:val="16"/>
                <w:szCs w:val="20"/>
              </w:rPr>
            </w:pPr>
            <w:r w:rsidRPr="002D4591">
              <w:rPr>
                <w:rFonts w:eastAsia="MS Gothic" w:cs="Arial"/>
                <w:bCs/>
                <w:sz w:val="16"/>
                <w:szCs w:val="20"/>
              </w:rPr>
              <w:t>34,5</w:t>
            </w:r>
          </w:p>
        </w:tc>
      </w:tr>
    </w:tbl>
    <w:p w:rsidR="00A356D5" w:rsidRDefault="00A356D5" w:rsidP="00A333BA">
      <w:pPr>
        <w:autoSpaceDE w:val="0"/>
        <w:autoSpaceDN w:val="0"/>
        <w:adjustRightInd w:val="0"/>
        <w:spacing w:after="200"/>
        <w:jc w:val="both"/>
        <w:rPr>
          <w:rFonts w:cs="Arial"/>
          <w:b/>
          <w:bCs/>
          <w:color w:val="000000"/>
          <w:szCs w:val="20"/>
        </w:rPr>
      </w:pPr>
    </w:p>
    <w:p w:rsidR="00A333BA" w:rsidRDefault="00A356D5" w:rsidP="00A356D5">
      <w:pPr>
        <w:spacing w:after="0" w:line="240" w:lineRule="auto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br w:type="page"/>
      </w:r>
      <w:r w:rsidR="00A333BA">
        <w:rPr>
          <w:rFonts w:cs="Arial"/>
          <w:b/>
          <w:bCs/>
          <w:color w:val="000000"/>
          <w:szCs w:val="20"/>
        </w:rPr>
        <w:lastRenderedPageBreak/>
        <w:t>Graf č. 1: Průměrný počet nemocensky pojištěných osob v letech 2006 – 2016 (v tis.)</w:t>
      </w:r>
    </w:p>
    <w:p w:rsidR="00A333BA" w:rsidRDefault="00EC5F71" w:rsidP="00EC5F71">
      <w:pPr>
        <w:pStyle w:val="Nadpis4"/>
        <w:ind w:left="-284"/>
      </w:pPr>
      <w:r w:rsidRPr="00EC5F71">
        <w:rPr>
          <w:noProof/>
        </w:rPr>
        <w:drawing>
          <wp:inline distT="0" distB="0" distL="0" distR="0">
            <wp:extent cx="6362700" cy="3438525"/>
            <wp:effectExtent l="0" t="0" r="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33BA" w:rsidRDefault="00A333BA" w:rsidP="008701E4">
      <w:pPr>
        <w:pStyle w:val="Nadpis4"/>
      </w:pPr>
    </w:p>
    <w:p w:rsidR="00A333BA" w:rsidRDefault="00A333BA" w:rsidP="00C91277">
      <w:pPr>
        <w:pStyle w:val="Nadpis2"/>
        <w:spacing w:before="240" w:after="240"/>
      </w:pPr>
      <w:bookmarkStart w:id="3" w:name="_Toc483838341"/>
      <w:r>
        <w:t>3.</w:t>
      </w:r>
      <w:r w:rsidR="00940A27">
        <w:t>2</w:t>
      </w:r>
      <w:r>
        <w:t xml:space="preserve"> Počet nově hlášených případů dočasné pracovní neschopnosti</w:t>
      </w:r>
      <w:bookmarkEnd w:id="3"/>
    </w:p>
    <w:p w:rsidR="00A333BA" w:rsidRDefault="00A333BA" w:rsidP="00A333BA">
      <w:pPr>
        <w:ind w:firstLine="708"/>
        <w:jc w:val="both"/>
        <w:rPr>
          <w:b/>
          <w:bCs/>
        </w:rPr>
      </w:pPr>
      <w:r>
        <w:rPr>
          <w:bCs/>
        </w:rPr>
        <w:t>Nejjednodušším ukazatelem v oblasti pracovní neschopnosti, který odráží četnost jejího výskytu, je </w:t>
      </w:r>
      <w:r>
        <w:rPr>
          <w:b/>
          <w:bCs/>
        </w:rPr>
        <w:t xml:space="preserve">počet nově hlášených případů pracovní neschopnosti. </w:t>
      </w:r>
    </w:p>
    <w:p w:rsidR="00A333BA" w:rsidRDefault="00A333BA" w:rsidP="00A333BA">
      <w:pPr>
        <w:ind w:firstLine="708"/>
        <w:jc w:val="both"/>
        <w:rPr>
          <w:rFonts w:cs="Arial"/>
        </w:rPr>
      </w:pPr>
      <w:r w:rsidRPr="007D0416">
        <w:rPr>
          <w:bCs/>
        </w:rPr>
        <w:t xml:space="preserve">Absolutní počet </w:t>
      </w:r>
      <w:r w:rsidR="00984FF2" w:rsidRPr="007D0416">
        <w:rPr>
          <w:bCs/>
        </w:rPr>
        <w:t>nově hlášených případů dočasné pracovní neschopnosti</w:t>
      </w:r>
      <w:r w:rsidRPr="007D0416">
        <w:rPr>
          <w:rFonts w:cs="Arial"/>
        </w:rPr>
        <w:t xml:space="preserve"> se </w:t>
      </w:r>
      <w:r w:rsidR="00984FF2" w:rsidRPr="007D0416">
        <w:rPr>
          <w:rFonts w:cs="Arial"/>
        </w:rPr>
        <w:t>meziročně zvýšil</w:t>
      </w:r>
      <w:r w:rsidRPr="007D0416">
        <w:rPr>
          <w:rFonts w:cs="Arial"/>
        </w:rPr>
        <w:t xml:space="preserve"> z 1 563,5 tis. případů v roce 2015 na 1 633,3 tis. případů v roce 201</w:t>
      </w:r>
      <w:r w:rsidR="00FC3B99" w:rsidRPr="007D0416">
        <w:rPr>
          <w:rFonts w:cs="Arial"/>
        </w:rPr>
        <w:t>6</w:t>
      </w:r>
      <w:r w:rsidRPr="007D0416">
        <w:rPr>
          <w:rFonts w:cs="Arial"/>
        </w:rPr>
        <w:t xml:space="preserve"> (tj. o 4,5 %). Z celkového počtu tvořily případy dočasné pracovní neschopnosti mužů 48 %, na </w:t>
      </w:r>
      <w:r w:rsidR="00984FF2" w:rsidRPr="007D0416">
        <w:rPr>
          <w:rFonts w:cs="Arial"/>
        </w:rPr>
        <w:t>ženy</w:t>
      </w:r>
      <w:r w:rsidRPr="007D0416">
        <w:rPr>
          <w:rFonts w:cs="Arial"/>
        </w:rPr>
        <w:t xml:space="preserve"> tedy připadalo 52</w:t>
      </w:r>
      <w:r w:rsidR="00FC3B99" w:rsidRPr="007D0416">
        <w:rPr>
          <w:rFonts w:cs="Arial"/>
        </w:rPr>
        <w:t> </w:t>
      </w:r>
      <w:r w:rsidRPr="007D0416">
        <w:rPr>
          <w:rFonts w:cs="Arial"/>
          <w:lang w:val="en-US"/>
        </w:rPr>
        <w:t xml:space="preserve">% </w:t>
      </w:r>
      <w:r w:rsidRPr="007D0416">
        <w:rPr>
          <w:rFonts w:cs="Arial"/>
        </w:rPr>
        <w:t>nově hlášených případů, přestože podíl žen na celkovém počtu pojištěných osob činil</w:t>
      </w:r>
      <w:r w:rsidRPr="00821C6F">
        <w:rPr>
          <w:rFonts w:cs="Arial"/>
        </w:rPr>
        <w:t xml:space="preserve"> 49</w:t>
      </w:r>
      <w:r w:rsidR="00FC3B99">
        <w:rPr>
          <w:rFonts w:cs="Arial"/>
        </w:rPr>
        <w:t> </w:t>
      </w:r>
      <w:r w:rsidRPr="00821C6F">
        <w:rPr>
          <w:rFonts w:cs="Arial"/>
        </w:rPr>
        <w:t>%.</w:t>
      </w:r>
    </w:p>
    <w:p w:rsidR="0038792F" w:rsidRPr="003E6827" w:rsidRDefault="0038792F" w:rsidP="00A333BA">
      <w:pPr>
        <w:ind w:firstLine="708"/>
        <w:jc w:val="both"/>
        <w:rPr>
          <w:rFonts w:cs="Arial"/>
          <w:lang w:val="en-US"/>
        </w:rPr>
      </w:pPr>
      <w:r>
        <w:rPr>
          <w:rFonts w:cs="Arial"/>
        </w:rPr>
        <w:t xml:space="preserve">Za posledních pět let, tj. mezi roky 2011 a 2016, </w:t>
      </w:r>
      <w:r w:rsidRPr="0038792F">
        <w:rPr>
          <w:rFonts w:cs="Arial"/>
        </w:rPr>
        <w:t>počet nově hlášených případů pracovní neschopnosti</w:t>
      </w:r>
      <w:r w:rsidR="007D0416">
        <w:rPr>
          <w:rFonts w:cs="Arial"/>
        </w:rPr>
        <w:t xml:space="preserve"> výrazně vzrostl – o</w:t>
      </w:r>
      <w:r>
        <w:rPr>
          <w:rFonts w:cs="Arial"/>
        </w:rPr>
        <w:t xml:space="preserve"> 364,6 tisíc (28,7 %) z 1 268,8 tisíc v roce 2011 na výše zmíněných 1 633,4</w:t>
      </w:r>
      <w:r w:rsidR="007D0416">
        <w:rPr>
          <w:rFonts w:cs="Arial"/>
        </w:rPr>
        <w:t> </w:t>
      </w:r>
      <w:r>
        <w:rPr>
          <w:rFonts w:cs="Arial"/>
        </w:rPr>
        <w:t>tisíc v roce 2016. Tento nárůst byl nepatrn</w:t>
      </w:r>
      <w:r w:rsidR="000E4E05">
        <w:rPr>
          <w:rFonts w:cs="Arial"/>
        </w:rPr>
        <w:t xml:space="preserve">ě výraznější v případě mužů - v tomto období u mužů vzrostl počet nově hlášených případů pracovní neschopnosti o 29,6 %, </w:t>
      </w:r>
      <w:r>
        <w:rPr>
          <w:rFonts w:cs="Arial"/>
        </w:rPr>
        <w:t xml:space="preserve">u žen </w:t>
      </w:r>
      <w:r w:rsidR="000E4E05">
        <w:rPr>
          <w:rFonts w:cs="Arial"/>
        </w:rPr>
        <w:t xml:space="preserve">o </w:t>
      </w:r>
      <w:r>
        <w:rPr>
          <w:rFonts w:cs="Arial"/>
        </w:rPr>
        <w:t xml:space="preserve">28,0 %. Pokud se však </w:t>
      </w:r>
      <w:r w:rsidR="000E4E05">
        <w:rPr>
          <w:rFonts w:cs="Arial"/>
        </w:rPr>
        <w:t>zaměříme</w:t>
      </w:r>
      <w:r>
        <w:rPr>
          <w:rFonts w:cs="Arial"/>
        </w:rPr>
        <w:t xml:space="preserve"> na vývoj </w:t>
      </w:r>
      <w:r w:rsidR="000E4E05">
        <w:rPr>
          <w:rFonts w:cs="Arial"/>
        </w:rPr>
        <w:t>v</w:t>
      </w:r>
      <w:r>
        <w:rPr>
          <w:rFonts w:cs="Arial"/>
        </w:rPr>
        <w:t xml:space="preserve"> posledních deset</w:t>
      </w:r>
      <w:r w:rsidR="000E4E05">
        <w:rPr>
          <w:rFonts w:cs="Arial"/>
        </w:rPr>
        <w:t>i</w:t>
      </w:r>
      <w:r>
        <w:rPr>
          <w:rFonts w:cs="Arial"/>
        </w:rPr>
        <w:t xml:space="preserve"> let</w:t>
      </w:r>
      <w:r w:rsidR="000E4E05">
        <w:rPr>
          <w:rFonts w:cs="Arial"/>
        </w:rPr>
        <w:t xml:space="preserve">ech, je nutné </w:t>
      </w:r>
      <w:r>
        <w:rPr>
          <w:rFonts w:cs="Arial"/>
        </w:rPr>
        <w:t>konstatovat</w:t>
      </w:r>
      <w:r w:rsidR="000E4E05">
        <w:rPr>
          <w:rFonts w:cs="Arial"/>
        </w:rPr>
        <w:t xml:space="preserve"> značný pokles pracovní </w:t>
      </w:r>
      <w:r w:rsidR="00FC1D9A">
        <w:rPr>
          <w:rFonts w:cs="Arial"/>
        </w:rPr>
        <w:t>neschopnosti – v</w:t>
      </w:r>
      <w:r>
        <w:rPr>
          <w:rFonts w:cs="Arial"/>
        </w:rPr>
        <w:t xml:space="preserve"> roce 2016 byl počet </w:t>
      </w:r>
      <w:r w:rsidRPr="0038792F">
        <w:rPr>
          <w:rFonts w:cs="Arial"/>
        </w:rPr>
        <w:t>nově hlášených případů pracovní neschopnosti</w:t>
      </w:r>
      <w:r>
        <w:rPr>
          <w:rFonts w:cs="Arial"/>
        </w:rPr>
        <w:t xml:space="preserve"> o</w:t>
      </w:r>
      <w:r w:rsidR="00FC1D9A">
        <w:rPr>
          <w:rFonts w:cs="Arial"/>
        </w:rPr>
        <w:t>proti roku 2006 o</w:t>
      </w:r>
      <w:r>
        <w:rPr>
          <w:rFonts w:cs="Arial"/>
        </w:rPr>
        <w:t xml:space="preserve"> </w:t>
      </w:r>
      <w:r w:rsidR="001F7EE8">
        <w:rPr>
          <w:rFonts w:cs="Arial"/>
        </w:rPr>
        <w:t>1 073,3 tisíc (</w:t>
      </w:r>
      <w:r>
        <w:rPr>
          <w:rFonts w:cs="Arial"/>
        </w:rPr>
        <w:t>40 %</w:t>
      </w:r>
      <w:r w:rsidR="001F7EE8">
        <w:rPr>
          <w:rFonts w:cs="Arial"/>
        </w:rPr>
        <w:t>)</w:t>
      </w:r>
      <w:r w:rsidR="00FC1D9A">
        <w:rPr>
          <w:rFonts w:cs="Arial"/>
        </w:rPr>
        <w:t xml:space="preserve"> nižší</w:t>
      </w:r>
      <w:r>
        <w:rPr>
          <w:rFonts w:cs="Arial"/>
        </w:rPr>
        <w:t>.</w:t>
      </w:r>
    </w:p>
    <w:p w:rsidR="00F87E03" w:rsidRDefault="00984FF2" w:rsidP="000E4E05">
      <w:pPr>
        <w:ind w:firstLine="708"/>
        <w:jc w:val="both"/>
        <w:rPr>
          <w:rFonts w:cs="Arial"/>
        </w:rPr>
      </w:pPr>
      <w:r w:rsidRPr="003E6827">
        <w:rPr>
          <w:rFonts w:cs="Arial"/>
        </w:rPr>
        <w:t>V roce 2016 dosáhl</w:t>
      </w:r>
      <w:r w:rsidR="001F7EE8" w:rsidRPr="003E6827">
        <w:rPr>
          <w:rFonts w:cs="Arial"/>
        </w:rPr>
        <w:t xml:space="preserve"> p</w:t>
      </w:r>
      <w:r w:rsidR="00A333BA" w:rsidRPr="003E6827">
        <w:rPr>
          <w:rFonts w:cs="Arial"/>
        </w:rPr>
        <w:t>odíl nemocí na počtu všech nově hlášených případů dočasné pracovní neschopnosti 88,2</w:t>
      </w:r>
      <w:r w:rsidR="0075019E" w:rsidRPr="003E6827">
        <w:rPr>
          <w:rFonts w:cs="Arial"/>
        </w:rPr>
        <w:t> </w:t>
      </w:r>
      <w:r w:rsidR="00A333BA" w:rsidRPr="003E6827">
        <w:rPr>
          <w:rFonts w:cs="Arial"/>
        </w:rPr>
        <w:t>%, další 2,9 % připadá na pracovní úrazy a 8,9 % na ostatní úrazy</w:t>
      </w:r>
      <w:r w:rsidR="000E4E05" w:rsidRPr="003E6827">
        <w:rPr>
          <w:rFonts w:cs="Arial"/>
        </w:rPr>
        <w:t xml:space="preserve"> (podrobněji viz</w:t>
      </w:r>
      <w:r w:rsidR="00FC1D9A" w:rsidRPr="003E6827">
        <w:rPr>
          <w:rFonts w:cs="Arial"/>
        </w:rPr>
        <w:t> </w:t>
      </w:r>
      <w:r w:rsidR="000E4E05" w:rsidRPr="003E6827">
        <w:rPr>
          <w:rFonts w:cs="Arial"/>
        </w:rPr>
        <w:t>Graf č.</w:t>
      </w:r>
      <w:r w:rsidR="003E6827">
        <w:rPr>
          <w:rFonts w:cs="Arial"/>
        </w:rPr>
        <w:t> </w:t>
      </w:r>
      <w:r w:rsidR="000E4E05" w:rsidRPr="003E6827">
        <w:rPr>
          <w:rFonts w:cs="Arial"/>
        </w:rPr>
        <w:t>3)</w:t>
      </w:r>
      <w:r w:rsidR="00A333BA" w:rsidRPr="003E6827">
        <w:rPr>
          <w:rFonts w:cs="Arial"/>
        </w:rPr>
        <w:t xml:space="preserve">. </w:t>
      </w:r>
    </w:p>
    <w:p w:rsidR="000E4E05" w:rsidRDefault="00A333BA" w:rsidP="000E4E05">
      <w:pPr>
        <w:ind w:firstLine="708"/>
        <w:jc w:val="both"/>
        <w:rPr>
          <w:rFonts w:cs="Arial"/>
        </w:rPr>
      </w:pPr>
      <w:r w:rsidRPr="003E6827">
        <w:rPr>
          <w:rFonts w:cs="Arial"/>
        </w:rPr>
        <w:t xml:space="preserve">Legislativní změny, které často počet případů pracovní neschopnosti přímo ovlivňují, nejvíce působí právě na případy pracovní neschopnosti pro nemoc, počty případů pracovní neschopnosti pro </w:t>
      </w:r>
      <w:r w:rsidR="001F7EE8" w:rsidRPr="003E6827">
        <w:rPr>
          <w:rFonts w:cs="Arial"/>
        </w:rPr>
        <w:t xml:space="preserve">pracovní </w:t>
      </w:r>
      <w:r w:rsidRPr="003E6827">
        <w:rPr>
          <w:rFonts w:cs="Arial"/>
        </w:rPr>
        <w:t>úrazy jsou jimi ovlivněny méně. Leg</w:t>
      </w:r>
      <w:r w:rsidR="00821C6F" w:rsidRPr="003E6827">
        <w:rPr>
          <w:rFonts w:cs="Arial"/>
        </w:rPr>
        <w:t>i</w:t>
      </w:r>
      <w:r w:rsidRPr="003E6827">
        <w:rPr>
          <w:rFonts w:cs="Arial"/>
        </w:rPr>
        <w:t>slativní úpravy ve vyplácení dávek nemocenského se nejvíce projevují v</w:t>
      </w:r>
      <w:r w:rsidR="00BB2131">
        <w:rPr>
          <w:rFonts w:cs="Arial"/>
        </w:rPr>
        <w:t> </w:t>
      </w:r>
      <w:r w:rsidRPr="003E6827">
        <w:rPr>
          <w:rFonts w:cs="Arial"/>
        </w:rPr>
        <w:t>četnosti případů méně závažných a krátkodobých pracovních neschopností, například u</w:t>
      </w:r>
      <w:r w:rsidR="00FC1D9A" w:rsidRPr="003E6827">
        <w:rPr>
          <w:rFonts w:cs="Arial"/>
        </w:rPr>
        <w:t> </w:t>
      </w:r>
      <w:r w:rsidRPr="003E6827">
        <w:rPr>
          <w:rFonts w:cs="Arial"/>
        </w:rPr>
        <w:t xml:space="preserve">nemoci dýchacích cest (běžná nachlazení, záněty horních cest </w:t>
      </w:r>
      <w:r w:rsidR="00FC1D9A" w:rsidRPr="003E6827">
        <w:rPr>
          <w:rFonts w:cs="Arial"/>
        </w:rPr>
        <w:t>dýchacích</w:t>
      </w:r>
      <w:r w:rsidRPr="003E6827">
        <w:rPr>
          <w:rFonts w:cs="Arial"/>
        </w:rPr>
        <w:t xml:space="preserve"> apod.). Tato onemocnění </w:t>
      </w:r>
      <w:r w:rsidR="00F212F9" w:rsidRPr="003E6827">
        <w:rPr>
          <w:rFonts w:cs="Arial"/>
        </w:rPr>
        <w:t>patrně</w:t>
      </w:r>
      <w:r w:rsidR="00F212F9">
        <w:rPr>
          <w:rFonts w:cs="Arial"/>
        </w:rPr>
        <w:t xml:space="preserve"> </w:t>
      </w:r>
      <w:r>
        <w:rPr>
          <w:rFonts w:cs="Arial"/>
        </w:rPr>
        <w:t>lidé častěji řeší jiným způsobem, než návštěvou lékaře a vystavením rozhodnutí o pracovní neschopnosti. Vzhledem k tomu,</w:t>
      </w:r>
      <w:r>
        <w:rPr>
          <w:rFonts w:cs="Arial"/>
          <w:b/>
        </w:rPr>
        <w:t xml:space="preserve"> </w:t>
      </w:r>
      <w:r>
        <w:rPr>
          <w:rFonts w:cs="Arial"/>
        </w:rPr>
        <w:t>že</w:t>
      </w:r>
      <w:r>
        <w:rPr>
          <w:rFonts w:cs="Arial"/>
          <w:b/>
        </w:rPr>
        <w:t xml:space="preserve"> </w:t>
      </w:r>
      <w:r w:rsidR="00FC1D9A">
        <w:rPr>
          <w:rFonts w:cs="Arial"/>
        </w:rPr>
        <w:t>od roku 2008</w:t>
      </w:r>
      <w:r w:rsidR="00DB4EC8">
        <w:rPr>
          <w:rFonts w:cs="Arial"/>
        </w:rPr>
        <w:t>, resp. 2009,</w:t>
      </w:r>
      <w:r w:rsidR="001F7EE8">
        <w:rPr>
          <w:rFonts w:cs="Arial"/>
          <w:b/>
        </w:rPr>
        <w:t xml:space="preserve"> </w:t>
      </w:r>
      <w:r w:rsidRPr="00F212F9">
        <w:rPr>
          <w:rFonts w:cs="Arial"/>
        </w:rPr>
        <w:t xml:space="preserve">za první tři dny pracovní neschopnosti nepřísluší </w:t>
      </w:r>
      <w:r w:rsidR="00F212F9" w:rsidRPr="00F212F9">
        <w:rPr>
          <w:rFonts w:cs="Arial"/>
        </w:rPr>
        <w:t xml:space="preserve">zaměstnanci </w:t>
      </w:r>
      <w:r w:rsidRPr="00F212F9">
        <w:rPr>
          <w:rFonts w:cs="Arial"/>
        </w:rPr>
        <w:t xml:space="preserve">náhrady mzdy </w:t>
      </w:r>
      <w:r w:rsidRPr="00F212F9">
        <w:rPr>
          <w:rFonts w:cs="Arial"/>
        </w:rPr>
        <w:lastRenderedPageBreak/>
        <w:t>nebo platu</w:t>
      </w:r>
      <w:r w:rsidR="00F212F9" w:rsidRPr="00F212F9">
        <w:rPr>
          <w:rFonts w:cs="Arial"/>
        </w:rPr>
        <w:t xml:space="preserve"> (tzv.</w:t>
      </w:r>
      <w:r w:rsidR="000E4E05">
        <w:rPr>
          <w:rFonts w:cs="Arial"/>
        </w:rPr>
        <w:t> </w:t>
      </w:r>
      <w:r w:rsidR="00F212F9" w:rsidRPr="00F212F9">
        <w:rPr>
          <w:rFonts w:cs="Arial"/>
        </w:rPr>
        <w:t>karenční doba)</w:t>
      </w:r>
      <w:r w:rsidRPr="00F212F9">
        <w:rPr>
          <w:rFonts w:cs="Arial"/>
        </w:rPr>
        <w:t>, v</w:t>
      </w:r>
      <w:r w:rsidR="00821C6F">
        <w:rPr>
          <w:rFonts w:cs="Arial"/>
        </w:rPr>
        <w:t> </w:t>
      </w:r>
      <w:r w:rsidRPr="00F212F9">
        <w:rPr>
          <w:rFonts w:cs="Arial"/>
        </w:rPr>
        <w:t>některých případech lidé raději využijí dovolenou nebo nemoc takzvaně „přechodí“. Někteří zaměstnavatelé také v rámci zaměstnaneckých výhod nabízí kromě řádné dovolené ještě několik „</w:t>
      </w:r>
      <w:proofErr w:type="spellStart"/>
      <w:r w:rsidRPr="00F212F9">
        <w:rPr>
          <w:rFonts w:cs="Arial"/>
        </w:rPr>
        <w:t>indispozičních</w:t>
      </w:r>
      <w:proofErr w:type="spellEnd"/>
      <w:r w:rsidRPr="00F212F9">
        <w:rPr>
          <w:rFonts w:cs="Arial"/>
        </w:rPr>
        <w:t>“ dní v roce (tzv.</w:t>
      </w:r>
      <w:r w:rsidR="00F212F9" w:rsidRPr="00F212F9">
        <w:rPr>
          <w:rFonts w:cs="Arial"/>
        </w:rPr>
        <w:t> </w:t>
      </w:r>
      <w:r w:rsidRPr="00821C6F">
        <w:rPr>
          <w:rFonts w:cs="Arial"/>
          <w:lang w:val="en-US"/>
        </w:rPr>
        <w:t>sick days</w:t>
      </w:r>
      <w:r w:rsidRPr="00F212F9">
        <w:rPr>
          <w:rFonts w:cs="Arial"/>
        </w:rPr>
        <w:t>) či umožňují práci z</w:t>
      </w:r>
      <w:r w:rsidR="00FC1D9A">
        <w:rPr>
          <w:rFonts w:cs="Arial"/>
        </w:rPr>
        <w:t> </w:t>
      </w:r>
      <w:r w:rsidRPr="00F212F9">
        <w:rPr>
          <w:rFonts w:cs="Arial"/>
        </w:rPr>
        <w:t>domova.</w:t>
      </w:r>
    </w:p>
    <w:p w:rsidR="00A333BA" w:rsidRDefault="00A333BA" w:rsidP="000E4E05">
      <w:pPr>
        <w:jc w:val="both"/>
        <w:rPr>
          <w:rFonts w:cs="Arial"/>
          <w:b/>
        </w:rPr>
      </w:pPr>
      <w:r>
        <w:rPr>
          <w:rFonts w:cs="Arial"/>
          <w:b/>
        </w:rPr>
        <w:t>Tabulka č. 2: Počet nově hlášených případů pracovní neschopnosti podle pohlaví v letech 200</w:t>
      </w:r>
      <w:r w:rsidR="000E4E05">
        <w:rPr>
          <w:rFonts w:cs="Arial"/>
          <w:b/>
        </w:rPr>
        <w:t>6</w:t>
      </w:r>
      <w:r>
        <w:rPr>
          <w:rFonts w:cs="Arial"/>
          <w:b/>
        </w:rPr>
        <w:t xml:space="preserve"> – 2016 (</w:t>
      </w:r>
      <w:r w:rsidR="005C019F">
        <w:rPr>
          <w:rFonts w:cs="Arial"/>
          <w:b/>
        </w:rPr>
        <w:t xml:space="preserve">v </w:t>
      </w:r>
      <w:r>
        <w:rPr>
          <w:rFonts w:cs="Arial"/>
          <w:b/>
        </w:rPr>
        <w:t>tis. případů)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650"/>
        <w:gridCol w:w="759"/>
        <w:gridCol w:w="826"/>
        <w:gridCol w:w="871"/>
        <w:gridCol w:w="878"/>
        <w:gridCol w:w="793"/>
        <w:gridCol w:w="792"/>
        <w:gridCol w:w="830"/>
        <w:gridCol w:w="656"/>
        <w:gridCol w:w="708"/>
        <w:gridCol w:w="843"/>
        <w:gridCol w:w="624"/>
        <w:gridCol w:w="624"/>
      </w:tblGrid>
      <w:tr w:rsidR="00A333BA" w:rsidRPr="00A333BA" w:rsidTr="000E4E05">
        <w:tc>
          <w:tcPr>
            <w:tcW w:w="650" w:type="dxa"/>
            <w:vMerge w:val="restart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Rok</w:t>
            </w:r>
          </w:p>
        </w:tc>
        <w:tc>
          <w:tcPr>
            <w:tcW w:w="9204" w:type="dxa"/>
            <w:gridSpan w:val="12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Počet nově hlášených případů pracovní neschopnosti</w:t>
            </w:r>
          </w:p>
        </w:tc>
      </w:tr>
      <w:tr w:rsidR="00A333BA" w:rsidRPr="00A333BA" w:rsidTr="005F694D">
        <w:tc>
          <w:tcPr>
            <w:tcW w:w="650" w:type="dxa"/>
            <w:vMerge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</w:p>
        </w:tc>
        <w:tc>
          <w:tcPr>
            <w:tcW w:w="759" w:type="dxa"/>
            <w:vMerge w:val="restart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Celkem</w:t>
            </w:r>
          </w:p>
        </w:tc>
        <w:tc>
          <w:tcPr>
            <w:tcW w:w="1697" w:type="dxa"/>
            <w:gridSpan w:val="2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z toho</w:t>
            </w:r>
          </w:p>
        </w:tc>
        <w:tc>
          <w:tcPr>
            <w:tcW w:w="878" w:type="dxa"/>
            <w:vMerge w:val="restart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Celkem pro nemoc</w:t>
            </w:r>
          </w:p>
        </w:tc>
        <w:tc>
          <w:tcPr>
            <w:tcW w:w="1585" w:type="dxa"/>
            <w:gridSpan w:val="2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z toho</w:t>
            </w:r>
          </w:p>
        </w:tc>
        <w:tc>
          <w:tcPr>
            <w:tcW w:w="830" w:type="dxa"/>
            <w:vMerge w:val="restart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Celkem pro pracovní úrazy</w:t>
            </w:r>
          </w:p>
        </w:tc>
        <w:tc>
          <w:tcPr>
            <w:tcW w:w="1364" w:type="dxa"/>
            <w:gridSpan w:val="2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z toho</w:t>
            </w:r>
          </w:p>
        </w:tc>
        <w:tc>
          <w:tcPr>
            <w:tcW w:w="843" w:type="dxa"/>
            <w:vMerge w:val="restart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Celkem pro ostatní úrazy</w:t>
            </w:r>
          </w:p>
        </w:tc>
        <w:tc>
          <w:tcPr>
            <w:tcW w:w="1248" w:type="dxa"/>
            <w:gridSpan w:val="2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z toho</w:t>
            </w:r>
          </w:p>
        </w:tc>
      </w:tr>
      <w:tr w:rsidR="00A333BA" w:rsidRPr="00A333BA" w:rsidTr="001841A8">
        <w:tc>
          <w:tcPr>
            <w:tcW w:w="650" w:type="dxa"/>
            <w:vMerge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muži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ženy</w:t>
            </w:r>
          </w:p>
        </w:tc>
        <w:tc>
          <w:tcPr>
            <w:tcW w:w="878" w:type="dxa"/>
            <w:vMerge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muži</w:t>
            </w:r>
          </w:p>
        </w:tc>
        <w:tc>
          <w:tcPr>
            <w:tcW w:w="792" w:type="dxa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ženy</w:t>
            </w:r>
          </w:p>
        </w:tc>
        <w:tc>
          <w:tcPr>
            <w:tcW w:w="830" w:type="dxa"/>
            <w:vMerge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muži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ženy</w:t>
            </w:r>
          </w:p>
        </w:tc>
        <w:tc>
          <w:tcPr>
            <w:tcW w:w="843" w:type="dxa"/>
            <w:vMerge/>
            <w:shd w:val="clear" w:color="auto" w:fill="F2DBDB" w:themeFill="accent2" w:themeFillTint="33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2DBDB" w:themeFill="accent2" w:themeFillTint="33"/>
            <w:vAlign w:val="center"/>
          </w:tcPr>
          <w:p w:rsidR="00A333BA" w:rsidRPr="00A333BA" w:rsidRDefault="00A333BA" w:rsidP="001841A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muži</w:t>
            </w:r>
          </w:p>
        </w:tc>
        <w:tc>
          <w:tcPr>
            <w:tcW w:w="624" w:type="dxa"/>
            <w:shd w:val="clear" w:color="auto" w:fill="F2DBDB" w:themeFill="accent2" w:themeFillTint="33"/>
            <w:vAlign w:val="center"/>
          </w:tcPr>
          <w:p w:rsidR="00A333BA" w:rsidRPr="00A333BA" w:rsidRDefault="00A333BA" w:rsidP="001841A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ženy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2006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706,7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369,8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336,9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209,3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273,0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82,3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61,0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21,3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142,1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99,6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42,6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2007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726,6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366,2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360,4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518,9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215,5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303,4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77,2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57,3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19,9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130,5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93,4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37,1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2008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221,7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092,6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129,2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037,8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961,0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076,8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71,3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52,3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19,0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112,6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79,3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33,3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2009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441,5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694,3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747,2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305,5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599,4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706,2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50,2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36,0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14,2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85,8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58,9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26,9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2010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324,9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642,7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682,2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188,0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548,6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639,4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51,7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36,7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15,0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85,3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57,4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27,9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2011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268,8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605,1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663,7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144,5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519,2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625,3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47,1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33,6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13,5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77,1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52,3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24,8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2012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226,9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593,7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633,2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067,3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485,9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581,4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44,1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12,7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115,4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76,4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39,1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2013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331,5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638,2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693,3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168,1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528,7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639,4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42,9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30,4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12,5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120,5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79,1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41,4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2014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314,8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631,7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683,1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146,3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518,5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627,8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45,1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31,7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13,3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123,4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81,5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42,0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2015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563,5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751,8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811,7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383,9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632,6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751,3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46,3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31,8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14,5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133,3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87,0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46,2</w:t>
            </w:r>
          </w:p>
        </w:tc>
      </w:tr>
      <w:tr w:rsidR="00A333BA" w:rsidRPr="00A333BA" w:rsidTr="005F694D"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2016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633,4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784,1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849,3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</w:t>
            </w:r>
            <w:r>
              <w:rPr>
                <w:rFonts w:eastAsia="MS Gothic" w:cs="Arial"/>
                <w:bCs/>
                <w:sz w:val="16"/>
                <w:szCs w:val="16"/>
              </w:rPr>
              <w:t xml:space="preserve"> </w:t>
            </w:r>
            <w:r w:rsidRPr="00A333BA">
              <w:rPr>
                <w:rFonts w:eastAsia="MS Gothic" w:cs="Arial"/>
                <w:bCs/>
                <w:sz w:val="16"/>
                <w:szCs w:val="16"/>
              </w:rPr>
              <w:t>440,9</w:t>
            </w:r>
          </w:p>
        </w:tc>
        <w:tc>
          <w:tcPr>
            <w:tcW w:w="793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658,2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782,7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47,4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33,0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14,8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145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93,2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A333BA" w:rsidRPr="00A333BA" w:rsidRDefault="00A333BA" w:rsidP="003E0B5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MS Gothic" w:cs="Arial"/>
                <w:bCs/>
                <w:sz w:val="16"/>
                <w:szCs w:val="16"/>
              </w:rPr>
            </w:pPr>
            <w:r w:rsidRPr="00A333BA">
              <w:rPr>
                <w:rFonts w:eastAsia="MS Gothic" w:cs="Arial"/>
                <w:bCs/>
                <w:sz w:val="16"/>
                <w:szCs w:val="16"/>
              </w:rPr>
              <w:t>51,8</w:t>
            </w:r>
          </w:p>
        </w:tc>
      </w:tr>
    </w:tbl>
    <w:p w:rsidR="00A333BA" w:rsidRDefault="00A333BA" w:rsidP="00A333BA">
      <w:pPr>
        <w:jc w:val="both"/>
        <w:rPr>
          <w:rFonts w:cs="Arial"/>
          <w:b/>
        </w:rPr>
      </w:pPr>
    </w:p>
    <w:p w:rsidR="00A333BA" w:rsidRDefault="00A333BA" w:rsidP="00A333BA">
      <w:pPr>
        <w:jc w:val="both"/>
        <w:rPr>
          <w:rFonts w:cs="Arial"/>
          <w:b/>
        </w:rPr>
      </w:pPr>
      <w:r>
        <w:rPr>
          <w:rFonts w:cs="Arial"/>
          <w:b/>
        </w:rPr>
        <w:t xml:space="preserve">Graf č. 2: Počet nově hlášených případů pracovní neschopnosti </w:t>
      </w:r>
      <w:r w:rsidR="00E84756">
        <w:rPr>
          <w:rFonts w:cs="Arial"/>
          <w:b/>
        </w:rPr>
        <w:t>a počet pojištěnců</w:t>
      </w:r>
      <w:r>
        <w:rPr>
          <w:rFonts w:cs="Arial"/>
          <w:b/>
        </w:rPr>
        <w:t xml:space="preserve"> v letech 2006 – 2016 (</w:t>
      </w:r>
      <w:r w:rsidR="005C019F">
        <w:rPr>
          <w:rFonts w:cs="Arial"/>
          <w:b/>
        </w:rPr>
        <w:t xml:space="preserve">v </w:t>
      </w:r>
      <w:r>
        <w:rPr>
          <w:rFonts w:cs="Arial"/>
          <w:b/>
        </w:rPr>
        <w:t>tis. případů)</w:t>
      </w:r>
    </w:p>
    <w:p w:rsidR="00A333BA" w:rsidRDefault="00E84756" w:rsidP="00A333BA">
      <w:pPr>
        <w:jc w:val="both"/>
        <w:rPr>
          <w:rFonts w:cs="Arial"/>
          <w:b/>
        </w:rPr>
      </w:pPr>
      <w:r w:rsidRPr="00E84756">
        <w:rPr>
          <w:rFonts w:cs="Arial"/>
          <w:b/>
          <w:noProof/>
        </w:rPr>
        <w:drawing>
          <wp:inline distT="0" distB="0" distL="0" distR="0">
            <wp:extent cx="6172200" cy="394335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33BA" w:rsidRPr="001841A8" w:rsidRDefault="00940A27" w:rsidP="000E4E05">
      <w:pPr>
        <w:spacing w:after="0" w:line="240" w:lineRule="auto"/>
        <w:rPr>
          <w:rFonts w:cs="Arial"/>
          <w:spacing w:val="-6"/>
        </w:rPr>
      </w:pPr>
      <w:r>
        <w:rPr>
          <w:rFonts w:cs="Arial"/>
        </w:rPr>
        <w:br w:type="page"/>
      </w:r>
      <w:r w:rsidRPr="001841A8">
        <w:rPr>
          <w:rFonts w:cs="Arial"/>
          <w:b/>
          <w:spacing w:val="-6"/>
        </w:rPr>
        <w:lastRenderedPageBreak/>
        <w:t xml:space="preserve">Graf č. 3: Struktura nově hlášených případů </w:t>
      </w:r>
      <w:r w:rsidR="001841A8" w:rsidRPr="001841A8">
        <w:rPr>
          <w:rFonts w:cs="Arial"/>
          <w:b/>
          <w:spacing w:val="-6"/>
        </w:rPr>
        <w:t xml:space="preserve">dočasné </w:t>
      </w:r>
      <w:r w:rsidRPr="001841A8">
        <w:rPr>
          <w:rFonts w:cs="Arial"/>
          <w:b/>
          <w:spacing w:val="-6"/>
        </w:rPr>
        <w:t xml:space="preserve">pracovní neschopnosti </w:t>
      </w:r>
      <w:r w:rsidR="003D019C" w:rsidRPr="001841A8">
        <w:rPr>
          <w:rFonts w:cs="Arial"/>
          <w:b/>
          <w:spacing w:val="-6"/>
        </w:rPr>
        <w:t>(</w:t>
      </w:r>
      <w:r w:rsidR="001841A8" w:rsidRPr="001841A8">
        <w:rPr>
          <w:rFonts w:cs="Arial"/>
          <w:b/>
          <w:spacing w:val="-6"/>
        </w:rPr>
        <w:t>D</w:t>
      </w:r>
      <w:r w:rsidR="003D019C" w:rsidRPr="001841A8">
        <w:rPr>
          <w:rFonts w:cs="Arial"/>
          <w:b/>
          <w:spacing w:val="-6"/>
        </w:rPr>
        <w:t xml:space="preserve">PN) </w:t>
      </w:r>
      <w:r w:rsidRPr="001841A8">
        <w:rPr>
          <w:rFonts w:cs="Arial"/>
          <w:b/>
          <w:spacing w:val="-6"/>
        </w:rPr>
        <w:t>dle pohlaví v roce 2016</w:t>
      </w:r>
    </w:p>
    <w:p w:rsidR="00E84756" w:rsidRDefault="009774D5" w:rsidP="00E84756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45.55pt;margin-top:210.75pt;width:40.5pt;height:18.75pt;z-index:251662848" filled="f" stroked="f">
            <v:textbox>
              <w:txbxContent>
                <w:p w:rsidR="002A3339" w:rsidRPr="003D019C" w:rsidRDefault="002A3339">
                  <w:pPr>
                    <w:rPr>
                      <w:b/>
                      <w:lang w:val="en-US"/>
                    </w:rPr>
                  </w:pPr>
                  <w:r w:rsidRPr="00D54E0E">
                    <w:rPr>
                      <w:b/>
                    </w:rPr>
                    <w:t>88</w:t>
                  </w:r>
                  <w:r w:rsidRPr="00D54E0E">
                    <w:rPr>
                      <w:b/>
                      <w:lang w:val="en-US"/>
                    </w:rPr>
                    <w:t xml:space="preserve"> %</w:t>
                  </w:r>
                </w:p>
              </w:txbxContent>
            </v:textbox>
          </v:shape>
        </w:pict>
      </w:r>
      <w:r w:rsidR="00E84756" w:rsidRPr="00E84756">
        <w:rPr>
          <w:rFonts w:cs="Arial"/>
          <w:noProof/>
        </w:rPr>
        <w:drawing>
          <wp:inline distT="0" distB="0" distL="0" distR="0">
            <wp:extent cx="6105525" cy="309562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33BA" w:rsidRDefault="001F7EE8" w:rsidP="00A333BA">
      <w:pPr>
        <w:ind w:firstLine="708"/>
        <w:jc w:val="both"/>
        <w:rPr>
          <w:rFonts w:cs="Arial"/>
        </w:rPr>
      </w:pPr>
      <w:r w:rsidRPr="003E6827">
        <w:rPr>
          <w:rFonts w:cs="Arial"/>
        </w:rPr>
        <w:t>Jak bylo uvedeno výše</w:t>
      </w:r>
      <w:r w:rsidR="000E4E05" w:rsidRPr="003E6827">
        <w:rPr>
          <w:rFonts w:cs="Arial"/>
        </w:rPr>
        <w:t>,</w:t>
      </w:r>
      <w:r w:rsidRPr="003E6827">
        <w:rPr>
          <w:rFonts w:cs="Arial"/>
        </w:rPr>
        <w:t xml:space="preserve"> v roce 2016 v</w:t>
      </w:r>
      <w:r w:rsidR="00A333BA" w:rsidRPr="003E6827">
        <w:rPr>
          <w:rFonts w:cs="Arial"/>
        </w:rPr>
        <w:t> celkovém počtu nemocensky pojištěných představ</w:t>
      </w:r>
      <w:r w:rsidRPr="003E6827">
        <w:rPr>
          <w:rFonts w:cs="Arial"/>
        </w:rPr>
        <w:t xml:space="preserve">ovaly </w:t>
      </w:r>
      <w:r w:rsidR="00A333BA" w:rsidRPr="003E6827">
        <w:rPr>
          <w:rFonts w:cs="Arial"/>
        </w:rPr>
        <w:t>ženy méně než polovinu (49 %), ovšem připad</w:t>
      </w:r>
      <w:r w:rsidR="000E4E05" w:rsidRPr="003E6827">
        <w:rPr>
          <w:rFonts w:cs="Arial"/>
        </w:rPr>
        <w:t>a</w:t>
      </w:r>
      <w:r w:rsidRPr="003E6827">
        <w:rPr>
          <w:rFonts w:cs="Arial"/>
        </w:rPr>
        <w:t>lo</w:t>
      </w:r>
      <w:r w:rsidR="00A333BA" w:rsidRPr="003E6827">
        <w:rPr>
          <w:rFonts w:cs="Arial"/>
        </w:rPr>
        <w:t xml:space="preserve"> na ně 52</w:t>
      </w:r>
      <w:r w:rsidR="00C43067">
        <w:rPr>
          <w:rFonts w:cs="Arial"/>
        </w:rPr>
        <w:t> % případů pracovní neschopnosti</w:t>
      </w:r>
      <w:r w:rsidR="00A333BA" w:rsidRPr="003E6827">
        <w:rPr>
          <w:rFonts w:cs="Arial"/>
        </w:rPr>
        <w:t>. Absolutní počet nově hlášených případů pracovní neschopnosti žen se meziročně zvýšil z 811,7 tis. případů (muži 751,8 tis. případů) v roce 2015 na 849,3 tis. případů (muži 784,</w:t>
      </w:r>
      <w:r w:rsidR="00DF6EE5">
        <w:rPr>
          <w:rFonts w:cs="Arial"/>
        </w:rPr>
        <w:t>1</w:t>
      </w:r>
      <w:r w:rsidR="00A333BA" w:rsidRPr="003E6827">
        <w:rPr>
          <w:rFonts w:cs="Arial"/>
        </w:rPr>
        <w:t xml:space="preserve"> tis. případů) v roce 2016 (tj. vzrostl o 4,6 </w:t>
      </w:r>
      <w:r w:rsidR="00A333BA" w:rsidRPr="003E6827">
        <w:rPr>
          <w:rFonts w:cs="Arial"/>
          <w:lang w:val="en-US"/>
        </w:rPr>
        <w:t xml:space="preserve">% u </w:t>
      </w:r>
      <w:r w:rsidR="00A333BA" w:rsidRPr="003E6827">
        <w:rPr>
          <w:rFonts w:cs="Arial"/>
        </w:rPr>
        <w:t>žen a</w:t>
      </w:r>
      <w:r w:rsidR="003E6827">
        <w:rPr>
          <w:rFonts w:cs="Arial"/>
        </w:rPr>
        <w:t> </w:t>
      </w:r>
      <w:r w:rsidR="00A333BA" w:rsidRPr="003E6827">
        <w:rPr>
          <w:rFonts w:cs="Arial"/>
        </w:rPr>
        <w:t>o</w:t>
      </w:r>
      <w:r w:rsidR="003E6827">
        <w:rPr>
          <w:rFonts w:cs="Arial"/>
        </w:rPr>
        <w:t> </w:t>
      </w:r>
      <w:r w:rsidR="00A333BA" w:rsidRPr="003E6827">
        <w:rPr>
          <w:rFonts w:cs="Arial"/>
        </w:rPr>
        <w:t xml:space="preserve">4,3 </w:t>
      </w:r>
      <w:r w:rsidR="00A333BA" w:rsidRPr="003E6827">
        <w:rPr>
          <w:rFonts w:cs="Arial"/>
          <w:lang w:val="en-US"/>
        </w:rPr>
        <w:t>%</w:t>
      </w:r>
      <w:r w:rsidR="00A333BA" w:rsidRPr="003E6827">
        <w:rPr>
          <w:rFonts w:cs="Arial"/>
        </w:rPr>
        <w:t xml:space="preserve"> u mužů). Z hlediska příčin absolutního počtu nově hlášených případů dočasné pracovní neschopnosti žen se 782,7 tis. (92,2 </w:t>
      </w:r>
      <w:r w:rsidR="00A333BA" w:rsidRPr="003E6827">
        <w:rPr>
          <w:rFonts w:cs="Arial"/>
          <w:lang w:val="en-US"/>
        </w:rPr>
        <w:t xml:space="preserve">%) </w:t>
      </w:r>
      <w:r w:rsidR="00A333BA" w:rsidRPr="003E6827">
        <w:rPr>
          <w:rFonts w:cs="Arial"/>
        </w:rPr>
        <w:t>případů týkalo pracovní neschopnosti z důvodu nemoci, 14,8 tis. (1,7 %) případů pro pracovní úraz a 51,8 tis. (6,1 %) případů ostatních úrazů. Muži čerpali pracovní neschopnost z důvodu nemoci v 658,2 tis. (84</w:t>
      </w:r>
      <w:r w:rsidR="00F212F9" w:rsidRPr="003E6827">
        <w:rPr>
          <w:rFonts w:cs="Arial"/>
        </w:rPr>
        <w:t xml:space="preserve"> %) případech</w:t>
      </w:r>
      <w:r w:rsidR="00A333BA" w:rsidRPr="003E6827">
        <w:rPr>
          <w:rFonts w:cs="Arial"/>
        </w:rPr>
        <w:t>, z důvodu</w:t>
      </w:r>
      <w:r w:rsidR="00A333BA" w:rsidRPr="00821C6F">
        <w:rPr>
          <w:rFonts w:cs="Arial"/>
        </w:rPr>
        <w:t xml:space="preserve"> pracovního úrazu v</w:t>
      </w:r>
      <w:r w:rsidR="00DF6EE5">
        <w:rPr>
          <w:rFonts w:cs="Arial"/>
        </w:rPr>
        <w:t> 33,0</w:t>
      </w:r>
      <w:r w:rsidR="00A333BA" w:rsidRPr="00821C6F">
        <w:rPr>
          <w:rFonts w:cs="Arial"/>
        </w:rPr>
        <w:t xml:space="preserve"> tis. (4,2 %) </w:t>
      </w:r>
      <w:r w:rsidR="00F212F9" w:rsidRPr="00821C6F">
        <w:rPr>
          <w:rFonts w:cs="Arial"/>
        </w:rPr>
        <w:t>v</w:t>
      </w:r>
      <w:r w:rsidR="005F694D">
        <w:rPr>
          <w:rFonts w:cs="Arial"/>
        </w:rPr>
        <w:t> </w:t>
      </w:r>
      <w:r w:rsidR="00A333BA" w:rsidRPr="00821C6F">
        <w:rPr>
          <w:rFonts w:cs="Arial"/>
        </w:rPr>
        <w:t>p</w:t>
      </w:r>
      <w:r w:rsidR="00F212F9" w:rsidRPr="00821C6F">
        <w:rPr>
          <w:rFonts w:cs="Arial"/>
        </w:rPr>
        <w:t>řípadech</w:t>
      </w:r>
      <w:r w:rsidR="00A333BA" w:rsidRPr="00821C6F">
        <w:rPr>
          <w:rFonts w:cs="Arial"/>
        </w:rPr>
        <w:t xml:space="preserve"> a z důvodu ostatních úrazů v 93,2 tis. (11,</w:t>
      </w:r>
      <w:r w:rsidR="003D019C">
        <w:rPr>
          <w:rFonts w:cs="Arial"/>
        </w:rPr>
        <w:t>8</w:t>
      </w:r>
      <w:r w:rsidR="00A333BA" w:rsidRPr="00821C6F">
        <w:rPr>
          <w:rFonts w:cs="Arial"/>
        </w:rPr>
        <w:t xml:space="preserve"> </w:t>
      </w:r>
      <w:r w:rsidR="00F212F9" w:rsidRPr="00821C6F">
        <w:rPr>
          <w:rFonts w:cs="Arial"/>
        </w:rPr>
        <w:t>%) případech</w:t>
      </w:r>
      <w:r w:rsidR="00DF6EE5">
        <w:rPr>
          <w:rFonts w:cs="Arial"/>
          <w:lang w:val="en-US"/>
        </w:rPr>
        <w:t xml:space="preserve">. </w:t>
      </w:r>
      <w:r w:rsidR="00DF6EE5" w:rsidRPr="00DF6EE5">
        <w:rPr>
          <w:rFonts w:cs="Arial"/>
        </w:rPr>
        <w:t>Podrobněji viz Tabulka č. 2.</w:t>
      </w:r>
      <w:r w:rsidR="00A333BA">
        <w:rPr>
          <w:rFonts w:cs="Arial"/>
          <w:lang w:val="en-US"/>
        </w:rPr>
        <w:t xml:space="preserve"> </w:t>
      </w:r>
      <w:r w:rsidR="00A333BA" w:rsidRPr="00DE54D0">
        <w:rPr>
          <w:rFonts w:cs="Arial"/>
        </w:rPr>
        <w:t>   </w:t>
      </w:r>
    </w:p>
    <w:p w:rsidR="00CD7255" w:rsidRPr="005C019F" w:rsidRDefault="00CD7255" w:rsidP="00CD7255">
      <w:pPr>
        <w:jc w:val="both"/>
        <w:rPr>
          <w:rFonts w:cs="Arial"/>
          <w:spacing w:val="-2"/>
        </w:rPr>
      </w:pPr>
      <w:r w:rsidRPr="005C019F">
        <w:rPr>
          <w:rFonts w:cs="Arial"/>
          <w:b/>
          <w:spacing w:val="-2"/>
        </w:rPr>
        <w:t>Graf č. 4: Nově hlášené případy pracovní neschopnosti dle pohlaví v letech 2006 – 2016 (</w:t>
      </w:r>
      <w:r w:rsidR="005C019F" w:rsidRPr="005C019F">
        <w:rPr>
          <w:rFonts w:cs="Arial"/>
          <w:b/>
          <w:spacing w:val="-2"/>
        </w:rPr>
        <w:t xml:space="preserve">v </w:t>
      </w:r>
      <w:r w:rsidRPr="005C019F">
        <w:rPr>
          <w:rFonts w:cs="Arial"/>
          <w:b/>
          <w:spacing w:val="-2"/>
        </w:rPr>
        <w:t>tis. případů)</w:t>
      </w:r>
    </w:p>
    <w:p w:rsidR="00A422FD" w:rsidRDefault="00A422FD" w:rsidP="003D5551">
      <w:pPr>
        <w:spacing w:after="0" w:line="240" w:lineRule="auto"/>
        <w:ind w:left="-284"/>
        <w:rPr>
          <w:rFonts w:cs="Arial"/>
          <w:b/>
        </w:rPr>
      </w:pPr>
      <w:r w:rsidRPr="00A422FD">
        <w:rPr>
          <w:rFonts w:cs="Arial"/>
          <w:b/>
          <w:noProof/>
        </w:rPr>
        <w:drawing>
          <wp:inline distT="0" distB="0" distL="0" distR="0">
            <wp:extent cx="6347460" cy="3436620"/>
            <wp:effectExtent l="19050" t="0" r="0" b="0"/>
            <wp:docPr id="9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cs="Arial"/>
          <w:b/>
        </w:rPr>
        <w:br w:type="page"/>
      </w:r>
    </w:p>
    <w:p w:rsidR="00940A27" w:rsidRPr="003E6827" w:rsidRDefault="00940A27" w:rsidP="00940A27">
      <w:pPr>
        <w:ind w:firstLine="708"/>
        <w:jc w:val="both"/>
      </w:pPr>
      <w:r w:rsidRPr="003E6827">
        <w:rPr>
          <w:rFonts w:cs="Arial"/>
        </w:rPr>
        <w:lastRenderedPageBreak/>
        <w:t>Mezi pohlavími je ve skladbě důvodů dočasné pracovní neschopnosti dlouhodobě patrný rozdíl</w:t>
      </w:r>
      <w:r w:rsidR="003C295B" w:rsidRPr="003E6827">
        <w:rPr>
          <w:rFonts w:cs="Arial"/>
        </w:rPr>
        <w:t xml:space="preserve">. </w:t>
      </w:r>
      <w:r w:rsidR="00C43067">
        <w:rPr>
          <w:rFonts w:cs="Arial"/>
        </w:rPr>
        <w:t>Přestože u obou pohlaví je jednoznačně nejčastější</w:t>
      </w:r>
      <w:r w:rsidRPr="003E6827">
        <w:rPr>
          <w:rFonts w:cs="Arial"/>
        </w:rPr>
        <w:t xml:space="preserve"> dočasná pracovní neschopnost pro nemoc, muži výrazně dominují v počtu dočasné pracovní neschopnosti pro úrazy jak pracovní, tak i ostatní. Vyšší podíl žen na pracovní neschopnosti pro nemoc, může souviset s mateřskou úlohou žen, u nichž mohou být důvodem pracovní neschopnosti také komplikace v těhotenství, potraty nebo</w:t>
      </w:r>
      <w:r w:rsidR="003E6827">
        <w:rPr>
          <w:rFonts w:cs="Arial"/>
        </w:rPr>
        <w:t xml:space="preserve"> doprovod dítěte při hospitalizaci</w:t>
      </w:r>
      <w:r w:rsidRPr="003E6827">
        <w:rPr>
          <w:rFonts w:cs="Arial"/>
        </w:rPr>
        <w:t>. Z celkového počtu nově hlášených případů pro pracov</w:t>
      </w:r>
      <w:r w:rsidR="00F212F9" w:rsidRPr="003E6827">
        <w:rPr>
          <w:rFonts w:cs="Arial"/>
        </w:rPr>
        <w:t>ní úrazy připadá na ženy pouze</w:t>
      </w:r>
      <w:r w:rsidRPr="003E6827">
        <w:rPr>
          <w:rFonts w:cs="Arial"/>
        </w:rPr>
        <w:t> 31,2 %</w:t>
      </w:r>
      <w:r w:rsidR="00F212F9" w:rsidRPr="003E6827">
        <w:rPr>
          <w:rFonts w:cs="Arial"/>
        </w:rPr>
        <w:t xml:space="preserve"> pracovních úrazů</w:t>
      </w:r>
      <w:r w:rsidRPr="003E6827">
        <w:rPr>
          <w:rFonts w:cs="Arial"/>
        </w:rPr>
        <w:t>, podíl žen z celkového počtu pro ostatní úrazy je 35,7 %, což je dáno i</w:t>
      </w:r>
      <w:r w:rsidR="003C295B" w:rsidRPr="003E6827">
        <w:rPr>
          <w:rFonts w:cs="Arial"/>
        </w:rPr>
        <w:t> </w:t>
      </w:r>
      <w:r w:rsidRPr="003E6827">
        <w:rPr>
          <w:rFonts w:cs="Arial"/>
        </w:rPr>
        <w:t>odlišnou strukturou zaměstnanosti žen a</w:t>
      </w:r>
      <w:r w:rsidR="00CD7255" w:rsidRPr="003E6827">
        <w:rPr>
          <w:rFonts w:cs="Arial"/>
        </w:rPr>
        <w:t> </w:t>
      </w:r>
      <w:r w:rsidRPr="003E6827">
        <w:rPr>
          <w:rFonts w:cs="Arial"/>
        </w:rPr>
        <w:t xml:space="preserve">mužů. Odvětví, </w:t>
      </w:r>
      <w:r w:rsidRPr="003E6827">
        <w:t>kde převládají muži a vyskytují se zvýšená rizika pracovního i</w:t>
      </w:r>
      <w:r w:rsidR="00C43067">
        <w:t> </w:t>
      </w:r>
      <w:r w:rsidRPr="003E6827">
        <w:t>smrtelného pracovního úrazu jsou např. v sektoru T</w:t>
      </w:r>
      <w:r w:rsidRPr="003E6827">
        <w:rPr>
          <w:rFonts w:cs="Arial"/>
        </w:rPr>
        <w:t>ěžby a dobývání, Zpracovatelském průmyslu, S</w:t>
      </w:r>
      <w:r w:rsidRPr="003E6827">
        <w:t>tavebnictví, Dopravě a</w:t>
      </w:r>
      <w:r w:rsidR="00C55B6D">
        <w:t> </w:t>
      </w:r>
      <w:r w:rsidRPr="003E6827">
        <w:t>skladování či Zemědělství, lesnictví, rybářství. Naopak</w:t>
      </w:r>
      <w:r w:rsidR="003C295B" w:rsidRPr="003E6827">
        <w:t> </w:t>
      </w:r>
      <w:r w:rsidRPr="003E6827">
        <w:t xml:space="preserve">odvětví, kde převažují v zaměstnání ženy a rizika pracovních úrazů </w:t>
      </w:r>
      <w:r w:rsidR="003E42AE">
        <w:t>mohou být</w:t>
      </w:r>
      <w:r w:rsidRPr="003E6827">
        <w:t xml:space="preserve"> méně častá, jsou</w:t>
      </w:r>
      <w:r w:rsidR="003C295B" w:rsidRPr="003E6827">
        <w:t> </w:t>
      </w:r>
      <w:r w:rsidRPr="003E6827">
        <w:t>Peněžnictví a</w:t>
      </w:r>
      <w:r w:rsidR="003C295B" w:rsidRPr="003E6827">
        <w:t> </w:t>
      </w:r>
      <w:r w:rsidRPr="003E6827">
        <w:t>pojišťovnictví, Zdravotnictví a sociální péče, Č</w:t>
      </w:r>
      <w:r w:rsidRPr="003E6827">
        <w:rPr>
          <w:rFonts w:cs="Arial"/>
        </w:rPr>
        <w:t xml:space="preserve">inností v oblasti nemovitostí </w:t>
      </w:r>
      <w:r w:rsidRPr="003E6827">
        <w:t xml:space="preserve">a Vzdělávání. </w:t>
      </w:r>
    </w:p>
    <w:p w:rsidR="00CD7255" w:rsidRPr="00E7514E" w:rsidRDefault="00CD7255" w:rsidP="00CD7255">
      <w:pPr>
        <w:jc w:val="both"/>
        <w:rPr>
          <w:rFonts w:cs="Arial"/>
          <w:b/>
          <w:spacing w:val="-2"/>
        </w:rPr>
      </w:pPr>
      <w:r w:rsidRPr="00E7514E">
        <w:rPr>
          <w:rFonts w:cs="Arial"/>
          <w:b/>
          <w:spacing w:val="-2"/>
        </w:rPr>
        <w:t xml:space="preserve">Tabulka č. 3: Dočasná pracovní neschopnost dle ekonomických odvětví </w:t>
      </w:r>
      <w:r w:rsidR="00E7514E" w:rsidRPr="00E7514E">
        <w:rPr>
          <w:rFonts w:cs="Arial"/>
          <w:b/>
          <w:spacing w:val="-2"/>
        </w:rPr>
        <w:t xml:space="preserve">(sekce </w:t>
      </w:r>
      <w:r w:rsidRPr="00E7514E">
        <w:rPr>
          <w:rFonts w:cs="Arial"/>
          <w:b/>
          <w:spacing w:val="-2"/>
        </w:rPr>
        <w:t>CZ-NACE</w:t>
      </w:r>
      <w:r w:rsidR="00E7514E" w:rsidRPr="00E7514E">
        <w:rPr>
          <w:rFonts w:cs="Arial"/>
          <w:b/>
          <w:spacing w:val="-2"/>
        </w:rPr>
        <w:t>)</w:t>
      </w:r>
      <w:r w:rsidR="00DF6EE5" w:rsidRPr="00E7514E">
        <w:rPr>
          <w:rFonts w:cs="Arial"/>
          <w:b/>
          <w:spacing w:val="-2"/>
        </w:rPr>
        <w:t xml:space="preserve"> v roce 2016</w:t>
      </w:r>
      <w:r w:rsidRPr="00E7514E">
        <w:rPr>
          <w:rFonts w:cs="Arial"/>
          <w:b/>
          <w:spacing w:val="-2"/>
        </w:rPr>
        <w:t xml:space="preserve"> </w:t>
      </w:r>
    </w:p>
    <w:tbl>
      <w:tblPr>
        <w:tblW w:w="9801" w:type="dxa"/>
        <w:tblInd w:w="55" w:type="dxa"/>
        <w:tblCellMar>
          <w:left w:w="113" w:type="dxa"/>
          <w:right w:w="70" w:type="dxa"/>
        </w:tblCellMar>
        <w:tblLook w:val="04A0"/>
      </w:tblPr>
      <w:tblGrid>
        <w:gridCol w:w="3303"/>
        <w:gridCol w:w="1126"/>
        <w:gridCol w:w="1126"/>
        <w:gridCol w:w="1126"/>
        <w:gridCol w:w="1126"/>
        <w:gridCol w:w="1126"/>
        <w:gridCol w:w="1126"/>
      </w:tblGrid>
      <w:tr w:rsidR="0093445E" w:rsidRPr="0011739E" w:rsidTr="003D5551">
        <w:trPr>
          <w:trHeight w:val="20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11739E" w:rsidRDefault="0093445E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1739E">
              <w:rPr>
                <w:rFonts w:cs="Arial"/>
                <w:color w:val="000000"/>
                <w:sz w:val="16"/>
                <w:szCs w:val="16"/>
              </w:rPr>
              <w:t>CZ-NACE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Default="0093445E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1739E">
              <w:rPr>
                <w:rFonts w:cs="Arial"/>
                <w:color w:val="000000"/>
                <w:sz w:val="16"/>
                <w:szCs w:val="16"/>
              </w:rPr>
              <w:t>Nově hlášené případy dočasné pracovní neschopnosti</w:t>
            </w:r>
          </w:p>
          <w:p w:rsidR="000C08DA" w:rsidRPr="0011739E" w:rsidRDefault="000C08DA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(v tis.)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Default="0093445E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1739E">
              <w:rPr>
                <w:rFonts w:cs="Arial"/>
                <w:color w:val="000000"/>
                <w:sz w:val="16"/>
                <w:szCs w:val="16"/>
              </w:rPr>
              <w:t>Kalendářní dny pracovní neschopnosti</w:t>
            </w:r>
          </w:p>
          <w:p w:rsidR="000C08DA" w:rsidRPr="0011739E" w:rsidRDefault="000C08DA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(v tis.)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11739E" w:rsidRDefault="0093445E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1739E">
              <w:rPr>
                <w:rFonts w:cs="Arial"/>
                <w:color w:val="000000"/>
                <w:sz w:val="16"/>
                <w:szCs w:val="16"/>
              </w:rPr>
              <w:t>Nově hlášené případy pracovní neschopnosti na 100 pojištěnců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11739E" w:rsidRDefault="0093445E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1739E">
              <w:rPr>
                <w:rFonts w:cs="Arial"/>
                <w:color w:val="000000"/>
                <w:sz w:val="16"/>
                <w:szCs w:val="16"/>
              </w:rPr>
              <w:t>Průměrné procento dočasné pracovní neschopnosti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11739E" w:rsidRDefault="0093445E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1739E">
              <w:rPr>
                <w:rFonts w:cs="Arial"/>
                <w:color w:val="000000"/>
                <w:sz w:val="16"/>
                <w:szCs w:val="16"/>
              </w:rPr>
              <w:t>Průměrná délka trvání 1 případu dočasné pracovní neschopnosti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93445E" w:rsidRDefault="0093445E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Průměrný den</w:t>
            </w:r>
            <w:r w:rsidRPr="0011739E">
              <w:rPr>
                <w:rFonts w:cs="Arial"/>
                <w:color w:val="000000"/>
                <w:sz w:val="16"/>
                <w:szCs w:val="16"/>
              </w:rPr>
              <w:t>ní stav dočasné pracovní neschopnosti</w:t>
            </w:r>
          </w:p>
          <w:p w:rsidR="000C08DA" w:rsidRPr="0011739E" w:rsidRDefault="000C08DA" w:rsidP="003E0B54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(v tis.)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A - Zemědělství, lesnictví a rybářství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 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006</w:t>
            </w:r>
            <w:r>
              <w:rPr>
                <w:rFonts w:cs="Arial"/>
                <w:color w:val="000000"/>
                <w:sz w:val="16"/>
                <w:szCs w:val="16"/>
              </w:rPr>
              <w:t>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30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5,4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B - Těžba a dobývání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596,9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39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1,6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C - Zpracovatelský průmysl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570,6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24 171,3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47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 xml:space="preserve">D - Výroba a rozvod elektřiny, plynu, tepla </w:t>
            </w:r>
            <w:r w:rsidRPr="0011739E">
              <w:rPr>
                <w:rFonts w:cs="Arial"/>
                <w:sz w:val="16"/>
                <w:szCs w:val="16"/>
              </w:rPr>
              <w:br/>
              <w:t xml:space="preserve">     a klimatizovaného vzduchu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318,6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23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E - Zásobování vodou; činnos</w:t>
            </w:r>
            <w:r w:rsidR="005F694D">
              <w:rPr>
                <w:rFonts w:cs="Arial"/>
                <w:sz w:val="16"/>
                <w:szCs w:val="16"/>
              </w:rPr>
              <w:t xml:space="preserve">ti související </w:t>
            </w:r>
            <w:r w:rsidR="005F694D">
              <w:rPr>
                <w:rFonts w:cs="Arial"/>
                <w:sz w:val="16"/>
                <w:szCs w:val="16"/>
              </w:rPr>
              <w:br/>
              <w:t xml:space="preserve">     s odpad.</w:t>
            </w:r>
            <w:r w:rsidRPr="0011739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11739E">
              <w:rPr>
                <w:rFonts w:cs="Arial"/>
                <w:sz w:val="16"/>
                <w:szCs w:val="16"/>
              </w:rPr>
              <w:t>vodami</w:t>
            </w:r>
            <w:proofErr w:type="gramEnd"/>
            <w:r w:rsidRPr="0011739E">
              <w:rPr>
                <w:rFonts w:cs="Arial"/>
                <w:sz w:val="16"/>
                <w:szCs w:val="16"/>
              </w:rPr>
              <w:t>, odpady a sanacemi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928,1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36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2,5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F - Stavebnictví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3 967,2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31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10,8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 xml:space="preserve">G - Velkoobchod a maloobchod; opravy </w:t>
            </w:r>
            <w:r w:rsidRPr="0011739E">
              <w:rPr>
                <w:rFonts w:cs="Arial"/>
                <w:sz w:val="16"/>
                <w:szCs w:val="16"/>
              </w:rPr>
              <w:br/>
              <w:t xml:space="preserve">     a údržba motorových vozidel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9 388,5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33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25,7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H - Doprava a skladování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4 455,1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33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12,2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I - Ubytování, stravování a pohostinství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2 088,2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28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J - Informační a komunikační činnosti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766,1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23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2,1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K - Peněžnictví a pojišťovnictví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844,3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27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2,3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L - Činnosti v oblasti nemovitostí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612,4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16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1,7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M - Profesní, vědecké a technické činnosti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1 749,0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21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4,8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N - Administrativní a podpůrné činnosti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5 134,8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49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BC091B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14,0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 xml:space="preserve">O - Veřejná správa a obrana; povinné </w:t>
            </w:r>
            <w:r w:rsidRPr="0011739E">
              <w:rPr>
                <w:rFonts w:cs="Arial"/>
                <w:sz w:val="16"/>
                <w:szCs w:val="16"/>
              </w:rPr>
              <w:br/>
              <w:t xml:space="preserve">    sociální zabezpečení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3 036,4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30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8,3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P - Vzdělávání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30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9,4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Q - Zdravotní a sociální péče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5 179,4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30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14,2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R - Kulturní, zábavní a rekreační činnosti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676,0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24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1,9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S - Ostatní činnosti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880,1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0467F">
              <w:rPr>
                <w:rFonts w:cs="Arial"/>
                <w:color w:val="000000"/>
                <w:sz w:val="16"/>
                <w:szCs w:val="16"/>
              </w:rPr>
              <w:t>28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60467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2,4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U - Činnosti exteritoriálních organizací a orgánů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</w:tr>
      <w:tr w:rsidR="0093445E" w:rsidRPr="0011739E" w:rsidTr="003D5551">
        <w:trPr>
          <w:trHeight w:val="2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rPr>
                <w:rFonts w:cs="Arial"/>
                <w:sz w:val="16"/>
                <w:szCs w:val="16"/>
              </w:rPr>
            </w:pPr>
            <w:r w:rsidRPr="0011739E">
              <w:rPr>
                <w:rFonts w:cs="Arial"/>
                <w:sz w:val="16"/>
                <w:szCs w:val="16"/>
              </w:rPr>
              <w:t>Celkem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11739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1 633,4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5E" w:rsidRPr="0060467F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0467F">
              <w:rPr>
                <w:rFonts w:cs="Arial"/>
                <w:sz w:val="16"/>
                <w:szCs w:val="16"/>
              </w:rPr>
              <w:t>70 252,0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656E" w:rsidRDefault="0093445E" w:rsidP="00C02546">
            <w:pPr>
              <w:spacing w:beforeLines="36" w:afterLines="36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192,0</w:t>
            </w:r>
          </w:p>
        </w:tc>
      </w:tr>
    </w:tbl>
    <w:p w:rsidR="005F694D" w:rsidRDefault="005F694D" w:rsidP="00CD7255">
      <w:pPr>
        <w:ind w:firstLine="708"/>
        <w:jc w:val="both"/>
        <w:rPr>
          <w:rFonts w:cs="Arial"/>
          <w:b/>
        </w:rPr>
      </w:pPr>
    </w:p>
    <w:p w:rsidR="00CD7255" w:rsidRDefault="00CD7255" w:rsidP="00CD7255">
      <w:pPr>
        <w:ind w:firstLine="708"/>
        <w:jc w:val="both"/>
        <w:rPr>
          <w:rFonts w:cs="Arial"/>
        </w:rPr>
      </w:pPr>
      <w:r w:rsidRPr="00C55B6D">
        <w:rPr>
          <w:rFonts w:cs="Arial"/>
        </w:rPr>
        <w:lastRenderedPageBreak/>
        <w:t>Co se týče jednotlivých odvětví ekonomické činnosti,</w:t>
      </w:r>
      <w:r>
        <w:rPr>
          <w:rFonts w:cs="Arial"/>
        </w:rPr>
        <w:t xml:space="preserve"> bylo v absolutních počtech nejvíce nových případů dočasné pracovní neschopnosti hlášeno </w:t>
      </w:r>
      <w:r w:rsidR="004D1DCC">
        <w:rPr>
          <w:rFonts w:cs="Arial"/>
        </w:rPr>
        <w:t>v subjektech s převažující ekonomickou činností spadajících dle klasifikace CZ-NACE do  </w:t>
      </w:r>
      <w:r>
        <w:rPr>
          <w:rFonts w:cs="Arial"/>
        </w:rPr>
        <w:t>odvětv</w:t>
      </w:r>
      <w:r w:rsidR="004D1DCC">
        <w:rPr>
          <w:rFonts w:cs="Arial"/>
        </w:rPr>
        <w:t>ové sekce</w:t>
      </w:r>
      <w:r>
        <w:rPr>
          <w:rFonts w:cs="Arial"/>
        </w:rPr>
        <w:t xml:space="preserve"> Zpracovatelský průmysl (570,6 tis. případů) a Velkoobchod a maloobchod; opravy a údržba morových vozidel (209,0 tis. případů), naopak </w:t>
      </w:r>
      <w:r w:rsidR="003C295B">
        <w:rPr>
          <w:rFonts w:cs="Arial"/>
        </w:rPr>
        <w:t>nejmenší absolutní počet byl</w:t>
      </w:r>
      <w:r w:rsidR="00F932FF">
        <w:rPr>
          <w:rFonts w:cs="Arial"/>
        </w:rPr>
        <w:t xml:space="preserve"> hlášen</w:t>
      </w:r>
      <w:r>
        <w:rPr>
          <w:rFonts w:cs="Arial"/>
        </w:rPr>
        <w:t xml:space="preserve"> u </w:t>
      </w:r>
      <w:r w:rsidR="004D1DCC">
        <w:rPr>
          <w:rFonts w:cs="Arial"/>
        </w:rPr>
        <w:t>odvětvové sekce</w:t>
      </w:r>
      <w:r>
        <w:rPr>
          <w:rFonts w:cs="Arial"/>
        </w:rPr>
        <w:t xml:space="preserve"> Výrob</w:t>
      </w:r>
      <w:r w:rsidR="004D1DCC">
        <w:rPr>
          <w:rFonts w:cs="Arial"/>
        </w:rPr>
        <w:t>a a</w:t>
      </w:r>
      <w:r>
        <w:rPr>
          <w:rFonts w:cs="Arial"/>
        </w:rPr>
        <w:t> rozvod elektřiny a jiných energií (7,7</w:t>
      </w:r>
      <w:r w:rsidR="003C295B">
        <w:rPr>
          <w:rFonts w:cs="Arial"/>
        </w:rPr>
        <w:t> </w:t>
      </w:r>
      <w:r>
        <w:rPr>
          <w:rFonts w:cs="Arial"/>
        </w:rPr>
        <w:t>tis.</w:t>
      </w:r>
      <w:r w:rsidR="003C295B">
        <w:rPr>
          <w:rFonts w:cs="Arial"/>
        </w:rPr>
        <w:t> </w:t>
      </w:r>
      <w:r>
        <w:rPr>
          <w:rFonts w:cs="Arial"/>
        </w:rPr>
        <w:t>případů) a u Těžby a dobývání (11,1 tis. případů).</w:t>
      </w:r>
    </w:p>
    <w:p w:rsidR="00F932FF" w:rsidRDefault="00F932FF" w:rsidP="002D14DE">
      <w:pPr>
        <w:spacing w:after="0"/>
        <w:ind w:firstLine="709"/>
        <w:jc w:val="both"/>
        <w:rPr>
          <w:rFonts w:cs="Arial"/>
          <w:b/>
        </w:rPr>
      </w:pPr>
      <w:r w:rsidRPr="005F694D">
        <w:rPr>
          <w:rFonts w:cs="Arial"/>
        </w:rPr>
        <w:t>Absolutní údaje o počtu nově hlášených případů je však nutné posuzovat v kontextu zaměstnanosti v daném odvětví, a proto má v případě odvětví vyšší vypovídací schopnost ukazatel relativní, například</w:t>
      </w:r>
      <w:r>
        <w:rPr>
          <w:rFonts w:cs="Arial"/>
          <w:b/>
        </w:rPr>
        <w:t xml:space="preserve"> počet nově hlášených případů dočasné pracovní neschopnosti na 100 pojištěnců.</w:t>
      </w:r>
    </w:p>
    <w:p w:rsidR="00F932FF" w:rsidRDefault="00F932FF" w:rsidP="002D14DE">
      <w:pPr>
        <w:spacing w:before="240"/>
        <w:ind w:firstLine="709"/>
        <w:jc w:val="both"/>
        <w:rPr>
          <w:rFonts w:cs="Arial"/>
        </w:rPr>
      </w:pPr>
      <w:r w:rsidRPr="00C55B6D">
        <w:rPr>
          <w:rFonts w:cs="Arial"/>
        </w:rPr>
        <w:t xml:space="preserve">Tento ukazatel meziročně </w:t>
      </w:r>
      <w:r w:rsidR="004D1DCC">
        <w:rPr>
          <w:rFonts w:cs="Arial"/>
        </w:rPr>
        <w:t xml:space="preserve">za </w:t>
      </w:r>
      <w:r w:rsidR="002D14DE">
        <w:rPr>
          <w:rFonts w:cs="Arial"/>
        </w:rPr>
        <w:t>Českou</w:t>
      </w:r>
      <w:r w:rsidR="004D1DCC">
        <w:rPr>
          <w:rFonts w:cs="Arial"/>
        </w:rPr>
        <w:t xml:space="preserve"> republiku celkem </w:t>
      </w:r>
      <w:r w:rsidRPr="00C55B6D">
        <w:rPr>
          <w:rFonts w:cs="Arial"/>
        </w:rPr>
        <w:t>vzrostl z 34,7 případů v roce 2015 na 35,7 případů v roce 2016 (tj. o 2,9 %). 31,5 nově hlášených případů dočasné pracovní neschopnosti na 100 pojištěnců bylo v roce 2016 bylo zapříčiněno nemocí, 1,0 případů pracovními úrazy a 3,2 případů</w:t>
      </w:r>
      <w:r w:rsidRPr="00C55B6D">
        <w:rPr>
          <w:rFonts w:cs="Arial"/>
          <w:color w:val="FF0000"/>
        </w:rPr>
        <w:t xml:space="preserve"> </w:t>
      </w:r>
      <w:r w:rsidRPr="00C55B6D">
        <w:rPr>
          <w:rFonts w:cs="Arial"/>
        </w:rPr>
        <w:t>ostatními úrazy. Z celkového počtu bylo na 100 mužů hlášeno 33,7 případů, na 100 žen poté 37,9. Meziročně vzrostl počet nově hlášených případů dočasné pracovní neschopnosti na 100 žen z 36,8</w:t>
      </w:r>
      <w:r>
        <w:rPr>
          <w:rFonts w:cs="Arial"/>
        </w:rPr>
        <w:t xml:space="preserve"> případů v roce 2015 na 37,9 případů (</w:t>
      </w:r>
      <w:r w:rsidRPr="005F694D">
        <w:rPr>
          <w:rFonts w:cs="Arial"/>
        </w:rPr>
        <w:t>muži z</w:t>
      </w:r>
      <w:r>
        <w:rPr>
          <w:rFonts w:cs="Arial"/>
          <w:b/>
        </w:rPr>
        <w:t xml:space="preserve"> </w:t>
      </w:r>
      <w:r w:rsidRPr="00FA2C57">
        <w:rPr>
          <w:rFonts w:cs="Arial"/>
        </w:rPr>
        <w:t>32,7</w:t>
      </w:r>
      <w:r>
        <w:rPr>
          <w:rFonts w:cs="Arial"/>
        </w:rPr>
        <w:t xml:space="preserve"> na 33,7 případů) v roce 2016 (tj. o 3 % u obou pohlaví). </w:t>
      </w:r>
    </w:p>
    <w:p w:rsidR="00980055" w:rsidRDefault="00B21B4A" w:rsidP="00F932FF">
      <w:pPr>
        <w:ind w:firstLine="708"/>
        <w:jc w:val="both"/>
        <w:rPr>
          <w:rFonts w:cs="Arial"/>
        </w:rPr>
      </w:pPr>
      <w:r w:rsidRPr="002D14DE">
        <w:rPr>
          <w:rFonts w:cs="Arial"/>
        </w:rPr>
        <w:t>C</w:t>
      </w:r>
      <w:r w:rsidR="00DF57CA" w:rsidRPr="002D14DE">
        <w:rPr>
          <w:rFonts w:cs="Arial"/>
        </w:rPr>
        <w:t xml:space="preserve">elková četnost výskytu </w:t>
      </w:r>
      <w:r w:rsidR="00F1163D" w:rsidRPr="002D14DE">
        <w:rPr>
          <w:rFonts w:cs="Arial"/>
        </w:rPr>
        <w:t xml:space="preserve">dočasné pracovní neschopnosti na 100 pojištěnců má sice </w:t>
      </w:r>
      <w:r w:rsidRPr="002D14DE">
        <w:rPr>
          <w:rFonts w:cs="Arial"/>
        </w:rPr>
        <w:t xml:space="preserve">v posledních </w:t>
      </w:r>
      <w:r w:rsidR="005D2888" w:rsidRPr="002D14DE">
        <w:rPr>
          <w:rFonts w:cs="Arial"/>
        </w:rPr>
        <w:t>přibližně</w:t>
      </w:r>
      <w:r w:rsidRPr="002D14DE">
        <w:rPr>
          <w:rFonts w:cs="Arial"/>
        </w:rPr>
        <w:t xml:space="preserve"> čtyřech letech </w:t>
      </w:r>
      <w:r w:rsidR="00F1163D" w:rsidRPr="002D14DE">
        <w:rPr>
          <w:rFonts w:cs="Arial"/>
        </w:rPr>
        <w:t>rostoucí tendenci</w:t>
      </w:r>
      <w:r w:rsidRPr="002D14DE">
        <w:rPr>
          <w:rFonts w:cs="Arial"/>
        </w:rPr>
        <w:t xml:space="preserve">, ale v delším </w:t>
      </w:r>
      <w:r w:rsidR="00451C8F" w:rsidRPr="002D14DE">
        <w:rPr>
          <w:rFonts w:cs="Arial"/>
        </w:rPr>
        <w:t xml:space="preserve">časovém </w:t>
      </w:r>
      <w:r w:rsidRPr="002D14DE">
        <w:rPr>
          <w:rFonts w:cs="Arial"/>
        </w:rPr>
        <w:t xml:space="preserve">období je tento ukazatel výrazně nižší než býval v minulosti. </w:t>
      </w:r>
      <w:r w:rsidR="002D14DE">
        <w:rPr>
          <w:rFonts w:cs="Arial"/>
        </w:rPr>
        <w:t>Z</w:t>
      </w:r>
      <w:r w:rsidR="00DF57CA" w:rsidRPr="002D14DE">
        <w:rPr>
          <w:rFonts w:cs="Arial"/>
        </w:rPr>
        <w:t>atímco v roce 1970 připadalo na 100 pojištěnců</w:t>
      </w:r>
      <w:r w:rsidR="005D2888" w:rsidRPr="002D14DE">
        <w:rPr>
          <w:rFonts w:cs="Arial"/>
        </w:rPr>
        <w:t xml:space="preserve"> téměř 114 případů dočasné pracovní neschopnosti</w:t>
      </w:r>
      <w:r w:rsidR="00DF57CA" w:rsidRPr="002D14DE">
        <w:rPr>
          <w:rFonts w:cs="Arial"/>
        </w:rPr>
        <w:t>, bylo to v</w:t>
      </w:r>
      <w:r w:rsidR="00C43067" w:rsidRPr="002D14DE">
        <w:rPr>
          <w:rFonts w:cs="Arial"/>
        </w:rPr>
        <w:t> </w:t>
      </w:r>
      <w:r w:rsidR="005D2888" w:rsidRPr="002D14DE">
        <w:rPr>
          <w:rFonts w:cs="Arial"/>
        </w:rPr>
        <w:t>roce 1989 jen 10</w:t>
      </w:r>
      <w:r w:rsidR="002D14DE" w:rsidRPr="002D14DE">
        <w:rPr>
          <w:rFonts w:cs="Arial"/>
        </w:rPr>
        <w:t>2</w:t>
      </w:r>
      <w:r w:rsidR="005D2888" w:rsidRPr="002D14DE">
        <w:rPr>
          <w:rFonts w:cs="Arial"/>
        </w:rPr>
        <w:t xml:space="preserve"> případů. V</w:t>
      </w:r>
      <w:r w:rsidR="00DF57CA" w:rsidRPr="002D14DE">
        <w:rPr>
          <w:rFonts w:cs="Arial"/>
        </w:rPr>
        <w:t xml:space="preserve"> roce 1990 dosahovala četnost nově hlášených případů </w:t>
      </w:r>
      <w:r w:rsidR="002D14DE" w:rsidRPr="002D14DE">
        <w:rPr>
          <w:rFonts w:cs="Arial"/>
        </w:rPr>
        <w:t>dočasné pracovní neschopnosti na 100 pojištěnců</w:t>
      </w:r>
      <w:r w:rsidR="00DF57CA" w:rsidRPr="002D14DE">
        <w:rPr>
          <w:rFonts w:cs="Arial"/>
        </w:rPr>
        <w:t xml:space="preserve"> 95 případů, v</w:t>
      </w:r>
      <w:r w:rsidR="00C43067" w:rsidRPr="002D14DE">
        <w:rPr>
          <w:rFonts w:cs="Arial"/>
        </w:rPr>
        <w:t> </w:t>
      </w:r>
      <w:r w:rsidR="00DF57CA" w:rsidRPr="002D14DE">
        <w:rPr>
          <w:rFonts w:cs="Arial"/>
        </w:rPr>
        <w:t>roc</w:t>
      </w:r>
      <w:r w:rsidR="002D14DE" w:rsidRPr="002D14DE">
        <w:rPr>
          <w:rFonts w:cs="Arial"/>
        </w:rPr>
        <w:t>e 2003 necelých 82 případů a</w:t>
      </w:r>
      <w:r w:rsidR="00DF57CA" w:rsidRPr="002D14DE">
        <w:rPr>
          <w:rFonts w:cs="Arial"/>
        </w:rPr>
        <w:t xml:space="preserve"> ještě v</w:t>
      </w:r>
      <w:r w:rsidR="002D14DE">
        <w:rPr>
          <w:rFonts w:cs="Arial"/>
        </w:rPr>
        <w:t> </w:t>
      </w:r>
      <w:r w:rsidR="00DF57CA" w:rsidRPr="002D14DE">
        <w:rPr>
          <w:rFonts w:cs="Arial"/>
        </w:rPr>
        <w:t>roce 2005 tento poměrový ukazatel dosáhl 68,2 případů</w:t>
      </w:r>
      <w:r w:rsidR="005D2888" w:rsidRPr="002D14DE">
        <w:rPr>
          <w:rFonts w:cs="Arial"/>
        </w:rPr>
        <w:t xml:space="preserve">. V </w:t>
      </w:r>
      <w:r w:rsidR="00DF57CA" w:rsidRPr="002D14DE">
        <w:rPr>
          <w:rFonts w:cs="Arial"/>
        </w:rPr>
        <w:t>roce 201</w:t>
      </w:r>
      <w:r w:rsidRPr="002D14DE">
        <w:rPr>
          <w:rFonts w:cs="Arial"/>
        </w:rPr>
        <w:t>2</w:t>
      </w:r>
      <w:r w:rsidR="00DF57CA" w:rsidRPr="002D14DE">
        <w:rPr>
          <w:rFonts w:cs="Arial"/>
        </w:rPr>
        <w:t xml:space="preserve"> </w:t>
      </w:r>
      <w:r w:rsidR="002D14DE" w:rsidRPr="002D14DE">
        <w:rPr>
          <w:rFonts w:cs="Arial"/>
        </w:rPr>
        <w:t>hodnota ukazatele klesla doposud nejníže, na</w:t>
      </w:r>
      <w:r w:rsidR="00DF57CA" w:rsidRPr="002D14DE">
        <w:rPr>
          <w:rFonts w:cs="Arial"/>
        </w:rPr>
        <w:t xml:space="preserve"> </w:t>
      </w:r>
      <w:r w:rsidR="002D14DE" w:rsidRPr="002D14DE">
        <w:rPr>
          <w:rFonts w:cs="Arial"/>
        </w:rPr>
        <w:t>27,4</w:t>
      </w:r>
      <w:r w:rsidR="00DF57CA" w:rsidRPr="002D14DE">
        <w:rPr>
          <w:rFonts w:cs="Arial"/>
        </w:rPr>
        <w:t xml:space="preserve"> případů</w:t>
      </w:r>
      <w:r w:rsidR="00980055" w:rsidRPr="002D14DE">
        <w:rPr>
          <w:rFonts w:cs="Arial"/>
        </w:rPr>
        <w:t>.</w:t>
      </w:r>
      <w:r w:rsidR="00980055">
        <w:rPr>
          <w:rFonts w:cs="Arial"/>
        </w:rPr>
        <w:t xml:space="preserve"> </w:t>
      </w:r>
    </w:p>
    <w:p w:rsidR="00FC6E63" w:rsidRDefault="00FC6E63" w:rsidP="00FC6E63">
      <w:pPr>
        <w:jc w:val="both"/>
        <w:rPr>
          <w:rFonts w:cs="Arial"/>
        </w:rPr>
      </w:pPr>
      <w:r>
        <w:rPr>
          <w:rFonts w:cs="Arial"/>
          <w:b/>
        </w:rPr>
        <w:t>Graf č. 5: Nově hlášené případy pracovní neschopnosti na 100 pojištěnců v</w:t>
      </w:r>
      <w:r w:rsidR="00FB0831">
        <w:rPr>
          <w:rFonts w:cs="Arial"/>
          <w:b/>
        </w:rPr>
        <w:t> </w:t>
      </w:r>
      <w:r>
        <w:rPr>
          <w:rFonts w:cs="Arial"/>
          <w:b/>
        </w:rPr>
        <w:t>letech</w:t>
      </w:r>
      <w:r w:rsidR="00FB0831">
        <w:rPr>
          <w:rFonts w:cs="Arial"/>
          <w:b/>
        </w:rPr>
        <w:t xml:space="preserve"> 1970</w:t>
      </w:r>
      <w:r>
        <w:rPr>
          <w:rFonts w:cs="Arial"/>
          <w:b/>
        </w:rPr>
        <w:t xml:space="preserve"> – 2016 </w:t>
      </w:r>
    </w:p>
    <w:p w:rsidR="000C1ECC" w:rsidRDefault="00FC6E63" w:rsidP="00CD7255">
      <w:pPr>
        <w:jc w:val="both"/>
        <w:rPr>
          <w:rFonts w:cs="Arial"/>
        </w:rPr>
      </w:pPr>
      <w:r w:rsidRPr="00FC6E63">
        <w:rPr>
          <w:rFonts w:cs="Arial"/>
          <w:noProof/>
        </w:rPr>
        <w:drawing>
          <wp:inline distT="0" distB="0" distL="0" distR="0">
            <wp:extent cx="6145619" cy="3774558"/>
            <wp:effectExtent l="0" t="0" r="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1ECC" w:rsidRDefault="000C1ECC" w:rsidP="00CD7255">
      <w:pPr>
        <w:jc w:val="both"/>
        <w:rPr>
          <w:rFonts w:cs="Arial"/>
        </w:rPr>
      </w:pPr>
    </w:p>
    <w:p w:rsidR="00FC6E63" w:rsidRPr="00C55B6D" w:rsidRDefault="00FC6E63" w:rsidP="00FC6E63">
      <w:pPr>
        <w:ind w:firstLine="708"/>
        <w:jc w:val="both"/>
        <w:rPr>
          <w:rFonts w:cs="Arial"/>
        </w:rPr>
      </w:pPr>
      <w:r w:rsidRPr="00C55B6D">
        <w:rPr>
          <w:rFonts w:cs="Arial"/>
        </w:rPr>
        <w:lastRenderedPageBreak/>
        <w:t xml:space="preserve">Z pohledu převažující ekonomické činnosti subjektu bylo nejvíce případů dočasné pracovní neschopnosti na 100 pojištěnců v roce 2016 evidováno v oblasti Administrativní a podpůrné činnosti (49,4), následoval Zpracovatelský průmysl (47,2) a dále u fyzicky náročných činností v oblasti Těžba a dobývání (39,7). Nejméně časté případy pracovní neschopnosti na 100 pojištěnců v roce 2016 byly evidovány u osob v odvětví Činností v oblasti nemovitostí (16,5), nízký počet případů byl hlášen i v Profesních, vědeckých a technických činnostech (21,3) a také v sekci Výroby, rozvodu elektřiny a jiných energií (23,5). </w:t>
      </w:r>
    </w:p>
    <w:p w:rsidR="00CD7255" w:rsidRDefault="00CD7255" w:rsidP="00CD7255">
      <w:pPr>
        <w:jc w:val="both"/>
        <w:rPr>
          <w:rFonts w:cs="Arial"/>
        </w:rPr>
      </w:pPr>
      <w:r>
        <w:rPr>
          <w:rFonts w:cs="Arial"/>
          <w:b/>
        </w:rPr>
        <w:t xml:space="preserve">Graf č. </w:t>
      </w:r>
      <w:r w:rsidR="00FC6E63" w:rsidRPr="002D14DE">
        <w:rPr>
          <w:rFonts w:cs="Arial"/>
          <w:b/>
        </w:rPr>
        <w:t>6</w:t>
      </w:r>
      <w:r w:rsidRPr="002D14DE">
        <w:rPr>
          <w:rFonts w:cs="Arial"/>
          <w:b/>
        </w:rPr>
        <w:t>:</w:t>
      </w:r>
      <w:r>
        <w:rPr>
          <w:rFonts w:cs="Arial"/>
          <w:b/>
        </w:rPr>
        <w:t xml:space="preserve"> Nově hlášené případy</w:t>
      </w:r>
      <w:r w:rsidR="001841A8">
        <w:rPr>
          <w:rFonts w:cs="Arial"/>
          <w:b/>
        </w:rPr>
        <w:t xml:space="preserve"> dočasné</w:t>
      </w:r>
      <w:r>
        <w:rPr>
          <w:rFonts w:cs="Arial"/>
          <w:b/>
        </w:rPr>
        <w:t xml:space="preserve"> pracovní neschopnosti</w:t>
      </w:r>
      <w:r w:rsidR="001841A8">
        <w:rPr>
          <w:rFonts w:cs="Arial"/>
          <w:b/>
        </w:rPr>
        <w:t xml:space="preserve"> (DPN)</w:t>
      </w:r>
      <w:r>
        <w:rPr>
          <w:rFonts w:cs="Arial"/>
          <w:b/>
        </w:rPr>
        <w:t xml:space="preserve"> na 100 pojištěnců dle odvětví ekonomické činnosti v letech </w:t>
      </w:r>
      <w:r w:rsidR="00F932FF">
        <w:rPr>
          <w:rFonts w:cs="Arial"/>
          <w:b/>
        </w:rPr>
        <w:t>2006 – 2016</w:t>
      </w:r>
      <w:r>
        <w:rPr>
          <w:rFonts w:cs="Arial"/>
          <w:b/>
        </w:rPr>
        <w:t xml:space="preserve"> </w:t>
      </w:r>
    </w:p>
    <w:p w:rsidR="001734D6" w:rsidRDefault="001734D6" w:rsidP="001734D6">
      <w:pPr>
        <w:ind w:left="-567"/>
        <w:jc w:val="both"/>
        <w:rPr>
          <w:rFonts w:cs="Arial"/>
        </w:rPr>
      </w:pPr>
      <w:r w:rsidRPr="001734D6">
        <w:rPr>
          <w:rFonts w:cs="Arial"/>
          <w:noProof/>
        </w:rPr>
        <w:drawing>
          <wp:inline distT="0" distB="0" distL="0" distR="0">
            <wp:extent cx="6817685" cy="4688958"/>
            <wp:effectExtent l="1905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694D" w:rsidRDefault="005F694D" w:rsidP="00F932FF">
      <w:pPr>
        <w:spacing w:after="0"/>
        <w:jc w:val="both"/>
        <w:rPr>
          <w:b/>
          <w:color w:val="FF0000"/>
        </w:rPr>
      </w:pPr>
    </w:p>
    <w:p w:rsidR="0093445E" w:rsidRDefault="0093445E" w:rsidP="0093445E">
      <w:pPr>
        <w:ind w:firstLine="708"/>
        <w:jc w:val="both"/>
        <w:rPr>
          <w:rFonts w:cs="Arial"/>
        </w:rPr>
      </w:pPr>
      <w:r w:rsidRPr="00C55B6D">
        <w:rPr>
          <w:rFonts w:cs="Arial"/>
        </w:rPr>
        <w:t>Tomu odpovídá i členění počtu případů dočasné pracovní neschopnosti na 100 pojištěnců pro</w:t>
      </w:r>
      <w:r w:rsidR="00F932FF" w:rsidRPr="00C55B6D">
        <w:rPr>
          <w:rFonts w:cs="Arial"/>
        </w:rPr>
        <w:t> </w:t>
      </w:r>
      <w:r w:rsidRPr="00C55B6D">
        <w:rPr>
          <w:rFonts w:cs="Arial"/>
        </w:rPr>
        <w:t>nemoc, kdy jich nejvíce bylo evidováno v oblasti Administrativní a podpůrné činnosti (44,6) a Zpracovatelském průmyslu (40,8), nejméně případů pro nemoc u Činnosti v oblasti nemovitostí (14,6). Nejvíce případů dočasné pracovní neschopnosti na 100 pojištěnců pro pracovní úraz</w:t>
      </w:r>
      <w:r w:rsidR="009E3386" w:rsidRPr="00C55B6D">
        <w:rPr>
          <w:rFonts w:cs="Arial"/>
        </w:rPr>
        <w:t>,</w:t>
      </w:r>
      <w:r w:rsidRPr="00C55B6D">
        <w:rPr>
          <w:rFonts w:cs="Arial"/>
        </w:rPr>
        <w:t xml:space="preserve"> </w:t>
      </w:r>
      <w:r w:rsidR="009E3386" w:rsidRPr="00C55B6D">
        <w:rPr>
          <w:rFonts w:cs="Arial"/>
        </w:rPr>
        <w:t xml:space="preserve">což je zřejmě ukazatel vyjadřující lépe „stupeň rizikovosti“ daného odvětví, </w:t>
      </w:r>
      <w:r w:rsidRPr="00C55B6D">
        <w:rPr>
          <w:rFonts w:cs="Arial"/>
        </w:rPr>
        <w:t>bylo hlášeno u oblasti Zemědělství, lesnictví a</w:t>
      </w:r>
      <w:r w:rsidR="009E3386" w:rsidRPr="00C55B6D">
        <w:rPr>
          <w:rFonts w:cs="Arial"/>
        </w:rPr>
        <w:t> </w:t>
      </w:r>
      <w:r w:rsidRPr="00C55B6D">
        <w:rPr>
          <w:rFonts w:cs="Arial"/>
        </w:rPr>
        <w:t>rybářství (2,4)</w:t>
      </w:r>
      <w:r w:rsidRPr="00C55B6D">
        <w:rPr>
          <w:rFonts w:cs="Arial"/>
          <w:szCs w:val="20"/>
        </w:rPr>
        <w:t xml:space="preserve">, dále u oblasti </w:t>
      </w:r>
      <w:r w:rsidRPr="00C55B6D">
        <w:rPr>
          <w:rFonts w:cs="Arial"/>
        </w:rPr>
        <w:t>Zásobování vodou, činnosti související s odpadními vodami, odpady a</w:t>
      </w:r>
      <w:r w:rsidR="009E3386" w:rsidRPr="00C55B6D">
        <w:rPr>
          <w:rFonts w:cs="Arial"/>
        </w:rPr>
        <w:t> </w:t>
      </w:r>
      <w:r w:rsidRPr="00C55B6D">
        <w:rPr>
          <w:rFonts w:cs="Arial"/>
        </w:rPr>
        <w:t>sanacemi (1,7) a</w:t>
      </w:r>
      <w:r w:rsidR="00C55B6D">
        <w:rPr>
          <w:rFonts w:cs="Arial"/>
        </w:rPr>
        <w:t> </w:t>
      </w:r>
      <w:r w:rsidRPr="00C55B6D">
        <w:rPr>
          <w:rFonts w:cs="Arial"/>
        </w:rPr>
        <w:t>v oblasti Zpracovatelský průmysl (1,7), Následovala oblast Těžby a</w:t>
      </w:r>
      <w:r w:rsidR="005C019F" w:rsidRPr="00C55B6D">
        <w:rPr>
          <w:rFonts w:cs="Arial"/>
        </w:rPr>
        <w:t> </w:t>
      </w:r>
      <w:r w:rsidRPr="00C55B6D">
        <w:rPr>
          <w:rFonts w:cs="Arial"/>
        </w:rPr>
        <w:t>dobývání (1,6), Doprava a sk</w:t>
      </w:r>
      <w:r w:rsidR="002A3339">
        <w:rPr>
          <w:rFonts w:cs="Arial"/>
        </w:rPr>
        <w:t>ladování (1,5) a Stavebnictví (1,</w:t>
      </w:r>
      <w:r w:rsidRPr="00C55B6D">
        <w:rPr>
          <w:rFonts w:cs="Arial"/>
        </w:rPr>
        <w:t>3). Naopak nejméně pracovních úrazů je hlášeno u</w:t>
      </w:r>
      <w:r w:rsidR="009E3386" w:rsidRPr="00C55B6D">
        <w:rPr>
          <w:rFonts w:cs="Arial"/>
        </w:rPr>
        <w:t> </w:t>
      </w:r>
      <w:r w:rsidRPr="00C55B6D">
        <w:rPr>
          <w:rFonts w:cs="Arial"/>
          <w:szCs w:val="20"/>
        </w:rPr>
        <w:t xml:space="preserve">Informačních a komunikačních činností (0,1) a </w:t>
      </w:r>
      <w:r w:rsidRPr="00C55B6D">
        <w:rPr>
          <w:rFonts w:cs="Arial"/>
        </w:rPr>
        <w:t>Peněžnictví a pojišťovnictví kde je hodnota rovněž stejná (0,1). Nejvíce případů dočasné pracovní neschopnosti na 100 pojištěnců pro ostatní úraz bylo hlášeno pro oblast Zpracovatelského průmyslu (4,7), Těžba a dobývání (4,4) a Stavebnictví (4,0), nejméně</w:t>
      </w:r>
      <w:r>
        <w:rPr>
          <w:rFonts w:cs="Arial"/>
        </w:rPr>
        <w:t xml:space="preserve"> případů pro ostatní úraz bylo hlášeno u </w:t>
      </w:r>
      <w:r>
        <w:rPr>
          <w:rFonts w:cs="Arial"/>
          <w:szCs w:val="20"/>
        </w:rPr>
        <w:t xml:space="preserve">Informačních a komunikačních činností (1,3) a </w:t>
      </w:r>
      <w:r>
        <w:rPr>
          <w:rFonts w:cs="Arial"/>
        </w:rPr>
        <w:t>Peněžnictví a</w:t>
      </w:r>
      <w:r w:rsidR="005C019F">
        <w:rPr>
          <w:rFonts w:cs="Arial"/>
        </w:rPr>
        <w:t> </w:t>
      </w:r>
      <w:r>
        <w:rPr>
          <w:rFonts w:cs="Arial"/>
        </w:rPr>
        <w:t xml:space="preserve">pojišťovnictví (1,4). </w:t>
      </w:r>
    </w:p>
    <w:p w:rsidR="00940A27" w:rsidRPr="00793362" w:rsidRDefault="000C08DA" w:rsidP="00940A27">
      <w:pPr>
        <w:spacing w:line="240" w:lineRule="auto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lastRenderedPageBreak/>
        <w:t>Tabulka</w:t>
      </w:r>
      <w:r w:rsidR="00940A27" w:rsidRPr="00CD7255">
        <w:rPr>
          <w:rFonts w:cs="Arial"/>
          <w:b/>
          <w:bCs/>
          <w:color w:val="000000"/>
          <w:szCs w:val="20"/>
        </w:rPr>
        <w:t xml:space="preserve"> č.</w:t>
      </w:r>
      <w:r w:rsidR="00CD7255" w:rsidRPr="00CD7255">
        <w:rPr>
          <w:rFonts w:cs="Arial"/>
          <w:b/>
          <w:bCs/>
          <w:color w:val="000000"/>
          <w:szCs w:val="20"/>
        </w:rPr>
        <w:t xml:space="preserve"> 4</w:t>
      </w:r>
      <w:r w:rsidR="00940A27" w:rsidRPr="00CD7255">
        <w:rPr>
          <w:rFonts w:cs="Arial"/>
          <w:b/>
          <w:bCs/>
          <w:color w:val="000000"/>
          <w:szCs w:val="20"/>
        </w:rPr>
        <w:t>:</w:t>
      </w:r>
      <w:r w:rsidR="00940A27" w:rsidRPr="00793362">
        <w:rPr>
          <w:rFonts w:cs="Arial"/>
          <w:b/>
          <w:bCs/>
          <w:color w:val="000000"/>
          <w:szCs w:val="20"/>
        </w:rPr>
        <w:t xml:space="preserve"> Pracovní neschopnost pro nemoc a úraz </w:t>
      </w:r>
      <w:r w:rsidR="00940A27">
        <w:rPr>
          <w:rFonts w:cs="Arial"/>
          <w:b/>
          <w:bCs/>
          <w:color w:val="000000"/>
          <w:szCs w:val="20"/>
        </w:rPr>
        <w:t xml:space="preserve">dle územního členění v </w:t>
      </w:r>
      <w:r w:rsidR="00940A27" w:rsidRPr="00793362">
        <w:rPr>
          <w:rFonts w:cs="Arial"/>
          <w:b/>
          <w:bCs/>
          <w:color w:val="000000"/>
          <w:szCs w:val="20"/>
        </w:rPr>
        <w:t>ČR v roce 201</w:t>
      </w:r>
      <w:r w:rsidR="00940A27">
        <w:rPr>
          <w:rFonts w:cs="Arial"/>
          <w:b/>
          <w:bCs/>
          <w:color w:val="000000"/>
          <w:szCs w:val="20"/>
        </w:rPr>
        <w:t>6</w:t>
      </w:r>
      <w:r w:rsidR="00940A27" w:rsidRPr="00793362">
        <w:rPr>
          <w:rFonts w:cs="Arial"/>
          <w:b/>
          <w:bCs/>
          <w:color w:val="000000"/>
          <w:szCs w:val="20"/>
        </w:rPr>
        <w:t xml:space="preserve"> </w:t>
      </w:r>
    </w:p>
    <w:tbl>
      <w:tblPr>
        <w:tblStyle w:val="Mkatabulky"/>
        <w:tblW w:w="963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28" w:type="dxa"/>
          <w:right w:w="85" w:type="dxa"/>
        </w:tblCellMar>
        <w:tblLook w:val="04A0"/>
      </w:tblPr>
      <w:tblGrid>
        <w:gridCol w:w="1814"/>
        <w:gridCol w:w="1304"/>
        <w:gridCol w:w="1304"/>
        <w:gridCol w:w="1304"/>
        <w:gridCol w:w="1304"/>
        <w:gridCol w:w="1304"/>
        <w:gridCol w:w="1304"/>
      </w:tblGrid>
      <w:tr w:rsidR="000B535E" w:rsidRPr="000B535E" w:rsidTr="006D356F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40A27" w:rsidRPr="000B535E" w:rsidRDefault="00940A27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Území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E3386" w:rsidRDefault="00940A27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Nově hlášené případy dočasné pracovní neschopnosti</w:t>
            </w:r>
            <w:r w:rsidR="009E3386">
              <w:rPr>
                <w:rFonts w:cs="Arial"/>
                <w:sz w:val="16"/>
                <w:szCs w:val="20"/>
              </w:rPr>
              <w:t xml:space="preserve"> </w:t>
            </w:r>
          </w:p>
          <w:p w:rsidR="00940A27" w:rsidRPr="000B535E" w:rsidRDefault="009E3386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(v tis.)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40A27" w:rsidRDefault="00940A27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Kalendářní dny pracovní neschopnosti</w:t>
            </w:r>
          </w:p>
          <w:p w:rsidR="009E3386" w:rsidRPr="000B535E" w:rsidRDefault="009E3386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(v tis.)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40A27" w:rsidRPr="000B535E" w:rsidRDefault="00940A27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Nově hlášené případy pracovní neschopnosti na 100 pojištěnců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40A27" w:rsidRPr="000B535E" w:rsidRDefault="00940A27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Průměrné procento dočasné pracovní neschopnosti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40A27" w:rsidRPr="000B535E" w:rsidRDefault="00940A27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Průměrná délka trvání 1 případu dočasné pracovní neschopnosti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E3386" w:rsidRDefault="00940A27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Průměrný denní stav dočasné pracovní neschopnosti</w:t>
            </w:r>
            <w:r w:rsidR="009E3386">
              <w:rPr>
                <w:rFonts w:cs="Arial"/>
                <w:sz w:val="16"/>
                <w:szCs w:val="20"/>
              </w:rPr>
              <w:t xml:space="preserve"> </w:t>
            </w:r>
          </w:p>
          <w:p w:rsidR="00940A27" w:rsidRPr="000B535E" w:rsidRDefault="009E3386" w:rsidP="000B535E">
            <w:pPr>
              <w:spacing w:before="40" w:after="40" w:line="240" w:lineRule="aut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(v tis.)</w:t>
            </w:r>
          </w:p>
        </w:tc>
      </w:tr>
      <w:tr w:rsidR="000B535E" w:rsidRPr="000B535E" w:rsidTr="006D356F">
        <w:tc>
          <w:tcPr>
            <w:tcW w:w="1814" w:type="dxa"/>
            <w:tcBorders>
              <w:top w:val="single" w:sz="4" w:space="0" w:color="auto"/>
            </w:tcBorders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Hl. m. Praha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368,0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13 856,4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30,1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3,1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37,7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37,9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Středočeský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163,0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6 617,6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38,0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4,2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40,6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15,1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Jihočeský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91,4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4 158,3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40,4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5,0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45,5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11,4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Plzeňský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94,6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804,3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42,8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4,7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40,2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10,4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Karlovarský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35,4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413,7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40,8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4,5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40,0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3,9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Ústecký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107,0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602,8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38,2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4,5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43,0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12,6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Liberecký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64,7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577,4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43,1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4,7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39,8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7,0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Královéhradecký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73,7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992,0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38,5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4,3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40,6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8,2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Pardubický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73,0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198,2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37,3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4,5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43,8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8,7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Kraj Vysočina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67,3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042,7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38,3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4,7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45,2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8,3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Jihomoravský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165,1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7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418,9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34,2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4,2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44,1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20,3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Olomoucký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78,5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815,3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34,0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4,5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48,6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10,4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Zlínský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78,5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087,5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36,0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5,1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52,1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b/>
                <w:bCs/>
                <w:iCs/>
                <w:color w:val="BC091B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1,2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Moravskoslezský kraj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173,3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8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667,1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37,5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5,1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50,0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23,7</w:t>
            </w:r>
          </w:p>
        </w:tc>
      </w:tr>
      <w:tr w:rsidR="000B535E" w:rsidRPr="000B535E" w:rsidTr="006D356F">
        <w:tc>
          <w:tcPr>
            <w:tcW w:w="1814" w:type="dxa"/>
          </w:tcPr>
          <w:p w:rsidR="00940A27" w:rsidRPr="000B535E" w:rsidRDefault="00940A27" w:rsidP="00C02546">
            <w:pPr>
              <w:spacing w:beforeLines="20" w:afterLines="20" w:line="240" w:lineRule="auto"/>
              <w:jc w:val="both"/>
              <w:rPr>
                <w:rFonts w:cs="Arial"/>
                <w:sz w:val="16"/>
                <w:szCs w:val="20"/>
              </w:rPr>
            </w:pPr>
            <w:r w:rsidRPr="000B535E">
              <w:rPr>
                <w:rFonts w:cs="Arial"/>
                <w:sz w:val="16"/>
                <w:szCs w:val="20"/>
              </w:rPr>
              <w:t>ČR celkem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</w:t>
            </w:r>
            <w:r w:rsidR="006D356F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>633,4</w:t>
            </w:r>
          </w:p>
        </w:tc>
        <w:tc>
          <w:tcPr>
            <w:tcW w:w="1304" w:type="dxa"/>
            <w:vAlign w:val="center"/>
          </w:tcPr>
          <w:p w:rsidR="00940A27" w:rsidRPr="000B535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70 252,0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35,7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4,2</w:t>
            </w:r>
          </w:p>
        </w:tc>
        <w:tc>
          <w:tcPr>
            <w:tcW w:w="1304" w:type="dxa"/>
            <w:vAlign w:val="center"/>
          </w:tcPr>
          <w:p w:rsidR="00D3656E" w:rsidRDefault="000B535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43,0</w:t>
            </w:r>
          </w:p>
        </w:tc>
        <w:tc>
          <w:tcPr>
            <w:tcW w:w="1304" w:type="dxa"/>
            <w:vAlign w:val="center"/>
          </w:tcPr>
          <w:p w:rsidR="00D3656E" w:rsidRDefault="0011739E" w:rsidP="00C02546">
            <w:pPr>
              <w:spacing w:beforeLines="20" w:afterLines="20" w:line="240" w:lineRule="auto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191,9</w:t>
            </w:r>
          </w:p>
        </w:tc>
      </w:tr>
    </w:tbl>
    <w:p w:rsidR="00CD7255" w:rsidRPr="00DA5EBB" w:rsidRDefault="00CD7255" w:rsidP="001841A8">
      <w:pPr>
        <w:spacing w:before="240"/>
        <w:ind w:firstLine="709"/>
        <w:jc w:val="both"/>
        <w:rPr>
          <w:rFonts w:cs="Arial"/>
          <w:b/>
        </w:rPr>
      </w:pPr>
      <w:r w:rsidRPr="00C55B6D">
        <w:rPr>
          <w:rFonts w:cs="Arial"/>
        </w:rPr>
        <w:t>Z pohledu územního členění, bylo nejvíce případů pracovní neschopnosti na 100 pojištěnců v roce 2015 hlášeno v Libereckém kraji (43,1), Plzeňském kraji (42,8), Karlovarském kraji (40,8) a Jihočeském kraji (40,4). Nejméně</w:t>
      </w:r>
      <w:r w:rsidR="00F932FF" w:rsidRPr="00C55B6D">
        <w:rPr>
          <w:rFonts w:cs="Arial"/>
        </w:rPr>
        <w:t xml:space="preserve"> pak v Hlavním městě Praze</w:t>
      </w:r>
      <w:r w:rsidRPr="00C55B6D">
        <w:rPr>
          <w:rFonts w:cs="Arial"/>
        </w:rPr>
        <w:t xml:space="preserve"> (30,1), Olomouckém kraji (34,0) a Jihomoravském kraji (34,2). V roce 2016 byl rozdíl mezi kraji s nejvyšším a nejnižším počtem pracovní neschopnosti na 100 pojištěnců 13,0 případů. Rozdíly výskytu dočasné pracovní neschopnosti dle územního členění</w:t>
      </w:r>
      <w:r>
        <w:rPr>
          <w:rFonts w:cs="Arial"/>
        </w:rPr>
        <w:t xml:space="preserve"> jsou značně ovlivněny strukturou zaměstnanosti, charakterem převažující ekonomické činnosti a mírou nezaměstnanosti v daném regionu</w:t>
      </w:r>
      <w:r>
        <w:rPr>
          <w:rFonts w:cs="Arial"/>
          <w:b/>
        </w:rPr>
        <w:t xml:space="preserve">. </w:t>
      </w:r>
      <w:r w:rsidRPr="00A356D5">
        <w:rPr>
          <w:rFonts w:cs="Arial"/>
        </w:rPr>
        <w:t>Je nutno zohlednit též metodiku zpracování dat, kdy</w:t>
      </w:r>
      <w:r w:rsidR="00DA5EBB">
        <w:rPr>
          <w:rFonts w:cs="Arial"/>
        </w:rPr>
        <w:t> </w:t>
      </w:r>
      <w:r w:rsidRPr="00A356D5">
        <w:rPr>
          <w:rFonts w:cs="Arial"/>
        </w:rPr>
        <w:t>r</w:t>
      </w:r>
      <w:r w:rsidRPr="00A356D5">
        <w:rPr>
          <w:rFonts w:cs="Arial"/>
          <w:szCs w:val="20"/>
        </w:rPr>
        <w:t>ozlišení</w:t>
      </w:r>
      <w:r>
        <w:rPr>
          <w:rFonts w:cs="Arial"/>
          <w:szCs w:val="20"/>
        </w:rPr>
        <w:t xml:space="preserve"> dle krajů a okresů vychází z údaje o</w:t>
      </w:r>
      <w:r w:rsidR="00C55B6D">
        <w:rPr>
          <w:rFonts w:cs="Arial"/>
          <w:szCs w:val="20"/>
        </w:rPr>
        <w:t> </w:t>
      </w:r>
      <w:r>
        <w:rPr>
          <w:rFonts w:cs="Arial"/>
          <w:szCs w:val="20"/>
        </w:rPr>
        <w:t>sídle útvaru, který vede evidenci mezd u zaměstnavatele osoby, která je v pracovní neschopnosti.</w:t>
      </w:r>
    </w:p>
    <w:p w:rsidR="00F443D9" w:rsidRDefault="003E6827" w:rsidP="00A356D5">
      <w:pPr>
        <w:pStyle w:val="Nadpis2"/>
        <w:spacing w:after="240"/>
      </w:pPr>
      <w:bookmarkStart w:id="4" w:name="_Toc483838342"/>
      <w:bookmarkEnd w:id="2"/>
      <w:r>
        <w:t>3.3</w:t>
      </w:r>
      <w:r w:rsidR="00F443D9">
        <w:t xml:space="preserve"> Počet kalendářních dnů a průměrná délka trvání 1 případu dočasné pracovní neschopnosti</w:t>
      </w:r>
      <w:bookmarkEnd w:id="4"/>
    </w:p>
    <w:p w:rsidR="00F443D9" w:rsidRPr="00C55B6D" w:rsidRDefault="00F443D9" w:rsidP="00976B41">
      <w:pPr>
        <w:ind w:firstLine="567"/>
        <w:jc w:val="both"/>
      </w:pPr>
      <w:r>
        <w:rPr>
          <w:b/>
        </w:rPr>
        <w:t xml:space="preserve">Počet kalendářních dnů dočasné pracovní neschopnosti </w:t>
      </w:r>
      <w:r w:rsidRPr="00A977AC">
        <w:t>je dán součtem dnů, po kterých trvala dočasná pracovní neschopnost všech hlášených případů. Tento ukazatel</w:t>
      </w:r>
      <w:r>
        <w:rPr>
          <w:b/>
        </w:rPr>
        <w:t xml:space="preserve"> </w:t>
      </w:r>
      <w:r>
        <w:t>meziročně vrostl z 66 817 tis.</w:t>
      </w:r>
      <w:r>
        <w:rPr>
          <w:sz w:val="16"/>
          <w:szCs w:val="16"/>
        </w:rPr>
        <w:t xml:space="preserve"> </w:t>
      </w:r>
      <w:r>
        <w:t>prostonaných dnů v roce 2015</w:t>
      </w:r>
      <w:r w:rsidR="005C019F">
        <w:t>,</w:t>
      </w:r>
      <w:r>
        <w:t xml:space="preserve"> na 70 252 tis. </w:t>
      </w:r>
      <w:r w:rsidRPr="00C55B6D">
        <w:t xml:space="preserve">dnů v roce 2016 (tj. o 5,1 %). </w:t>
      </w:r>
      <w:r w:rsidR="005C019F" w:rsidRPr="00C55B6D">
        <w:t xml:space="preserve">Struktura počtu dnů pracovní neschopnosti dle jednotlivých příčin je následující: </w:t>
      </w:r>
      <w:r w:rsidRPr="00C55B6D">
        <w:t>60 094 tis. (tj.</w:t>
      </w:r>
      <w:r w:rsidR="006D356F" w:rsidRPr="00C55B6D">
        <w:t> </w:t>
      </w:r>
      <w:r w:rsidRPr="00C55B6D">
        <w:t>85,5</w:t>
      </w:r>
      <w:r w:rsidR="005C019F" w:rsidRPr="00C55B6D">
        <w:t> </w:t>
      </w:r>
      <w:r w:rsidRPr="00C55B6D">
        <w:t>%) dnů pro nemoc</w:t>
      </w:r>
      <w:r w:rsidR="00B70030" w:rsidRPr="00C55B6D">
        <w:t>, 2 575</w:t>
      </w:r>
      <w:r w:rsidRPr="00C55B6D">
        <w:t xml:space="preserve"> tis. dnů (tj.</w:t>
      </w:r>
      <w:r w:rsidR="005C019F" w:rsidRPr="00C55B6D">
        <w:t> </w:t>
      </w:r>
      <w:r w:rsidRPr="00C55B6D">
        <w:t>3,7</w:t>
      </w:r>
      <w:r w:rsidR="005C019F" w:rsidRPr="00C55B6D">
        <w:t xml:space="preserve"> </w:t>
      </w:r>
      <w:r w:rsidRPr="00C55B6D">
        <w:t>%) pro pracovní úraz a 7</w:t>
      </w:r>
      <w:r w:rsidR="00B70030" w:rsidRPr="00C55B6D">
        <w:t xml:space="preserve"> 583</w:t>
      </w:r>
      <w:r w:rsidRPr="00C55B6D">
        <w:t xml:space="preserve"> tis. prostonaných dnů (tj. 10,8</w:t>
      </w:r>
      <w:r w:rsidR="005C019F" w:rsidRPr="00C55B6D">
        <w:t xml:space="preserve"> </w:t>
      </w:r>
      <w:r w:rsidRPr="00C55B6D">
        <w:t xml:space="preserve">%) pro ostatní úrazy. Ženy </w:t>
      </w:r>
      <w:r w:rsidR="005C019F" w:rsidRPr="00C55B6D">
        <w:t>byly v dočasné pracovní neschopnosti celkem</w:t>
      </w:r>
      <w:r w:rsidRPr="00C55B6D">
        <w:t xml:space="preserve"> 38 378 tis. dnů, o 6 503 tis. dnů (tj. o 17 %) více než muži, </w:t>
      </w:r>
      <w:r w:rsidR="005C019F" w:rsidRPr="00C55B6D">
        <w:t>u kterých tento ukazatel činí</w:t>
      </w:r>
      <w:r w:rsidRPr="00C55B6D">
        <w:t xml:space="preserve"> 31 874 tis. dnů. </w:t>
      </w:r>
    </w:p>
    <w:p w:rsidR="000168EC" w:rsidRPr="003E6827" w:rsidRDefault="000168EC" w:rsidP="000168EC">
      <w:pPr>
        <w:ind w:firstLine="708"/>
        <w:jc w:val="both"/>
        <w:rPr>
          <w:rFonts w:cs="Arial"/>
          <w:lang w:val="en-US"/>
        </w:rPr>
      </w:pPr>
      <w:r>
        <w:rPr>
          <w:rFonts w:cs="Arial"/>
        </w:rPr>
        <w:t xml:space="preserve">Za posledních pět let, tj. mezi roky 2011 a 2016, </w:t>
      </w:r>
      <w:r w:rsidRPr="0038792F">
        <w:rPr>
          <w:rFonts w:cs="Arial"/>
        </w:rPr>
        <w:t xml:space="preserve">počet </w:t>
      </w:r>
      <w:r>
        <w:rPr>
          <w:rFonts w:cs="Arial"/>
        </w:rPr>
        <w:t xml:space="preserve">prostonaných dnů z důvodů dočasné pracovní neschopnosti vzrostl o čtvrtinu (14,3 miliony dne), a to z 55,9 milionů dnů v roce 2011 na výše uvedených 70,3 milionů dnů v roce 2016. Pokud se však zaměříme na vývoj v posledních deseti letech, počet dnů pracovní neschopnosti byl v roce 2006 o 25,2 miliónů dnů vyšší než v roce 2016 </w:t>
      </w:r>
      <w:r w:rsidRPr="001841A8">
        <w:rPr>
          <w:rFonts w:cs="Arial"/>
        </w:rPr>
        <w:t xml:space="preserve">a v porovnání s výše zmíněným rokem 2011, kdy dosáhla počet prostonaných dnů v České republice nejnižší hodnoty, </w:t>
      </w:r>
      <w:r w:rsidR="00450EF8" w:rsidRPr="001841A8">
        <w:rPr>
          <w:rFonts w:cs="Arial"/>
        </w:rPr>
        <w:t>byl</w:t>
      </w:r>
      <w:r w:rsidR="00BB2131">
        <w:rPr>
          <w:rFonts w:cs="Arial"/>
        </w:rPr>
        <w:t> </w:t>
      </w:r>
      <w:r w:rsidR="00450EF8" w:rsidRPr="001841A8">
        <w:rPr>
          <w:rFonts w:cs="Arial"/>
        </w:rPr>
        <w:t xml:space="preserve">vyšší </w:t>
      </w:r>
      <w:r w:rsidR="00645051" w:rsidRPr="001841A8">
        <w:rPr>
          <w:rFonts w:cs="Arial"/>
        </w:rPr>
        <w:t xml:space="preserve">dokonce o </w:t>
      </w:r>
      <w:r w:rsidRPr="001841A8">
        <w:rPr>
          <w:rFonts w:cs="Arial"/>
        </w:rPr>
        <w:t>39,5 milionu dnů</w:t>
      </w:r>
      <w:r w:rsidR="00450EF8" w:rsidRPr="001841A8">
        <w:rPr>
          <w:rFonts w:cs="Arial"/>
        </w:rPr>
        <w:t>.</w:t>
      </w:r>
    </w:p>
    <w:p w:rsidR="00F443D9" w:rsidRPr="000C446B" w:rsidRDefault="00F443D9" w:rsidP="00F443D9">
      <w:pPr>
        <w:ind w:firstLine="708"/>
        <w:jc w:val="both"/>
      </w:pPr>
      <w:r w:rsidRPr="00C55B6D">
        <w:t xml:space="preserve">Nejvíce dnů </w:t>
      </w:r>
      <w:r w:rsidR="005C019F" w:rsidRPr="00C55B6D">
        <w:t xml:space="preserve">dočasné pracovní neschopnosti </w:t>
      </w:r>
      <w:r w:rsidRPr="00C55B6D">
        <w:t>z celorepublikového počtu bylo v odvětví Zpracovatelský průmysl (24 171 tis.), a to jak celkem, tak v jednotlivých</w:t>
      </w:r>
      <w:r w:rsidR="00B70030" w:rsidRPr="00C55B6D">
        <w:t xml:space="preserve"> </w:t>
      </w:r>
      <w:r w:rsidR="007D0416" w:rsidRPr="00C55B6D">
        <w:t>kategoriích – pro</w:t>
      </w:r>
      <w:r w:rsidR="00B70030" w:rsidRPr="00C55B6D">
        <w:t xml:space="preserve"> nemoc (20</w:t>
      </w:r>
      <w:r w:rsidR="007D0416" w:rsidRPr="00C55B6D">
        <w:t> </w:t>
      </w:r>
      <w:r w:rsidR="00B70030" w:rsidRPr="00C55B6D">
        <w:t>333</w:t>
      </w:r>
      <w:r w:rsidR="007D0416" w:rsidRPr="00C55B6D">
        <w:t> </w:t>
      </w:r>
      <w:r w:rsidRPr="00C55B6D">
        <w:t xml:space="preserve">tis.), pro pracovní úrazy (1 025 tis.) a pro ostatní úrazy (2 813 tis.). </w:t>
      </w:r>
      <w:r w:rsidR="005C019F" w:rsidRPr="00C55B6D">
        <w:t xml:space="preserve">Naopak nejmenší počet </w:t>
      </w:r>
      <w:r w:rsidRPr="00C55B6D">
        <w:t>dnů</w:t>
      </w:r>
      <w:r w:rsidR="005C019F" w:rsidRPr="00C55B6D">
        <w:t xml:space="preserve"> </w:t>
      </w:r>
      <w:r w:rsidR="005C019F" w:rsidRPr="00C55B6D">
        <w:lastRenderedPageBreak/>
        <w:t>pracovní neschopnosti byl</w:t>
      </w:r>
      <w:r w:rsidR="00A977AC" w:rsidRPr="00C55B6D">
        <w:t xml:space="preserve"> hlášen</w:t>
      </w:r>
      <w:r w:rsidRPr="00C55B6D">
        <w:t xml:space="preserve"> v oblasti Výroby, rozvodu elektřiny a jiných energií (319 tis</w:t>
      </w:r>
      <w:r>
        <w:t>.), kde bylo evidováno i</w:t>
      </w:r>
      <w:r w:rsidR="005C019F">
        <w:t> </w:t>
      </w:r>
      <w:r>
        <w:t>nejméně dnů</w:t>
      </w:r>
      <w:r w:rsidR="005C019F">
        <w:t xml:space="preserve"> pracovní neschopnosti</w:t>
      </w:r>
      <w:r>
        <w:t xml:space="preserve"> pro nemoc (265 tis.), pro pracovní úrazy (9 tis.) a pro ostatní úrazy (43</w:t>
      </w:r>
      <w:r w:rsidR="005C019F">
        <w:t> </w:t>
      </w:r>
      <w:r>
        <w:t>tis.).</w:t>
      </w:r>
    </w:p>
    <w:p w:rsidR="00F443D9" w:rsidRDefault="00F443D9" w:rsidP="00F443D9">
      <w:pPr>
        <w:pStyle w:val="Zkladntextodsazen"/>
        <w:spacing w:line="288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Graf </w:t>
      </w:r>
      <w:r w:rsidR="00CD7255">
        <w:rPr>
          <w:b/>
          <w:color w:val="000000"/>
        </w:rPr>
        <w:t xml:space="preserve">č. </w:t>
      </w:r>
      <w:r w:rsidR="002D14DE">
        <w:rPr>
          <w:b/>
          <w:color w:val="000000"/>
        </w:rPr>
        <w:t>7</w:t>
      </w:r>
      <w:r>
        <w:rPr>
          <w:b/>
          <w:color w:val="000000"/>
        </w:rPr>
        <w:t>: Počet kalendářních dnů dočasné pracovní neschopnosti na 1 nově hlášený případ pro nemoc a úraz v ČR v období 200</w:t>
      </w:r>
      <w:r w:rsidR="00DB2DB1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DB2DB1">
        <w:rPr>
          <w:b/>
          <w:color w:val="000000"/>
        </w:rPr>
        <w:t>–</w:t>
      </w:r>
      <w:r>
        <w:rPr>
          <w:b/>
          <w:color w:val="000000"/>
        </w:rPr>
        <w:t xml:space="preserve"> 201</w:t>
      </w:r>
      <w:r w:rsidR="00DB2DB1">
        <w:rPr>
          <w:b/>
          <w:color w:val="000000"/>
        </w:rPr>
        <w:t>6</w:t>
      </w:r>
    </w:p>
    <w:p w:rsidR="00DB2DB1" w:rsidRDefault="00DB2DB1" w:rsidP="00F443D9">
      <w:pPr>
        <w:pStyle w:val="Zkladntextodsazen"/>
        <w:spacing w:line="288" w:lineRule="auto"/>
        <w:ind w:left="0"/>
        <w:jc w:val="both"/>
        <w:rPr>
          <w:b/>
          <w:color w:val="000000"/>
        </w:rPr>
      </w:pPr>
      <w:r w:rsidRPr="00DB2DB1">
        <w:rPr>
          <w:b/>
          <w:noProof/>
          <w:color w:val="000000"/>
        </w:rPr>
        <w:drawing>
          <wp:inline distT="0" distB="0" distL="0" distR="0">
            <wp:extent cx="6315739" cy="2690037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0831" w:rsidRDefault="00F443D9" w:rsidP="00BB2131">
      <w:pPr>
        <w:spacing w:before="240"/>
        <w:ind w:firstLine="709"/>
        <w:jc w:val="both"/>
        <w:rPr>
          <w:b/>
          <w:color w:val="000000"/>
          <w:szCs w:val="20"/>
        </w:rPr>
      </w:pPr>
      <w:r>
        <w:rPr>
          <w:rFonts w:cs="Arial"/>
          <w:b/>
        </w:rPr>
        <w:t xml:space="preserve">Průměrná délka trvání 1 případu dočasné pracovní neschopnosti </w:t>
      </w:r>
      <w:r w:rsidRPr="00C55B6D">
        <w:rPr>
          <w:rFonts w:cs="Arial"/>
        </w:rPr>
        <w:t xml:space="preserve">je dána celkovým počtem </w:t>
      </w:r>
      <w:r w:rsidR="00450EF8">
        <w:rPr>
          <w:rFonts w:cs="Arial"/>
        </w:rPr>
        <w:t xml:space="preserve">nově </w:t>
      </w:r>
      <w:r w:rsidRPr="00C55B6D">
        <w:rPr>
          <w:rFonts w:cs="Arial"/>
        </w:rPr>
        <w:t>hlášených případů dočasné pracovní neschopnosti a u nich udávaným počtem kalendářních dnů trvání neschopnosti. Tento ukazatel se</w:t>
      </w:r>
      <w:r w:rsidR="004F60D9" w:rsidRPr="00C55B6D">
        <w:rPr>
          <w:rFonts w:cs="Arial"/>
        </w:rPr>
        <w:t xml:space="preserve"> meziročně </w:t>
      </w:r>
      <w:r w:rsidR="00450EF8">
        <w:rPr>
          <w:rFonts w:cs="Arial"/>
        </w:rPr>
        <w:t xml:space="preserve">nepatrně </w:t>
      </w:r>
      <w:r w:rsidR="004F60D9" w:rsidRPr="00C55B6D">
        <w:rPr>
          <w:rFonts w:cs="Arial"/>
        </w:rPr>
        <w:t>zvýšil ze 42,7</w:t>
      </w:r>
      <w:r w:rsidRPr="00C55B6D">
        <w:rPr>
          <w:rFonts w:cs="Arial"/>
        </w:rPr>
        <w:t xml:space="preserve"> dne v roce 2015 na 43,0 dne v roce 2016</w:t>
      </w:r>
      <w:r w:rsidRPr="00C55B6D">
        <w:rPr>
          <w:bCs/>
        </w:rPr>
        <w:t>.</w:t>
      </w:r>
      <w:r w:rsidRPr="00C55B6D">
        <w:rPr>
          <w:rFonts w:cs="Arial"/>
        </w:rPr>
        <w:t xml:space="preserve"> Průměrná délka trvání 1 případu </w:t>
      </w:r>
      <w:r w:rsidR="00FB1494" w:rsidRPr="00C55B6D">
        <w:rPr>
          <w:rFonts w:cs="Arial"/>
        </w:rPr>
        <w:t>dočasné pracovní nescho</w:t>
      </w:r>
      <w:r w:rsidR="005C019F" w:rsidRPr="00C55B6D">
        <w:rPr>
          <w:rFonts w:cs="Arial"/>
        </w:rPr>
        <w:t>p</w:t>
      </w:r>
      <w:r w:rsidR="00FB1494" w:rsidRPr="00C55B6D">
        <w:rPr>
          <w:rFonts w:cs="Arial"/>
        </w:rPr>
        <w:t>n</w:t>
      </w:r>
      <w:r w:rsidR="005C019F" w:rsidRPr="00C55B6D">
        <w:rPr>
          <w:rFonts w:cs="Arial"/>
        </w:rPr>
        <w:t>osti</w:t>
      </w:r>
      <w:r w:rsidRPr="00C55B6D">
        <w:rPr>
          <w:rFonts w:cs="Arial"/>
        </w:rPr>
        <w:t xml:space="preserve"> z důvodu nemoci trvala 41,</w:t>
      </w:r>
      <w:r w:rsidR="00DB2DB1" w:rsidRPr="00C55B6D">
        <w:rPr>
          <w:rFonts w:cs="Arial"/>
        </w:rPr>
        <w:t>7</w:t>
      </w:r>
      <w:r w:rsidRPr="00C55B6D">
        <w:rPr>
          <w:rFonts w:cs="Arial"/>
        </w:rPr>
        <w:t xml:space="preserve"> dne, z</w:t>
      </w:r>
      <w:r w:rsidR="005C019F" w:rsidRPr="00C55B6D">
        <w:rPr>
          <w:rFonts w:cs="Arial"/>
        </w:rPr>
        <w:t> </w:t>
      </w:r>
      <w:r w:rsidRPr="00C55B6D">
        <w:rPr>
          <w:rFonts w:cs="Arial"/>
        </w:rPr>
        <w:t xml:space="preserve">důvodu pracovního úrazu </w:t>
      </w:r>
      <w:r w:rsidR="00DB2DB1" w:rsidRPr="00C55B6D">
        <w:rPr>
          <w:rFonts w:cs="Arial"/>
        </w:rPr>
        <w:t>54,4</w:t>
      </w:r>
      <w:r w:rsidRPr="00C55B6D">
        <w:rPr>
          <w:rFonts w:cs="Arial"/>
        </w:rPr>
        <w:t xml:space="preserve"> dne a z důvodu ostatních úrazů </w:t>
      </w:r>
      <w:r w:rsidR="00DB2DB1" w:rsidRPr="00C55B6D">
        <w:rPr>
          <w:rFonts w:cs="Arial"/>
        </w:rPr>
        <w:t>52,3</w:t>
      </w:r>
      <w:r w:rsidRPr="00C55B6D">
        <w:rPr>
          <w:rFonts w:cs="Arial"/>
        </w:rPr>
        <w:t xml:space="preserve"> dne. Průměrná délka trvání 1</w:t>
      </w:r>
      <w:r w:rsidR="005C019F" w:rsidRPr="00C55B6D">
        <w:rPr>
          <w:rFonts w:cs="Arial"/>
        </w:rPr>
        <w:t> </w:t>
      </w:r>
      <w:r w:rsidRPr="00C55B6D">
        <w:rPr>
          <w:rFonts w:cs="Arial"/>
        </w:rPr>
        <w:t xml:space="preserve">případu </w:t>
      </w:r>
      <w:r w:rsidR="00C81290" w:rsidRPr="00C55B6D">
        <w:rPr>
          <w:rFonts w:cs="Arial"/>
        </w:rPr>
        <w:t>pracovní neschopnosti</w:t>
      </w:r>
      <w:r w:rsidRPr="00C55B6D">
        <w:rPr>
          <w:rFonts w:cs="Arial"/>
        </w:rPr>
        <w:t xml:space="preserve"> žen se meziročně zvýšila ze 44,</w:t>
      </w:r>
      <w:r w:rsidR="00DB2DB1" w:rsidRPr="00C55B6D">
        <w:rPr>
          <w:rFonts w:cs="Arial"/>
        </w:rPr>
        <w:t>8</w:t>
      </w:r>
      <w:r w:rsidRPr="00C55B6D">
        <w:rPr>
          <w:rFonts w:cs="Arial"/>
        </w:rPr>
        <w:t xml:space="preserve"> dne v roce 2015 na 45,</w:t>
      </w:r>
      <w:r w:rsidR="00DB2DB1" w:rsidRPr="00C55B6D">
        <w:rPr>
          <w:rFonts w:cs="Arial"/>
        </w:rPr>
        <w:t>2</w:t>
      </w:r>
      <w:r w:rsidR="00FB1494" w:rsidRPr="00C55B6D">
        <w:rPr>
          <w:rFonts w:cs="Arial"/>
        </w:rPr>
        <w:t xml:space="preserve"> dne v roce 2016, </w:t>
      </w:r>
      <w:r w:rsidRPr="00C55B6D">
        <w:rPr>
          <w:rFonts w:cs="Arial"/>
        </w:rPr>
        <w:t xml:space="preserve">v případě mužů </w:t>
      </w:r>
      <w:r w:rsidR="00FB1494" w:rsidRPr="00C55B6D">
        <w:rPr>
          <w:rFonts w:cs="Arial"/>
        </w:rPr>
        <w:t xml:space="preserve">zůstala na obdobné hodnotě jako v loňském roce, resp. vzrostla ze 40,5 dne na </w:t>
      </w:r>
      <w:r w:rsidRPr="00C55B6D">
        <w:rPr>
          <w:rFonts w:cs="Arial"/>
        </w:rPr>
        <w:t>40,</w:t>
      </w:r>
      <w:r w:rsidR="00DB2DB1" w:rsidRPr="00C55B6D">
        <w:rPr>
          <w:rFonts w:cs="Arial"/>
        </w:rPr>
        <w:t>7</w:t>
      </w:r>
      <w:r w:rsidR="00821C6F" w:rsidRPr="00C55B6D">
        <w:rPr>
          <w:rFonts w:cs="Arial"/>
        </w:rPr>
        <w:t> </w:t>
      </w:r>
      <w:r w:rsidR="00FB1494" w:rsidRPr="00C55B6D">
        <w:rPr>
          <w:rFonts w:cs="Arial"/>
        </w:rPr>
        <w:t>dne</w:t>
      </w:r>
      <w:r w:rsidRPr="00C55B6D">
        <w:rPr>
          <w:rFonts w:cs="Arial"/>
        </w:rPr>
        <w:t>. V období let 200</w:t>
      </w:r>
      <w:r w:rsidR="004F60D9" w:rsidRPr="00C55B6D">
        <w:rPr>
          <w:rFonts w:cs="Arial"/>
        </w:rPr>
        <w:t>6</w:t>
      </w:r>
      <w:r w:rsidRPr="00C55B6D">
        <w:rPr>
          <w:rFonts w:cs="Arial"/>
        </w:rPr>
        <w:t xml:space="preserve"> – 201</w:t>
      </w:r>
      <w:r w:rsidR="004F60D9" w:rsidRPr="00C55B6D">
        <w:rPr>
          <w:rFonts w:cs="Arial"/>
        </w:rPr>
        <w:t>6</w:t>
      </w:r>
      <w:r w:rsidRPr="00C55B6D">
        <w:rPr>
          <w:rFonts w:cs="Arial"/>
        </w:rPr>
        <w:t xml:space="preserve"> se průměrná délka trvání 1 případu dočasné pracovní neschopnosti zvýšila z</w:t>
      </w:r>
      <w:r w:rsidR="004F60D9" w:rsidRPr="00C55B6D">
        <w:rPr>
          <w:rFonts w:cs="Arial"/>
        </w:rPr>
        <w:t> 35,3</w:t>
      </w:r>
      <w:r w:rsidRPr="00C55B6D">
        <w:rPr>
          <w:rFonts w:cs="Arial"/>
        </w:rPr>
        <w:t xml:space="preserve"> dne na </w:t>
      </w:r>
      <w:r w:rsidR="004F60D9" w:rsidRPr="00C55B6D">
        <w:rPr>
          <w:rFonts w:cs="Arial"/>
        </w:rPr>
        <w:t>43,0 dne, tj. o týden, resp. 7,7 dne</w:t>
      </w:r>
      <w:r w:rsidR="00450EF8">
        <w:rPr>
          <w:rFonts w:cs="Arial"/>
        </w:rPr>
        <w:t>, s tím, že nejvyšší hodnoty dosáhla v roce 2012 (46,1 dne)</w:t>
      </w:r>
      <w:r w:rsidR="004F60D9" w:rsidRPr="00C55B6D">
        <w:rPr>
          <w:rFonts w:cs="Arial"/>
        </w:rPr>
        <w:t>.</w:t>
      </w:r>
    </w:p>
    <w:p w:rsidR="00591C3D" w:rsidRDefault="00591C3D" w:rsidP="00591C3D">
      <w:pPr>
        <w:pStyle w:val="Zkladntextodsazen"/>
        <w:spacing w:line="288" w:lineRule="auto"/>
        <w:ind w:left="0"/>
        <w:jc w:val="both"/>
        <w:rPr>
          <w:rFonts w:cs="Arial"/>
        </w:rPr>
      </w:pPr>
      <w:r>
        <w:rPr>
          <w:b/>
          <w:color w:val="000000"/>
        </w:rPr>
        <w:t xml:space="preserve">Graf č. </w:t>
      </w:r>
      <w:r w:rsidR="002D14DE">
        <w:rPr>
          <w:b/>
          <w:color w:val="000000"/>
        </w:rPr>
        <w:t>8</w:t>
      </w:r>
      <w:r>
        <w:rPr>
          <w:b/>
          <w:color w:val="000000"/>
        </w:rPr>
        <w:t>: Nově hlášené případy dočasné pracovní neschopnosti</w:t>
      </w:r>
      <w:r w:rsidR="00450EF8">
        <w:rPr>
          <w:b/>
          <w:color w:val="000000"/>
        </w:rPr>
        <w:t xml:space="preserve"> (DPN)</w:t>
      </w:r>
      <w:r>
        <w:rPr>
          <w:b/>
          <w:color w:val="000000"/>
        </w:rPr>
        <w:t xml:space="preserve"> na 100 pojištěnců a průměrná délka jejich trvání dle pohlaví v ČR v období 2006 – 2016</w:t>
      </w:r>
    </w:p>
    <w:p w:rsidR="00591C3D" w:rsidRPr="004F60D9" w:rsidRDefault="00591C3D" w:rsidP="00591C3D">
      <w:pPr>
        <w:ind w:left="-426"/>
        <w:jc w:val="both"/>
        <w:rPr>
          <w:rFonts w:cs="Arial"/>
          <w:b/>
        </w:rPr>
      </w:pPr>
      <w:r w:rsidRPr="00591C3D">
        <w:rPr>
          <w:rFonts w:cs="Arial"/>
          <w:b/>
          <w:noProof/>
        </w:rPr>
        <w:drawing>
          <wp:inline distT="0" distB="0" distL="0" distR="0">
            <wp:extent cx="6669741" cy="3025589"/>
            <wp:effectExtent l="0" t="0" r="0" b="0"/>
            <wp:docPr id="1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60D9" w:rsidRPr="00C55B6D" w:rsidRDefault="004F60D9" w:rsidP="00F443D9">
      <w:pPr>
        <w:pStyle w:val="Zkladntextodsazen"/>
        <w:spacing w:line="288" w:lineRule="auto"/>
        <w:ind w:left="0" w:firstLine="708"/>
        <w:jc w:val="both"/>
        <w:rPr>
          <w:rFonts w:cs="Arial"/>
        </w:rPr>
      </w:pPr>
    </w:p>
    <w:p w:rsidR="004F60D9" w:rsidRPr="00C55B6D" w:rsidRDefault="00F443D9" w:rsidP="00F443D9">
      <w:pPr>
        <w:pStyle w:val="Zkladntextodsazen"/>
        <w:spacing w:after="240" w:line="288" w:lineRule="auto"/>
        <w:ind w:left="0" w:firstLine="708"/>
        <w:jc w:val="both"/>
        <w:rPr>
          <w:rFonts w:cs="Arial"/>
        </w:rPr>
      </w:pPr>
      <w:r w:rsidRPr="00C55B6D">
        <w:rPr>
          <w:rFonts w:cs="Arial"/>
        </w:rPr>
        <w:t>Nejdelší průměrná doba trvání jednoho případu dočasné pracovní neschopnosti v roce 201</w:t>
      </w:r>
      <w:r w:rsidR="004F60D9" w:rsidRPr="00C55B6D">
        <w:rPr>
          <w:rFonts w:cs="Arial"/>
        </w:rPr>
        <w:t>6</w:t>
      </w:r>
      <w:r w:rsidRPr="00C55B6D">
        <w:rPr>
          <w:rFonts w:cs="Arial"/>
        </w:rPr>
        <w:t xml:space="preserve"> byla zaznamenána ve Zlínském kraji (</w:t>
      </w:r>
      <w:r w:rsidR="004F60D9" w:rsidRPr="00C55B6D">
        <w:rPr>
          <w:rFonts w:cs="Arial"/>
        </w:rPr>
        <w:t>52,1</w:t>
      </w:r>
      <w:r w:rsidRPr="00C55B6D">
        <w:rPr>
          <w:rFonts w:cs="Arial"/>
        </w:rPr>
        <w:t xml:space="preserve"> dne) a v Moravskoslezském kraji (</w:t>
      </w:r>
      <w:r w:rsidR="004F60D9" w:rsidRPr="00C55B6D">
        <w:rPr>
          <w:rFonts w:cs="Arial"/>
        </w:rPr>
        <w:t>50,0</w:t>
      </w:r>
      <w:r w:rsidRPr="00C55B6D">
        <w:rPr>
          <w:rFonts w:cs="Arial"/>
        </w:rPr>
        <w:t> dne), nejkratší zůstává v Praze (3</w:t>
      </w:r>
      <w:r w:rsidR="004F60D9" w:rsidRPr="00C55B6D">
        <w:rPr>
          <w:rFonts w:cs="Arial"/>
        </w:rPr>
        <w:t>7</w:t>
      </w:r>
      <w:r w:rsidRPr="00C55B6D">
        <w:rPr>
          <w:rFonts w:cs="Arial"/>
        </w:rPr>
        <w:t xml:space="preserve">,7 dne). Praha si zachovává s přehledem pozici kraje s nejkratší průměrnou délkou trvání pracovní neschopnosti. </w:t>
      </w:r>
    </w:p>
    <w:p w:rsidR="00661E90" w:rsidRPr="00C55B6D" w:rsidRDefault="00F443D9" w:rsidP="00F443D9">
      <w:pPr>
        <w:pStyle w:val="Zkladntextodsazen"/>
        <w:spacing w:after="240" w:line="288" w:lineRule="auto"/>
        <w:ind w:left="0" w:firstLine="708"/>
        <w:jc w:val="both"/>
        <w:rPr>
          <w:rFonts w:cs="Arial"/>
        </w:rPr>
      </w:pPr>
      <w:r w:rsidRPr="00C55B6D">
        <w:t>C</w:t>
      </w:r>
      <w:r w:rsidRPr="00C55B6D">
        <w:rPr>
          <w:rFonts w:cs="Arial"/>
        </w:rPr>
        <w:t>elorepubliková průměrná délka trvání 1 případu dočasné pracovní neschopnosti byla v roce 201</w:t>
      </w:r>
      <w:r w:rsidR="00C9155B">
        <w:rPr>
          <w:rFonts w:cs="Arial"/>
        </w:rPr>
        <w:t>6</w:t>
      </w:r>
      <w:r w:rsidRPr="00C55B6D">
        <w:rPr>
          <w:rFonts w:cs="Arial"/>
        </w:rPr>
        <w:t xml:space="preserve"> výrazně překročena v odvětví Zemědělství, lesnictví a rybářství (5</w:t>
      </w:r>
      <w:r w:rsidR="004F60D9" w:rsidRPr="00C55B6D">
        <w:rPr>
          <w:rFonts w:cs="Arial"/>
        </w:rPr>
        <w:t>9 dní</w:t>
      </w:r>
      <w:r w:rsidRPr="00C55B6D">
        <w:rPr>
          <w:rFonts w:cs="Arial"/>
        </w:rPr>
        <w:t>), Stavebnictví (</w:t>
      </w:r>
      <w:r w:rsidR="004F60D9" w:rsidRPr="00C55B6D">
        <w:rPr>
          <w:rFonts w:cs="Arial"/>
        </w:rPr>
        <w:t>54,6</w:t>
      </w:r>
      <w:r w:rsidRPr="00C55B6D">
        <w:rPr>
          <w:rFonts w:cs="Arial"/>
        </w:rPr>
        <w:t xml:space="preserve"> dne)</w:t>
      </w:r>
      <w:r w:rsidR="005C60A8" w:rsidRPr="00C55B6D">
        <w:rPr>
          <w:rFonts w:cs="Arial"/>
        </w:rPr>
        <w:t>, Ubytování, stravování a pohostinství (54,5 dne) a u činností v oblasti nemovitostí (52,5 dne)</w:t>
      </w:r>
      <w:r w:rsidRPr="00C55B6D">
        <w:rPr>
          <w:rFonts w:cs="Arial"/>
        </w:rPr>
        <w:t xml:space="preserve">. </w:t>
      </w:r>
      <w:r w:rsidR="005C60A8" w:rsidRPr="00C55B6D">
        <w:rPr>
          <w:rFonts w:cs="Arial"/>
        </w:rPr>
        <w:t>Nejkratší p</w:t>
      </w:r>
      <w:r w:rsidRPr="00C55B6D">
        <w:rPr>
          <w:rFonts w:cs="Arial"/>
        </w:rPr>
        <w:t>růměrné trvání 1</w:t>
      </w:r>
      <w:r w:rsidR="009516EA">
        <w:rPr>
          <w:rFonts w:cs="Arial"/>
        </w:rPr>
        <w:t> </w:t>
      </w:r>
      <w:r w:rsidRPr="00C55B6D">
        <w:rPr>
          <w:rFonts w:cs="Arial"/>
        </w:rPr>
        <w:t xml:space="preserve">případu pracovní neschopnosti </w:t>
      </w:r>
      <w:r w:rsidR="005C60A8" w:rsidRPr="00C55B6D">
        <w:rPr>
          <w:rFonts w:cs="Arial"/>
        </w:rPr>
        <w:t>bylo</w:t>
      </w:r>
      <w:r w:rsidRPr="00C55B6D">
        <w:rPr>
          <w:rFonts w:cs="Arial"/>
        </w:rPr>
        <w:t xml:space="preserve"> v roce 201</w:t>
      </w:r>
      <w:r w:rsidR="005C60A8" w:rsidRPr="00C55B6D">
        <w:rPr>
          <w:rFonts w:cs="Arial"/>
        </w:rPr>
        <w:t>6</w:t>
      </w:r>
      <w:r w:rsidRPr="00C55B6D">
        <w:rPr>
          <w:rFonts w:cs="Arial"/>
        </w:rPr>
        <w:t xml:space="preserve"> evidováno v odvětví Informačních a</w:t>
      </w:r>
      <w:r w:rsidR="00C81290" w:rsidRPr="00C55B6D">
        <w:rPr>
          <w:rFonts w:cs="Arial"/>
        </w:rPr>
        <w:t> </w:t>
      </w:r>
      <w:r w:rsidR="007B00BD" w:rsidRPr="00C55B6D">
        <w:rPr>
          <w:rFonts w:cs="Arial"/>
        </w:rPr>
        <w:t>komunikač</w:t>
      </w:r>
      <w:r w:rsidRPr="00C55B6D">
        <w:rPr>
          <w:rFonts w:cs="Arial"/>
        </w:rPr>
        <w:t>ních činností (</w:t>
      </w:r>
      <w:r w:rsidR="005C60A8" w:rsidRPr="00C55B6D">
        <w:rPr>
          <w:rFonts w:cs="Arial"/>
        </w:rPr>
        <w:t>26</w:t>
      </w:r>
      <w:r w:rsidRPr="00C55B6D">
        <w:rPr>
          <w:rFonts w:cs="Arial"/>
        </w:rPr>
        <w:t xml:space="preserve"> dn</w:t>
      </w:r>
      <w:r w:rsidR="005C60A8" w:rsidRPr="00C55B6D">
        <w:rPr>
          <w:rFonts w:cs="Arial"/>
        </w:rPr>
        <w:t>í</w:t>
      </w:r>
      <w:r w:rsidRPr="00C55B6D">
        <w:rPr>
          <w:rFonts w:cs="Arial"/>
        </w:rPr>
        <w:t>). Dalšími oblastmi ekonomických činností s relativně nízkou průměrnou délkou pracovní neschopnosti byly oblasti Peněžnictví a pojišťovnictví (</w:t>
      </w:r>
      <w:r w:rsidR="005C60A8" w:rsidRPr="00C55B6D">
        <w:rPr>
          <w:rFonts w:cs="Arial"/>
        </w:rPr>
        <w:t>32,4</w:t>
      </w:r>
      <w:r w:rsidRPr="00C55B6D">
        <w:rPr>
          <w:rFonts w:cs="Arial"/>
        </w:rPr>
        <w:t xml:space="preserve"> dne)</w:t>
      </w:r>
      <w:r w:rsidR="005C60A8" w:rsidRPr="00C55B6D">
        <w:rPr>
          <w:rFonts w:cs="Arial"/>
        </w:rPr>
        <w:t xml:space="preserve"> a Vzdělávání (33,3 dne)</w:t>
      </w:r>
      <w:r w:rsidRPr="00C55B6D">
        <w:rPr>
          <w:rFonts w:cs="Arial"/>
        </w:rPr>
        <w:t xml:space="preserve">. </w:t>
      </w:r>
      <w:r w:rsidR="005C60A8" w:rsidRPr="00C55B6D">
        <w:rPr>
          <w:rFonts w:cs="Arial"/>
        </w:rPr>
        <w:t xml:space="preserve">Podrobněji viz </w:t>
      </w:r>
      <w:r w:rsidR="00FB1494" w:rsidRPr="00C55B6D">
        <w:rPr>
          <w:rFonts w:cs="Arial"/>
        </w:rPr>
        <w:t xml:space="preserve">Tabulka č. 3 a Graf č. </w:t>
      </w:r>
      <w:r w:rsidR="002D14DE">
        <w:rPr>
          <w:rFonts w:cs="Arial"/>
        </w:rPr>
        <w:t>6</w:t>
      </w:r>
      <w:r w:rsidR="00FB1494" w:rsidRPr="00C55B6D">
        <w:rPr>
          <w:rFonts w:cs="Arial"/>
        </w:rPr>
        <w:t>.</w:t>
      </w:r>
      <w:r w:rsidR="005C60A8" w:rsidRPr="00C55B6D">
        <w:rPr>
          <w:rFonts w:cs="Arial"/>
        </w:rPr>
        <w:t xml:space="preserve"> </w:t>
      </w:r>
    </w:p>
    <w:p w:rsidR="00F443D9" w:rsidRDefault="003E6827" w:rsidP="00C91277">
      <w:pPr>
        <w:pStyle w:val="Nadpis2"/>
        <w:spacing w:before="240" w:after="120"/>
      </w:pPr>
      <w:bookmarkStart w:id="5" w:name="_Toc483838343"/>
      <w:r>
        <w:t>3.4</w:t>
      </w:r>
      <w:r w:rsidR="00F443D9">
        <w:t xml:space="preserve"> Průměrné procento dočasné pracovní neschopnosti</w:t>
      </w:r>
      <w:bookmarkEnd w:id="5"/>
    </w:p>
    <w:p w:rsidR="00F443D9" w:rsidRDefault="00F443D9" w:rsidP="00F443D9">
      <w:pPr>
        <w:pStyle w:val="Zkladntextodsazen"/>
        <w:spacing w:after="240" w:line="288" w:lineRule="auto"/>
        <w:ind w:left="0"/>
        <w:jc w:val="both"/>
        <w:rPr>
          <w:rFonts w:cs="Arial"/>
        </w:rPr>
      </w:pPr>
      <w:r>
        <w:rPr>
          <w:rFonts w:cs="Arial"/>
          <w:b/>
        </w:rPr>
        <w:t>Průměrné procento pracovní neschopnosti</w:t>
      </w:r>
      <w:r>
        <w:rPr>
          <w:rFonts w:cs="Arial"/>
        </w:rPr>
        <w:t xml:space="preserve"> udává, kolik ze 100 pojištěnců je průměrně každý den v pracovní neschopnosti pro nemoc či úraz. Zohledňuje jak celkový počet případů pracovní neschopnosti (jak často lidé do pracovní neschopnosti nastupují), tak i průměrné trvání jednoho případu pracovní neschopnosti (jak dlouho v pracovní neschopnosti zůstávají). </w:t>
      </w:r>
    </w:p>
    <w:p w:rsidR="00F443D9" w:rsidRDefault="00F443D9" w:rsidP="00F443D9">
      <w:pPr>
        <w:pStyle w:val="Zkladntextodsazen"/>
        <w:spacing w:after="240" w:line="288" w:lineRule="auto"/>
        <w:ind w:left="0" w:firstLine="709"/>
        <w:jc w:val="both"/>
      </w:pPr>
      <w:r>
        <w:rPr>
          <w:rFonts w:cs="Arial"/>
        </w:rPr>
        <w:t>Hodnota tohoto ukazatele</w:t>
      </w:r>
      <w:r>
        <w:rPr>
          <w:rFonts w:cs="Arial"/>
          <w:b/>
        </w:rPr>
        <w:t xml:space="preserve"> </w:t>
      </w:r>
      <w:r>
        <w:rPr>
          <w:rFonts w:cs="Arial"/>
        </w:rPr>
        <w:t>se na počátku devadesátých let pohybovala okolo 5 %, následně se do roku 2003 postupně zvyšovala, až dosáhla svého maxima 6,8 %. Od roku 2004 – v souvislosti s postupnými legislativními změnami zpřísňující</w:t>
      </w:r>
      <w:r w:rsidR="008320A9">
        <w:rPr>
          <w:rFonts w:cs="Arial"/>
        </w:rPr>
        <w:t>mi čerpání nemocenských dávek,</w:t>
      </w:r>
      <w:r>
        <w:rPr>
          <w:rFonts w:cs="Arial"/>
        </w:rPr>
        <w:t xml:space="preserve"> začaly hodnoty ukazatele postupně klesat téměř až na polovinu jeho výchozí úrovně (na 3,5% v roce 2012). Počínaje</w:t>
      </w:r>
      <w:r w:rsidR="00C81290">
        <w:rPr>
          <w:rFonts w:cs="Arial"/>
        </w:rPr>
        <w:t> </w:t>
      </w:r>
      <w:r>
        <w:rPr>
          <w:rFonts w:cs="Arial"/>
        </w:rPr>
        <w:t xml:space="preserve">rokem 2013 nastala změna vycházející zřejmě ze skutečnosti, že soubor nemocensky pojištěných osob přivykl </w:t>
      </w:r>
      <w:r w:rsidR="007B00BD">
        <w:rPr>
          <w:rFonts w:cs="Arial"/>
        </w:rPr>
        <w:t>přísnějším</w:t>
      </w:r>
      <w:r>
        <w:rPr>
          <w:rFonts w:cs="Arial"/>
        </w:rPr>
        <w:t xml:space="preserve"> legislativním podmínkám čerpání nemocenských dávek a výše uvedeného ukazatele začala opět stoupat. </w:t>
      </w:r>
      <w:r w:rsidR="006745A1">
        <w:rPr>
          <w:rFonts w:cs="Arial"/>
        </w:rPr>
        <w:t>V</w:t>
      </w:r>
      <w:r w:rsidR="002A3339">
        <w:rPr>
          <w:rFonts w:cs="Arial"/>
        </w:rPr>
        <w:t> </w:t>
      </w:r>
      <w:r w:rsidR="006745A1" w:rsidRPr="006745A1">
        <w:rPr>
          <w:rFonts w:cs="Arial"/>
        </w:rPr>
        <w:t>roce</w:t>
      </w:r>
      <w:r>
        <w:rPr>
          <w:rFonts w:cs="Arial"/>
        </w:rPr>
        <w:t xml:space="preserve"> 2015 překročila úroveň 4 % </w:t>
      </w:r>
      <w:r w:rsidR="006745A1">
        <w:rPr>
          <w:rFonts w:cs="Arial"/>
        </w:rPr>
        <w:t>a v</w:t>
      </w:r>
      <w:r>
        <w:rPr>
          <w:rFonts w:cs="Arial"/>
        </w:rPr>
        <w:t xml:space="preserve"> roce 2016 dosáhla </w:t>
      </w:r>
      <w:r w:rsidRPr="008320A9">
        <w:rPr>
          <w:rFonts w:cs="Arial"/>
        </w:rPr>
        <w:t>4,2 %</w:t>
      </w:r>
      <w:r>
        <w:rPr>
          <w:rFonts w:cs="Arial"/>
        </w:rPr>
        <w:t xml:space="preserve"> </w:t>
      </w:r>
      <w:r w:rsidRPr="00783F52">
        <w:rPr>
          <w:rFonts w:cs="Arial"/>
        </w:rPr>
        <w:t xml:space="preserve">(v případě mužů </w:t>
      </w:r>
      <w:r w:rsidR="00783F52" w:rsidRPr="00783F52">
        <w:rPr>
          <w:rFonts w:cs="Arial"/>
        </w:rPr>
        <w:t>3,8</w:t>
      </w:r>
      <w:r w:rsidR="00783F52">
        <w:rPr>
          <w:rFonts w:cs="Arial"/>
        </w:rPr>
        <w:t> </w:t>
      </w:r>
      <w:r w:rsidRPr="00783F52">
        <w:rPr>
          <w:rFonts w:cs="Arial"/>
        </w:rPr>
        <w:t xml:space="preserve">% a žen 4,7 </w:t>
      </w:r>
      <w:r w:rsidR="00783F52" w:rsidRPr="00783F52">
        <w:rPr>
          <w:rFonts w:cs="Arial"/>
        </w:rPr>
        <w:t>%</w:t>
      </w:r>
      <w:r w:rsidRPr="00783F52">
        <w:rPr>
          <w:rFonts w:cs="Arial"/>
          <w:szCs w:val="24"/>
        </w:rPr>
        <w:t>).</w:t>
      </w:r>
      <w:r>
        <w:rPr>
          <w:rFonts w:cs="Arial"/>
          <w:szCs w:val="24"/>
        </w:rPr>
        <w:t xml:space="preserve"> </w:t>
      </w:r>
    </w:p>
    <w:p w:rsidR="00F443D9" w:rsidRPr="00C81290" w:rsidRDefault="00F443D9" w:rsidP="00851819">
      <w:pPr>
        <w:spacing w:after="0" w:line="240" w:lineRule="auto"/>
        <w:rPr>
          <w:rFonts w:cs="Arial"/>
          <w:b/>
          <w:lang w:val="en-US"/>
        </w:rPr>
      </w:pPr>
      <w:r>
        <w:rPr>
          <w:rFonts w:cs="Arial"/>
          <w:b/>
        </w:rPr>
        <w:t xml:space="preserve">Graf </w:t>
      </w:r>
      <w:r w:rsidR="0047307D">
        <w:rPr>
          <w:rFonts w:cs="Arial"/>
          <w:b/>
        </w:rPr>
        <w:t xml:space="preserve">č. </w:t>
      </w:r>
      <w:r w:rsidR="002D14DE">
        <w:rPr>
          <w:rFonts w:cs="Arial"/>
          <w:b/>
        </w:rPr>
        <w:t>9</w:t>
      </w:r>
      <w:r w:rsidR="00F23422">
        <w:rPr>
          <w:rFonts w:cs="Arial"/>
          <w:b/>
        </w:rPr>
        <w:t>:</w:t>
      </w:r>
      <w:r>
        <w:rPr>
          <w:rFonts w:cs="Arial"/>
          <w:b/>
        </w:rPr>
        <w:t xml:space="preserve"> Struktura průměrného procenta dočasné pracovní neschopnosti pro nemoc a úraz v ČR v období 200</w:t>
      </w:r>
      <w:r w:rsidR="008320A9">
        <w:rPr>
          <w:rFonts w:cs="Arial"/>
          <w:b/>
        </w:rPr>
        <w:t xml:space="preserve">6 </w:t>
      </w:r>
      <w:r w:rsidR="00C81290">
        <w:rPr>
          <w:rFonts w:cs="Arial"/>
          <w:b/>
        </w:rPr>
        <w:t>–</w:t>
      </w:r>
      <w:r w:rsidR="008320A9">
        <w:rPr>
          <w:rFonts w:cs="Arial"/>
          <w:b/>
        </w:rPr>
        <w:t xml:space="preserve"> 2016</w:t>
      </w:r>
      <w:r w:rsidR="00C81290">
        <w:rPr>
          <w:rFonts w:cs="Arial"/>
          <w:b/>
        </w:rPr>
        <w:t xml:space="preserve"> (v </w:t>
      </w:r>
      <w:r w:rsidR="00C81290">
        <w:rPr>
          <w:rFonts w:cs="Arial"/>
          <w:b/>
          <w:lang w:val="en-US"/>
        </w:rPr>
        <w:t>%)</w:t>
      </w:r>
    </w:p>
    <w:p w:rsidR="00F443D9" w:rsidRDefault="00F81BA4" w:rsidP="00F443D9">
      <w:pPr>
        <w:jc w:val="both"/>
      </w:pPr>
      <w:r w:rsidRPr="00F81BA4">
        <w:rPr>
          <w:noProof/>
        </w:rPr>
        <w:drawing>
          <wp:inline distT="0" distB="0" distL="0" distR="0">
            <wp:extent cx="5972175" cy="3398520"/>
            <wp:effectExtent l="0" t="0" r="0" b="0"/>
            <wp:docPr id="3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43D9" w:rsidRPr="00C55B6D" w:rsidRDefault="00F443D9" w:rsidP="00F443D9">
      <w:pPr>
        <w:jc w:val="both"/>
        <w:rPr>
          <w:rFonts w:cs="Arial"/>
        </w:rPr>
      </w:pPr>
      <w:r w:rsidRPr="00C55B6D">
        <w:rPr>
          <w:rFonts w:cs="Arial"/>
        </w:rPr>
        <w:lastRenderedPageBreak/>
        <w:t>Nejvyšší hodnoty průměrného procenta pracovní neschopnosti byly v roce 2016 sledovány ve Zlínském (5,1), Moravskoslezském (5,1) a Jihočeském kraji (5,0), dále se stejnou hodnotou (4,7) na Vysočině, v Plzeňském a Libereckém kraji.</w:t>
      </w:r>
      <w:r w:rsidR="007B00BD" w:rsidRPr="00C55B6D">
        <w:rPr>
          <w:rFonts w:cs="Arial"/>
        </w:rPr>
        <w:t xml:space="preserve"> </w:t>
      </w:r>
      <w:r w:rsidRPr="00C55B6D">
        <w:rPr>
          <w:rFonts w:cs="Arial"/>
        </w:rPr>
        <w:t>V Praze byla v roce 2016 díky relativně nízkému počtu případů pracovní neschopnosti na 100 pojištěnců a krátké průměrné době trvání pracovní dočasné neschopnosti nejnižší hodnota průměrného procenta pracovní neschopnosti (3,1). Poměrně nízké hodnoty průměrného procenta pracovní neschopnosti v roce 2016 byly evidovány také ve Středočeském kraji, Jihomoravském kraji a</w:t>
      </w:r>
      <w:r w:rsidR="007B00BD" w:rsidRPr="00C55B6D">
        <w:rPr>
          <w:rFonts w:cs="Arial"/>
        </w:rPr>
        <w:t> </w:t>
      </w:r>
      <w:r w:rsidRPr="00C55B6D">
        <w:rPr>
          <w:rFonts w:cs="Arial"/>
        </w:rPr>
        <w:t xml:space="preserve">Královéhradecké kraji se </w:t>
      </w:r>
      <w:r w:rsidR="006850EA" w:rsidRPr="00C55B6D">
        <w:rPr>
          <w:rFonts w:cs="Arial"/>
        </w:rPr>
        <w:t>stejnou hodnotou 4,2, resp. 4,3</w:t>
      </w:r>
      <w:r w:rsidR="007B00BD" w:rsidRPr="00C55B6D">
        <w:rPr>
          <w:rFonts w:cs="Arial"/>
        </w:rPr>
        <w:t xml:space="preserve"> %</w:t>
      </w:r>
      <w:r w:rsidR="006850EA" w:rsidRPr="00C55B6D">
        <w:rPr>
          <w:rFonts w:cs="Arial"/>
        </w:rPr>
        <w:t>.</w:t>
      </w:r>
      <w:r w:rsidRPr="00C55B6D">
        <w:rPr>
          <w:rFonts w:cs="Arial"/>
        </w:rPr>
        <w:t xml:space="preserve"> </w:t>
      </w:r>
      <w:r w:rsidR="007B00BD" w:rsidRPr="00C55B6D">
        <w:rPr>
          <w:rFonts w:cs="Arial"/>
        </w:rPr>
        <w:t>Podrobněji viz Tabulka č. 4.</w:t>
      </w:r>
    </w:p>
    <w:p w:rsidR="007B00BD" w:rsidRPr="00C55B6D" w:rsidRDefault="00F443D9" w:rsidP="007B00BD">
      <w:pPr>
        <w:jc w:val="both"/>
        <w:rPr>
          <w:rFonts w:cs="Arial"/>
          <w:szCs w:val="20"/>
        </w:rPr>
      </w:pPr>
      <w:r w:rsidRPr="00C55B6D">
        <w:rPr>
          <w:rFonts w:cs="Arial"/>
        </w:rPr>
        <w:t xml:space="preserve">Nejvyšší průměrné procento dočasné pracovní neschopnosti </w:t>
      </w:r>
      <w:r w:rsidR="006850EA" w:rsidRPr="00C55B6D">
        <w:rPr>
          <w:rFonts w:cs="Arial"/>
        </w:rPr>
        <w:t>dle odvětví</w:t>
      </w:r>
      <w:r w:rsidRPr="00C55B6D">
        <w:rPr>
          <w:rFonts w:cs="Arial"/>
        </w:rPr>
        <w:t xml:space="preserve"> ekonomické činnosti v roce 2016 bylo </w:t>
      </w:r>
      <w:r w:rsidRPr="00C55B6D">
        <w:rPr>
          <w:rFonts w:cs="Arial"/>
          <w:szCs w:val="20"/>
        </w:rPr>
        <w:t>v odvětví</w:t>
      </w:r>
      <w:r w:rsidRPr="00C55B6D">
        <w:rPr>
          <w:rFonts w:cs="Arial"/>
        </w:rPr>
        <w:t xml:space="preserve"> Těžba a dobývání (5,8), Zpracovatelském průmyslu (5,5) a v odvětví Administrativní a</w:t>
      </w:r>
      <w:r w:rsidR="00F81BA4" w:rsidRPr="00C55B6D">
        <w:rPr>
          <w:rFonts w:cs="Arial"/>
        </w:rPr>
        <w:t> </w:t>
      </w:r>
      <w:r w:rsidRPr="00C55B6D">
        <w:rPr>
          <w:rFonts w:cs="Arial"/>
        </w:rPr>
        <w:t xml:space="preserve">podpůrné činnosti (5,2). Nejnižší průměrné procento pracovní neschopnosti v roce 2016 podle odvětví ekonomických činností bylo v oblasti </w:t>
      </w:r>
      <w:r w:rsidRPr="00C55B6D">
        <w:rPr>
          <w:rFonts w:cs="Arial"/>
          <w:szCs w:val="20"/>
        </w:rPr>
        <w:t>Informačních a komunikačních činností (1,7) a Profesních, vědeckých a</w:t>
      </w:r>
      <w:r w:rsidR="00F81BA4" w:rsidRPr="00C55B6D">
        <w:rPr>
          <w:rFonts w:cs="Arial"/>
          <w:szCs w:val="20"/>
        </w:rPr>
        <w:t> </w:t>
      </w:r>
      <w:r w:rsidRPr="00C55B6D">
        <w:rPr>
          <w:rFonts w:cs="Arial"/>
          <w:szCs w:val="20"/>
        </w:rPr>
        <w:t xml:space="preserve">technických činnostech (2,3). </w:t>
      </w:r>
      <w:r w:rsidR="006850EA" w:rsidRPr="00C55B6D">
        <w:rPr>
          <w:rFonts w:cs="Arial"/>
          <w:szCs w:val="20"/>
        </w:rPr>
        <w:t xml:space="preserve">Podrobněji viz Graf č. </w:t>
      </w:r>
      <w:r w:rsidR="002D14DE">
        <w:rPr>
          <w:rFonts w:cs="Arial"/>
          <w:szCs w:val="20"/>
        </w:rPr>
        <w:t>10</w:t>
      </w:r>
      <w:r w:rsidR="006850EA" w:rsidRPr="00C55B6D">
        <w:rPr>
          <w:rFonts w:cs="Arial"/>
          <w:szCs w:val="20"/>
        </w:rPr>
        <w:t xml:space="preserve"> a Tabulka č. 3.</w:t>
      </w:r>
    </w:p>
    <w:p w:rsidR="00985F96" w:rsidRPr="00C81290" w:rsidRDefault="00F23422" w:rsidP="002D14DE">
      <w:pPr>
        <w:spacing w:after="0" w:line="240" w:lineRule="auto"/>
        <w:jc w:val="both"/>
        <w:rPr>
          <w:rFonts w:cs="Arial"/>
          <w:b/>
          <w:spacing w:val="-6"/>
          <w:szCs w:val="20"/>
        </w:rPr>
      </w:pPr>
      <w:r w:rsidRPr="00C81290">
        <w:rPr>
          <w:rFonts w:cs="Arial"/>
          <w:b/>
          <w:spacing w:val="-6"/>
          <w:szCs w:val="20"/>
        </w:rPr>
        <w:t>Graf č.</w:t>
      </w:r>
      <w:r w:rsidR="002D14DE">
        <w:rPr>
          <w:rFonts w:cs="Arial"/>
          <w:b/>
          <w:spacing w:val="-6"/>
          <w:szCs w:val="20"/>
        </w:rPr>
        <w:t xml:space="preserve"> 10</w:t>
      </w:r>
      <w:r w:rsidRPr="00C81290">
        <w:rPr>
          <w:rFonts w:cs="Arial"/>
          <w:b/>
          <w:spacing w:val="-6"/>
          <w:szCs w:val="20"/>
        </w:rPr>
        <w:t>:</w:t>
      </w:r>
      <w:r w:rsidR="00985F96" w:rsidRPr="00C81290">
        <w:rPr>
          <w:rFonts w:cs="Arial"/>
          <w:b/>
          <w:spacing w:val="-6"/>
          <w:szCs w:val="20"/>
        </w:rPr>
        <w:t xml:space="preserve"> Průměrné procento dočasné pracovní neschopnosti v ČR v roce 2016 dle odvětví </w:t>
      </w:r>
      <w:r w:rsidR="00C81290">
        <w:rPr>
          <w:rFonts w:cs="Arial"/>
          <w:b/>
          <w:spacing w:val="-6"/>
          <w:szCs w:val="20"/>
        </w:rPr>
        <w:t>ekonomické činnosti</w:t>
      </w:r>
      <w:r w:rsidR="00C81290" w:rsidRPr="00C81290">
        <w:rPr>
          <w:rFonts w:cs="Arial"/>
          <w:b/>
          <w:spacing w:val="-6"/>
          <w:szCs w:val="20"/>
        </w:rPr>
        <w:t xml:space="preserve"> </w:t>
      </w:r>
      <w:r w:rsidR="00C81290" w:rsidRPr="00C81290">
        <w:rPr>
          <w:rFonts w:cs="Arial"/>
          <w:b/>
          <w:spacing w:val="-6"/>
        </w:rPr>
        <w:t xml:space="preserve">(v </w:t>
      </w:r>
      <w:r w:rsidR="00C81290" w:rsidRPr="00C81290">
        <w:rPr>
          <w:rFonts w:cs="Arial"/>
          <w:b/>
          <w:spacing w:val="-6"/>
          <w:lang w:val="en-US"/>
        </w:rPr>
        <w:t>%)</w:t>
      </w:r>
    </w:p>
    <w:p w:rsidR="00F81BA4" w:rsidRDefault="00985F96" w:rsidP="00F81BA4">
      <w:pPr>
        <w:ind w:left="-426"/>
        <w:jc w:val="both"/>
        <w:rPr>
          <w:rFonts w:cs="Arial"/>
          <w:szCs w:val="20"/>
        </w:rPr>
      </w:pPr>
      <w:r w:rsidRPr="00985F96">
        <w:rPr>
          <w:rFonts w:cs="Arial"/>
          <w:noProof/>
          <w:szCs w:val="20"/>
        </w:rPr>
        <w:drawing>
          <wp:inline distT="0" distB="0" distL="0" distR="0">
            <wp:extent cx="6581775" cy="474726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43D9" w:rsidRDefault="00F443D9" w:rsidP="00BB2131">
      <w:pPr>
        <w:pStyle w:val="Nadpis2"/>
        <w:spacing w:before="480" w:after="120"/>
      </w:pPr>
      <w:bookmarkStart w:id="6" w:name="_Toc483838344"/>
      <w:r>
        <w:t xml:space="preserve">3.5 Průměrný denní stav dočasně </w:t>
      </w:r>
      <w:r w:rsidR="003E6827">
        <w:t xml:space="preserve">práce </w:t>
      </w:r>
      <w:r>
        <w:t>neschopných</w:t>
      </w:r>
      <w:bookmarkEnd w:id="6"/>
      <w:r>
        <w:t xml:space="preserve"> </w:t>
      </w:r>
    </w:p>
    <w:p w:rsidR="00F443D9" w:rsidRDefault="00F443D9" w:rsidP="00F443D9">
      <w:pPr>
        <w:pStyle w:val="Zkladntextodsazen"/>
        <w:spacing w:after="60" w:line="288" w:lineRule="auto"/>
        <w:ind w:left="0" w:firstLine="708"/>
        <w:jc w:val="both"/>
        <w:rPr>
          <w:rFonts w:cs="Arial"/>
        </w:rPr>
      </w:pPr>
      <w:r w:rsidRPr="006850EA">
        <w:rPr>
          <w:rFonts w:cs="Arial"/>
        </w:rPr>
        <w:t>Ukazatel</w:t>
      </w:r>
      <w:r>
        <w:rPr>
          <w:rFonts w:cs="Arial"/>
          <w:b/>
        </w:rPr>
        <w:t xml:space="preserve"> průměrný denní stav práce dočasně neschopných </w:t>
      </w:r>
      <w:r w:rsidRPr="006850EA">
        <w:rPr>
          <w:rFonts w:cs="Arial"/>
        </w:rPr>
        <w:t>představuje počet nemocensky pojištěných</w:t>
      </w:r>
      <w:r>
        <w:rPr>
          <w:rFonts w:cs="Arial"/>
        </w:rPr>
        <w:t xml:space="preserve">, kteří byli ve sledovaném období (roce) průměrně denně nepřítomni v práci z důvodů pracovní neschopnosti pro pracovní úraz. </w:t>
      </w:r>
    </w:p>
    <w:p w:rsidR="00F443D9" w:rsidRDefault="00F443D9" w:rsidP="00F443D9">
      <w:pPr>
        <w:ind w:firstLine="708"/>
        <w:jc w:val="both"/>
        <w:rPr>
          <w:rFonts w:cs="Arial"/>
        </w:rPr>
      </w:pPr>
      <w:bookmarkStart w:id="7" w:name="_GoBack"/>
      <w:r>
        <w:rPr>
          <w:rFonts w:cs="Arial"/>
        </w:rPr>
        <w:t xml:space="preserve">V roce 2016 v České republice v důsledku dočasné pracovní neschopnosti pro nemoc a úraz </w:t>
      </w:r>
      <w:r w:rsidRPr="006850EA">
        <w:rPr>
          <w:rFonts w:cs="Arial"/>
        </w:rPr>
        <w:t xml:space="preserve">denně chybělo na svých pracovištích 192 tis. pojištěnců, což </w:t>
      </w:r>
      <w:r w:rsidR="006850EA">
        <w:rPr>
          <w:rFonts w:cs="Arial"/>
        </w:rPr>
        <w:t>bylo</w:t>
      </w:r>
      <w:r w:rsidRPr="006850EA">
        <w:rPr>
          <w:rFonts w:cs="Arial"/>
        </w:rPr>
        <w:t xml:space="preserve"> ve srovnání se stejným obdobím v loňském roce </w:t>
      </w:r>
      <w:r w:rsidRPr="006850EA">
        <w:rPr>
          <w:rFonts w:cs="Arial"/>
        </w:rPr>
        <w:lastRenderedPageBreak/>
        <w:t xml:space="preserve">(183,1 tis. pojištěnců) o 8,9 tis. </w:t>
      </w:r>
      <w:r w:rsidR="00C81290" w:rsidRPr="006850EA">
        <w:rPr>
          <w:rFonts w:cs="Arial"/>
        </w:rPr>
        <w:t xml:space="preserve">(tj. o </w:t>
      </w:r>
      <w:r w:rsidR="00783F52" w:rsidRPr="006850EA">
        <w:rPr>
          <w:rFonts w:cs="Arial"/>
        </w:rPr>
        <w:t>4,9</w:t>
      </w:r>
      <w:r w:rsidR="00C81290" w:rsidRPr="006850EA">
        <w:rPr>
          <w:rFonts w:cs="Arial"/>
        </w:rPr>
        <w:t xml:space="preserve"> </w:t>
      </w:r>
      <w:r w:rsidR="00C81290" w:rsidRPr="006850EA">
        <w:rPr>
          <w:rFonts w:cs="Arial"/>
          <w:lang w:val="en-US"/>
        </w:rPr>
        <w:t>%</w:t>
      </w:r>
      <w:r w:rsidR="00C81290" w:rsidRPr="006850EA">
        <w:rPr>
          <w:rFonts w:cs="Arial"/>
        </w:rPr>
        <w:t xml:space="preserve">) </w:t>
      </w:r>
      <w:r w:rsidRPr="006850EA">
        <w:rPr>
          <w:rFonts w:cs="Arial"/>
        </w:rPr>
        <w:t xml:space="preserve">pojištěnců více. </w:t>
      </w:r>
      <w:bookmarkEnd w:id="7"/>
      <w:r w:rsidRPr="006850EA">
        <w:rPr>
          <w:rFonts w:cs="Arial"/>
        </w:rPr>
        <w:t>Z celkového počtu chybělo na pracovištích 164,1</w:t>
      </w:r>
      <w:r w:rsidR="006850EA">
        <w:rPr>
          <w:rFonts w:cs="Arial"/>
        </w:rPr>
        <w:t> </w:t>
      </w:r>
      <w:r w:rsidRPr="006850EA">
        <w:rPr>
          <w:rFonts w:cs="Arial"/>
        </w:rPr>
        <w:t>tis. pojištěnců pro nemoc, 7 tis. pojištěnců pro pracovní úraz a 20,7 tis. pojištěnců pro ostatní úraz. Nejvíce pojištěnců z celorepublikového počtu chybělo v absolutních počtech v odvětví Zpracovatelského</w:t>
      </w:r>
      <w:r>
        <w:rPr>
          <w:rFonts w:cs="Arial"/>
        </w:rPr>
        <w:t xml:space="preserve"> průmyslu (66 tis.), naopak nejméně pojištěnců v oblasti Výroby, rozvodu elektřiny a jiných energií (0,8 tis.). </w:t>
      </w:r>
    </w:p>
    <w:p w:rsidR="00F443D9" w:rsidRDefault="00F443D9" w:rsidP="00985F96">
      <w:pPr>
        <w:spacing w:after="0" w:line="240" w:lineRule="auto"/>
        <w:rPr>
          <w:rFonts w:cs="Arial"/>
          <w:b/>
        </w:rPr>
      </w:pPr>
      <w:r w:rsidRPr="00D722D1">
        <w:rPr>
          <w:rFonts w:cs="Arial"/>
          <w:b/>
        </w:rPr>
        <w:t>Tab.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č.</w:t>
      </w:r>
      <w:proofErr w:type="gramEnd"/>
      <w:r>
        <w:rPr>
          <w:rFonts w:cs="Arial"/>
          <w:b/>
        </w:rPr>
        <w:t xml:space="preserve"> </w:t>
      </w:r>
      <w:r w:rsidR="006850EA">
        <w:rPr>
          <w:rFonts w:cs="Arial"/>
          <w:b/>
        </w:rPr>
        <w:t>5.</w:t>
      </w:r>
      <w:r w:rsidRPr="00D722D1">
        <w:rPr>
          <w:rFonts w:cs="Arial"/>
          <w:b/>
        </w:rPr>
        <w:t xml:space="preserve"> Pracovní neschopnost pro nemoc a úraz podle pohlaví v období </w:t>
      </w:r>
      <w:r w:rsidR="006850EA" w:rsidRPr="00D722D1">
        <w:rPr>
          <w:rFonts w:cs="Arial"/>
          <w:b/>
        </w:rPr>
        <w:t>200</w:t>
      </w:r>
      <w:r w:rsidR="00EE69CC">
        <w:rPr>
          <w:rFonts w:cs="Arial"/>
          <w:b/>
        </w:rPr>
        <w:t>6</w:t>
      </w:r>
      <w:r w:rsidR="006850EA">
        <w:rPr>
          <w:rFonts w:cs="Arial"/>
          <w:b/>
        </w:rPr>
        <w:t xml:space="preserve"> </w:t>
      </w:r>
      <w:r w:rsidR="006850EA" w:rsidRPr="00D722D1">
        <w:rPr>
          <w:rFonts w:cs="Arial"/>
          <w:b/>
        </w:rPr>
        <w:t>–</w:t>
      </w:r>
      <w:r w:rsidR="006850EA">
        <w:rPr>
          <w:rFonts w:cs="Arial"/>
          <w:b/>
        </w:rPr>
        <w:t xml:space="preserve"> </w:t>
      </w:r>
      <w:r w:rsidR="006850EA" w:rsidRPr="00D722D1">
        <w:rPr>
          <w:rFonts w:cs="Arial"/>
          <w:b/>
        </w:rPr>
        <w:t>2016</w:t>
      </w:r>
      <w:r w:rsidR="00C41EA4">
        <w:rPr>
          <w:rFonts w:cs="Arial"/>
          <w:b/>
        </w:rPr>
        <w:t xml:space="preserve"> </w:t>
      </w:r>
    </w:p>
    <w:tbl>
      <w:tblPr>
        <w:tblW w:w="92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85"/>
        <w:gridCol w:w="1120"/>
        <w:gridCol w:w="1120"/>
        <w:gridCol w:w="1120"/>
        <w:gridCol w:w="1120"/>
        <w:gridCol w:w="1120"/>
        <w:gridCol w:w="1140"/>
        <w:gridCol w:w="1120"/>
      </w:tblGrid>
      <w:tr w:rsidR="0093445E" w:rsidRPr="0093445E" w:rsidTr="00C41EA4">
        <w:trPr>
          <w:trHeight w:val="18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3445E" w:rsidRPr="0093445E" w:rsidTr="00C41EA4">
        <w:trPr>
          <w:trHeight w:val="1530"/>
        </w:trPr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 xml:space="preserve">Rok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Pohlaví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Nově hlášené případy dočasné pracovní neschopnosti</w:t>
            </w:r>
          </w:p>
          <w:p w:rsidR="00C41EA4" w:rsidRPr="0093445E" w:rsidRDefault="00C41EA4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(v tis.)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Kalendářní dny pracovní neschopnosti</w:t>
            </w:r>
          </w:p>
          <w:p w:rsidR="00C41EA4" w:rsidRPr="0093445E" w:rsidRDefault="00C41EA4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(v tis.)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Nově hlášené případy pracovní neschopnosti na 100 pojištěnců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Průměrné procento dočasné pracovní neschopnosti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Průměrná délka trvání 1 případu dočasné pracovní neschopnosti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93445E" w:rsidRDefault="0047307D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Průměrný den</w:t>
            </w:r>
            <w:r w:rsidR="0093445E" w:rsidRPr="0093445E">
              <w:rPr>
                <w:rFonts w:cs="Arial"/>
                <w:color w:val="000000"/>
                <w:sz w:val="16"/>
                <w:szCs w:val="16"/>
              </w:rPr>
              <w:t>ní stav dočasné pracovní neschopnosti</w:t>
            </w:r>
          </w:p>
          <w:p w:rsidR="00C41EA4" w:rsidRPr="0093445E" w:rsidRDefault="00C41EA4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(v tis.)</w:t>
            </w:r>
          </w:p>
        </w:tc>
      </w:tr>
      <w:tr w:rsidR="0093445E" w:rsidRPr="0093445E" w:rsidTr="0093445E">
        <w:trPr>
          <w:trHeight w:val="375"/>
        </w:trPr>
        <w:tc>
          <w:tcPr>
            <w:tcW w:w="9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93445E" w:rsidRPr="0093445E" w:rsidRDefault="0093445E" w:rsidP="00EE590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Dočasná pracovní ne</w:t>
            </w:r>
            <w:r w:rsidR="00A356D5">
              <w:rPr>
                <w:rFonts w:cs="Arial"/>
                <w:color w:val="000000"/>
                <w:sz w:val="16"/>
                <w:szCs w:val="16"/>
              </w:rPr>
              <w:t>s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chopnost celkem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1 369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46 409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127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1 336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49 019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134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</w:tr>
      <w:tr w:rsidR="0093445E" w:rsidRPr="0093445E" w:rsidTr="0093445E">
        <w:trPr>
          <w:trHeight w:val="255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2 706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95 428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261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1 366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45 077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123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1 360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49 196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134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2 726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94 274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258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</w:tr>
      <w:tr w:rsidR="0093445E" w:rsidRPr="0093445E" w:rsidTr="0093445E">
        <w:trPr>
          <w:trHeight w:val="255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1 092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40 564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110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1 129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46 191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126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2 221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86 756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237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694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30 275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747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34 680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95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</w:tr>
      <w:tr w:rsidR="0093445E" w:rsidRPr="0093445E" w:rsidTr="0093445E">
        <w:trPr>
          <w:trHeight w:val="255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1 441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64 956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178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642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28 008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682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31 200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1 324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59 208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162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</w:tr>
      <w:tr w:rsidR="0093445E" w:rsidRPr="0093445E" w:rsidTr="0093445E">
        <w:trPr>
          <w:trHeight w:val="255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605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25 995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663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29 928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1 268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55 924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153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593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26 190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633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30 302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</w:tr>
      <w:tr w:rsidR="0093445E" w:rsidRPr="0093445E" w:rsidTr="0093445E">
        <w:trPr>
          <w:trHeight w:val="255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1 226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56 492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154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631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27 024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683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31 562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1 314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58 586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160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751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27 428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811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32 806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48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1 563</w:t>
            </w:r>
            <w:r w:rsidR="00FB1494">
              <w:rPr>
                <w:rFonts w:cs="Arial"/>
                <w:color w:val="000000"/>
                <w:sz w:val="16"/>
                <w:szCs w:val="16"/>
              </w:rPr>
              <w:t>,</w:t>
            </w:r>
            <w:r w:rsidRPr="0093445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60 234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29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165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751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30 472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40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811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36 344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36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99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1 563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66 817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183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1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muži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784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31 874,1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157FA0" w:rsidRDefault="00FB1494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FB1494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157FA0" w:rsidRDefault="00830E19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830E19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157FA0" w:rsidRDefault="00FB1494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FB1494">
              <w:rPr>
                <w:rFonts w:cs="Arial"/>
                <w:sz w:val="16"/>
                <w:szCs w:val="16"/>
              </w:rPr>
              <w:t>40,7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4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849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38 377,9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37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104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6</w:t>
            </w:r>
          </w:p>
        </w:tc>
      </w:tr>
      <w:tr w:rsidR="0093445E" w:rsidRPr="0093445E" w:rsidTr="0093445E">
        <w:trPr>
          <w:trHeight w:val="259"/>
        </w:trPr>
        <w:tc>
          <w:tcPr>
            <w:tcW w:w="1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5E" w:rsidRPr="0093445E" w:rsidRDefault="0093445E" w:rsidP="0093445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3445E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</w:t>
            </w:r>
            <w:r w:rsidR="006850EA">
              <w:rPr>
                <w:rFonts w:cs="Arial"/>
                <w:sz w:val="16"/>
                <w:szCs w:val="16"/>
              </w:rPr>
              <w:t xml:space="preserve"> </w:t>
            </w:r>
            <w:r w:rsidRPr="0093445E">
              <w:rPr>
                <w:rFonts w:cs="Arial"/>
                <w:sz w:val="16"/>
                <w:szCs w:val="16"/>
              </w:rPr>
              <w:t>633,4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70 252,0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35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43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45E" w:rsidRPr="0093445E" w:rsidRDefault="0093445E" w:rsidP="0093445E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3445E">
              <w:rPr>
                <w:rFonts w:cs="Arial"/>
                <w:sz w:val="16"/>
                <w:szCs w:val="16"/>
              </w:rPr>
              <w:t>192</w:t>
            </w:r>
            <w:r w:rsidR="00FB1494">
              <w:rPr>
                <w:rFonts w:cs="Arial"/>
                <w:sz w:val="16"/>
                <w:szCs w:val="16"/>
              </w:rPr>
              <w:t>,</w:t>
            </w:r>
            <w:r w:rsidRPr="0093445E">
              <w:rPr>
                <w:rFonts w:cs="Arial"/>
                <w:sz w:val="16"/>
                <w:szCs w:val="16"/>
              </w:rPr>
              <w:t>0</w:t>
            </w:r>
          </w:p>
        </w:tc>
      </w:tr>
    </w:tbl>
    <w:p w:rsidR="00F443D9" w:rsidRDefault="00F443D9" w:rsidP="0011739E"/>
    <w:p w:rsidR="00F443D9" w:rsidRPr="00C02546" w:rsidRDefault="00F443D9" w:rsidP="00C02546">
      <w:pPr>
        <w:spacing w:after="0" w:line="240" w:lineRule="auto"/>
        <w:rPr>
          <w:rFonts w:eastAsia="MS Gothic"/>
          <w:b/>
          <w:bCs/>
          <w:color w:val="C00000"/>
          <w:sz w:val="32"/>
          <w:szCs w:val="28"/>
        </w:rPr>
      </w:pPr>
      <w:bookmarkStart w:id="8" w:name="_Příloha_č._1"/>
      <w:bookmarkEnd w:id="8"/>
    </w:p>
    <w:sectPr w:rsidR="00F443D9" w:rsidRPr="00C02546" w:rsidSect="006F5416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39" w:rsidRDefault="002A3339" w:rsidP="00E71A58">
      <w:r>
        <w:separator/>
      </w:r>
    </w:p>
  </w:endnote>
  <w:endnote w:type="continuationSeparator" w:id="0">
    <w:p w:rsidR="002A3339" w:rsidRDefault="002A333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932443" w:rsidRDefault="002A333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932443" w:rsidRDefault="002A333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2016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39" w:rsidRDefault="002A3339" w:rsidP="00E71A58">
      <w:r>
        <w:separator/>
      </w:r>
    </w:p>
  </w:footnote>
  <w:footnote w:type="continuationSeparator" w:id="0">
    <w:p w:rsidR="002A3339" w:rsidRDefault="002A3339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6F5416" w:rsidRDefault="002A3339" w:rsidP="00940A27">
    <w:pPr>
      <w:pStyle w:val="Zhlav"/>
    </w:pPr>
    <w:r>
      <w:t>Pracovní neschopnost pro nemoc a úraz v České republice za rok 2016</w:t>
    </w:r>
  </w:p>
  <w:p w:rsidR="002A3339" w:rsidRPr="00940A27" w:rsidRDefault="002A3339" w:rsidP="00940A2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6F5416" w:rsidRDefault="002A3339" w:rsidP="00937AE2">
    <w:pPr>
      <w:pStyle w:val="Zhlav"/>
    </w:pPr>
    <w:r>
      <w:t>Pracovní neschopnost pro nemoc a úraz v České republice za rok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4"/>
    <w:multiLevelType w:val="multilevel"/>
    <w:tmpl w:val="000000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08"/>
    <w:multiLevelType w:val="multilevel"/>
    <w:tmpl w:val="000000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0B"/>
    <w:multiLevelType w:val="multilevel"/>
    <w:tmpl w:val="14E6014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000000C"/>
    <w:multiLevelType w:val="singleLevel"/>
    <w:tmpl w:val="0000000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0D"/>
    <w:multiLevelType w:val="multilevel"/>
    <w:tmpl w:val="0000000D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0000000E"/>
    <w:multiLevelType w:val="multilevel"/>
    <w:tmpl w:val="0000000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0F"/>
    <w:multiLevelType w:val="singleLevel"/>
    <w:tmpl w:val="0000000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0"/>
    <w:multiLevelType w:val="singleLevel"/>
    <w:tmpl w:val="00000010"/>
    <w:lvl w:ilvl="0"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24">
    <w:nsid w:val="00000011"/>
    <w:multiLevelType w:val="singleLevel"/>
    <w:tmpl w:val="000000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2"/>
    <w:multiLevelType w:val="singleLevel"/>
    <w:tmpl w:val="000000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6">
    <w:nsid w:val="00000013"/>
    <w:multiLevelType w:val="singleLevel"/>
    <w:tmpl w:val="00000013"/>
    <w:lvl w:ilvl="0"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27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29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353A5A"/>
    <w:multiLevelType w:val="hybridMultilevel"/>
    <w:tmpl w:val="C734C23E"/>
    <w:lvl w:ilvl="0" w:tplc="0580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8E6117"/>
    <w:multiLevelType w:val="hybridMultilevel"/>
    <w:tmpl w:val="1550FFD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AE080E"/>
    <w:multiLevelType w:val="hybridMultilevel"/>
    <w:tmpl w:val="4C9A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34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5"/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37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4756"/>
    <w:rsid w:val="0000209D"/>
    <w:rsid w:val="00004D5A"/>
    <w:rsid w:val="000056D5"/>
    <w:rsid w:val="0000767A"/>
    <w:rsid w:val="00010702"/>
    <w:rsid w:val="000168EC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675B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535E"/>
    <w:rsid w:val="000C08DA"/>
    <w:rsid w:val="000C1ECC"/>
    <w:rsid w:val="000C3408"/>
    <w:rsid w:val="000C6AFD"/>
    <w:rsid w:val="000D5637"/>
    <w:rsid w:val="000E4E05"/>
    <w:rsid w:val="000E6FBD"/>
    <w:rsid w:val="00100F5C"/>
    <w:rsid w:val="00101AD4"/>
    <w:rsid w:val="0010437D"/>
    <w:rsid w:val="00104C4C"/>
    <w:rsid w:val="0011739E"/>
    <w:rsid w:val="0012192F"/>
    <w:rsid w:val="00125D69"/>
    <w:rsid w:val="001405FA"/>
    <w:rsid w:val="001425C3"/>
    <w:rsid w:val="00157FA0"/>
    <w:rsid w:val="0016256B"/>
    <w:rsid w:val="00163793"/>
    <w:rsid w:val="001706D6"/>
    <w:rsid w:val="001714F2"/>
    <w:rsid w:val="001734D6"/>
    <w:rsid w:val="001841A8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E4E08"/>
    <w:rsid w:val="001F4597"/>
    <w:rsid w:val="001F64B4"/>
    <w:rsid w:val="001F7E69"/>
    <w:rsid w:val="001F7EE8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0E77"/>
    <w:rsid w:val="002A16D4"/>
    <w:rsid w:val="002A230C"/>
    <w:rsid w:val="002A3339"/>
    <w:rsid w:val="002C43BD"/>
    <w:rsid w:val="002D0E59"/>
    <w:rsid w:val="002D14DE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7611E"/>
    <w:rsid w:val="003818DC"/>
    <w:rsid w:val="00384327"/>
    <w:rsid w:val="00385D98"/>
    <w:rsid w:val="0038792F"/>
    <w:rsid w:val="003A2B4D"/>
    <w:rsid w:val="003A478C"/>
    <w:rsid w:val="003A5525"/>
    <w:rsid w:val="003A6B38"/>
    <w:rsid w:val="003B5A32"/>
    <w:rsid w:val="003C295B"/>
    <w:rsid w:val="003C3490"/>
    <w:rsid w:val="003D019C"/>
    <w:rsid w:val="003D5551"/>
    <w:rsid w:val="003D6920"/>
    <w:rsid w:val="003E0B54"/>
    <w:rsid w:val="003E42AE"/>
    <w:rsid w:val="003E4C91"/>
    <w:rsid w:val="003E6827"/>
    <w:rsid w:val="003F313C"/>
    <w:rsid w:val="003F4B2C"/>
    <w:rsid w:val="003F551C"/>
    <w:rsid w:val="003F7D23"/>
    <w:rsid w:val="00407C13"/>
    <w:rsid w:val="00410638"/>
    <w:rsid w:val="00432A58"/>
    <w:rsid w:val="004336A9"/>
    <w:rsid w:val="00434617"/>
    <w:rsid w:val="00440900"/>
    <w:rsid w:val="00443FDF"/>
    <w:rsid w:val="004441A0"/>
    <w:rsid w:val="00450EF8"/>
    <w:rsid w:val="00451C8F"/>
    <w:rsid w:val="00460FB3"/>
    <w:rsid w:val="00465864"/>
    <w:rsid w:val="0047307D"/>
    <w:rsid w:val="00476240"/>
    <w:rsid w:val="00476439"/>
    <w:rsid w:val="0047735C"/>
    <w:rsid w:val="004776BC"/>
    <w:rsid w:val="004806B0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199F"/>
    <w:rsid w:val="004B55B7"/>
    <w:rsid w:val="004B6468"/>
    <w:rsid w:val="004C384C"/>
    <w:rsid w:val="004C3867"/>
    <w:rsid w:val="004C4CD0"/>
    <w:rsid w:val="004C70DC"/>
    <w:rsid w:val="004D0211"/>
    <w:rsid w:val="004D0794"/>
    <w:rsid w:val="004D1DCC"/>
    <w:rsid w:val="004F06F5"/>
    <w:rsid w:val="004F33A0"/>
    <w:rsid w:val="004F60D9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1C3D"/>
    <w:rsid w:val="00593152"/>
    <w:rsid w:val="005A10F2"/>
    <w:rsid w:val="005A21E0"/>
    <w:rsid w:val="005A28FF"/>
    <w:rsid w:val="005A3DF8"/>
    <w:rsid w:val="005A5549"/>
    <w:rsid w:val="005B121D"/>
    <w:rsid w:val="005C019F"/>
    <w:rsid w:val="005C0219"/>
    <w:rsid w:val="005C06ED"/>
    <w:rsid w:val="005C528E"/>
    <w:rsid w:val="005C60A8"/>
    <w:rsid w:val="005D2888"/>
    <w:rsid w:val="005D5802"/>
    <w:rsid w:val="005D7890"/>
    <w:rsid w:val="005E7C78"/>
    <w:rsid w:val="005F3EB1"/>
    <w:rsid w:val="005F5469"/>
    <w:rsid w:val="005F694D"/>
    <w:rsid w:val="00604307"/>
    <w:rsid w:val="0060467F"/>
    <w:rsid w:val="0060487F"/>
    <w:rsid w:val="00604EAD"/>
    <w:rsid w:val="00606E50"/>
    <w:rsid w:val="006104FB"/>
    <w:rsid w:val="00612A2F"/>
    <w:rsid w:val="00616E05"/>
    <w:rsid w:val="00624093"/>
    <w:rsid w:val="006306D0"/>
    <w:rsid w:val="006404A7"/>
    <w:rsid w:val="00645051"/>
    <w:rsid w:val="006451E4"/>
    <w:rsid w:val="00645B33"/>
    <w:rsid w:val="006516CB"/>
    <w:rsid w:val="00657E87"/>
    <w:rsid w:val="00661E90"/>
    <w:rsid w:val="00664803"/>
    <w:rsid w:val="00665BA4"/>
    <w:rsid w:val="00667AF2"/>
    <w:rsid w:val="006710C9"/>
    <w:rsid w:val="006745A1"/>
    <w:rsid w:val="00674D89"/>
    <w:rsid w:val="00675E37"/>
    <w:rsid w:val="0068174E"/>
    <w:rsid w:val="00681DCE"/>
    <w:rsid w:val="0068260E"/>
    <w:rsid w:val="006850EA"/>
    <w:rsid w:val="00695BEF"/>
    <w:rsid w:val="006977F6"/>
    <w:rsid w:val="00697A13"/>
    <w:rsid w:val="006A109C"/>
    <w:rsid w:val="006A255E"/>
    <w:rsid w:val="006B344A"/>
    <w:rsid w:val="006B78D8"/>
    <w:rsid w:val="006C113F"/>
    <w:rsid w:val="006C123E"/>
    <w:rsid w:val="006C56D4"/>
    <w:rsid w:val="006C6924"/>
    <w:rsid w:val="006C7CA6"/>
    <w:rsid w:val="006D356F"/>
    <w:rsid w:val="006D3E8A"/>
    <w:rsid w:val="006D61F6"/>
    <w:rsid w:val="006E279A"/>
    <w:rsid w:val="006E313B"/>
    <w:rsid w:val="006F2B57"/>
    <w:rsid w:val="006F5416"/>
    <w:rsid w:val="006F7137"/>
    <w:rsid w:val="00706AD4"/>
    <w:rsid w:val="0071206E"/>
    <w:rsid w:val="007140BE"/>
    <w:rsid w:val="007211F5"/>
    <w:rsid w:val="00721DE2"/>
    <w:rsid w:val="00725BB5"/>
    <w:rsid w:val="00730AE8"/>
    <w:rsid w:val="00737DF2"/>
    <w:rsid w:val="00741493"/>
    <w:rsid w:val="0075019E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83F52"/>
    <w:rsid w:val="00790764"/>
    <w:rsid w:val="0079453C"/>
    <w:rsid w:val="00794677"/>
    <w:rsid w:val="007B00BD"/>
    <w:rsid w:val="007B6689"/>
    <w:rsid w:val="007D0416"/>
    <w:rsid w:val="007D09E0"/>
    <w:rsid w:val="007D40DF"/>
    <w:rsid w:val="007E7E61"/>
    <w:rsid w:val="007F0845"/>
    <w:rsid w:val="00807C82"/>
    <w:rsid w:val="00816905"/>
    <w:rsid w:val="00821C6F"/>
    <w:rsid w:val="00821FF6"/>
    <w:rsid w:val="00825628"/>
    <w:rsid w:val="00825C4D"/>
    <w:rsid w:val="00830E19"/>
    <w:rsid w:val="0083143E"/>
    <w:rsid w:val="00831CDE"/>
    <w:rsid w:val="008320A9"/>
    <w:rsid w:val="00834304"/>
    <w:rsid w:val="00834FAA"/>
    <w:rsid w:val="00836086"/>
    <w:rsid w:val="0084708F"/>
    <w:rsid w:val="008477C8"/>
    <w:rsid w:val="0085114D"/>
    <w:rsid w:val="00851819"/>
    <w:rsid w:val="00852217"/>
    <w:rsid w:val="00855408"/>
    <w:rsid w:val="00856D65"/>
    <w:rsid w:val="00861B41"/>
    <w:rsid w:val="00863434"/>
    <w:rsid w:val="00865E4C"/>
    <w:rsid w:val="00867DA1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DDC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445E"/>
    <w:rsid w:val="00936783"/>
    <w:rsid w:val="00937AE2"/>
    <w:rsid w:val="00940A27"/>
    <w:rsid w:val="0094427A"/>
    <w:rsid w:val="00945C47"/>
    <w:rsid w:val="009516EA"/>
    <w:rsid w:val="00974923"/>
    <w:rsid w:val="00976B41"/>
    <w:rsid w:val="009774D5"/>
    <w:rsid w:val="00980055"/>
    <w:rsid w:val="00980D3D"/>
    <w:rsid w:val="00984FF2"/>
    <w:rsid w:val="00985F96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3386"/>
    <w:rsid w:val="009E5273"/>
    <w:rsid w:val="009E5DDB"/>
    <w:rsid w:val="009F4CA7"/>
    <w:rsid w:val="00A10D66"/>
    <w:rsid w:val="00A116A7"/>
    <w:rsid w:val="00A14114"/>
    <w:rsid w:val="00A16413"/>
    <w:rsid w:val="00A23E43"/>
    <w:rsid w:val="00A30F65"/>
    <w:rsid w:val="00A333BA"/>
    <w:rsid w:val="00A356D5"/>
    <w:rsid w:val="00A418BC"/>
    <w:rsid w:val="00A422FD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7AC"/>
    <w:rsid w:val="00AA2996"/>
    <w:rsid w:val="00AA52BF"/>
    <w:rsid w:val="00AA559A"/>
    <w:rsid w:val="00AB2AF1"/>
    <w:rsid w:val="00AD306C"/>
    <w:rsid w:val="00AE09B3"/>
    <w:rsid w:val="00AE1A83"/>
    <w:rsid w:val="00AE5A3D"/>
    <w:rsid w:val="00AF4936"/>
    <w:rsid w:val="00B00913"/>
    <w:rsid w:val="00B01593"/>
    <w:rsid w:val="00B10A4D"/>
    <w:rsid w:val="00B138AB"/>
    <w:rsid w:val="00B17E71"/>
    <w:rsid w:val="00B17FDE"/>
    <w:rsid w:val="00B21B4A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0030"/>
    <w:rsid w:val="00B76D1E"/>
    <w:rsid w:val="00B80EC6"/>
    <w:rsid w:val="00B850F3"/>
    <w:rsid w:val="00B92D1D"/>
    <w:rsid w:val="00B938C5"/>
    <w:rsid w:val="00B95940"/>
    <w:rsid w:val="00BB2131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02546"/>
    <w:rsid w:val="00C21F94"/>
    <w:rsid w:val="00C27913"/>
    <w:rsid w:val="00C27ECC"/>
    <w:rsid w:val="00C31483"/>
    <w:rsid w:val="00C33B68"/>
    <w:rsid w:val="00C36A79"/>
    <w:rsid w:val="00C405D4"/>
    <w:rsid w:val="00C41EA4"/>
    <w:rsid w:val="00C43067"/>
    <w:rsid w:val="00C4513B"/>
    <w:rsid w:val="00C50D09"/>
    <w:rsid w:val="00C54697"/>
    <w:rsid w:val="00C55B6D"/>
    <w:rsid w:val="00C73885"/>
    <w:rsid w:val="00C747B1"/>
    <w:rsid w:val="00C81290"/>
    <w:rsid w:val="00C82191"/>
    <w:rsid w:val="00C90CF4"/>
    <w:rsid w:val="00C91277"/>
    <w:rsid w:val="00C9155B"/>
    <w:rsid w:val="00C92EB6"/>
    <w:rsid w:val="00C93389"/>
    <w:rsid w:val="00CB4930"/>
    <w:rsid w:val="00CB6DF5"/>
    <w:rsid w:val="00CC16D5"/>
    <w:rsid w:val="00CC2E7D"/>
    <w:rsid w:val="00CD10A5"/>
    <w:rsid w:val="00CD16FC"/>
    <w:rsid w:val="00CD2076"/>
    <w:rsid w:val="00CD7255"/>
    <w:rsid w:val="00CE670B"/>
    <w:rsid w:val="00CF51EC"/>
    <w:rsid w:val="00CF73AE"/>
    <w:rsid w:val="00D040DD"/>
    <w:rsid w:val="00D13986"/>
    <w:rsid w:val="00D235B7"/>
    <w:rsid w:val="00D25F28"/>
    <w:rsid w:val="00D26C95"/>
    <w:rsid w:val="00D27973"/>
    <w:rsid w:val="00D3656E"/>
    <w:rsid w:val="00D50F46"/>
    <w:rsid w:val="00D54E0E"/>
    <w:rsid w:val="00D579A7"/>
    <w:rsid w:val="00D66223"/>
    <w:rsid w:val="00D8084C"/>
    <w:rsid w:val="00DA5EBB"/>
    <w:rsid w:val="00DA7C0C"/>
    <w:rsid w:val="00DB2DB1"/>
    <w:rsid w:val="00DB2EC8"/>
    <w:rsid w:val="00DB34CC"/>
    <w:rsid w:val="00DB4EC8"/>
    <w:rsid w:val="00DC5B3B"/>
    <w:rsid w:val="00DD129F"/>
    <w:rsid w:val="00DF42FF"/>
    <w:rsid w:val="00DF57CA"/>
    <w:rsid w:val="00DF6EE5"/>
    <w:rsid w:val="00E01C0E"/>
    <w:rsid w:val="00E03F9A"/>
    <w:rsid w:val="00E04694"/>
    <w:rsid w:val="00E11D1C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14E"/>
    <w:rsid w:val="00E75C94"/>
    <w:rsid w:val="00E84756"/>
    <w:rsid w:val="00E93820"/>
    <w:rsid w:val="00E94AB3"/>
    <w:rsid w:val="00EA0C68"/>
    <w:rsid w:val="00EA32BC"/>
    <w:rsid w:val="00EB4511"/>
    <w:rsid w:val="00EB5AF2"/>
    <w:rsid w:val="00EC03D7"/>
    <w:rsid w:val="00EC5F71"/>
    <w:rsid w:val="00ED62C6"/>
    <w:rsid w:val="00ED64C1"/>
    <w:rsid w:val="00EE3446"/>
    <w:rsid w:val="00EE3E78"/>
    <w:rsid w:val="00EE4B1B"/>
    <w:rsid w:val="00EE590C"/>
    <w:rsid w:val="00EE69CC"/>
    <w:rsid w:val="00EF0E09"/>
    <w:rsid w:val="00EF150D"/>
    <w:rsid w:val="00EF1F5A"/>
    <w:rsid w:val="00EF47BF"/>
    <w:rsid w:val="00F04811"/>
    <w:rsid w:val="00F0488C"/>
    <w:rsid w:val="00F05F5E"/>
    <w:rsid w:val="00F0736C"/>
    <w:rsid w:val="00F10F11"/>
    <w:rsid w:val="00F1163D"/>
    <w:rsid w:val="00F15AAA"/>
    <w:rsid w:val="00F15BEF"/>
    <w:rsid w:val="00F2077B"/>
    <w:rsid w:val="00F212F9"/>
    <w:rsid w:val="00F23422"/>
    <w:rsid w:val="00F24407"/>
    <w:rsid w:val="00F24FAA"/>
    <w:rsid w:val="00F3364D"/>
    <w:rsid w:val="00F437CC"/>
    <w:rsid w:val="00F443D9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1BA4"/>
    <w:rsid w:val="00F85066"/>
    <w:rsid w:val="00F86D63"/>
    <w:rsid w:val="00F87E03"/>
    <w:rsid w:val="00F932FF"/>
    <w:rsid w:val="00FA2C57"/>
    <w:rsid w:val="00FA5D4D"/>
    <w:rsid w:val="00FB0831"/>
    <w:rsid w:val="00FB0EE2"/>
    <w:rsid w:val="00FB1494"/>
    <w:rsid w:val="00FB542E"/>
    <w:rsid w:val="00FC0E5F"/>
    <w:rsid w:val="00FC1A95"/>
    <w:rsid w:val="00FC1D9A"/>
    <w:rsid w:val="00FC3B99"/>
    <w:rsid w:val="00FC56DE"/>
    <w:rsid w:val="00FC684B"/>
    <w:rsid w:val="00FC6E63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99"/>
    <w:rsid w:val="00A33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rsid w:val="00F443D9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443D9"/>
    <w:rPr>
      <w:rFonts w:ascii="Arial" w:eastAsia="Times New Roman" w:hAnsi="Arial"/>
      <w:lang w:eastAsia="cs-CZ"/>
    </w:rPr>
  </w:style>
  <w:style w:type="character" w:customStyle="1" w:styleId="Znakypropoznmkupodarou">
    <w:name w:val="Znaky pro poznámku pod čarou"/>
    <w:rsid w:val="00F443D9"/>
    <w:rPr>
      <w:rFonts w:cs="Times New Roman"/>
      <w:vertAlign w:val="superscript"/>
    </w:rPr>
  </w:style>
  <w:style w:type="character" w:styleId="Znakapoznpodarou">
    <w:name w:val="footnote reference"/>
    <w:uiPriority w:val="99"/>
    <w:rsid w:val="00F443D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443D9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Normlnweb">
    <w:name w:val="Normal (Web)"/>
    <w:basedOn w:val="Normln"/>
    <w:rsid w:val="00F443D9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F443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3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91277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207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77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77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7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77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207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12-0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ADMNEMUR_Statistika%20pracovn&#237;%20neschopnosti%20pro%20nemoc%20a%20&#250;raz_Hriv&#237;kov&#225;\E-PUBLIKACE_PRACOVN&#205;%20NESCHOPNOST%20PRO%20NEMOC%20A%20&#218;RAZ%20V%20&#268;R\2017-PN-tab.2017\Nemur_2016_publikac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Nemur_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Nemur_graf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Dokumenty\Desktop\Nemur_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Nemur_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ADMNEMUR_Statistika%20pracovn&#237;%20neschopnosti%20pro%20nemoc%20a%20&#250;raz_Hriv&#237;kov&#225;\E-PUBLIKACE_PRACOVN&#205;%20NESCHOPNOST%20PRO%20NEMOC%20A%20&#218;RAZ%20V%20&#268;R\2017-PN-tab.2017\Nemur_2016_publikace_graf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Nemur_graf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Nemur_graf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Nemur_graf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Nemur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stacked"/>
        <c:ser>
          <c:idx val="1"/>
          <c:order val="1"/>
          <c:tx>
            <c:strRef>
              <c:f>List1!$C$2</c:f>
              <c:strCache>
                <c:ptCount val="1"/>
                <c:pt idx="0">
                  <c:v> zaměstnanci muži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List1!$A$3:$A$13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List1!$C$3:$C$13</c:f>
              <c:numCache>
                <c:formatCode>#,##0.0</c:formatCode>
                <c:ptCount val="11"/>
                <c:pt idx="0">
                  <c:v>2239.6</c:v>
                </c:pt>
                <c:pt idx="1">
                  <c:v>2294</c:v>
                </c:pt>
                <c:pt idx="2">
                  <c:v>2293</c:v>
                </c:pt>
                <c:pt idx="3">
                  <c:v>2121.5</c:v>
                </c:pt>
                <c:pt idx="4">
                  <c:v>2121.9</c:v>
                </c:pt>
                <c:pt idx="5">
                  <c:v>2053.8000000000002</c:v>
                </c:pt>
                <c:pt idx="6">
                  <c:v>2216.3000000000002</c:v>
                </c:pt>
                <c:pt idx="7">
                  <c:v>2194.1999999999998</c:v>
                </c:pt>
                <c:pt idx="8">
                  <c:v>2207.8000000000002</c:v>
                </c:pt>
                <c:pt idx="9">
                  <c:v>2252.8000000000002</c:v>
                </c:pt>
                <c:pt idx="10">
                  <c:v>2273.5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8F-4511-96F4-A6E7FDA47258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 zaměstnanci ženy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List1!$A$3:$A$13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List1!$D$3:$D$13</c:f>
              <c:numCache>
                <c:formatCode>#,##0.0</c:formatCode>
                <c:ptCount val="11"/>
                <c:pt idx="0">
                  <c:v>2036.4</c:v>
                </c:pt>
                <c:pt idx="1">
                  <c:v>2096</c:v>
                </c:pt>
                <c:pt idx="2">
                  <c:v>2088</c:v>
                </c:pt>
                <c:pt idx="3">
                  <c:v>1957.7</c:v>
                </c:pt>
                <c:pt idx="4">
                  <c:v>2010.9</c:v>
                </c:pt>
                <c:pt idx="5">
                  <c:v>2008</c:v>
                </c:pt>
                <c:pt idx="6">
                  <c:v>2149.9</c:v>
                </c:pt>
                <c:pt idx="7">
                  <c:v>2136.9</c:v>
                </c:pt>
                <c:pt idx="8">
                  <c:v>2150.6</c:v>
                </c:pt>
                <c:pt idx="9">
                  <c:v>2164.8000000000002</c:v>
                </c:pt>
                <c:pt idx="10">
                  <c:v>2208.3000000000002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8F-4511-96F4-A6E7FDA47258}"/>
            </c:ext>
          </c:extLst>
        </c:ser>
        <c:ser>
          <c:idx val="3"/>
          <c:order val="3"/>
          <c:tx>
            <c:strRef>
              <c:f>List1!$E$2</c:f>
              <c:strCache>
                <c:ptCount val="1"/>
                <c:pt idx="0">
                  <c:v> OSVČ muži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cat>
            <c:numRef>
              <c:f>List1!$A$3:$A$13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List1!$E$3:$E$13</c:f>
              <c:numCache>
                <c:formatCode>#,##0.0</c:formatCode>
                <c:ptCount val="11"/>
                <c:pt idx="0">
                  <c:v>149.80000000000001</c:v>
                </c:pt>
                <c:pt idx="1">
                  <c:v>141.1</c:v>
                </c:pt>
                <c:pt idx="2">
                  <c:v>130.80000000000001</c:v>
                </c:pt>
                <c:pt idx="3">
                  <c:v>112.6</c:v>
                </c:pt>
                <c:pt idx="4">
                  <c:v>112.2</c:v>
                </c:pt>
                <c:pt idx="5">
                  <c:v>94.6</c:v>
                </c:pt>
                <c:pt idx="6">
                  <c:v>65.099999999999994</c:v>
                </c:pt>
                <c:pt idx="7">
                  <c:v>66.5</c:v>
                </c:pt>
                <c:pt idx="8">
                  <c:v>65.099999999999994</c:v>
                </c:pt>
                <c:pt idx="9">
                  <c:v>48.5</c:v>
                </c:pt>
                <c:pt idx="10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8F-4511-96F4-A6E7FDA47258}"/>
            </c:ext>
          </c:extLst>
        </c:ser>
        <c:ser>
          <c:idx val="4"/>
          <c:order val="4"/>
          <c:tx>
            <c:strRef>
              <c:f>List1!$F$2</c:f>
              <c:strCache>
                <c:ptCount val="1"/>
                <c:pt idx="0">
                  <c:v> OSVČ ženy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cat>
            <c:numRef>
              <c:f>List1!$A$3:$A$13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List1!$F$3:$F$13</c:f>
              <c:numCache>
                <c:formatCode>#,##0.0</c:formatCode>
                <c:ptCount val="11"/>
                <c:pt idx="0">
                  <c:v>71.3</c:v>
                </c:pt>
                <c:pt idx="1">
                  <c:v>65.900000000000006</c:v>
                </c:pt>
                <c:pt idx="2">
                  <c:v>60.7</c:v>
                </c:pt>
                <c:pt idx="3">
                  <c:v>61.3</c:v>
                </c:pt>
                <c:pt idx="4">
                  <c:v>66</c:v>
                </c:pt>
                <c:pt idx="5">
                  <c:v>55.2</c:v>
                </c:pt>
                <c:pt idx="6">
                  <c:v>40.6</c:v>
                </c:pt>
                <c:pt idx="7">
                  <c:v>42.7</c:v>
                </c:pt>
                <c:pt idx="8">
                  <c:v>40.6</c:v>
                </c:pt>
                <c:pt idx="9">
                  <c:v>40.9</c:v>
                </c:pt>
                <c:pt idx="10">
                  <c:v>34.5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8F-4511-96F4-A6E7FDA47258}"/>
            </c:ext>
          </c:extLst>
        </c:ser>
        <c:gapWidth val="34"/>
        <c:overlap val="100"/>
        <c:axId val="59257984"/>
        <c:axId val="59259520"/>
      </c:barChart>
      <c:barChart>
        <c:barDir val="col"/>
        <c:grouping val="stacked"/>
        <c:ser>
          <c:idx val="0"/>
          <c:order val="0"/>
          <c:tx>
            <c:strRef>
              <c:f>List1!$B$2</c:f>
              <c:strCache>
                <c:ptCount val="1"/>
                <c:pt idx="0">
                  <c:v>celkem</c:v>
                </c:pt>
              </c:strCache>
            </c:strRef>
          </c:tx>
          <c:spPr>
            <a:noFill/>
          </c:spPr>
          <c:dLbls>
            <c:dLbl>
              <c:idx val="4"/>
              <c:layout>
                <c:manualLayout>
                  <c:x val="5.3546904848627705E-17"/>
                  <c:y val="-0.34311101523268528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8F-4511-96F4-A6E7FDA47258}"/>
                </c:ext>
              </c:extLst>
            </c:dLbl>
            <c:dLbl>
              <c:idx val="5"/>
              <c:layout>
                <c:manualLayout>
                  <c:x val="0"/>
                  <c:y val="-0.3403672143721763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8F-4511-96F4-A6E7FDA472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List1!$A$3:$A$13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List1!$B$3:$B$13</c:f>
              <c:numCache>
                <c:formatCode>0.0</c:formatCode>
                <c:ptCount val="11"/>
                <c:pt idx="0">
                  <c:v>4497</c:v>
                </c:pt>
                <c:pt idx="1">
                  <c:v>4597</c:v>
                </c:pt>
                <c:pt idx="2">
                  <c:v>4572.4000000000005</c:v>
                </c:pt>
                <c:pt idx="3">
                  <c:v>4253.1000000000004</c:v>
                </c:pt>
                <c:pt idx="4">
                  <c:v>4311</c:v>
                </c:pt>
                <c:pt idx="5">
                  <c:v>4211.5</c:v>
                </c:pt>
                <c:pt idx="6">
                  <c:v>4471.9000000000005</c:v>
                </c:pt>
                <c:pt idx="7">
                  <c:v>4440.3</c:v>
                </c:pt>
                <c:pt idx="8">
                  <c:v>4464.1000000000004</c:v>
                </c:pt>
                <c:pt idx="9">
                  <c:v>4507</c:v>
                </c:pt>
                <c:pt idx="10">
                  <c:v>4571.3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C8F-4511-96F4-A6E7FDA47258}"/>
            </c:ext>
          </c:extLst>
        </c:ser>
        <c:gapWidth val="500"/>
        <c:overlap val="-100"/>
        <c:axId val="59279232"/>
        <c:axId val="59277696"/>
      </c:barChart>
      <c:catAx>
        <c:axId val="59257984"/>
        <c:scaling>
          <c:orientation val="minMax"/>
        </c:scaling>
        <c:axPos val="b"/>
        <c:numFmt formatCode="General" sourceLinked="1"/>
        <c:tickLblPos val="nextTo"/>
        <c:crossAx val="59259520"/>
        <c:crosses val="autoZero"/>
        <c:auto val="1"/>
        <c:lblAlgn val="ctr"/>
        <c:lblOffset val="100"/>
      </c:catAx>
      <c:valAx>
        <c:axId val="59259520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numFmt formatCode="#,##0" sourceLinked="0"/>
        <c:tickLblPos val="nextTo"/>
        <c:spPr>
          <a:ln>
            <a:noFill/>
          </a:ln>
        </c:spPr>
        <c:crossAx val="59257984"/>
        <c:crosses val="autoZero"/>
        <c:crossBetween val="between"/>
      </c:valAx>
      <c:valAx>
        <c:axId val="59277696"/>
        <c:scaling>
          <c:orientation val="minMax"/>
          <c:max val="4600"/>
          <c:min val="0"/>
        </c:scaling>
        <c:axPos val="r"/>
        <c:numFmt formatCode="0.0" sourceLinked="1"/>
        <c:tickLblPos val="nextTo"/>
        <c:spPr>
          <a:ln>
            <a:noFill/>
          </a:ln>
        </c:spPr>
        <c:txPr>
          <a:bodyPr/>
          <a:lstStyle/>
          <a:p>
            <a:pPr>
              <a:defRPr sz="100">
                <a:solidFill>
                  <a:schemeClr val="bg1"/>
                </a:solidFill>
              </a:defRPr>
            </a:pPr>
            <a:endParaRPr lang="cs-CZ"/>
          </a:p>
        </c:txPr>
        <c:crossAx val="59279232"/>
        <c:crosses val="max"/>
        <c:crossBetween val="between"/>
      </c:valAx>
      <c:catAx>
        <c:axId val="59279232"/>
        <c:scaling>
          <c:orientation val="minMax"/>
        </c:scaling>
        <c:delete val="1"/>
        <c:axPos val="b"/>
        <c:numFmt formatCode="General" sourceLinked="1"/>
        <c:tickLblPos val="none"/>
        <c:crossAx val="59277696"/>
        <c:crosses val="autoZero"/>
        <c:auto val="1"/>
        <c:lblAlgn val="ctr"/>
        <c:lblOffset val="100"/>
      </c:catAx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0.19734609521115251"/>
          <c:y val="0.94516864062352346"/>
          <c:w val="0.60530780957769503"/>
          <c:h val="5.4831359376476825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7354102476320895E-2"/>
          <c:y val="4.5977011494252866E-2"/>
          <c:w val="0.94540119441591541"/>
          <c:h val="0.51982978069163943"/>
        </c:manualLayout>
      </c:layout>
      <c:barChart>
        <c:barDir val="col"/>
        <c:grouping val="stacked"/>
        <c:ser>
          <c:idx val="1"/>
          <c:order val="1"/>
          <c:tx>
            <c:strRef>
              <c:f>List7!$C$2</c:f>
              <c:strCache>
                <c:ptCount val="1"/>
                <c:pt idx="0">
                  <c:v> nemoc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cat>
            <c:strRef>
              <c:f>List7!$A$3:$A$22</c:f>
              <c:strCache>
                <c:ptCount val="20"/>
                <c:pt idx="0">
                  <c:v>Celkem</c:v>
                </c:pt>
                <c:pt idx="1">
                  <c:v>A - Zeměd., les., rybář.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List7!$C$3:$C$22</c:f>
              <c:numCache>
                <c:formatCode>0.0</c:formatCode>
                <c:ptCount val="20"/>
                <c:pt idx="0">
                  <c:v>3.5917529473999998</c:v>
                </c:pt>
                <c:pt idx="1">
                  <c:v>4.0486953999999997</c:v>
                </c:pt>
                <c:pt idx="2">
                  <c:v>4.6276682943000003</c:v>
                </c:pt>
                <c:pt idx="3">
                  <c:v>4.5936797369000004</c:v>
                </c:pt>
                <c:pt idx="4">
                  <c:v>2.2186060565000001</c:v>
                </c:pt>
                <c:pt idx="5">
                  <c:v>3.6194213806</c:v>
                </c:pt>
                <c:pt idx="6">
                  <c:v>3.7406561580000002</c:v>
                </c:pt>
                <c:pt idx="7">
                  <c:v>3.592935287</c:v>
                </c:pt>
                <c:pt idx="8">
                  <c:v>3.4619023928999999</c:v>
                </c:pt>
                <c:pt idx="9">
                  <c:v>3.6072730379000002</c:v>
                </c:pt>
                <c:pt idx="10">
                  <c:v>1.5277700824999985</c:v>
                </c:pt>
                <c:pt idx="11">
                  <c:v>2.2650851297999997</c:v>
                </c:pt>
                <c:pt idx="12">
                  <c:v>2.0552379856999998</c:v>
                </c:pt>
                <c:pt idx="13">
                  <c:v>1.9773858296000024</c:v>
                </c:pt>
                <c:pt idx="14">
                  <c:v>4.5370056924000002</c:v>
                </c:pt>
                <c:pt idx="15">
                  <c:v>2.7850963124000012</c:v>
                </c:pt>
                <c:pt idx="16">
                  <c:v>2.4850895847999999</c:v>
                </c:pt>
                <c:pt idx="17">
                  <c:v>3.6068006851999987</c:v>
                </c:pt>
                <c:pt idx="18">
                  <c:v>2.4322689828999975</c:v>
                </c:pt>
                <c:pt idx="19">
                  <c:v>3.4037156530999999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C-45A5-B949-F934707ABBB8}"/>
            </c:ext>
          </c:extLst>
        </c:ser>
        <c:ser>
          <c:idx val="2"/>
          <c:order val="2"/>
          <c:tx>
            <c:strRef>
              <c:f>List7!$D$2</c:f>
              <c:strCache>
                <c:ptCount val="1"/>
                <c:pt idx="0">
                  <c:v> pracovní úraz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strRef>
              <c:f>List7!$A$3:$A$22</c:f>
              <c:strCache>
                <c:ptCount val="20"/>
                <c:pt idx="0">
                  <c:v>Celkem</c:v>
                </c:pt>
                <c:pt idx="1">
                  <c:v>A - Zeměd., les., rybář.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List7!$D$3:$D$22</c:f>
              <c:numCache>
                <c:formatCode>0.0</c:formatCode>
                <c:ptCount val="20"/>
                <c:pt idx="0">
                  <c:v>0.15391929920000028</c:v>
                </c:pt>
                <c:pt idx="1">
                  <c:v>0.38993469190000063</c:v>
                </c:pt>
                <c:pt idx="2">
                  <c:v>0.50661182640000069</c:v>
                </c:pt>
                <c:pt idx="3">
                  <c:v>0.2316548319</c:v>
                </c:pt>
                <c:pt idx="4">
                  <c:v>7.8847898400000005E-2</c:v>
                </c:pt>
                <c:pt idx="5">
                  <c:v>0.25416596230000027</c:v>
                </c:pt>
                <c:pt idx="6">
                  <c:v>0.23566239640000014</c:v>
                </c:pt>
                <c:pt idx="7">
                  <c:v>0.120237599</c:v>
                </c:pt>
                <c:pt idx="8">
                  <c:v>0.25632938800000032</c:v>
                </c:pt>
                <c:pt idx="9">
                  <c:v>8.5790126700000066E-2</c:v>
                </c:pt>
                <c:pt idx="10">
                  <c:v>2.0323323500000001E-2</c:v>
                </c:pt>
                <c:pt idx="11">
                  <c:v>1.39246678E-2</c:v>
                </c:pt>
                <c:pt idx="12">
                  <c:v>5.2448926100000022E-2</c:v>
                </c:pt>
                <c:pt idx="13">
                  <c:v>3.3616729999999997E-2</c:v>
                </c:pt>
                <c:pt idx="14">
                  <c:v>0.14094315030000018</c:v>
                </c:pt>
                <c:pt idx="15">
                  <c:v>6.6769709199999999E-2</c:v>
                </c:pt>
                <c:pt idx="16">
                  <c:v>5.7282247400000014E-2</c:v>
                </c:pt>
                <c:pt idx="17">
                  <c:v>0.10048070639999998</c:v>
                </c:pt>
                <c:pt idx="18">
                  <c:v>8.2904891600000002E-2</c:v>
                </c:pt>
                <c:pt idx="19">
                  <c:v>5.3769837500000014E-2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7C-45A5-B949-F934707ABBB8}"/>
            </c:ext>
          </c:extLst>
        </c:ser>
        <c:ser>
          <c:idx val="3"/>
          <c:order val="3"/>
          <c:tx>
            <c:strRef>
              <c:f>List7!$E$2</c:f>
              <c:strCache>
                <c:ptCount val="1"/>
                <c:pt idx="0">
                  <c:v> ostatní úraz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strRef>
              <c:f>List7!$A$3:$A$22</c:f>
              <c:strCache>
                <c:ptCount val="20"/>
                <c:pt idx="0">
                  <c:v>Celkem</c:v>
                </c:pt>
                <c:pt idx="1">
                  <c:v>A - Zeměd., les., rybář.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List7!$E$3:$E$22</c:f>
              <c:numCache>
                <c:formatCode>0.0</c:formatCode>
                <c:ptCount val="20"/>
                <c:pt idx="0">
                  <c:v>0.45324351059999979</c:v>
                </c:pt>
                <c:pt idx="1">
                  <c:v>0.54678526199999999</c:v>
                </c:pt>
                <c:pt idx="2">
                  <c:v>0.69761354260000052</c:v>
                </c:pt>
                <c:pt idx="3">
                  <c:v>0.63559198179999998</c:v>
                </c:pt>
                <c:pt idx="4">
                  <c:v>0.36713997040000002</c:v>
                </c:pt>
                <c:pt idx="5">
                  <c:v>0.55375465120000056</c:v>
                </c:pt>
                <c:pt idx="6">
                  <c:v>0.67377592090000082</c:v>
                </c:pt>
                <c:pt idx="7">
                  <c:v>0.42714891260000026</c:v>
                </c:pt>
                <c:pt idx="8">
                  <c:v>0.49284013659999998</c:v>
                </c:pt>
                <c:pt idx="9">
                  <c:v>0.47496337830000041</c:v>
                </c:pt>
                <c:pt idx="10">
                  <c:v>0.14829073090000014</c:v>
                </c:pt>
                <c:pt idx="11">
                  <c:v>0.18095949380000034</c:v>
                </c:pt>
                <c:pt idx="12">
                  <c:v>0.26911026220000034</c:v>
                </c:pt>
                <c:pt idx="13">
                  <c:v>0.2393805578</c:v>
                </c:pt>
                <c:pt idx="14">
                  <c:v>0.49229059980000034</c:v>
                </c:pt>
                <c:pt idx="15">
                  <c:v>0.27983209170000034</c:v>
                </c:pt>
                <c:pt idx="16">
                  <c:v>0.22309164840000001</c:v>
                </c:pt>
                <c:pt idx="17">
                  <c:v>0.35120683600000002</c:v>
                </c:pt>
                <c:pt idx="18">
                  <c:v>0.30523618600000002</c:v>
                </c:pt>
                <c:pt idx="19">
                  <c:v>0.3021986943000004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7C-45A5-B949-F934707ABBB8}"/>
            </c:ext>
          </c:extLst>
        </c:ser>
        <c:gapWidth val="51"/>
        <c:overlap val="100"/>
        <c:axId val="86013440"/>
        <c:axId val="86014976"/>
      </c:barChart>
      <c:barChart>
        <c:barDir val="col"/>
        <c:grouping val="stacked"/>
        <c:ser>
          <c:idx val="4"/>
          <c:order val="4"/>
          <c:tx>
            <c:strRef>
              <c:f>List7!$F$2</c:f>
              <c:strCache>
                <c:ptCount val="1"/>
                <c:pt idx="0">
                  <c:v>  celkem</c:v>
                </c:pt>
              </c:strCache>
            </c:strRef>
          </c:tx>
          <c:spPr>
            <a:noFill/>
          </c:spPr>
          <c:dLbls>
            <c:dLbl>
              <c:idx val="0"/>
              <c:layout>
                <c:manualLayout>
                  <c:x val="0"/>
                  <c:y val="-0.1984047705333907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7C-45A5-B949-F934707ABBB8}"/>
                </c:ext>
              </c:extLst>
            </c:dLbl>
            <c:dLbl>
              <c:idx val="1"/>
              <c:layout>
                <c:manualLayout>
                  <c:x val="0"/>
                  <c:y val="-0.2407964067253104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7C-45A5-B949-F934707ABBB8}"/>
                </c:ext>
              </c:extLst>
            </c:dLbl>
            <c:dLbl>
              <c:idx val="2"/>
              <c:layout>
                <c:manualLayout>
                  <c:x val="0"/>
                  <c:y val="-0.2690969591144208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7C-45A5-B949-F934707ABBB8}"/>
                </c:ext>
              </c:extLst>
            </c:dLbl>
            <c:dLbl>
              <c:idx val="3"/>
              <c:layout>
                <c:manualLayout>
                  <c:x val="0"/>
                  <c:y val="-0.253026938578284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7C-45A5-B949-F934707ABBB8}"/>
                </c:ext>
              </c:extLst>
            </c:dLbl>
            <c:dLbl>
              <c:idx val="4"/>
              <c:layout>
                <c:manualLayout>
                  <c:x val="0"/>
                  <c:y val="-0.13747109017230627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7C-45A5-B949-F934707ABBB8}"/>
                </c:ext>
              </c:extLst>
            </c:dLbl>
            <c:dLbl>
              <c:idx val="5"/>
              <c:layout>
                <c:manualLayout>
                  <c:x val="0"/>
                  <c:y val="-0.21383191117846698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7C-45A5-B949-F934707ABBB8}"/>
                </c:ext>
              </c:extLst>
            </c:dLbl>
            <c:dLbl>
              <c:idx val="6"/>
              <c:layout>
                <c:manualLayout>
                  <c:x val="0"/>
                  <c:y val="-0.2206918591243040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7C-45A5-B949-F934707ABBB8}"/>
                </c:ext>
              </c:extLst>
            </c:dLbl>
            <c:dLbl>
              <c:idx val="7"/>
              <c:layout>
                <c:manualLayout>
                  <c:x val="0"/>
                  <c:y val="-0.2041878342613032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7C-45A5-B949-F934707ABBB8}"/>
                </c:ext>
              </c:extLst>
            </c:dLbl>
            <c:dLbl>
              <c:idx val="8"/>
              <c:layout>
                <c:manualLayout>
                  <c:x val="0"/>
                  <c:y val="-0.20446326008412169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7C-45A5-B949-F934707ABBB8}"/>
                </c:ext>
              </c:extLst>
            </c:dLbl>
            <c:dLbl>
              <c:idx val="9"/>
              <c:layout>
                <c:manualLayout>
                  <c:x val="0"/>
                  <c:y val="-0.2081773355736392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47C-45A5-B949-F934707ABBB8}"/>
                </c:ext>
              </c:extLst>
            </c:dLbl>
            <c:dLbl>
              <c:idx val="10"/>
              <c:layout>
                <c:manualLayout>
                  <c:x val="0"/>
                  <c:y val="-9.552905259227569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7C-45A5-B949-F934707ABBB8}"/>
                </c:ext>
              </c:extLst>
            </c:dLbl>
            <c:dLbl>
              <c:idx val="11"/>
              <c:layout>
                <c:manualLayout>
                  <c:x val="7.0852643662024876E-17"/>
                  <c:y val="-0.1313963474230994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47C-45A5-B949-F934707ABBB8}"/>
                </c:ext>
              </c:extLst>
            </c:dLbl>
            <c:dLbl>
              <c:idx val="12"/>
              <c:layout>
                <c:manualLayout>
                  <c:x val="7.0852643662024876E-17"/>
                  <c:y val="-0.1250040083901647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7C-45A5-B949-F934707ABBB8}"/>
                </c:ext>
              </c:extLst>
            </c:dLbl>
            <c:dLbl>
              <c:idx val="13"/>
              <c:layout>
                <c:manualLayout>
                  <c:x val="0"/>
                  <c:y val="-0.1223171789718755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47C-45A5-B949-F934707ABBB8}"/>
                </c:ext>
              </c:extLst>
            </c:dLbl>
            <c:dLbl>
              <c:idx val="14"/>
              <c:layout>
                <c:manualLayout>
                  <c:x val="0"/>
                  <c:y val="-0.2488028640771370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47C-45A5-B949-F934707ABBB8}"/>
                </c:ext>
              </c:extLst>
            </c:dLbl>
            <c:dLbl>
              <c:idx val="15"/>
              <c:layout>
                <c:manualLayout>
                  <c:x val="0"/>
                  <c:y val="-0.1604950636400575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47C-45A5-B949-F934707ABBB8}"/>
                </c:ext>
              </c:extLst>
            </c:dLbl>
            <c:dLbl>
              <c:idx val="16"/>
              <c:layout>
                <c:manualLayout>
                  <c:x val="0"/>
                  <c:y val="-0.14462996518740628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47C-45A5-B949-F934707ABBB8}"/>
                </c:ext>
              </c:extLst>
            </c:dLbl>
            <c:dLbl>
              <c:idx val="17"/>
              <c:layout>
                <c:manualLayout>
                  <c:x val="0"/>
                  <c:y val="-0.2006428798910596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47C-45A5-B949-F934707ABBB8}"/>
                </c:ext>
              </c:extLst>
            </c:dLbl>
            <c:dLbl>
              <c:idx val="18"/>
              <c:layout>
                <c:manualLayout>
                  <c:x val="0"/>
                  <c:y val="-0.1470101802128295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47C-45A5-B949-F934707ABBB8}"/>
                </c:ext>
              </c:extLst>
            </c:dLbl>
            <c:dLbl>
              <c:idx val="19"/>
              <c:layout>
                <c:manualLayout>
                  <c:x val="0"/>
                  <c:y val="-0.18490934449093505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47C-45A5-B949-F934707ABBB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List7!$A$3:$A$22</c:f>
              <c:strCache>
                <c:ptCount val="20"/>
                <c:pt idx="0">
                  <c:v>Celkem</c:v>
                </c:pt>
                <c:pt idx="1">
                  <c:v>A - Zeměd., les., rybář.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List7!$F$3:$F$22</c:f>
              <c:numCache>
                <c:formatCode>#,##0.0</c:formatCode>
                <c:ptCount val="20"/>
                <c:pt idx="0">
                  <c:v>4.2</c:v>
                </c:pt>
                <c:pt idx="1">
                  <c:v>4.9854153538999952</c:v>
                </c:pt>
                <c:pt idx="2">
                  <c:v>5.8318936633000034</c:v>
                </c:pt>
                <c:pt idx="3">
                  <c:v>5.4609265505999947</c:v>
                </c:pt>
                <c:pt idx="4">
                  <c:v>2.6645939253000002</c:v>
                </c:pt>
                <c:pt idx="5">
                  <c:v>4.4273419940999998</c:v>
                </c:pt>
                <c:pt idx="6">
                  <c:v>4.650094475299996</c:v>
                </c:pt>
                <c:pt idx="7">
                  <c:v>4.1403217986000014</c:v>
                </c:pt>
                <c:pt idx="8">
                  <c:v>4.2110719175</c:v>
                </c:pt>
                <c:pt idx="9">
                  <c:v>4.1680265428999919</c:v>
                </c:pt>
                <c:pt idx="10">
                  <c:v>1.6963841369000014</c:v>
                </c:pt>
                <c:pt idx="11">
                  <c:v>2.4599692913999998</c:v>
                </c:pt>
                <c:pt idx="12">
                  <c:v>2.3767971739999987</c:v>
                </c:pt>
                <c:pt idx="13">
                  <c:v>2.2503831174000002</c:v>
                </c:pt>
                <c:pt idx="14">
                  <c:v>5.1702394424999998</c:v>
                </c:pt>
                <c:pt idx="15">
                  <c:v>3.1316981132999975</c:v>
                </c:pt>
                <c:pt idx="16">
                  <c:v>2.7654634805999998</c:v>
                </c:pt>
                <c:pt idx="17">
                  <c:v>4.0584882275999918</c:v>
                </c:pt>
                <c:pt idx="18">
                  <c:v>2.8204100605000004</c:v>
                </c:pt>
                <c:pt idx="19">
                  <c:v>3.7596841848999998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F47C-45A5-B949-F934707ABBB8}"/>
            </c:ext>
          </c:extLst>
        </c:ser>
        <c:gapWidth val="64"/>
        <c:overlap val="100"/>
        <c:axId val="86034688"/>
        <c:axId val="86033152"/>
      </c:barChart>
      <c:lineChart>
        <c:grouping val="standard"/>
        <c:ser>
          <c:idx val="0"/>
          <c:order val="0"/>
          <c:tx>
            <c:strRef>
              <c:f>List7!$B$2</c:f>
              <c:strCache>
                <c:ptCount val="1"/>
                <c:pt idx="0">
                  <c:v> celkem</c:v>
                </c:pt>
              </c:strCache>
            </c:strRef>
          </c:tx>
          <c:spPr>
            <a:ln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List7!$A$3:$A$22</c:f>
              <c:strCache>
                <c:ptCount val="20"/>
                <c:pt idx="0">
                  <c:v>Celkem</c:v>
                </c:pt>
                <c:pt idx="1">
                  <c:v>A - Zeměd., les., rybář.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List7!$B$3:$B$22</c:f>
              <c:numCache>
                <c:formatCode>#,##0.0</c:formatCode>
                <c:ptCount val="20"/>
                <c:pt idx="0">
                  <c:v>4.1989157571999884</c:v>
                </c:pt>
                <c:pt idx="1">
                  <c:v>4.2</c:v>
                </c:pt>
                <c:pt idx="2">
                  <c:v>4.2</c:v>
                </c:pt>
                <c:pt idx="3">
                  <c:v>4.2</c:v>
                </c:pt>
                <c:pt idx="4">
                  <c:v>4.2</c:v>
                </c:pt>
                <c:pt idx="5">
                  <c:v>4.2</c:v>
                </c:pt>
                <c:pt idx="6">
                  <c:v>4.2</c:v>
                </c:pt>
                <c:pt idx="7">
                  <c:v>4.2</c:v>
                </c:pt>
                <c:pt idx="8">
                  <c:v>4.2</c:v>
                </c:pt>
                <c:pt idx="9">
                  <c:v>4.2</c:v>
                </c:pt>
                <c:pt idx="10">
                  <c:v>4.2</c:v>
                </c:pt>
                <c:pt idx="11">
                  <c:v>4.2</c:v>
                </c:pt>
                <c:pt idx="12">
                  <c:v>4.2</c:v>
                </c:pt>
                <c:pt idx="13">
                  <c:v>4.2</c:v>
                </c:pt>
                <c:pt idx="14">
                  <c:v>4.2</c:v>
                </c:pt>
                <c:pt idx="15">
                  <c:v>4.2</c:v>
                </c:pt>
                <c:pt idx="16">
                  <c:v>4.2</c:v>
                </c:pt>
                <c:pt idx="17">
                  <c:v>4.2</c:v>
                </c:pt>
                <c:pt idx="18">
                  <c:v>4.2</c:v>
                </c:pt>
                <c:pt idx="19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F47C-45A5-B949-F934707ABBB8}"/>
            </c:ext>
          </c:extLst>
        </c:ser>
        <c:marker val="1"/>
        <c:axId val="86013440"/>
        <c:axId val="86014976"/>
      </c:lineChart>
      <c:catAx>
        <c:axId val="86013440"/>
        <c:scaling>
          <c:orientation val="minMax"/>
        </c:scaling>
        <c:axPos val="b"/>
        <c:numFmt formatCode="General" sourceLinked="0"/>
        <c:tickLblPos val="nextTo"/>
        <c:crossAx val="86014976"/>
        <c:crosses val="autoZero"/>
        <c:auto val="1"/>
        <c:lblAlgn val="ctr"/>
        <c:lblOffset val="100"/>
      </c:catAx>
      <c:valAx>
        <c:axId val="86014976"/>
        <c:scaling>
          <c:orientation val="minMax"/>
          <c:max val="6"/>
          <c:min val="0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sysDot"/>
            </a:ln>
          </c:spPr>
        </c:majorGridlines>
        <c:numFmt formatCode="0.0" sourceLinked="1"/>
        <c:tickLblPos val="nextTo"/>
        <c:spPr>
          <a:ln>
            <a:noFill/>
          </a:ln>
        </c:spPr>
        <c:crossAx val="86013440"/>
        <c:crosses val="autoZero"/>
        <c:crossBetween val="between"/>
      </c:valAx>
      <c:valAx>
        <c:axId val="86033152"/>
        <c:scaling>
          <c:orientation val="minMax"/>
          <c:max val="6"/>
          <c:min val="0"/>
        </c:scaling>
        <c:axPos val="r"/>
        <c:numFmt formatCode="#,##0.0" sourceLinked="1"/>
        <c:tickLblPos val="nextTo"/>
        <c:spPr>
          <a:ln>
            <a:noFill/>
          </a:ln>
        </c:spPr>
        <c:txPr>
          <a:bodyPr/>
          <a:lstStyle/>
          <a:p>
            <a:pPr>
              <a:defRPr sz="100">
                <a:solidFill>
                  <a:schemeClr val="bg1"/>
                </a:solidFill>
              </a:defRPr>
            </a:pPr>
            <a:endParaRPr lang="cs-CZ"/>
          </a:p>
        </c:txPr>
        <c:crossAx val="86034688"/>
        <c:crosses val="max"/>
        <c:crossBetween val="between"/>
      </c:valAx>
      <c:catAx>
        <c:axId val="86034688"/>
        <c:scaling>
          <c:orientation val="minMax"/>
        </c:scaling>
        <c:delete val="1"/>
        <c:axPos val="b"/>
        <c:numFmt formatCode="General" sourceLinked="1"/>
        <c:tickLblPos val="none"/>
        <c:crossAx val="86033152"/>
        <c:crosses val="autoZero"/>
        <c:auto val="1"/>
        <c:lblAlgn val="ctr"/>
        <c:lblOffset val="100"/>
      </c:catAx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21646361596104841"/>
          <c:y val="0.95858970557550605"/>
          <c:w val="0.56707261592300962"/>
          <c:h val="4.1410294424494024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stacked"/>
        <c:ser>
          <c:idx val="0"/>
          <c:order val="0"/>
          <c:tx>
            <c:strRef>
              <c:f>List2!$B$20</c:f>
              <c:strCache>
                <c:ptCount val="1"/>
                <c:pt idx="0">
                  <c:v>  nemoc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dLbls>
            <c:numFmt formatCode="#,##0" sourceLinked="0"/>
            <c:txPr>
              <a:bodyPr/>
              <a:lstStyle/>
              <a:p>
                <a:pPr>
                  <a:defRPr sz="780"/>
                </a:pPr>
                <a:endParaRPr lang="cs-CZ"/>
              </a:p>
            </c:txPr>
            <c:showVal val="1"/>
          </c:dLbls>
          <c:cat>
            <c:numRef>
              <c:f>List2!$A$21:$A$31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List2!$B$21:$B$31</c:f>
              <c:numCache>
                <c:formatCode>0.0</c:formatCode>
                <c:ptCount val="11"/>
                <c:pt idx="0">
                  <c:v>2482.3000000000002</c:v>
                </c:pt>
                <c:pt idx="1">
                  <c:v>2518.9</c:v>
                </c:pt>
                <c:pt idx="2">
                  <c:v>2037.8</c:v>
                </c:pt>
                <c:pt idx="3">
                  <c:v>1305.5</c:v>
                </c:pt>
                <c:pt idx="4">
                  <c:v>1188</c:v>
                </c:pt>
                <c:pt idx="5">
                  <c:v>1144.5</c:v>
                </c:pt>
                <c:pt idx="6">
                  <c:v>1067.3</c:v>
                </c:pt>
                <c:pt idx="7">
                  <c:v>1168.0999999999999</c:v>
                </c:pt>
                <c:pt idx="8">
                  <c:v>1146.3</c:v>
                </c:pt>
                <c:pt idx="9">
                  <c:v>1383.9</c:v>
                </c:pt>
                <c:pt idx="10">
                  <c:v>1440.9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E3-4B7E-8E20-77057148E30A}"/>
            </c:ext>
          </c:extLst>
        </c:ser>
        <c:ser>
          <c:idx val="1"/>
          <c:order val="1"/>
          <c:tx>
            <c:strRef>
              <c:f>List2!$C$20</c:f>
              <c:strCache>
                <c:ptCount val="1"/>
                <c:pt idx="0">
                  <c:v> pracovní úrazy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numRef>
              <c:f>List2!$A$21:$A$31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List2!$C$21:$C$31</c:f>
              <c:numCache>
                <c:formatCode>0.0</c:formatCode>
                <c:ptCount val="11"/>
                <c:pt idx="0">
                  <c:v>82.3</c:v>
                </c:pt>
                <c:pt idx="1">
                  <c:v>77.2</c:v>
                </c:pt>
                <c:pt idx="2">
                  <c:v>71.3</c:v>
                </c:pt>
                <c:pt idx="3">
                  <c:v>50.2</c:v>
                </c:pt>
                <c:pt idx="4">
                  <c:v>51.7</c:v>
                </c:pt>
                <c:pt idx="5">
                  <c:v>47.1</c:v>
                </c:pt>
                <c:pt idx="6">
                  <c:v>44.1</c:v>
                </c:pt>
                <c:pt idx="7">
                  <c:v>42.9</c:v>
                </c:pt>
                <c:pt idx="8">
                  <c:v>45.1</c:v>
                </c:pt>
                <c:pt idx="9">
                  <c:v>46.3</c:v>
                </c:pt>
                <c:pt idx="10">
                  <c:v>47.4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E3-4B7E-8E20-77057148E30A}"/>
            </c:ext>
          </c:extLst>
        </c:ser>
        <c:ser>
          <c:idx val="2"/>
          <c:order val="2"/>
          <c:tx>
            <c:strRef>
              <c:f>List2!$D$20</c:f>
              <c:strCache>
                <c:ptCount val="1"/>
                <c:pt idx="0">
                  <c:v> ostatní úrazy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numRef>
              <c:f>List2!$A$21:$A$31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List2!$D$21:$D$31</c:f>
              <c:numCache>
                <c:formatCode>0.0</c:formatCode>
                <c:ptCount val="11"/>
                <c:pt idx="0">
                  <c:v>142.1</c:v>
                </c:pt>
                <c:pt idx="1">
                  <c:v>130.5</c:v>
                </c:pt>
                <c:pt idx="2">
                  <c:v>112.6</c:v>
                </c:pt>
                <c:pt idx="3">
                  <c:v>85.8</c:v>
                </c:pt>
                <c:pt idx="4">
                  <c:v>85.3</c:v>
                </c:pt>
                <c:pt idx="5">
                  <c:v>77.099999999999994</c:v>
                </c:pt>
                <c:pt idx="6">
                  <c:v>115.4</c:v>
                </c:pt>
                <c:pt idx="7">
                  <c:v>120.5</c:v>
                </c:pt>
                <c:pt idx="8">
                  <c:v>123.4</c:v>
                </c:pt>
                <c:pt idx="9">
                  <c:v>133.30000000000001</c:v>
                </c:pt>
                <c:pt idx="10">
                  <c:v>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E3-4B7E-8E20-77057148E30A}"/>
            </c:ext>
          </c:extLst>
        </c:ser>
        <c:gapWidth val="78"/>
        <c:overlap val="100"/>
        <c:axId val="59730176"/>
        <c:axId val="59764736"/>
      </c:barChart>
      <c:barChart>
        <c:barDir val="col"/>
        <c:grouping val="stacked"/>
        <c:ser>
          <c:idx val="3"/>
          <c:order val="3"/>
          <c:tx>
            <c:strRef>
              <c:f>List2!$E$20</c:f>
              <c:strCache>
                <c:ptCount val="1"/>
                <c:pt idx="0">
                  <c:v>celkem</c:v>
                </c:pt>
              </c:strCache>
            </c:strRef>
          </c:tx>
          <c:spPr>
            <a:noFill/>
          </c:spPr>
          <c:dLbls>
            <c:dLbl>
              <c:idx val="0"/>
              <c:layout>
                <c:manualLayout>
                  <c:x val="0"/>
                  <c:y val="-0.26339808837216255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E3-4B7E-8E20-77057148E30A}"/>
                </c:ext>
              </c:extLst>
            </c:dLbl>
            <c:dLbl>
              <c:idx val="1"/>
              <c:layout>
                <c:manualLayout>
                  <c:x val="0"/>
                  <c:y val="-0.2600851910396766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E3-4B7E-8E20-77057148E30A}"/>
                </c:ext>
              </c:extLst>
            </c:dLbl>
            <c:dLbl>
              <c:idx val="2"/>
              <c:layout>
                <c:manualLayout>
                  <c:x val="-3.2855056536826333E-17"/>
                  <c:y val="-0.2222063986842170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E3-4B7E-8E20-77057148E30A}"/>
                </c:ext>
              </c:extLst>
            </c:dLbl>
            <c:dLbl>
              <c:idx val="3"/>
              <c:layout>
                <c:manualLayout>
                  <c:x val="0"/>
                  <c:y val="-0.1534415702727590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E3-4B7E-8E20-77057148E30A}"/>
                </c:ext>
              </c:extLst>
            </c:dLbl>
            <c:dLbl>
              <c:idx val="4"/>
              <c:layout>
                <c:manualLayout>
                  <c:x val="0"/>
                  <c:y val="-0.1410369670020140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E3-4B7E-8E20-77057148E30A}"/>
                </c:ext>
              </c:extLst>
            </c:dLbl>
            <c:dLbl>
              <c:idx val="5"/>
              <c:layout>
                <c:manualLayout>
                  <c:x val="-6.571011307365253E-17"/>
                  <c:y val="-0.1412755019131051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7E3-4B7E-8E20-77057148E30A}"/>
                </c:ext>
              </c:extLst>
            </c:dLbl>
            <c:dLbl>
              <c:idx val="6"/>
              <c:layout>
                <c:manualLayout>
                  <c:x val="6.571011307365253E-17"/>
                  <c:y val="-0.1352152181727759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E3-4B7E-8E20-77057148E30A}"/>
                </c:ext>
              </c:extLst>
            </c:dLbl>
            <c:dLbl>
              <c:idx val="7"/>
              <c:layout>
                <c:manualLayout>
                  <c:x val="5.3763440860215275E-3"/>
                  <c:y val="-0.1415975535891038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7E3-4B7E-8E20-77057148E30A}"/>
                </c:ext>
              </c:extLst>
            </c:dLbl>
            <c:dLbl>
              <c:idx val="8"/>
              <c:layout>
                <c:manualLayout>
                  <c:x val="-1.7921146953405055E-3"/>
                  <c:y val="-0.1526869647860626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7E3-4B7E-8E20-77057148E30A}"/>
                </c:ext>
              </c:extLst>
            </c:dLbl>
            <c:dLbl>
              <c:idx val="9"/>
              <c:layout>
                <c:manualLayout>
                  <c:x val="3.9430668714929709E-3"/>
                  <c:y val="-0.16631423896871647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E3-4B7E-8E20-77057148E30A}"/>
                </c:ext>
              </c:extLst>
            </c:dLbl>
            <c:dLbl>
              <c:idx val="10"/>
              <c:layout>
                <c:manualLayout>
                  <c:x val="1.3619339462036101E-3"/>
                  <c:y val="-0.1622350583287783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7E3-4B7E-8E20-77057148E30A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List2!$A$21:$A$31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List2!$E$21:$E$31</c:f>
              <c:numCache>
                <c:formatCode>0.0</c:formatCode>
                <c:ptCount val="11"/>
                <c:pt idx="0">
                  <c:v>2706.7</c:v>
                </c:pt>
                <c:pt idx="1">
                  <c:v>2726.6</c:v>
                </c:pt>
                <c:pt idx="2">
                  <c:v>2221.6999999999998</c:v>
                </c:pt>
                <c:pt idx="3">
                  <c:v>1441.5</c:v>
                </c:pt>
                <c:pt idx="4">
                  <c:v>1324.9</c:v>
                </c:pt>
                <c:pt idx="5">
                  <c:v>1268.8</c:v>
                </c:pt>
                <c:pt idx="6">
                  <c:v>1226.9000000000001</c:v>
                </c:pt>
                <c:pt idx="7">
                  <c:v>1331.5</c:v>
                </c:pt>
                <c:pt idx="8">
                  <c:v>1314.8</c:v>
                </c:pt>
                <c:pt idx="9">
                  <c:v>1563.5</c:v>
                </c:pt>
                <c:pt idx="10">
                  <c:v>1633.4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7E3-4B7E-8E20-77057148E30A}"/>
            </c:ext>
          </c:extLst>
        </c:ser>
        <c:gapWidth val="500"/>
        <c:overlap val="100"/>
        <c:axId val="59767808"/>
        <c:axId val="59766272"/>
      </c:barChart>
      <c:lineChart>
        <c:grouping val="standard"/>
        <c:ser>
          <c:idx val="4"/>
          <c:order val="4"/>
          <c:tx>
            <c:strRef>
              <c:f>List2!$F$20</c:f>
              <c:strCache>
                <c:ptCount val="1"/>
                <c:pt idx="0">
                  <c:v> počet pojištěnců</c:v>
                </c:pt>
              </c:strCache>
            </c:strRef>
          </c:tx>
          <c:dLbls>
            <c:numFmt formatCode="#,##0" sourceLinked="0"/>
            <c:dLblPos val="t"/>
            <c:showVal val="1"/>
          </c:dLbls>
          <c:cat>
            <c:numRef>
              <c:f>List2!$A$21:$A$31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List2!$F$21:$F$31</c:f>
              <c:numCache>
                <c:formatCode>0.0</c:formatCode>
                <c:ptCount val="11"/>
                <c:pt idx="0">
                  <c:v>4497</c:v>
                </c:pt>
                <c:pt idx="1">
                  <c:v>4597</c:v>
                </c:pt>
                <c:pt idx="2">
                  <c:v>4572.4000000000005</c:v>
                </c:pt>
                <c:pt idx="3">
                  <c:v>4253.1000000000004</c:v>
                </c:pt>
                <c:pt idx="4">
                  <c:v>4311</c:v>
                </c:pt>
                <c:pt idx="5">
                  <c:v>4211.5</c:v>
                </c:pt>
                <c:pt idx="6">
                  <c:v>4471.9000000000005</c:v>
                </c:pt>
                <c:pt idx="7">
                  <c:v>4440.3</c:v>
                </c:pt>
                <c:pt idx="8">
                  <c:v>4464.1000000000004</c:v>
                </c:pt>
                <c:pt idx="9">
                  <c:v>4507</c:v>
                </c:pt>
                <c:pt idx="10">
                  <c:v>4571.3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7E3-4B7E-8E20-77057148E30A}"/>
            </c:ext>
          </c:extLst>
        </c:ser>
        <c:marker val="1"/>
        <c:axId val="59767808"/>
        <c:axId val="59766272"/>
      </c:lineChart>
      <c:catAx>
        <c:axId val="59730176"/>
        <c:scaling>
          <c:orientation val="minMax"/>
        </c:scaling>
        <c:axPos val="b"/>
        <c:numFmt formatCode="General" sourceLinked="1"/>
        <c:tickLblPos val="nextTo"/>
        <c:crossAx val="59764736"/>
        <c:crosses val="autoZero"/>
        <c:auto val="1"/>
        <c:lblAlgn val="ctr"/>
        <c:lblOffset val="100"/>
      </c:catAx>
      <c:valAx>
        <c:axId val="59764736"/>
        <c:scaling>
          <c:orientation val="minMax"/>
          <c:max val="50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#,##0" sourceLinked="0"/>
        <c:tickLblPos val="nextTo"/>
        <c:spPr>
          <a:ln>
            <a:noFill/>
          </a:ln>
        </c:spPr>
        <c:crossAx val="59730176"/>
        <c:crosses val="autoZero"/>
        <c:crossBetween val="between"/>
      </c:valAx>
      <c:valAx>
        <c:axId val="59766272"/>
        <c:scaling>
          <c:orientation val="minMax"/>
          <c:max val="5000"/>
          <c:min val="0"/>
        </c:scaling>
        <c:axPos val="r"/>
        <c:numFmt formatCode="0.0" sourceLinked="1"/>
        <c:tickLblPos val="nextTo"/>
        <c:spPr>
          <a:ln>
            <a:noFill/>
          </a:ln>
        </c:spPr>
        <c:txPr>
          <a:bodyPr/>
          <a:lstStyle/>
          <a:p>
            <a:pPr>
              <a:defRPr sz="100">
                <a:solidFill>
                  <a:schemeClr val="bg1"/>
                </a:solidFill>
              </a:defRPr>
            </a:pPr>
            <a:endParaRPr lang="cs-CZ"/>
          </a:p>
        </c:txPr>
        <c:crossAx val="59767808"/>
        <c:crosses val="max"/>
        <c:crossBetween val="between"/>
      </c:valAx>
      <c:catAx>
        <c:axId val="59767808"/>
        <c:scaling>
          <c:orientation val="minMax"/>
        </c:scaling>
        <c:delete val="1"/>
        <c:axPos val="b"/>
        <c:numFmt formatCode="General" sourceLinked="1"/>
        <c:tickLblPos val="none"/>
        <c:crossAx val="59766272"/>
        <c:crosses val="autoZero"/>
        <c:auto val="1"/>
        <c:lblAlgn val="ctr"/>
        <c:lblOffset val="100"/>
      </c:catAx>
    </c:plotArea>
    <c:legend>
      <c:legendPos val="b"/>
      <c:legendEntry>
        <c:idx val="3"/>
        <c:delete val="1"/>
      </c:legendEntry>
      <c:layout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0.15694895184094265"/>
          <c:y val="7.0372689289212434E-2"/>
          <c:w val="0.46443383687878775"/>
          <c:h val="0.8789367320877296"/>
        </c:manualLayout>
      </c:layout>
      <c:doughnutChart>
        <c:varyColors val="1"/>
        <c:ser>
          <c:idx val="0"/>
          <c:order val="0"/>
          <c:tx>
            <c:strRef>
              <c:f>List2!$A$103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DAA-4C1C-9196-62E916EF484B}"/>
              </c:ext>
            </c:extLst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AA-4C1C-9196-62E916EF484B}"/>
              </c:ext>
            </c:extLst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DAA-4C1C-9196-62E916EF484B}"/>
              </c:ext>
            </c:extLst>
          </c:dPt>
          <c:dPt>
            <c:idx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AA-4C1C-9196-62E916EF484B}"/>
              </c:ext>
            </c:extLst>
          </c:dPt>
          <c:dPt>
            <c:idx val="4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DAA-4C1C-9196-62E916EF484B}"/>
              </c:ext>
            </c:extLst>
          </c:dPt>
          <c:dPt>
            <c:idx val="5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AA-4C1C-9196-62E916EF484B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</c:dLbl>
            <c:dLbl>
              <c:idx val="3"/>
              <c:layout>
                <c:manualLayout>
                  <c:x val="-8.3200875247003026E-3"/>
                  <c:y val="-3.9364221332308325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AA-4C1C-9196-62E916EF484B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List2!$B$90:$G$90</c:f>
              <c:strCache>
                <c:ptCount val="6"/>
                <c:pt idx="0">
                  <c:v> nemoc - muži</c:v>
                </c:pt>
                <c:pt idx="1">
                  <c:v> nemoc - ženy</c:v>
                </c:pt>
                <c:pt idx="2">
                  <c:v> pracovní úrazy - muži</c:v>
                </c:pt>
                <c:pt idx="3">
                  <c:v> pracovní úrazy - ženy</c:v>
                </c:pt>
                <c:pt idx="4">
                  <c:v> ostatní úrazy - muži</c:v>
                </c:pt>
                <c:pt idx="5">
                  <c:v> ostatní úrazy - ženy</c:v>
                </c:pt>
              </c:strCache>
            </c:strRef>
          </c:cat>
          <c:val>
            <c:numRef>
              <c:f>List2!$B$103:$G$103</c:f>
              <c:numCache>
                <c:formatCode>0.0%</c:formatCode>
                <c:ptCount val="6"/>
                <c:pt idx="0">
                  <c:v>0.40296314436145481</c:v>
                </c:pt>
                <c:pt idx="1">
                  <c:v>0.47918452308069187</c:v>
                </c:pt>
                <c:pt idx="2">
                  <c:v>2.0203257009918051E-2</c:v>
                </c:pt>
                <c:pt idx="3">
                  <c:v>9.0608546589935248E-3</c:v>
                </c:pt>
                <c:pt idx="4">
                  <c:v>5.7058895555283463E-2</c:v>
                </c:pt>
                <c:pt idx="5">
                  <c:v>3.1712991306477284E-2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DAA-4C1C-9196-62E916EF484B}"/>
            </c:ext>
          </c:extLst>
        </c:ser>
        <c:firstSliceAng val="0"/>
        <c:holeSize val="44"/>
      </c:doughnutChart>
    </c:plotArea>
    <c:legend>
      <c:legendPos val="r"/>
      <c:layout>
        <c:manualLayout>
          <c:xMode val="edge"/>
          <c:yMode val="edge"/>
          <c:x val="0.6964458649738251"/>
          <c:y val="0.25276107467423775"/>
          <c:w val="0.21619321601682406"/>
          <c:h val="0.41574940798690752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cs-CZ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6528851803972262E-2"/>
          <c:y val="1.8243969503812046E-2"/>
          <c:w val="0.93269667410976664"/>
          <c:h val="0.77550587426571782"/>
        </c:manualLayout>
      </c:layout>
      <c:barChart>
        <c:barDir val="col"/>
        <c:grouping val="stacked"/>
        <c:ser>
          <c:idx val="1"/>
          <c:order val="1"/>
          <c:tx>
            <c:strRef>
              <c:f>List8!$D$62</c:f>
              <c:strCache>
                <c:ptCount val="1"/>
                <c:pt idx="0">
                  <c:v> nemoc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dLbls>
            <c:numFmt formatCode="#,##0" sourceLinked="0"/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Val val="1"/>
          </c:dLbls>
          <c:cat>
            <c:multiLvlStrRef>
              <c:f>List8!$A$63:$B$85</c:f>
              <c:multiLvlStrCache>
                <c:ptCount val="23"/>
                <c:lvl>
                  <c:pt idx="0">
                    <c:v>2006</c:v>
                  </c:pt>
                  <c:pt idx="1">
                    <c:v>2007</c:v>
                  </c:pt>
                  <c:pt idx="2">
                    <c:v>2008</c:v>
                  </c:pt>
                  <c:pt idx="3">
                    <c:v>2009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2014</c:v>
                  </c:pt>
                  <c:pt idx="9">
                    <c:v>2015</c:v>
                  </c:pt>
                  <c:pt idx="10">
                    <c:v>2016</c:v>
                  </c:pt>
                  <c:pt idx="12">
                    <c:v>2006</c:v>
                  </c:pt>
                  <c:pt idx="13">
                    <c:v>2007</c:v>
                  </c:pt>
                  <c:pt idx="14">
                    <c:v>2008</c:v>
                  </c:pt>
                  <c:pt idx="15">
                    <c:v>2009</c:v>
                  </c:pt>
                  <c:pt idx="16">
                    <c:v>2010</c:v>
                  </c:pt>
                  <c:pt idx="17">
                    <c:v>2011</c:v>
                  </c:pt>
                  <c:pt idx="18">
                    <c:v>2012</c:v>
                  </c:pt>
                  <c:pt idx="19">
                    <c:v>2013</c:v>
                  </c:pt>
                  <c:pt idx="20">
                    <c:v>2014</c:v>
                  </c:pt>
                  <c:pt idx="21">
                    <c:v>2015</c:v>
                  </c:pt>
                  <c:pt idx="22">
                    <c:v>2016</c:v>
                  </c:pt>
                </c:lvl>
                <c:lvl>
                  <c:pt idx="0">
                    <c:v>muži</c:v>
                  </c:pt>
                  <c:pt idx="12">
                    <c:v>ženy</c:v>
                  </c:pt>
                </c:lvl>
              </c:multiLvlStrCache>
            </c:multiLvlStrRef>
          </c:cat>
          <c:val>
            <c:numRef>
              <c:f>List8!$D$63:$D$85</c:f>
              <c:numCache>
                <c:formatCode>0.0</c:formatCode>
                <c:ptCount val="23"/>
                <c:pt idx="0">
                  <c:v>1209.3</c:v>
                </c:pt>
                <c:pt idx="1">
                  <c:v>1215.5</c:v>
                </c:pt>
                <c:pt idx="2">
                  <c:v>961</c:v>
                </c:pt>
                <c:pt idx="3">
                  <c:v>599.4</c:v>
                </c:pt>
                <c:pt idx="4">
                  <c:v>548.6</c:v>
                </c:pt>
                <c:pt idx="5">
                  <c:v>519.20000000000005</c:v>
                </c:pt>
                <c:pt idx="6">
                  <c:v>485.9</c:v>
                </c:pt>
                <c:pt idx="7">
                  <c:v>528.70000000000005</c:v>
                </c:pt>
                <c:pt idx="8">
                  <c:v>518.5</c:v>
                </c:pt>
                <c:pt idx="9">
                  <c:v>632.6</c:v>
                </c:pt>
                <c:pt idx="10">
                  <c:v>658.2</c:v>
                </c:pt>
                <c:pt idx="12">
                  <c:v>1273</c:v>
                </c:pt>
                <c:pt idx="13">
                  <c:v>1303.4000000000001</c:v>
                </c:pt>
                <c:pt idx="14">
                  <c:v>1076.8</c:v>
                </c:pt>
                <c:pt idx="15">
                  <c:v>706.2</c:v>
                </c:pt>
                <c:pt idx="16">
                  <c:v>639.4</c:v>
                </c:pt>
                <c:pt idx="17">
                  <c:v>625.29999999999995</c:v>
                </c:pt>
                <c:pt idx="18">
                  <c:v>581.4</c:v>
                </c:pt>
                <c:pt idx="19">
                  <c:v>639.4</c:v>
                </c:pt>
                <c:pt idx="20">
                  <c:v>627.79999999999995</c:v>
                </c:pt>
                <c:pt idx="21">
                  <c:v>751.3</c:v>
                </c:pt>
                <c:pt idx="22">
                  <c:v>782.7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37-4E29-8D4D-C56674AB87E6}"/>
            </c:ext>
          </c:extLst>
        </c:ser>
        <c:ser>
          <c:idx val="2"/>
          <c:order val="2"/>
          <c:tx>
            <c:strRef>
              <c:f>List8!$E$62</c:f>
              <c:strCache>
                <c:ptCount val="1"/>
                <c:pt idx="0">
                  <c:v> pracovní úraz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multiLvlStrRef>
              <c:f>List8!$A$63:$B$85</c:f>
              <c:multiLvlStrCache>
                <c:ptCount val="23"/>
                <c:lvl>
                  <c:pt idx="0">
                    <c:v>2006</c:v>
                  </c:pt>
                  <c:pt idx="1">
                    <c:v>2007</c:v>
                  </c:pt>
                  <c:pt idx="2">
                    <c:v>2008</c:v>
                  </c:pt>
                  <c:pt idx="3">
                    <c:v>2009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2014</c:v>
                  </c:pt>
                  <c:pt idx="9">
                    <c:v>2015</c:v>
                  </c:pt>
                  <c:pt idx="10">
                    <c:v>2016</c:v>
                  </c:pt>
                  <c:pt idx="12">
                    <c:v>2006</c:v>
                  </c:pt>
                  <c:pt idx="13">
                    <c:v>2007</c:v>
                  </c:pt>
                  <c:pt idx="14">
                    <c:v>2008</c:v>
                  </c:pt>
                  <c:pt idx="15">
                    <c:v>2009</c:v>
                  </c:pt>
                  <c:pt idx="16">
                    <c:v>2010</c:v>
                  </c:pt>
                  <c:pt idx="17">
                    <c:v>2011</c:v>
                  </c:pt>
                  <c:pt idx="18">
                    <c:v>2012</c:v>
                  </c:pt>
                  <c:pt idx="19">
                    <c:v>2013</c:v>
                  </c:pt>
                  <c:pt idx="20">
                    <c:v>2014</c:v>
                  </c:pt>
                  <c:pt idx="21">
                    <c:v>2015</c:v>
                  </c:pt>
                  <c:pt idx="22">
                    <c:v>2016</c:v>
                  </c:pt>
                </c:lvl>
                <c:lvl>
                  <c:pt idx="0">
                    <c:v>muži</c:v>
                  </c:pt>
                  <c:pt idx="12">
                    <c:v>ženy</c:v>
                  </c:pt>
                </c:lvl>
              </c:multiLvlStrCache>
            </c:multiLvlStrRef>
          </c:cat>
          <c:val>
            <c:numRef>
              <c:f>List8!$E$63:$E$85</c:f>
              <c:numCache>
                <c:formatCode>0.0</c:formatCode>
                <c:ptCount val="23"/>
                <c:pt idx="0">
                  <c:v>61</c:v>
                </c:pt>
                <c:pt idx="1">
                  <c:v>57.3</c:v>
                </c:pt>
                <c:pt idx="2">
                  <c:v>52.3</c:v>
                </c:pt>
                <c:pt idx="3">
                  <c:v>36</c:v>
                </c:pt>
                <c:pt idx="4">
                  <c:v>36.700000000000003</c:v>
                </c:pt>
                <c:pt idx="5">
                  <c:v>33.6</c:v>
                </c:pt>
                <c:pt idx="6">
                  <c:v>31.5</c:v>
                </c:pt>
                <c:pt idx="7">
                  <c:v>30.4</c:v>
                </c:pt>
                <c:pt idx="8">
                  <c:v>31.7</c:v>
                </c:pt>
                <c:pt idx="9">
                  <c:v>31.8</c:v>
                </c:pt>
                <c:pt idx="10">
                  <c:v>33</c:v>
                </c:pt>
                <c:pt idx="12">
                  <c:v>21.3</c:v>
                </c:pt>
                <c:pt idx="13">
                  <c:v>19.899999999999999</c:v>
                </c:pt>
                <c:pt idx="14">
                  <c:v>19</c:v>
                </c:pt>
                <c:pt idx="15">
                  <c:v>14.2</c:v>
                </c:pt>
                <c:pt idx="16">
                  <c:v>15</c:v>
                </c:pt>
                <c:pt idx="17">
                  <c:v>13.5</c:v>
                </c:pt>
                <c:pt idx="18">
                  <c:v>12.7</c:v>
                </c:pt>
                <c:pt idx="19">
                  <c:v>12.5</c:v>
                </c:pt>
                <c:pt idx="20">
                  <c:v>13.3</c:v>
                </c:pt>
                <c:pt idx="21">
                  <c:v>14.5</c:v>
                </c:pt>
                <c:pt idx="22">
                  <c:v>14.8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37-4E29-8D4D-C56674AB87E6}"/>
            </c:ext>
          </c:extLst>
        </c:ser>
        <c:ser>
          <c:idx val="3"/>
          <c:order val="3"/>
          <c:tx>
            <c:strRef>
              <c:f>List8!$F$62</c:f>
              <c:strCache>
                <c:ptCount val="1"/>
                <c:pt idx="0">
                  <c:v> ostatní úraz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multiLvlStrRef>
              <c:f>List8!$A$63:$B$85</c:f>
              <c:multiLvlStrCache>
                <c:ptCount val="23"/>
                <c:lvl>
                  <c:pt idx="0">
                    <c:v>2006</c:v>
                  </c:pt>
                  <c:pt idx="1">
                    <c:v>2007</c:v>
                  </c:pt>
                  <c:pt idx="2">
                    <c:v>2008</c:v>
                  </c:pt>
                  <c:pt idx="3">
                    <c:v>2009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2014</c:v>
                  </c:pt>
                  <c:pt idx="9">
                    <c:v>2015</c:v>
                  </c:pt>
                  <c:pt idx="10">
                    <c:v>2016</c:v>
                  </c:pt>
                  <c:pt idx="12">
                    <c:v>2006</c:v>
                  </c:pt>
                  <c:pt idx="13">
                    <c:v>2007</c:v>
                  </c:pt>
                  <c:pt idx="14">
                    <c:v>2008</c:v>
                  </c:pt>
                  <c:pt idx="15">
                    <c:v>2009</c:v>
                  </c:pt>
                  <c:pt idx="16">
                    <c:v>2010</c:v>
                  </c:pt>
                  <c:pt idx="17">
                    <c:v>2011</c:v>
                  </c:pt>
                  <c:pt idx="18">
                    <c:v>2012</c:v>
                  </c:pt>
                  <c:pt idx="19">
                    <c:v>2013</c:v>
                  </c:pt>
                  <c:pt idx="20">
                    <c:v>2014</c:v>
                  </c:pt>
                  <c:pt idx="21">
                    <c:v>2015</c:v>
                  </c:pt>
                  <c:pt idx="22">
                    <c:v>2016</c:v>
                  </c:pt>
                </c:lvl>
                <c:lvl>
                  <c:pt idx="0">
                    <c:v>muži</c:v>
                  </c:pt>
                  <c:pt idx="12">
                    <c:v>ženy</c:v>
                  </c:pt>
                </c:lvl>
              </c:multiLvlStrCache>
            </c:multiLvlStrRef>
          </c:cat>
          <c:val>
            <c:numRef>
              <c:f>List8!$F$63:$F$85</c:f>
              <c:numCache>
                <c:formatCode>0.0</c:formatCode>
                <c:ptCount val="23"/>
                <c:pt idx="0">
                  <c:v>99.6</c:v>
                </c:pt>
                <c:pt idx="1">
                  <c:v>93.4</c:v>
                </c:pt>
                <c:pt idx="2">
                  <c:v>79.3</c:v>
                </c:pt>
                <c:pt idx="3">
                  <c:v>58.9</c:v>
                </c:pt>
                <c:pt idx="4">
                  <c:v>57.4</c:v>
                </c:pt>
                <c:pt idx="5">
                  <c:v>52.3</c:v>
                </c:pt>
                <c:pt idx="6">
                  <c:v>76.400000000000006</c:v>
                </c:pt>
                <c:pt idx="7">
                  <c:v>79.099999999999994</c:v>
                </c:pt>
                <c:pt idx="8">
                  <c:v>81.5</c:v>
                </c:pt>
                <c:pt idx="9">
                  <c:v>87</c:v>
                </c:pt>
                <c:pt idx="10">
                  <c:v>93.2</c:v>
                </c:pt>
                <c:pt idx="12">
                  <c:v>42.6</c:v>
                </c:pt>
                <c:pt idx="13">
                  <c:v>37.1</c:v>
                </c:pt>
                <c:pt idx="14">
                  <c:v>33.300000000000004</c:v>
                </c:pt>
                <c:pt idx="15">
                  <c:v>26.9</c:v>
                </c:pt>
                <c:pt idx="16">
                  <c:v>27.9</c:v>
                </c:pt>
                <c:pt idx="17">
                  <c:v>24.8</c:v>
                </c:pt>
                <c:pt idx="18">
                  <c:v>39.1</c:v>
                </c:pt>
                <c:pt idx="19">
                  <c:v>41.4</c:v>
                </c:pt>
                <c:pt idx="20">
                  <c:v>42</c:v>
                </c:pt>
                <c:pt idx="21">
                  <c:v>46.2</c:v>
                </c:pt>
                <c:pt idx="22">
                  <c:v>51.8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37-4E29-8D4D-C56674AB87E6}"/>
            </c:ext>
          </c:extLst>
        </c:ser>
        <c:gapWidth val="26"/>
        <c:overlap val="100"/>
        <c:axId val="61992320"/>
        <c:axId val="62272640"/>
      </c:barChart>
      <c:barChart>
        <c:barDir val="col"/>
        <c:grouping val="stacked"/>
        <c:ser>
          <c:idx val="0"/>
          <c:order val="0"/>
          <c:tx>
            <c:strRef>
              <c:f>List8!$C$62</c:f>
              <c:strCache>
                <c:ptCount val="1"/>
                <c:pt idx="0">
                  <c:v>celkem</c:v>
                </c:pt>
              </c:strCache>
            </c:strRef>
          </c:tx>
          <c:spPr>
            <a:noFill/>
          </c:spPr>
          <c:dLbls>
            <c:dLbl>
              <c:idx val="0"/>
              <c:layout>
                <c:manualLayout>
                  <c:x val="-6.0024009603841539E-3"/>
                  <c:y val="-0.3775183174165313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37-4E29-8D4D-C56674AB87E6}"/>
                </c:ext>
              </c:extLst>
            </c:dLbl>
            <c:dLbl>
              <c:idx val="1"/>
              <c:layout>
                <c:manualLayout>
                  <c:x val="4.0016006402561043E-3"/>
                  <c:y val="-0.3734378546362414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37-4E29-8D4D-C56674AB87E6}"/>
                </c:ext>
              </c:extLst>
            </c:dLbl>
            <c:dLbl>
              <c:idx val="2"/>
              <c:layout>
                <c:manualLayout>
                  <c:x val="1.9900497512438031E-3"/>
                  <c:y val="-0.30983002124734477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37-4E29-8D4D-C56674AB87E6}"/>
                </c:ext>
              </c:extLst>
            </c:dLbl>
            <c:dLbl>
              <c:idx val="3"/>
              <c:layout>
                <c:manualLayout>
                  <c:x val="0"/>
                  <c:y val="-0.2029002624671920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37-4E29-8D4D-C56674AB87E6}"/>
                </c:ext>
              </c:extLst>
            </c:dLbl>
            <c:dLbl>
              <c:idx val="4"/>
              <c:layout>
                <c:manualLayout>
                  <c:x val="0"/>
                  <c:y val="-0.19352987126609175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37-4E29-8D4D-C56674AB87E6}"/>
                </c:ext>
              </c:extLst>
            </c:dLbl>
            <c:dLbl>
              <c:idx val="5"/>
              <c:layout>
                <c:manualLayout>
                  <c:x val="0"/>
                  <c:y val="-0.18777840269966278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837-4E29-8D4D-C56674AB87E6}"/>
                </c:ext>
              </c:extLst>
            </c:dLbl>
            <c:dLbl>
              <c:idx val="6"/>
              <c:layout>
                <c:manualLayout>
                  <c:x val="0"/>
                  <c:y val="-0.1848315835520562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37-4E29-8D4D-C56674AB87E6}"/>
                </c:ext>
              </c:extLst>
            </c:dLbl>
            <c:dLbl>
              <c:idx val="7"/>
              <c:layout>
                <c:manualLayout>
                  <c:x val="0"/>
                  <c:y val="-0.1883983252093489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837-4E29-8D4D-C56674AB87E6}"/>
                </c:ext>
              </c:extLst>
            </c:dLbl>
            <c:dLbl>
              <c:idx val="8"/>
              <c:layout>
                <c:manualLayout>
                  <c:x val="0"/>
                  <c:y val="-0.1986229846269217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837-4E29-8D4D-C56674AB87E6}"/>
                </c:ext>
              </c:extLst>
            </c:dLbl>
            <c:dLbl>
              <c:idx val="9"/>
              <c:layout>
                <c:manualLayout>
                  <c:x val="-1.9900497512437853E-3"/>
                  <c:y val="-0.21776434195725569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837-4E29-8D4D-C56674AB87E6}"/>
                </c:ext>
              </c:extLst>
            </c:dLbl>
            <c:dLbl>
              <c:idx val="10"/>
              <c:layout>
                <c:manualLayout>
                  <c:x val="0"/>
                  <c:y val="-0.2340504311961009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837-4E29-8D4D-C56674AB87E6}"/>
                </c:ext>
              </c:extLst>
            </c:dLbl>
            <c:dLbl>
              <c:idx val="12"/>
              <c:layout>
                <c:manualLayout>
                  <c:x val="-4.0016006402561043E-3"/>
                  <c:y val="-0.3729821743457236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837-4E29-8D4D-C56674AB87E6}"/>
                </c:ext>
              </c:extLst>
            </c:dLbl>
            <c:dLbl>
              <c:idx val="13"/>
              <c:layout>
                <c:manualLayout>
                  <c:x val="0"/>
                  <c:y val="-0.3719384162345562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837-4E29-8D4D-C56674AB87E6}"/>
                </c:ext>
              </c:extLst>
            </c:dLbl>
            <c:dLbl>
              <c:idx val="14"/>
              <c:layout>
                <c:manualLayout>
                  <c:x val="1.9899298301997975E-3"/>
                  <c:y val="-0.3161411503162991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837-4E29-8D4D-C56674AB87E6}"/>
                </c:ext>
              </c:extLst>
            </c:dLbl>
            <c:dLbl>
              <c:idx val="15"/>
              <c:layout>
                <c:manualLayout>
                  <c:x val="0"/>
                  <c:y val="-0.2324481314835649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837-4E29-8D4D-C56674AB87E6}"/>
                </c:ext>
              </c:extLst>
            </c:dLbl>
            <c:dLbl>
              <c:idx val="16"/>
              <c:layout>
                <c:manualLayout>
                  <c:x val="0"/>
                  <c:y val="-0.19977252843394555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837-4E29-8D4D-C56674AB87E6}"/>
                </c:ext>
              </c:extLst>
            </c:dLbl>
            <c:dLbl>
              <c:idx val="17"/>
              <c:layout>
                <c:manualLayout>
                  <c:x val="0"/>
                  <c:y val="-0.1989585676790401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837-4E29-8D4D-C56674AB87E6}"/>
                </c:ext>
              </c:extLst>
            </c:dLbl>
            <c:dLbl>
              <c:idx val="18"/>
              <c:layout>
                <c:manualLayout>
                  <c:x val="0"/>
                  <c:y val="-0.1831377327834023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837-4E29-8D4D-C56674AB87E6}"/>
                </c:ext>
              </c:extLst>
            </c:dLbl>
            <c:dLbl>
              <c:idx val="19"/>
              <c:layout>
                <c:manualLayout>
                  <c:x val="0"/>
                  <c:y val="-0.20264185726784151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837-4E29-8D4D-C56674AB87E6}"/>
                </c:ext>
              </c:extLst>
            </c:dLbl>
            <c:dLbl>
              <c:idx val="20"/>
              <c:layout>
                <c:manualLayout>
                  <c:x val="0"/>
                  <c:y val="-0.2079415073115860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837-4E29-8D4D-C56674AB87E6}"/>
                </c:ext>
              </c:extLst>
            </c:dLbl>
            <c:dLbl>
              <c:idx val="21"/>
              <c:layout>
                <c:manualLayout>
                  <c:x val="0"/>
                  <c:y val="-0.24118516435445569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837-4E29-8D4D-C56674AB87E6}"/>
                </c:ext>
              </c:extLst>
            </c:dLbl>
            <c:dLbl>
              <c:idx val="22"/>
              <c:layout>
                <c:manualLayout>
                  <c:x val="3.2296383120177216E-5"/>
                  <c:y val="-0.2469362338576859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837-4E29-8D4D-C56674AB87E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List8!$A$63:$B$85</c:f>
              <c:multiLvlStrCache>
                <c:ptCount val="23"/>
                <c:lvl>
                  <c:pt idx="0">
                    <c:v>2006</c:v>
                  </c:pt>
                  <c:pt idx="1">
                    <c:v>2007</c:v>
                  </c:pt>
                  <c:pt idx="2">
                    <c:v>2008</c:v>
                  </c:pt>
                  <c:pt idx="3">
                    <c:v>2009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2014</c:v>
                  </c:pt>
                  <c:pt idx="9">
                    <c:v>2015</c:v>
                  </c:pt>
                  <c:pt idx="10">
                    <c:v>2016</c:v>
                  </c:pt>
                  <c:pt idx="12">
                    <c:v>2006</c:v>
                  </c:pt>
                  <c:pt idx="13">
                    <c:v>2007</c:v>
                  </c:pt>
                  <c:pt idx="14">
                    <c:v>2008</c:v>
                  </c:pt>
                  <c:pt idx="15">
                    <c:v>2009</c:v>
                  </c:pt>
                  <c:pt idx="16">
                    <c:v>2010</c:v>
                  </c:pt>
                  <c:pt idx="17">
                    <c:v>2011</c:v>
                  </c:pt>
                  <c:pt idx="18">
                    <c:v>2012</c:v>
                  </c:pt>
                  <c:pt idx="19">
                    <c:v>2013</c:v>
                  </c:pt>
                  <c:pt idx="20">
                    <c:v>2014</c:v>
                  </c:pt>
                  <c:pt idx="21">
                    <c:v>2015</c:v>
                  </c:pt>
                  <c:pt idx="22">
                    <c:v>2016</c:v>
                  </c:pt>
                </c:lvl>
                <c:lvl>
                  <c:pt idx="0">
                    <c:v>muži</c:v>
                  </c:pt>
                  <c:pt idx="12">
                    <c:v>ženy</c:v>
                  </c:pt>
                </c:lvl>
              </c:multiLvlStrCache>
            </c:multiLvlStrRef>
          </c:cat>
          <c:val>
            <c:numRef>
              <c:f>List8!$C$63:$C$85</c:f>
              <c:numCache>
                <c:formatCode>0</c:formatCode>
                <c:ptCount val="23"/>
                <c:pt idx="0">
                  <c:v>1369.8</c:v>
                </c:pt>
                <c:pt idx="1">
                  <c:v>1366.2</c:v>
                </c:pt>
                <c:pt idx="2">
                  <c:v>1092.5999999999999</c:v>
                </c:pt>
                <c:pt idx="3">
                  <c:v>694.3</c:v>
                </c:pt>
                <c:pt idx="4">
                  <c:v>642.70000000000005</c:v>
                </c:pt>
                <c:pt idx="5">
                  <c:v>605.1</c:v>
                </c:pt>
                <c:pt idx="6">
                  <c:v>593.70000000000005</c:v>
                </c:pt>
                <c:pt idx="7">
                  <c:v>638.20000000000005</c:v>
                </c:pt>
                <c:pt idx="8">
                  <c:v>631.70000000000005</c:v>
                </c:pt>
                <c:pt idx="9">
                  <c:v>751.8</c:v>
                </c:pt>
                <c:pt idx="10">
                  <c:v>784.1</c:v>
                </c:pt>
                <c:pt idx="12">
                  <c:v>1336.9</c:v>
                </c:pt>
                <c:pt idx="13">
                  <c:v>1360.4</c:v>
                </c:pt>
                <c:pt idx="14">
                  <c:v>1129.2</c:v>
                </c:pt>
                <c:pt idx="15">
                  <c:v>747.2</c:v>
                </c:pt>
                <c:pt idx="16">
                  <c:v>682.2</c:v>
                </c:pt>
                <c:pt idx="17">
                  <c:v>663.7</c:v>
                </c:pt>
                <c:pt idx="18">
                  <c:v>633.20000000000005</c:v>
                </c:pt>
                <c:pt idx="19">
                  <c:v>693.3</c:v>
                </c:pt>
                <c:pt idx="20">
                  <c:v>683.1</c:v>
                </c:pt>
                <c:pt idx="21">
                  <c:v>811.7</c:v>
                </c:pt>
                <c:pt idx="22">
                  <c:v>849.3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1837-4E29-8D4D-C56674AB87E6}"/>
            </c:ext>
          </c:extLst>
        </c:ser>
        <c:overlap val="100"/>
        <c:axId val="65749376"/>
        <c:axId val="62274176"/>
      </c:barChart>
      <c:catAx>
        <c:axId val="6199232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62272640"/>
        <c:crosses val="autoZero"/>
        <c:auto val="1"/>
        <c:lblAlgn val="ctr"/>
        <c:lblOffset val="100"/>
      </c:catAx>
      <c:valAx>
        <c:axId val="62272640"/>
        <c:scaling>
          <c:orientation val="minMax"/>
          <c:max val="1500"/>
          <c:min val="0"/>
        </c:scaling>
        <c:axPos val="l"/>
        <c:majorGridlines>
          <c:spPr>
            <a:ln>
              <a:prstDash val="sysDot"/>
            </a:ln>
          </c:spPr>
        </c:majorGridlines>
        <c:numFmt formatCode="#,##0" sourceLinked="0"/>
        <c:tickLblPos val="nextTo"/>
        <c:spPr>
          <a:ln>
            <a:noFill/>
          </a:ln>
        </c:spPr>
        <c:crossAx val="61992320"/>
        <c:crosses val="autoZero"/>
        <c:crossBetween val="between"/>
      </c:valAx>
      <c:valAx>
        <c:axId val="62274176"/>
        <c:scaling>
          <c:orientation val="minMax"/>
          <c:max val="1500"/>
          <c:min val="0"/>
        </c:scaling>
        <c:axPos val="r"/>
        <c:numFmt formatCode="0" sourceLinked="1"/>
        <c:tickLblPos val="nextTo"/>
        <c:spPr>
          <a:ln>
            <a:noFill/>
          </a:ln>
        </c:spPr>
        <c:txPr>
          <a:bodyPr/>
          <a:lstStyle/>
          <a:p>
            <a:pPr>
              <a:defRPr sz="100">
                <a:solidFill>
                  <a:schemeClr val="bg1"/>
                </a:solidFill>
              </a:defRPr>
            </a:pPr>
            <a:endParaRPr lang="cs-CZ"/>
          </a:p>
        </c:txPr>
        <c:crossAx val="65749376"/>
        <c:crosses val="max"/>
        <c:crossBetween val="between"/>
      </c:valAx>
      <c:catAx>
        <c:axId val="65749376"/>
        <c:scaling>
          <c:orientation val="minMax"/>
        </c:scaling>
        <c:delete val="1"/>
        <c:axPos val="b"/>
        <c:numFmt formatCode="General" sourceLinked="1"/>
        <c:tickLblPos val="none"/>
        <c:crossAx val="62274176"/>
        <c:crosses val="autoZero"/>
        <c:auto val="1"/>
        <c:lblAlgn val="ctr"/>
        <c:lblOffset val="100"/>
      </c:catAx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0316198534884725"/>
          <c:y val="0.9367082239720036"/>
          <c:w val="0.38969577310298953"/>
          <c:h val="6.3291776027996502E-2"/>
        </c:manualLayout>
      </c:layout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tx>
            <c:strRef>
              <c:f>List10!$A$52</c:f>
              <c:strCache>
                <c:ptCount val="1"/>
                <c:pt idx="0">
                  <c:v> nemoc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cat>
            <c:numRef>
              <c:f>List10!$B$51:$Y$51</c:f>
              <c:numCache>
                <c:formatCode>General</c:formatCode>
                <c:ptCount val="24"/>
                <c:pt idx="0">
                  <c:v>1970</c:v>
                </c:pt>
                <c:pt idx="1">
                  <c:v>1972</c:v>
                </c:pt>
                <c:pt idx="2">
                  <c:v>1974</c:v>
                </c:pt>
                <c:pt idx="3">
                  <c:v>1976</c:v>
                </c:pt>
                <c:pt idx="4">
                  <c:v>1978</c:v>
                </c:pt>
                <c:pt idx="5">
                  <c:v>1980</c:v>
                </c:pt>
                <c:pt idx="6">
                  <c:v>1982</c:v>
                </c:pt>
                <c:pt idx="7">
                  <c:v>1984</c:v>
                </c:pt>
                <c:pt idx="8">
                  <c:v>1986</c:v>
                </c:pt>
                <c:pt idx="9">
                  <c:v>1988</c:v>
                </c:pt>
                <c:pt idx="10">
                  <c:v>1990</c:v>
                </c:pt>
                <c:pt idx="11">
                  <c:v>1992</c:v>
                </c:pt>
                <c:pt idx="12">
                  <c:v>1994</c:v>
                </c:pt>
                <c:pt idx="13">
                  <c:v>1996</c:v>
                </c:pt>
                <c:pt idx="14">
                  <c:v>1998</c:v>
                </c:pt>
                <c:pt idx="15">
                  <c:v>2000</c:v>
                </c:pt>
                <c:pt idx="16">
                  <c:v>2002</c:v>
                </c:pt>
                <c:pt idx="17">
                  <c:v>2004</c:v>
                </c:pt>
                <c:pt idx="18">
                  <c:v>2006</c:v>
                </c:pt>
                <c:pt idx="19">
                  <c:v>2008</c:v>
                </c:pt>
                <c:pt idx="20">
                  <c:v>2010</c:v>
                </c:pt>
                <c:pt idx="21">
                  <c:v>2012</c:v>
                </c:pt>
                <c:pt idx="22">
                  <c:v>2014</c:v>
                </c:pt>
                <c:pt idx="23">
                  <c:v>2016</c:v>
                </c:pt>
              </c:numCache>
            </c:numRef>
          </c:cat>
          <c:val>
            <c:numRef>
              <c:f>List10!$B$52:$Y$52</c:f>
              <c:numCache>
                <c:formatCode>0.00</c:formatCode>
                <c:ptCount val="24"/>
                <c:pt idx="0">
                  <c:v>101.6</c:v>
                </c:pt>
                <c:pt idx="1">
                  <c:v>76.5</c:v>
                </c:pt>
                <c:pt idx="2">
                  <c:v>84.85</c:v>
                </c:pt>
                <c:pt idx="3">
                  <c:v>81.349999999999994</c:v>
                </c:pt>
                <c:pt idx="4">
                  <c:v>79.52</c:v>
                </c:pt>
                <c:pt idx="5">
                  <c:v>88.990000000000023</c:v>
                </c:pt>
                <c:pt idx="6">
                  <c:v>81.319999999999993</c:v>
                </c:pt>
                <c:pt idx="7">
                  <c:v>86.31</c:v>
                </c:pt>
                <c:pt idx="8">
                  <c:v>95.86999999999999</c:v>
                </c:pt>
                <c:pt idx="9">
                  <c:v>83.26</c:v>
                </c:pt>
                <c:pt idx="10">
                  <c:v>83.710000000000022</c:v>
                </c:pt>
                <c:pt idx="11">
                  <c:v>77.290000000000006</c:v>
                </c:pt>
                <c:pt idx="12">
                  <c:v>79.23</c:v>
                </c:pt>
                <c:pt idx="13">
                  <c:v>79.940000000000026</c:v>
                </c:pt>
                <c:pt idx="14">
                  <c:v>73.64</c:v>
                </c:pt>
                <c:pt idx="15">
                  <c:v>78.64</c:v>
                </c:pt>
                <c:pt idx="16">
                  <c:v>74.63</c:v>
                </c:pt>
                <c:pt idx="17">
                  <c:v>56.67</c:v>
                </c:pt>
                <c:pt idx="18">
                  <c:v>55.2</c:v>
                </c:pt>
                <c:pt idx="19" formatCode="General">
                  <c:v>44.57</c:v>
                </c:pt>
                <c:pt idx="20">
                  <c:v>27.6</c:v>
                </c:pt>
                <c:pt idx="21">
                  <c:v>23.87</c:v>
                </c:pt>
                <c:pt idx="22">
                  <c:v>25.68</c:v>
                </c:pt>
                <c:pt idx="23">
                  <c:v>31.52</c:v>
                </c:pt>
              </c:numCache>
            </c:numRef>
          </c:val>
        </c:ser>
        <c:gapWidth val="26"/>
        <c:overlap val="86"/>
        <c:axId val="65774720"/>
        <c:axId val="65776256"/>
      </c:barChart>
      <c:barChart>
        <c:barDir val="col"/>
        <c:grouping val="clustered"/>
        <c:ser>
          <c:idx val="1"/>
          <c:order val="1"/>
          <c:tx>
            <c:strRef>
              <c:f>List10!$A$53</c:f>
              <c:strCache>
                <c:ptCount val="1"/>
                <c:pt idx="0">
                  <c:v> pracovní úrazy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C00000"/>
              </a:solidFill>
            </a:ln>
          </c:spPr>
          <c:cat>
            <c:numRef>
              <c:f>List10!$B$51:$Y$51</c:f>
              <c:numCache>
                <c:formatCode>General</c:formatCode>
                <c:ptCount val="24"/>
                <c:pt idx="0">
                  <c:v>1970</c:v>
                </c:pt>
                <c:pt idx="1">
                  <c:v>1972</c:v>
                </c:pt>
                <c:pt idx="2">
                  <c:v>1974</c:v>
                </c:pt>
                <c:pt idx="3">
                  <c:v>1976</c:v>
                </c:pt>
                <c:pt idx="4">
                  <c:v>1978</c:v>
                </c:pt>
                <c:pt idx="5">
                  <c:v>1980</c:v>
                </c:pt>
                <c:pt idx="6">
                  <c:v>1982</c:v>
                </c:pt>
                <c:pt idx="7">
                  <c:v>1984</c:v>
                </c:pt>
                <c:pt idx="8">
                  <c:v>1986</c:v>
                </c:pt>
                <c:pt idx="9">
                  <c:v>1988</c:v>
                </c:pt>
                <c:pt idx="10">
                  <c:v>1990</c:v>
                </c:pt>
                <c:pt idx="11">
                  <c:v>1992</c:v>
                </c:pt>
                <c:pt idx="12">
                  <c:v>1994</c:v>
                </c:pt>
                <c:pt idx="13">
                  <c:v>1996</c:v>
                </c:pt>
                <c:pt idx="14">
                  <c:v>1998</c:v>
                </c:pt>
                <c:pt idx="15">
                  <c:v>2000</c:v>
                </c:pt>
                <c:pt idx="16">
                  <c:v>2002</c:v>
                </c:pt>
                <c:pt idx="17">
                  <c:v>2004</c:v>
                </c:pt>
                <c:pt idx="18">
                  <c:v>2006</c:v>
                </c:pt>
                <c:pt idx="19">
                  <c:v>2008</c:v>
                </c:pt>
                <c:pt idx="20">
                  <c:v>2010</c:v>
                </c:pt>
                <c:pt idx="21">
                  <c:v>2012</c:v>
                </c:pt>
                <c:pt idx="22">
                  <c:v>2014</c:v>
                </c:pt>
                <c:pt idx="23">
                  <c:v>2016</c:v>
                </c:pt>
              </c:numCache>
            </c:numRef>
          </c:cat>
          <c:val>
            <c:numRef>
              <c:f>List10!$B$53:$Y$53</c:f>
              <c:numCache>
                <c:formatCode>0.00</c:formatCode>
                <c:ptCount val="24"/>
                <c:pt idx="0">
                  <c:v>5.13</c:v>
                </c:pt>
                <c:pt idx="1">
                  <c:v>4.41</c:v>
                </c:pt>
                <c:pt idx="2">
                  <c:v>3.88</c:v>
                </c:pt>
                <c:pt idx="3">
                  <c:v>3.56</c:v>
                </c:pt>
                <c:pt idx="4">
                  <c:v>3.18</c:v>
                </c:pt>
                <c:pt idx="5">
                  <c:v>2.88</c:v>
                </c:pt>
                <c:pt idx="6">
                  <c:v>2.7600000000000002</c:v>
                </c:pt>
                <c:pt idx="7">
                  <c:v>2.59</c:v>
                </c:pt>
                <c:pt idx="8">
                  <c:v>2.63</c:v>
                </c:pt>
                <c:pt idx="9">
                  <c:v>2.5499999999999998</c:v>
                </c:pt>
                <c:pt idx="10">
                  <c:v>2.79</c:v>
                </c:pt>
                <c:pt idx="11">
                  <c:v>2.59</c:v>
                </c:pt>
                <c:pt idx="12">
                  <c:v>2.19</c:v>
                </c:pt>
                <c:pt idx="13">
                  <c:v>2.27</c:v>
                </c:pt>
                <c:pt idx="14">
                  <c:v>2.2400000000000002</c:v>
                </c:pt>
                <c:pt idx="15">
                  <c:v>2.06</c:v>
                </c:pt>
                <c:pt idx="16">
                  <c:v>2.0299999999999998</c:v>
                </c:pt>
                <c:pt idx="17">
                  <c:v>1.86</c:v>
                </c:pt>
                <c:pt idx="18">
                  <c:v>1.83</c:v>
                </c:pt>
                <c:pt idx="19" formatCode="General">
                  <c:v>1.56</c:v>
                </c:pt>
                <c:pt idx="20">
                  <c:v>1.2</c:v>
                </c:pt>
                <c:pt idx="21">
                  <c:v>0.99</c:v>
                </c:pt>
                <c:pt idx="22">
                  <c:v>1.01</c:v>
                </c:pt>
                <c:pt idx="23">
                  <c:v>1.04</c:v>
                </c:pt>
              </c:numCache>
            </c:numRef>
          </c:val>
        </c:ser>
        <c:ser>
          <c:idx val="2"/>
          <c:order val="2"/>
          <c:tx>
            <c:strRef>
              <c:f>List10!$A$54</c:f>
              <c:strCache>
                <c:ptCount val="1"/>
                <c:pt idx="0">
                  <c:v> ostatní úrazy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numRef>
              <c:f>List10!$B$51:$Y$51</c:f>
              <c:numCache>
                <c:formatCode>General</c:formatCode>
                <c:ptCount val="24"/>
                <c:pt idx="0">
                  <c:v>1970</c:v>
                </c:pt>
                <c:pt idx="1">
                  <c:v>1972</c:v>
                </c:pt>
                <c:pt idx="2">
                  <c:v>1974</c:v>
                </c:pt>
                <c:pt idx="3">
                  <c:v>1976</c:v>
                </c:pt>
                <c:pt idx="4">
                  <c:v>1978</c:v>
                </c:pt>
                <c:pt idx="5">
                  <c:v>1980</c:v>
                </c:pt>
                <c:pt idx="6">
                  <c:v>1982</c:v>
                </c:pt>
                <c:pt idx="7">
                  <c:v>1984</c:v>
                </c:pt>
                <c:pt idx="8">
                  <c:v>1986</c:v>
                </c:pt>
                <c:pt idx="9">
                  <c:v>1988</c:v>
                </c:pt>
                <c:pt idx="10">
                  <c:v>1990</c:v>
                </c:pt>
                <c:pt idx="11">
                  <c:v>1992</c:v>
                </c:pt>
                <c:pt idx="12">
                  <c:v>1994</c:v>
                </c:pt>
                <c:pt idx="13">
                  <c:v>1996</c:v>
                </c:pt>
                <c:pt idx="14">
                  <c:v>1998</c:v>
                </c:pt>
                <c:pt idx="15">
                  <c:v>2000</c:v>
                </c:pt>
                <c:pt idx="16">
                  <c:v>2002</c:v>
                </c:pt>
                <c:pt idx="17">
                  <c:v>2004</c:v>
                </c:pt>
                <c:pt idx="18">
                  <c:v>2006</c:v>
                </c:pt>
                <c:pt idx="19">
                  <c:v>2008</c:v>
                </c:pt>
                <c:pt idx="20">
                  <c:v>2010</c:v>
                </c:pt>
                <c:pt idx="21">
                  <c:v>2012</c:v>
                </c:pt>
                <c:pt idx="22">
                  <c:v>2014</c:v>
                </c:pt>
                <c:pt idx="23">
                  <c:v>2016</c:v>
                </c:pt>
              </c:numCache>
            </c:numRef>
          </c:cat>
          <c:val>
            <c:numRef>
              <c:f>List10!$B$54:$Y$54</c:f>
              <c:numCache>
                <c:formatCode>0.00</c:formatCode>
                <c:ptCount val="24"/>
                <c:pt idx="0">
                  <c:v>7.21</c:v>
                </c:pt>
                <c:pt idx="1">
                  <c:v>7.49</c:v>
                </c:pt>
                <c:pt idx="2">
                  <c:v>7.6599999999999984</c:v>
                </c:pt>
                <c:pt idx="3">
                  <c:v>7.6899999999999995</c:v>
                </c:pt>
                <c:pt idx="4">
                  <c:v>7.6</c:v>
                </c:pt>
                <c:pt idx="5">
                  <c:v>7.53</c:v>
                </c:pt>
                <c:pt idx="6">
                  <c:v>7.98</c:v>
                </c:pt>
                <c:pt idx="7">
                  <c:v>8.17</c:v>
                </c:pt>
                <c:pt idx="8">
                  <c:v>8.5300000000000011</c:v>
                </c:pt>
                <c:pt idx="9">
                  <c:v>8.7100000000000009</c:v>
                </c:pt>
                <c:pt idx="10">
                  <c:v>8.7900000000000009</c:v>
                </c:pt>
                <c:pt idx="11">
                  <c:v>7.5</c:v>
                </c:pt>
                <c:pt idx="12">
                  <c:v>3.71</c:v>
                </c:pt>
                <c:pt idx="13">
                  <c:v>3.63</c:v>
                </c:pt>
                <c:pt idx="14">
                  <c:v>3.3499999999999992</c:v>
                </c:pt>
                <c:pt idx="15">
                  <c:v>3.69</c:v>
                </c:pt>
                <c:pt idx="16">
                  <c:v>3.7</c:v>
                </c:pt>
                <c:pt idx="17">
                  <c:v>3.11</c:v>
                </c:pt>
                <c:pt idx="18">
                  <c:v>3.16</c:v>
                </c:pt>
                <c:pt idx="19" formatCode="General">
                  <c:v>2.46</c:v>
                </c:pt>
                <c:pt idx="20">
                  <c:v>1.8999999999999981</c:v>
                </c:pt>
                <c:pt idx="21">
                  <c:v>2.5399999999999987</c:v>
                </c:pt>
                <c:pt idx="22">
                  <c:v>2.8099999999999987</c:v>
                </c:pt>
                <c:pt idx="23">
                  <c:v>3.1400000000000006</c:v>
                </c:pt>
              </c:numCache>
            </c:numRef>
          </c:val>
        </c:ser>
        <c:gapWidth val="0"/>
        <c:axId val="65791872"/>
        <c:axId val="65790336"/>
      </c:barChart>
      <c:lineChart>
        <c:grouping val="standard"/>
        <c:ser>
          <c:idx val="3"/>
          <c:order val="3"/>
          <c:tx>
            <c:strRef>
              <c:f>List10!$A$55</c:f>
              <c:strCache>
                <c:ptCount val="1"/>
                <c:pt idx="0">
                  <c:v> celkem</c:v>
                </c:pt>
              </c:strCache>
            </c:strRef>
          </c:tx>
          <c:spPr>
            <a:ln w="38100">
              <a:solidFill>
                <a:schemeClr val="accent5"/>
              </a:solidFill>
            </a:ln>
          </c:spPr>
          <c:marker>
            <c:symbol val="none"/>
          </c:marker>
          <c:cat>
            <c:numRef>
              <c:f>List10!$B$51:$Y$51</c:f>
              <c:numCache>
                <c:formatCode>General</c:formatCode>
                <c:ptCount val="24"/>
                <c:pt idx="0">
                  <c:v>1970</c:v>
                </c:pt>
                <c:pt idx="1">
                  <c:v>1972</c:v>
                </c:pt>
                <c:pt idx="2">
                  <c:v>1974</c:v>
                </c:pt>
                <c:pt idx="3">
                  <c:v>1976</c:v>
                </c:pt>
                <c:pt idx="4">
                  <c:v>1978</c:v>
                </c:pt>
                <c:pt idx="5">
                  <c:v>1980</c:v>
                </c:pt>
                <c:pt idx="6">
                  <c:v>1982</c:v>
                </c:pt>
                <c:pt idx="7">
                  <c:v>1984</c:v>
                </c:pt>
                <c:pt idx="8">
                  <c:v>1986</c:v>
                </c:pt>
                <c:pt idx="9">
                  <c:v>1988</c:v>
                </c:pt>
                <c:pt idx="10">
                  <c:v>1990</c:v>
                </c:pt>
                <c:pt idx="11">
                  <c:v>1992</c:v>
                </c:pt>
                <c:pt idx="12">
                  <c:v>1994</c:v>
                </c:pt>
                <c:pt idx="13">
                  <c:v>1996</c:v>
                </c:pt>
                <c:pt idx="14">
                  <c:v>1998</c:v>
                </c:pt>
                <c:pt idx="15">
                  <c:v>2000</c:v>
                </c:pt>
                <c:pt idx="16">
                  <c:v>2002</c:v>
                </c:pt>
                <c:pt idx="17">
                  <c:v>2004</c:v>
                </c:pt>
                <c:pt idx="18">
                  <c:v>2006</c:v>
                </c:pt>
                <c:pt idx="19">
                  <c:v>2008</c:v>
                </c:pt>
                <c:pt idx="20">
                  <c:v>2010</c:v>
                </c:pt>
                <c:pt idx="21">
                  <c:v>2012</c:v>
                </c:pt>
                <c:pt idx="22">
                  <c:v>2014</c:v>
                </c:pt>
                <c:pt idx="23">
                  <c:v>2016</c:v>
                </c:pt>
              </c:numCache>
            </c:numRef>
          </c:cat>
          <c:val>
            <c:numRef>
              <c:f>List10!$B$55:$Y$55</c:f>
              <c:numCache>
                <c:formatCode>0.00</c:formatCode>
                <c:ptCount val="24"/>
                <c:pt idx="0">
                  <c:v>113.94000000000003</c:v>
                </c:pt>
                <c:pt idx="1">
                  <c:v>88.4</c:v>
                </c:pt>
                <c:pt idx="2">
                  <c:v>96.39</c:v>
                </c:pt>
                <c:pt idx="3">
                  <c:v>92.6</c:v>
                </c:pt>
                <c:pt idx="4">
                  <c:v>90.3</c:v>
                </c:pt>
                <c:pt idx="5">
                  <c:v>99.4</c:v>
                </c:pt>
                <c:pt idx="6">
                  <c:v>92.06</c:v>
                </c:pt>
                <c:pt idx="7">
                  <c:v>97.07</c:v>
                </c:pt>
                <c:pt idx="8">
                  <c:v>107.03</c:v>
                </c:pt>
                <c:pt idx="9">
                  <c:v>94.52</c:v>
                </c:pt>
                <c:pt idx="10">
                  <c:v>95.3</c:v>
                </c:pt>
                <c:pt idx="11">
                  <c:v>87.36999999999999</c:v>
                </c:pt>
                <c:pt idx="12">
                  <c:v>85.13</c:v>
                </c:pt>
                <c:pt idx="13">
                  <c:v>85.83</c:v>
                </c:pt>
                <c:pt idx="14">
                  <c:v>79.23</c:v>
                </c:pt>
                <c:pt idx="15">
                  <c:v>84.39</c:v>
                </c:pt>
                <c:pt idx="16">
                  <c:v>80.36999999999999</c:v>
                </c:pt>
                <c:pt idx="17">
                  <c:v>61.64</c:v>
                </c:pt>
                <c:pt idx="18">
                  <c:v>60.190000000000012</c:v>
                </c:pt>
                <c:pt idx="19" formatCode="General">
                  <c:v>48.59</c:v>
                </c:pt>
                <c:pt idx="20">
                  <c:v>30.7</c:v>
                </c:pt>
                <c:pt idx="21">
                  <c:v>27.4</c:v>
                </c:pt>
                <c:pt idx="22">
                  <c:v>29.5</c:v>
                </c:pt>
                <c:pt idx="23">
                  <c:v>35.700000000000003</c:v>
                </c:pt>
              </c:numCache>
            </c:numRef>
          </c:val>
        </c:ser>
        <c:marker val="1"/>
        <c:axId val="65774720"/>
        <c:axId val="65776256"/>
      </c:lineChart>
      <c:catAx>
        <c:axId val="657747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30"/>
            </a:pPr>
            <a:endParaRPr lang="cs-CZ"/>
          </a:p>
        </c:txPr>
        <c:crossAx val="65776256"/>
        <c:crosses val="autoZero"/>
        <c:auto val="1"/>
        <c:lblAlgn val="ctr"/>
        <c:lblOffset val="100"/>
      </c:catAx>
      <c:valAx>
        <c:axId val="65776256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numFmt formatCode="0" sourceLinked="0"/>
        <c:tickLblPos val="nextTo"/>
        <c:spPr>
          <a:ln>
            <a:noFill/>
          </a:ln>
        </c:spPr>
        <c:crossAx val="65774720"/>
        <c:crosses val="autoZero"/>
        <c:crossBetween val="between"/>
      </c:valAx>
      <c:valAx>
        <c:axId val="65790336"/>
        <c:scaling>
          <c:orientation val="minMax"/>
          <c:max val="120"/>
          <c:min val="0"/>
        </c:scaling>
        <c:axPos val="r"/>
        <c:numFmt formatCode="0.00" sourceLinked="1"/>
        <c:tickLblPos val="nextTo"/>
        <c:spPr>
          <a:ln>
            <a:noFill/>
          </a:ln>
        </c:spPr>
        <c:txPr>
          <a:bodyPr/>
          <a:lstStyle/>
          <a:p>
            <a:pPr>
              <a:defRPr sz="100">
                <a:solidFill>
                  <a:schemeClr val="bg1"/>
                </a:solidFill>
              </a:defRPr>
            </a:pPr>
            <a:endParaRPr lang="cs-CZ"/>
          </a:p>
        </c:txPr>
        <c:crossAx val="65791872"/>
        <c:crosses val="max"/>
        <c:crossBetween val="between"/>
      </c:valAx>
      <c:catAx>
        <c:axId val="65791872"/>
        <c:scaling>
          <c:orientation val="minMax"/>
        </c:scaling>
        <c:delete val="1"/>
        <c:axPos val="b"/>
        <c:numFmt formatCode="General" sourceLinked="1"/>
        <c:tickLblPos val="none"/>
        <c:crossAx val="65790336"/>
        <c:crosses val="autoZero"/>
        <c:auto val="1"/>
        <c:lblAlgn val="ctr"/>
        <c:lblOffset val="100"/>
      </c:catAx>
    </c:plotArea>
    <c:legend>
      <c:legendPos val="b"/>
      <c:layout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8614202554289653E-2"/>
          <c:y val="1.2691457046130131E-2"/>
          <c:w val="0.87262261909998895"/>
          <c:h val="0.5351248485243697"/>
        </c:manualLayout>
      </c:layout>
      <c:barChart>
        <c:barDir val="col"/>
        <c:grouping val="stacked"/>
        <c:ser>
          <c:idx val="0"/>
          <c:order val="0"/>
          <c:tx>
            <c:strRef>
              <c:f>List4!$B$28</c:f>
              <c:strCache>
                <c:ptCount val="1"/>
                <c:pt idx="0">
                  <c:v> případy DPN na 100 poj. - nemoc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cat>
            <c:strRef>
              <c:f>List4!$A$29:$A$48</c:f>
              <c:strCache>
                <c:ptCount val="20"/>
                <c:pt idx="0">
                  <c:v>Celkem</c:v>
                </c:pt>
                <c:pt idx="1">
                  <c:v>A - Zeměd., les., rybářství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List4!$B$29:$B$48</c:f>
              <c:numCache>
                <c:formatCode>0.0</c:formatCode>
                <c:ptCount val="20"/>
                <c:pt idx="0">
                  <c:v>31.521328864000001</c:v>
                </c:pt>
                <c:pt idx="1">
                  <c:v>25.2484837656</c:v>
                </c:pt>
                <c:pt idx="2">
                  <c:v>33.694508399900108</c:v>
                </c:pt>
                <c:pt idx="3">
                  <c:v>40.785111886500154</c:v>
                </c:pt>
                <c:pt idx="4">
                  <c:v>20.822569877999907</c:v>
                </c:pt>
                <c:pt idx="5">
                  <c:v>30.560708087099989</c:v>
                </c:pt>
                <c:pt idx="6">
                  <c:v>25.87435831940007</c:v>
                </c:pt>
                <c:pt idx="7">
                  <c:v>29.983059229399945</c:v>
                </c:pt>
                <c:pt idx="8">
                  <c:v>28.813488732700005</c:v>
                </c:pt>
                <c:pt idx="9">
                  <c:v>24.3014595458</c:v>
                </c:pt>
                <c:pt idx="10">
                  <c:v>22.4381980414</c:v>
                </c:pt>
                <c:pt idx="11">
                  <c:v>26.265961966700001</c:v>
                </c:pt>
                <c:pt idx="12">
                  <c:v>14.616693678700004</c:v>
                </c:pt>
                <c:pt idx="13">
                  <c:v>19.485525932499918</c:v>
                </c:pt>
                <c:pt idx="14">
                  <c:v>44.615256849600001</c:v>
                </c:pt>
                <c:pt idx="15">
                  <c:v>28.327015875899999</c:v>
                </c:pt>
                <c:pt idx="16">
                  <c:v>28.373857794400077</c:v>
                </c:pt>
                <c:pt idx="17">
                  <c:v>27.439131378599953</c:v>
                </c:pt>
                <c:pt idx="18">
                  <c:v>22.079434987799953</c:v>
                </c:pt>
                <c:pt idx="19">
                  <c:v>25.900670751100002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B2-4A14-A2DD-929949BF78D9}"/>
            </c:ext>
          </c:extLst>
        </c:ser>
        <c:ser>
          <c:idx val="1"/>
          <c:order val="1"/>
          <c:tx>
            <c:strRef>
              <c:f>List4!$C$28</c:f>
              <c:strCache>
                <c:ptCount val="1"/>
                <c:pt idx="0">
                  <c:v> případy DPN na 100 poj. - pracovní úraz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strRef>
              <c:f>List4!$A$29:$A$48</c:f>
              <c:strCache>
                <c:ptCount val="20"/>
                <c:pt idx="0">
                  <c:v>Celkem</c:v>
                </c:pt>
                <c:pt idx="1">
                  <c:v>A - Zeměd., les., rybářství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List4!$C$29:$C$48</c:f>
              <c:numCache>
                <c:formatCode>0.0</c:formatCode>
                <c:ptCount val="20"/>
                <c:pt idx="0">
                  <c:v>1.0364437007</c:v>
                </c:pt>
                <c:pt idx="1">
                  <c:v>2.3574103929999999</c:v>
                </c:pt>
                <c:pt idx="2">
                  <c:v>1.5913878410000029</c:v>
                </c:pt>
                <c:pt idx="3">
                  <c:v>1.7174506550999942</c:v>
                </c:pt>
                <c:pt idx="4">
                  <c:v>0.41632894790000163</c:v>
                </c:pt>
                <c:pt idx="5">
                  <c:v>1.6900574399000079</c:v>
                </c:pt>
                <c:pt idx="6">
                  <c:v>1.2719889976999967</c:v>
                </c:pt>
                <c:pt idx="7">
                  <c:v>0.85173826480000003</c:v>
                </c:pt>
                <c:pt idx="8">
                  <c:v>1.4986736608</c:v>
                </c:pt>
                <c:pt idx="9">
                  <c:v>0.69837658049999951</c:v>
                </c:pt>
                <c:pt idx="10">
                  <c:v>0.1175156655</c:v>
                </c:pt>
                <c:pt idx="11">
                  <c:v>0.10557573020000027</c:v>
                </c:pt>
                <c:pt idx="12">
                  <c:v>0.34233461390000103</c:v>
                </c:pt>
                <c:pt idx="13">
                  <c:v>0.21427673770000036</c:v>
                </c:pt>
                <c:pt idx="14">
                  <c:v>1.0355586446</c:v>
                </c:pt>
                <c:pt idx="15">
                  <c:v>0.41750639070000084</c:v>
                </c:pt>
                <c:pt idx="16">
                  <c:v>0.39109666460000103</c:v>
                </c:pt>
                <c:pt idx="17">
                  <c:v>0.62348626210000002</c:v>
                </c:pt>
                <c:pt idx="18">
                  <c:v>0.54816854499999956</c:v>
                </c:pt>
                <c:pt idx="19">
                  <c:v>0.3358854099000021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B2-4A14-A2DD-929949BF78D9}"/>
            </c:ext>
          </c:extLst>
        </c:ser>
        <c:ser>
          <c:idx val="2"/>
          <c:order val="2"/>
          <c:tx>
            <c:strRef>
              <c:f>List4!$D$28</c:f>
              <c:strCache>
                <c:ptCount val="1"/>
                <c:pt idx="0">
                  <c:v> případy DPN na 100 poj. - ostatní úraz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strRef>
              <c:f>List4!$A$29:$A$48</c:f>
              <c:strCache>
                <c:ptCount val="20"/>
                <c:pt idx="0">
                  <c:v>Celkem</c:v>
                </c:pt>
                <c:pt idx="1">
                  <c:v>A - Zeměd., les., rybářství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cat>
          <c:val>
            <c:numRef>
              <c:f>List4!$D$29:$D$48</c:f>
              <c:numCache>
                <c:formatCode>0.0</c:formatCode>
                <c:ptCount val="20"/>
                <c:pt idx="0">
                  <c:v>3.1726609424999999</c:v>
                </c:pt>
                <c:pt idx="1">
                  <c:v>3.3196558388999939</c:v>
                </c:pt>
                <c:pt idx="2">
                  <c:v>4.4201244302999871</c:v>
                </c:pt>
                <c:pt idx="3">
                  <c:v>4.6802804299999945</c:v>
                </c:pt>
                <c:pt idx="4">
                  <c:v>2.2928704554999997</c:v>
                </c:pt>
                <c:pt idx="5">
                  <c:v>3.7572351349999997</c:v>
                </c:pt>
                <c:pt idx="6">
                  <c:v>4.0236036455999997</c:v>
                </c:pt>
                <c:pt idx="7">
                  <c:v>2.9044968876000001</c:v>
                </c:pt>
                <c:pt idx="8">
                  <c:v>3.2848352746000002</c:v>
                </c:pt>
                <c:pt idx="9">
                  <c:v>2.9827108557000002</c:v>
                </c:pt>
                <c:pt idx="10">
                  <c:v>1.2959141323999968</c:v>
                </c:pt>
                <c:pt idx="11">
                  <c:v>1.3959457659000001</c:v>
                </c:pt>
                <c:pt idx="12">
                  <c:v>1.6022964499000001</c:v>
                </c:pt>
                <c:pt idx="13">
                  <c:v>1.5898862999999968</c:v>
                </c:pt>
                <c:pt idx="14">
                  <c:v>3.8289873015000002</c:v>
                </c:pt>
                <c:pt idx="15">
                  <c:v>2.0361930122</c:v>
                </c:pt>
                <c:pt idx="16">
                  <c:v>1.6711026899000001</c:v>
                </c:pt>
                <c:pt idx="17">
                  <c:v>2.3614470481000001</c:v>
                </c:pt>
                <c:pt idx="18">
                  <c:v>2.0338732643999999</c:v>
                </c:pt>
                <c:pt idx="19">
                  <c:v>1.9200147386999999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B2-4A14-A2DD-929949BF78D9}"/>
            </c:ext>
          </c:extLst>
        </c:ser>
        <c:gapWidth val="38"/>
        <c:overlap val="100"/>
        <c:axId val="65901696"/>
        <c:axId val="65903616"/>
      </c:barChart>
      <c:scatterChart>
        <c:scatterStyle val="lineMarker"/>
        <c:ser>
          <c:idx val="3"/>
          <c:order val="3"/>
          <c:tx>
            <c:strRef>
              <c:f>List4!$E$28</c:f>
              <c:strCache>
                <c:ptCount val="1"/>
                <c:pt idx="0">
                  <c:v> průměrná délka DPN - nemoc</c:v>
                </c:pt>
              </c:strCache>
            </c:strRef>
          </c:tx>
          <c:spPr>
            <a:ln w="9525">
              <a:noFill/>
            </a:ln>
          </c:spPr>
          <c:marker>
            <c:symbol val="x"/>
            <c:size val="6"/>
            <c:spPr>
              <a:ln w="22225">
                <a:solidFill>
                  <a:schemeClr val="tx2">
                    <a:lumMod val="50000"/>
                  </a:schemeClr>
                </a:solidFill>
              </a:ln>
            </c:spPr>
          </c:marker>
          <c:xVal>
            <c:strRef>
              <c:f>List4!$A$29:$A$48</c:f>
              <c:strCache>
                <c:ptCount val="20"/>
                <c:pt idx="0">
                  <c:v>Celkem</c:v>
                </c:pt>
                <c:pt idx="1">
                  <c:v>A - Zeměd., les., rybářství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xVal>
          <c:yVal>
            <c:numRef>
              <c:f>List4!$E$29:$E$48</c:f>
              <c:numCache>
                <c:formatCode>0.0</c:formatCode>
                <c:ptCount val="20"/>
                <c:pt idx="0">
                  <c:v>41.704510124000116</c:v>
                </c:pt>
                <c:pt idx="1">
                  <c:v>58.689564496999999</c:v>
                </c:pt>
                <c:pt idx="2">
                  <c:v>50.267140734500124</c:v>
                </c:pt>
                <c:pt idx="3">
                  <c:v>41.223051892100123</c:v>
                </c:pt>
                <c:pt idx="4">
                  <c:v>38.996618641600001</c:v>
                </c:pt>
                <c:pt idx="5">
                  <c:v>43.346777879299907</c:v>
                </c:pt>
                <c:pt idx="6">
                  <c:v>52.912622485999997</c:v>
                </c:pt>
                <c:pt idx="7">
                  <c:v>43.858577103999998</c:v>
                </c:pt>
                <c:pt idx="8">
                  <c:v>43.9744137741</c:v>
                </c:pt>
                <c:pt idx="9">
                  <c:v>54.328503577199996</c:v>
                </c:pt>
                <c:pt idx="10">
                  <c:v>24.920176262399945</c:v>
                </c:pt>
                <c:pt idx="11">
                  <c:v>31.562565976499986</c:v>
                </c:pt>
                <c:pt idx="12">
                  <c:v>51.462876579199992</c:v>
                </c:pt>
                <c:pt idx="13">
                  <c:v>37.141579659699907</c:v>
                </c:pt>
                <c:pt idx="14">
                  <c:v>37.219198110100123</c:v>
                </c:pt>
                <c:pt idx="15">
                  <c:v>35.984914712199995</c:v>
                </c:pt>
                <c:pt idx="16">
                  <c:v>32.055661751799839</c:v>
                </c:pt>
                <c:pt idx="17">
                  <c:v>48.109724486799998</c:v>
                </c:pt>
                <c:pt idx="18">
                  <c:v>40.318533886600001</c:v>
                </c:pt>
                <c:pt idx="19">
                  <c:v>48.097593341000092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F2B2-4A14-A2DD-929949BF78D9}"/>
            </c:ext>
          </c:extLst>
        </c:ser>
        <c:ser>
          <c:idx val="4"/>
          <c:order val="4"/>
          <c:tx>
            <c:strRef>
              <c:f>List4!$F$28</c:f>
              <c:strCache>
                <c:ptCount val="1"/>
                <c:pt idx="0">
                  <c:v> průměrná délka DPN - pracovní úraz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7"/>
            <c:spPr>
              <a:ln w="15875">
                <a:solidFill>
                  <a:srgbClr val="00B050"/>
                </a:solidFill>
              </a:ln>
            </c:spPr>
          </c:marker>
          <c:xVal>
            <c:strRef>
              <c:f>List4!$A$29:$A$48</c:f>
              <c:strCache>
                <c:ptCount val="20"/>
                <c:pt idx="0">
                  <c:v>Celkem</c:v>
                </c:pt>
                <c:pt idx="1">
                  <c:v>A - Zeměd., les., rybářství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xVal>
          <c:yVal>
            <c:numRef>
              <c:f>List4!$F$29:$F$48</c:f>
              <c:numCache>
                <c:formatCode>0.0</c:formatCode>
                <c:ptCount val="20"/>
                <c:pt idx="0">
                  <c:v>54.353616581199944</c:v>
                </c:pt>
                <c:pt idx="1">
                  <c:v>60.539351851900001</c:v>
                </c:pt>
                <c:pt idx="2">
                  <c:v>116.51460674160028</c:v>
                </c:pt>
                <c:pt idx="3">
                  <c:v>49.367164179099994</c:v>
                </c:pt>
                <c:pt idx="4">
                  <c:v>69.3161764705998</c:v>
                </c:pt>
                <c:pt idx="5">
                  <c:v>55.042355371900108</c:v>
                </c:pt>
                <c:pt idx="6">
                  <c:v>67.809106239499755</c:v>
                </c:pt>
                <c:pt idx="7">
                  <c:v>51.667235171500003</c:v>
                </c:pt>
                <c:pt idx="8">
                  <c:v>62.599722991700013</c:v>
                </c:pt>
                <c:pt idx="9">
                  <c:v>44.960251046000003</c:v>
                </c:pt>
                <c:pt idx="10">
                  <c:v>63.296551724100155</c:v>
                </c:pt>
                <c:pt idx="11">
                  <c:v>48.272727272700003</c:v>
                </c:pt>
                <c:pt idx="12">
                  <c:v>56.074688796699995</c:v>
                </c:pt>
                <c:pt idx="13">
                  <c:v>57.419780219799996</c:v>
                </c:pt>
                <c:pt idx="14">
                  <c:v>49.813879003599901</c:v>
                </c:pt>
                <c:pt idx="15">
                  <c:v>58.532549728800063</c:v>
                </c:pt>
                <c:pt idx="16">
                  <c:v>53.606446776599995</c:v>
                </c:pt>
                <c:pt idx="17">
                  <c:v>58.984360625599997</c:v>
                </c:pt>
                <c:pt idx="18">
                  <c:v>55.353760445699876</c:v>
                </c:pt>
                <c:pt idx="19">
                  <c:v>58.590697674399998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4-F2B2-4A14-A2DD-929949BF78D9}"/>
            </c:ext>
          </c:extLst>
        </c:ser>
        <c:ser>
          <c:idx val="5"/>
          <c:order val="5"/>
          <c:tx>
            <c:strRef>
              <c:f>List4!$G$28</c:f>
              <c:strCache>
                <c:ptCount val="1"/>
                <c:pt idx="0">
                  <c:v> průměrná délka DPN - ostatní úraz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6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</c:marker>
          <c:xVal>
            <c:strRef>
              <c:f>List4!$A$29:$A$48</c:f>
              <c:strCache>
                <c:ptCount val="20"/>
                <c:pt idx="0">
                  <c:v>Celkem</c:v>
                </c:pt>
                <c:pt idx="1">
                  <c:v>A - Zeměd., les., rybářství</c:v>
                </c:pt>
                <c:pt idx="2">
                  <c:v>B - Těžba a dobývání</c:v>
                </c:pt>
                <c:pt idx="3">
                  <c:v>C - Zpracovatelský průmysl</c:v>
                </c:pt>
                <c:pt idx="4">
                  <c:v>D - Výroba a rozvod elektřiny a energií</c:v>
                </c:pt>
                <c:pt idx="5">
                  <c:v>E - Zásobování vodou; odpady, sanace</c:v>
                </c:pt>
                <c:pt idx="6">
                  <c:v>F - Stavebnictví</c:v>
                </c:pt>
                <c:pt idx="7">
                  <c:v>G - Velkoobchod, maloobchod; opr. mot. vozidel</c:v>
                </c:pt>
                <c:pt idx="8">
                  <c:v>H - Doprava a skladování</c:v>
                </c:pt>
                <c:pt idx="9">
                  <c:v>I - Ubytování, stravování a pohostinství</c:v>
                </c:pt>
                <c:pt idx="10">
                  <c:v>J - Informační a komunikační činnosti</c:v>
                </c:pt>
                <c:pt idx="11">
                  <c:v>K - Peněžnictví a pojišťovnictví</c:v>
                </c:pt>
                <c:pt idx="12">
                  <c:v>L - Činnosti v oblasti nemovitostí</c:v>
                </c:pt>
                <c:pt idx="13">
                  <c:v>M - Profesní, vědecké a technické činnosti</c:v>
                </c:pt>
                <c:pt idx="14">
                  <c:v>N - Administrativní a podpůrné činnosti</c:v>
                </c:pt>
                <c:pt idx="15">
                  <c:v>O - Veř. správa, obr.; pov. soc. zabezp. </c:v>
                </c:pt>
                <c:pt idx="16">
                  <c:v>P - Vzdělávání</c:v>
                </c:pt>
                <c:pt idx="17">
                  <c:v>Q - Zdravotní a sociální péče</c:v>
                </c:pt>
                <c:pt idx="18">
                  <c:v>R - Kulturní, zábavní a rekreační činnosti</c:v>
                </c:pt>
                <c:pt idx="19">
                  <c:v>S - Ostatní činnosti</c:v>
                </c:pt>
              </c:strCache>
            </c:strRef>
          </c:xVal>
          <c:yVal>
            <c:numRef>
              <c:f>List4!$G$29:$G$48</c:f>
              <c:numCache>
                <c:formatCode>0.0</c:formatCode>
                <c:ptCount val="20"/>
                <c:pt idx="0">
                  <c:v>52.286433338800109</c:v>
                </c:pt>
                <c:pt idx="1">
                  <c:v>60.284383561599974</c:v>
                </c:pt>
                <c:pt idx="2">
                  <c:v>57.764563106800011</c:v>
                </c:pt>
                <c:pt idx="3">
                  <c:v>49.703574141800011</c:v>
                </c:pt>
                <c:pt idx="4">
                  <c:v>58.604806408499996</c:v>
                </c:pt>
                <c:pt idx="5">
                  <c:v>53.9423791822</c:v>
                </c:pt>
                <c:pt idx="6">
                  <c:v>61.288836763000006</c:v>
                </c:pt>
                <c:pt idx="7">
                  <c:v>53.825673798300002</c:v>
                </c:pt>
                <c:pt idx="8">
                  <c:v>54.912796208500012</c:v>
                </c:pt>
                <c:pt idx="9">
                  <c:v>58.281410727400001</c:v>
                </c:pt>
                <c:pt idx="10">
                  <c:v>41.881175734800003</c:v>
                </c:pt>
                <c:pt idx="11">
                  <c:v>47.445378151299998</c:v>
                </c:pt>
                <c:pt idx="12">
                  <c:v>61.470744680899998</c:v>
                </c:pt>
                <c:pt idx="13">
                  <c:v>55.106635071100001</c:v>
                </c:pt>
                <c:pt idx="14">
                  <c:v>47.056400384999996</c:v>
                </c:pt>
                <c:pt idx="15">
                  <c:v>50.299035965900124</c:v>
                </c:pt>
                <c:pt idx="16">
                  <c:v>48.860877192999993</c:v>
                </c:pt>
                <c:pt idx="17">
                  <c:v>54.433446684499998</c:v>
                </c:pt>
                <c:pt idx="18">
                  <c:v>54.927927927900001</c:v>
                </c:pt>
                <c:pt idx="19">
                  <c:v>57.606183889299999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5-F2B2-4A14-A2DD-929949BF78D9}"/>
            </c:ext>
          </c:extLst>
        </c:ser>
        <c:axId val="65911808"/>
        <c:axId val="65909888"/>
      </c:scatterChart>
      <c:catAx>
        <c:axId val="65901696"/>
        <c:scaling>
          <c:orientation val="minMax"/>
        </c:scaling>
        <c:axPos val="b"/>
        <c:numFmt formatCode="General" sourceLinked="0"/>
        <c:tickLblPos val="nextTo"/>
        <c:crossAx val="65903616"/>
        <c:crosses val="autoZero"/>
        <c:auto val="1"/>
        <c:lblAlgn val="ctr"/>
        <c:lblOffset val="100"/>
      </c:catAx>
      <c:valAx>
        <c:axId val="65903616"/>
        <c:scaling>
          <c:orientation val="minMax"/>
          <c:max val="50"/>
          <c:min val="0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případy DPN na 100 pojištěnců</a:t>
                </a:r>
              </a:p>
            </c:rich>
          </c:tx>
          <c:layout>
            <c:manualLayout>
              <c:xMode val="edge"/>
              <c:yMode val="edge"/>
              <c:x val="4.5411308970713692E-4"/>
              <c:y val="0.13543328816338304"/>
            </c:manualLayout>
          </c:layout>
        </c:title>
        <c:numFmt formatCode="0" sourceLinked="0"/>
        <c:tickLblPos val="nextTo"/>
        <c:spPr>
          <a:ln>
            <a:noFill/>
          </a:ln>
        </c:spPr>
        <c:crossAx val="65901696"/>
        <c:crosses val="autoZero"/>
        <c:crossBetween val="between"/>
      </c:valAx>
      <c:valAx>
        <c:axId val="65909888"/>
        <c:scaling>
          <c:orientation val="minMax"/>
          <c:max val="100"/>
        </c:scaling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průměrný počet dní pracovní neschopnosti</a:t>
                </a:r>
              </a:p>
            </c:rich>
          </c:tx>
          <c:layout>
            <c:manualLayout>
              <c:xMode val="edge"/>
              <c:yMode val="edge"/>
              <c:x val="0.97170447153249273"/>
              <c:y val="5.1291992805224527E-2"/>
            </c:manualLayout>
          </c:layout>
        </c:title>
        <c:numFmt formatCode="0" sourceLinked="0"/>
        <c:tickLblPos val="nextTo"/>
        <c:spPr>
          <a:ln>
            <a:noFill/>
          </a:ln>
        </c:spPr>
        <c:crossAx val="65911808"/>
        <c:crosses val="max"/>
        <c:crossBetween val="midCat"/>
      </c:valAx>
      <c:valAx>
        <c:axId val="65911808"/>
        <c:scaling>
          <c:orientation val="minMax"/>
        </c:scaling>
        <c:delete val="1"/>
        <c:axPos val="b"/>
        <c:tickLblPos val="none"/>
        <c:crossAx val="6590988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3.4382051972187029E-2"/>
          <c:y val="0.9326609451396235"/>
          <c:w val="0.93635469547497785"/>
          <c:h val="6.6124600028597283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tx>
            <c:strRef>
              <c:f>List5!$A$15</c:f>
              <c:strCache>
                <c:ptCount val="1"/>
                <c:pt idx="0">
                  <c:v> nemoc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cat>
            <c:numRef>
              <c:f>List5!$B$14:$L$14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List5!$B$15:$L$15</c:f>
              <c:numCache>
                <c:formatCode>#,##0.00</c:formatCode>
                <c:ptCount val="11"/>
                <c:pt idx="0">
                  <c:v>34.309999999999995</c:v>
                </c:pt>
                <c:pt idx="1">
                  <c:v>33.64</c:v>
                </c:pt>
                <c:pt idx="2">
                  <c:v>38.1</c:v>
                </c:pt>
                <c:pt idx="3">
                  <c:v>43.839999999999996</c:v>
                </c:pt>
                <c:pt idx="4">
                  <c:v>43.49</c:v>
                </c:pt>
                <c:pt idx="5">
                  <c:v>42.61</c:v>
                </c:pt>
                <c:pt idx="6">
                  <c:v>44.68</c:v>
                </c:pt>
                <c:pt idx="7">
                  <c:v>42.449999999999996</c:v>
                </c:pt>
                <c:pt idx="8">
                  <c:v>44.57</c:v>
                </c:pt>
                <c:pt idx="9" formatCode="General">
                  <c:v>41.2</c:v>
                </c:pt>
                <c:pt idx="10" formatCode="General">
                  <c:v>41.7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6A-481A-A766-8B9FD4728D48}"/>
            </c:ext>
          </c:extLst>
        </c:ser>
        <c:ser>
          <c:idx val="1"/>
          <c:order val="1"/>
          <c:tx>
            <c:strRef>
              <c:f>List5!$A$16</c:f>
              <c:strCache>
                <c:ptCount val="1"/>
                <c:pt idx="0">
                  <c:v> pracovní úraz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numRef>
              <c:f>List5!$B$14:$L$14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List5!$B$16:$L$16</c:f>
              <c:numCache>
                <c:formatCode>#,##0.00</c:formatCode>
                <c:ptCount val="11"/>
                <c:pt idx="0">
                  <c:v>45.77</c:v>
                </c:pt>
                <c:pt idx="1">
                  <c:v>46.620000000000012</c:v>
                </c:pt>
                <c:pt idx="2">
                  <c:v>49.78</c:v>
                </c:pt>
                <c:pt idx="3">
                  <c:v>55.160000000000011</c:v>
                </c:pt>
                <c:pt idx="4">
                  <c:v>52.1</c:v>
                </c:pt>
                <c:pt idx="5">
                  <c:v>55.03</c:v>
                </c:pt>
                <c:pt idx="6">
                  <c:v>54.94</c:v>
                </c:pt>
                <c:pt idx="7">
                  <c:v>55.720000000000013</c:v>
                </c:pt>
                <c:pt idx="8">
                  <c:v>54.3</c:v>
                </c:pt>
                <c:pt idx="9" formatCode="General">
                  <c:v>55.4</c:v>
                </c:pt>
                <c:pt idx="10" formatCode="General">
                  <c:v>54.4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6A-481A-A766-8B9FD4728D48}"/>
            </c:ext>
          </c:extLst>
        </c:ser>
        <c:ser>
          <c:idx val="2"/>
          <c:order val="2"/>
          <c:tx>
            <c:strRef>
              <c:f>List5!$A$17</c:f>
              <c:strCache>
                <c:ptCount val="1"/>
                <c:pt idx="0">
                  <c:v> ostatní úraz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cat>
            <c:numRef>
              <c:f>List5!$B$14:$L$14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List5!$B$17:$L$17</c:f>
              <c:numCache>
                <c:formatCode>#,##0.00</c:formatCode>
                <c:ptCount val="11"/>
                <c:pt idx="0">
                  <c:v>45.7</c:v>
                </c:pt>
                <c:pt idx="1">
                  <c:v>45.449999999999996</c:v>
                </c:pt>
                <c:pt idx="2">
                  <c:v>49.37</c:v>
                </c:pt>
                <c:pt idx="3">
                  <c:v>57.7</c:v>
                </c:pt>
                <c:pt idx="4">
                  <c:v>56.86</c:v>
                </c:pt>
                <c:pt idx="5">
                  <c:v>59.1</c:v>
                </c:pt>
                <c:pt idx="6">
                  <c:v>55.32</c:v>
                </c:pt>
                <c:pt idx="7">
                  <c:v>54.89</c:v>
                </c:pt>
                <c:pt idx="8">
                  <c:v>54.25</c:v>
                </c:pt>
                <c:pt idx="9" formatCode="General">
                  <c:v>54.3</c:v>
                </c:pt>
                <c:pt idx="10" formatCode="General">
                  <c:v>52.3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6A-481A-A766-8B9FD4728D48}"/>
            </c:ext>
          </c:extLst>
        </c:ser>
        <c:gapWidth val="76"/>
        <c:axId val="67329408"/>
        <c:axId val="67339392"/>
      </c:barChart>
      <c:lineChart>
        <c:grouping val="standard"/>
        <c:ser>
          <c:idx val="3"/>
          <c:order val="3"/>
          <c:tx>
            <c:strRef>
              <c:f>List5!$A$18</c:f>
              <c:strCache>
                <c:ptCount val="1"/>
                <c:pt idx="0">
                  <c:v> celkem</c:v>
                </c:pt>
              </c:strCache>
            </c:strRef>
          </c:tx>
          <c:spPr>
            <a:ln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diamond"/>
            <c:size val="9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</c:marker>
          <c:dLbls>
            <c:spPr>
              <a:solidFill>
                <a:sysClr val="window" lastClr="FFFFFF">
                  <a:alpha val="68000"/>
                </a:sysClr>
              </a:solidFill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List5!$B$14:$L$14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List5!$B$18:$L$18</c:f>
              <c:numCache>
                <c:formatCode>#,##0.00</c:formatCode>
                <c:ptCount val="11"/>
                <c:pt idx="0">
                  <c:v>35.260000000000012</c:v>
                </c:pt>
                <c:pt idx="1">
                  <c:v>34.58</c:v>
                </c:pt>
                <c:pt idx="2">
                  <c:v>39.050000000000004</c:v>
                </c:pt>
                <c:pt idx="3">
                  <c:v>45.06</c:v>
                </c:pt>
                <c:pt idx="4">
                  <c:v>44.690000000000012</c:v>
                </c:pt>
                <c:pt idx="5">
                  <c:v>44.08</c:v>
                </c:pt>
                <c:pt idx="6">
                  <c:v>46.1</c:v>
                </c:pt>
                <c:pt idx="7">
                  <c:v>44</c:v>
                </c:pt>
                <c:pt idx="8">
                  <c:v>45.8</c:v>
                </c:pt>
                <c:pt idx="9" formatCode="General">
                  <c:v>42.7</c:v>
                </c:pt>
                <c:pt idx="10" formatCode="General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6A-481A-A766-8B9FD4728D48}"/>
            </c:ext>
          </c:extLst>
        </c:ser>
        <c:marker val="1"/>
        <c:axId val="67346816"/>
        <c:axId val="67340928"/>
      </c:lineChart>
      <c:catAx>
        <c:axId val="67329408"/>
        <c:scaling>
          <c:orientation val="minMax"/>
        </c:scaling>
        <c:axPos val="b"/>
        <c:numFmt formatCode="General" sourceLinked="1"/>
        <c:tickLblPos val="nextTo"/>
        <c:crossAx val="67339392"/>
        <c:crosses val="autoZero"/>
        <c:auto val="1"/>
        <c:lblAlgn val="ctr"/>
        <c:lblOffset val="100"/>
      </c:catAx>
      <c:valAx>
        <c:axId val="67339392"/>
        <c:scaling>
          <c:orientation val="minMax"/>
          <c:max val="60"/>
          <c:min val="0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sysDot"/>
            </a:ln>
          </c:spPr>
        </c:majorGridlines>
        <c:numFmt formatCode="#,##0" sourceLinked="0"/>
        <c:tickLblPos val="nextTo"/>
        <c:spPr>
          <a:ln>
            <a:noFill/>
          </a:ln>
        </c:spPr>
        <c:crossAx val="67329408"/>
        <c:crosses val="autoZero"/>
        <c:crossBetween val="between"/>
      </c:valAx>
      <c:valAx>
        <c:axId val="67340928"/>
        <c:scaling>
          <c:orientation val="minMax"/>
          <c:max val="60"/>
          <c:min val="0"/>
        </c:scaling>
        <c:axPos val="r"/>
        <c:numFmt formatCode="#,##0" sourceLinked="0"/>
        <c:tickLblPos val="nextTo"/>
        <c:spPr>
          <a:ln>
            <a:noFill/>
          </a:ln>
        </c:spPr>
        <c:txPr>
          <a:bodyPr/>
          <a:lstStyle/>
          <a:p>
            <a:pPr>
              <a:defRPr sz="100">
                <a:solidFill>
                  <a:schemeClr val="bg1"/>
                </a:solidFill>
              </a:defRPr>
            </a:pPr>
            <a:endParaRPr lang="cs-CZ"/>
          </a:p>
        </c:txPr>
        <c:crossAx val="67346816"/>
        <c:crosses val="max"/>
        <c:crossBetween val="between"/>
      </c:valAx>
      <c:catAx>
        <c:axId val="67346816"/>
        <c:scaling>
          <c:orientation val="minMax"/>
        </c:scaling>
        <c:delete val="1"/>
        <c:axPos val="b"/>
        <c:numFmt formatCode="General" sourceLinked="1"/>
        <c:tickLblPos val="none"/>
        <c:crossAx val="67340928"/>
        <c:crosses val="autoZero"/>
        <c:auto val="1"/>
        <c:lblAlgn val="ctr"/>
        <c:lblOffset val="100"/>
      </c:catAx>
    </c:plotArea>
    <c:legend>
      <c:legendPos val="b"/>
      <c:layout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7710869841710442E-2"/>
          <c:y val="3.8596491228070177E-2"/>
          <c:w val="0.88653616535818458"/>
          <c:h val="0.74606894723638961"/>
        </c:manualLayout>
      </c:layout>
      <c:barChart>
        <c:barDir val="col"/>
        <c:grouping val="clustered"/>
        <c:ser>
          <c:idx val="0"/>
          <c:order val="0"/>
          <c:tx>
            <c:strRef>
              <c:f>List9!$L$10</c:f>
              <c:strCache>
                <c:ptCount val="1"/>
                <c:pt idx="0">
                  <c:v>  případy DPN na 100 pojištěnců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dPt>
            <c:idx val="12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5CC-4404-8DB5-BA5A957FA156}"/>
              </c:ext>
            </c:extLst>
          </c:dPt>
          <c:dPt>
            <c:idx val="1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5CC-4404-8DB5-BA5A957FA156}"/>
              </c:ext>
            </c:extLst>
          </c:dPt>
          <c:dPt>
            <c:idx val="14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5CC-4404-8DB5-BA5A957FA156}"/>
              </c:ext>
            </c:extLst>
          </c:dPt>
          <c:dPt>
            <c:idx val="15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5CC-4404-8DB5-BA5A957FA156}"/>
              </c:ext>
            </c:extLst>
          </c:dPt>
          <c:dPt>
            <c:idx val="16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5CC-4404-8DB5-BA5A957FA156}"/>
              </c:ext>
            </c:extLst>
          </c:dPt>
          <c:dPt>
            <c:idx val="17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5CC-4404-8DB5-BA5A957FA156}"/>
              </c:ext>
            </c:extLst>
          </c:dPt>
          <c:dPt>
            <c:idx val="18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5CC-4404-8DB5-BA5A957FA156}"/>
              </c:ext>
            </c:extLst>
          </c:dPt>
          <c:dPt>
            <c:idx val="19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5CC-4404-8DB5-BA5A957FA156}"/>
              </c:ext>
            </c:extLst>
          </c:dPt>
          <c:dPt>
            <c:idx val="2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35CC-4404-8DB5-BA5A957FA156}"/>
              </c:ext>
            </c:extLst>
          </c:dPt>
          <c:dPt>
            <c:idx val="21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5CC-4404-8DB5-BA5A957FA156}"/>
              </c:ext>
            </c:extLst>
          </c:dPt>
          <c:dPt>
            <c:idx val="22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35CC-4404-8DB5-BA5A957FA156}"/>
              </c:ext>
            </c:extLst>
          </c:dPt>
          <c:cat>
            <c:multiLvlStrRef>
              <c:f>List9!$J$11:$K$33</c:f>
              <c:multiLvlStrCache>
                <c:ptCount val="23"/>
                <c:lvl>
                  <c:pt idx="0">
                    <c:v>2006</c:v>
                  </c:pt>
                  <c:pt idx="1">
                    <c:v>2007</c:v>
                  </c:pt>
                  <c:pt idx="2">
                    <c:v>2008</c:v>
                  </c:pt>
                  <c:pt idx="3">
                    <c:v>2009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2014</c:v>
                  </c:pt>
                  <c:pt idx="9">
                    <c:v>2015</c:v>
                  </c:pt>
                  <c:pt idx="10">
                    <c:v>2016</c:v>
                  </c:pt>
                  <c:pt idx="12">
                    <c:v>2006</c:v>
                  </c:pt>
                  <c:pt idx="13">
                    <c:v>2007</c:v>
                  </c:pt>
                  <c:pt idx="14">
                    <c:v>2008</c:v>
                  </c:pt>
                  <c:pt idx="15">
                    <c:v>2009</c:v>
                  </c:pt>
                  <c:pt idx="16">
                    <c:v>2010</c:v>
                  </c:pt>
                  <c:pt idx="17">
                    <c:v>2011</c:v>
                  </c:pt>
                  <c:pt idx="18">
                    <c:v>2012</c:v>
                  </c:pt>
                  <c:pt idx="19">
                    <c:v>2013</c:v>
                  </c:pt>
                  <c:pt idx="20">
                    <c:v>2014</c:v>
                  </c:pt>
                  <c:pt idx="21">
                    <c:v>2015</c:v>
                  </c:pt>
                  <c:pt idx="22">
                    <c:v>2016</c:v>
                  </c:pt>
                </c:lvl>
                <c:lvl>
                  <c:pt idx="0">
                    <c:v>muži</c:v>
                  </c:pt>
                  <c:pt idx="12">
                    <c:v>ženy</c:v>
                  </c:pt>
                </c:lvl>
              </c:multiLvlStrCache>
            </c:multiLvlStrRef>
          </c:cat>
          <c:val>
            <c:numRef>
              <c:f>List9!$L$11:$L$33</c:f>
              <c:numCache>
                <c:formatCode>#,##0.0</c:formatCode>
                <c:ptCount val="23"/>
                <c:pt idx="0">
                  <c:v>63.4</c:v>
                </c:pt>
                <c:pt idx="1">
                  <c:v>56.1</c:v>
                </c:pt>
                <c:pt idx="2">
                  <c:v>45.1</c:v>
                </c:pt>
                <c:pt idx="3">
                  <c:v>31.1</c:v>
                </c:pt>
                <c:pt idx="4">
                  <c:v>28.8</c:v>
                </c:pt>
                <c:pt idx="5">
                  <c:v>28.2</c:v>
                </c:pt>
                <c:pt idx="6">
                  <c:v>26</c:v>
                </c:pt>
                <c:pt idx="7">
                  <c:v>28.2</c:v>
                </c:pt>
                <c:pt idx="8">
                  <c:v>27.8</c:v>
                </c:pt>
                <c:pt idx="9">
                  <c:v>32.700000000000003</c:v>
                </c:pt>
                <c:pt idx="10">
                  <c:v>33.700000000000003</c:v>
                </c:pt>
                <c:pt idx="12">
                  <c:v>63.4</c:v>
                </c:pt>
                <c:pt idx="13">
                  <c:v>62.9</c:v>
                </c:pt>
                <c:pt idx="14">
                  <c:v>52.6</c:v>
                </c:pt>
                <c:pt idx="15">
                  <c:v>37</c:v>
                </c:pt>
                <c:pt idx="16">
                  <c:v>32.800000000000004</c:v>
                </c:pt>
                <c:pt idx="17">
                  <c:v>32.200000000000003</c:v>
                </c:pt>
                <c:pt idx="18">
                  <c:v>28.9</c:v>
                </c:pt>
                <c:pt idx="19">
                  <c:v>31.8</c:v>
                </c:pt>
                <c:pt idx="20">
                  <c:v>31.2</c:v>
                </c:pt>
                <c:pt idx="21">
                  <c:v>36.800000000000004</c:v>
                </c:pt>
                <c:pt idx="22">
                  <c:v>37.9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35CC-4404-8DB5-BA5A957FA156}"/>
            </c:ext>
          </c:extLst>
        </c:ser>
        <c:gapWidth val="30"/>
        <c:axId val="84314368"/>
        <c:axId val="84324352"/>
      </c:barChart>
      <c:lineChart>
        <c:grouping val="standard"/>
        <c:ser>
          <c:idx val="1"/>
          <c:order val="1"/>
          <c:tx>
            <c:strRef>
              <c:f>List9!$M$10</c:f>
              <c:strCache>
                <c:ptCount val="1"/>
                <c:pt idx="0">
                  <c:v> průměrná délka trvání 1 případu DPN</c:v>
                </c:pt>
              </c:strCache>
            </c:strRef>
          </c:tx>
          <c:dPt>
            <c:idx val="0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5CC-4404-8DB5-BA5A957FA156}"/>
              </c:ext>
            </c:extLst>
          </c:dPt>
          <c:dPt>
            <c:idx val="1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5CC-4404-8DB5-BA5A957FA156}"/>
              </c:ext>
            </c:extLst>
          </c:dPt>
          <c:dPt>
            <c:idx val="2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5CC-4404-8DB5-BA5A957FA156}"/>
              </c:ext>
            </c:extLst>
          </c:dPt>
          <c:dPt>
            <c:idx val="3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5CC-4404-8DB5-BA5A957FA156}"/>
              </c:ext>
            </c:extLst>
          </c:dPt>
          <c:dPt>
            <c:idx val="4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35CC-4404-8DB5-BA5A957FA156}"/>
              </c:ext>
            </c:extLst>
          </c:dPt>
          <c:dPt>
            <c:idx val="5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35CC-4404-8DB5-BA5A957FA156}"/>
              </c:ext>
            </c:extLst>
          </c:dPt>
          <c:dPt>
            <c:idx val="6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35CC-4404-8DB5-BA5A957FA156}"/>
              </c:ext>
            </c:extLst>
          </c:dPt>
          <c:dPt>
            <c:idx val="7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35CC-4404-8DB5-BA5A957FA156}"/>
              </c:ext>
            </c:extLst>
          </c:dPt>
          <c:dPt>
            <c:idx val="8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35CC-4404-8DB5-BA5A957FA156}"/>
              </c:ext>
            </c:extLst>
          </c:dPt>
          <c:dPt>
            <c:idx val="9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35CC-4404-8DB5-BA5A957FA156}"/>
              </c:ext>
            </c:extLst>
          </c:dPt>
          <c:dPt>
            <c:idx val="10"/>
            <c:marker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accent1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1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35CC-4404-8DB5-BA5A957FA156}"/>
              </c:ext>
            </c:extLst>
          </c:dPt>
          <c:dPt>
            <c:idx val="12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35CC-4404-8DB5-BA5A957FA156}"/>
              </c:ext>
            </c:extLst>
          </c:dPt>
          <c:dPt>
            <c:idx val="13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35CC-4404-8DB5-BA5A957FA156}"/>
              </c:ext>
            </c:extLst>
          </c:dPt>
          <c:dPt>
            <c:idx val="14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35CC-4404-8DB5-BA5A957FA156}"/>
              </c:ext>
            </c:extLst>
          </c:dPt>
          <c:dPt>
            <c:idx val="15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35CC-4404-8DB5-BA5A957FA156}"/>
              </c:ext>
            </c:extLst>
          </c:dPt>
          <c:dPt>
            <c:idx val="16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35CC-4404-8DB5-BA5A957FA156}"/>
              </c:ext>
            </c:extLst>
          </c:dPt>
          <c:dPt>
            <c:idx val="17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35CC-4404-8DB5-BA5A957FA156}"/>
              </c:ext>
            </c:extLst>
          </c:dPt>
          <c:dPt>
            <c:idx val="18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35CC-4404-8DB5-BA5A957FA156}"/>
              </c:ext>
            </c:extLst>
          </c:dPt>
          <c:dPt>
            <c:idx val="19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35CC-4404-8DB5-BA5A957FA156}"/>
              </c:ext>
            </c:extLst>
          </c:dPt>
          <c:dPt>
            <c:idx val="20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35CC-4404-8DB5-BA5A957FA156}"/>
              </c:ext>
            </c:extLst>
          </c:dPt>
          <c:dPt>
            <c:idx val="21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35CC-4404-8DB5-BA5A957FA156}"/>
              </c:ext>
            </c:extLst>
          </c:dPt>
          <c:dPt>
            <c:idx val="22"/>
            <c:marker>
              <c:spPr>
                <a:ln>
                  <a:solidFill>
                    <a:schemeClr val="accent2">
                      <a:lumMod val="50000"/>
                    </a:schemeClr>
                  </a:solidFill>
                </a:ln>
              </c:spPr>
            </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35CC-4404-8DB5-BA5A957FA156}"/>
              </c:ext>
            </c:extLst>
          </c:dPt>
          <c:cat>
            <c:multiLvlStrRef>
              <c:f>List9!$J$11:$K$33</c:f>
              <c:multiLvlStrCache>
                <c:ptCount val="23"/>
                <c:lvl>
                  <c:pt idx="0">
                    <c:v>2006</c:v>
                  </c:pt>
                  <c:pt idx="1">
                    <c:v>2007</c:v>
                  </c:pt>
                  <c:pt idx="2">
                    <c:v>2008</c:v>
                  </c:pt>
                  <c:pt idx="3">
                    <c:v>2009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2014</c:v>
                  </c:pt>
                  <c:pt idx="9">
                    <c:v>2015</c:v>
                  </c:pt>
                  <c:pt idx="10">
                    <c:v>2016</c:v>
                  </c:pt>
                  <c:pt idx="12">
                    <c:v>2006</c:v>
                  </c:pt>
                  <c:pt idx="13">
                    <c:v>2007</c:v>
                  </c:pt>
                  <c:pt idx="14">
                    <c:v>2008</c:v>
                  </c:pt>
                  <c:pt idx="15">
                    <c:v>2009</c:v>
                  </c:pt>
                  <c:pt idx="16">
                    <c:v>2010</c:v>
                  </c:pt>
                  <c:pt idx="17">
                    <c:v>2011</c:v>
                  </c:pt>
                  <c:pt idx="18">
                    <c:v>2012</c:v>
                  </c:pt>
                  <c:pt idx="19">
                    <c:v>2013</c:v>
                  </c:pt>
                  <c:pt idx="20">
                    <c:v>2014</c:v>
                  </c:pt>
                  <c:pt idx="21">
                    <c:v>2015</c:v>
                  </c:pt>
                  <c:pt idx="22">
                    <c:v>2016</c:v>
                  </c:pt>
                </c:lvl>
                <c:lvl>
                  <c:pt idx="0">
                    <c:v>muži</c:v>
                  </c:pt>
                  <c:pt idx="12">
                    <c:v>ženy</c:v>
                  </c:pt>
                </c:lvl>
              </c:multiLvlStrCache>
            </c:multiLvlStrRef>
          </c:cat>
          <c:val>
            <c:numRef>
              <c:f>List9!$M$11:$M$33</c:f>
              <c:numCache>
                <c:formatCode>#,##0.0</c:formatCode>
                <c:ptCount val="23"/>
                <c:pt idx="0">
                  <c:v>35.300000000000004</c:v>
                </c:pt>
                <c:pt idx="1">
                  <c:v>33</c:v>
                </c:pt>
                <c:pt idx="2">
                  <c:v>37.1</c:v>
                </c:pt>
                <c:pt idx="3">
                  <c:v>43.6</c:v>
                </c:pt>
                <c:pt idx="4">
                  <c:v>43.6</c:v>
                </c:pt>
                <c:pt idx="5">
                  <c:v>43</c:v>
                </c:pt>
                <c:pt idx="6">
                  <c:v>44.1</c:v>
                </c:pt>
                <c:pt idx="7">
                  <c:v>42.3</c:v>
                </c:pt>
                <c:pt idx="8">
                  <c:v>43.4</c:v>
                </c:pt>
                <c:pt idx="9">
                  <c:v>40.5</c:v>
                </c:pt>
                <c:pt idx="10">
                  <c:v>40.700000000000003</c:v>
                </c:pt>
                <c:pt idx="12">
                  <c:v>36.700000000000003</c:v>
                </c:pt>
                <c:pt idx="13">
                  <c:v>36.200000000000003</c:v>
                </c:pt>
                <c:pt idx="14">
                  <c:v>40.9</c:v>
                </c:pt>
                <c:pt idx="15">
                  <c:v>46.4</c:v>
                </c:pt>
                <c:pt idx="16">
                  <c:v>45.7</c:v>
                </c:pt>
                <c:pt idx="17">
                  <c:v>45.1</c:v>
                </c:pt>
                <c:pt idx="18">
                  <c:v>47.9</c:v>
                </c:pt>
                <c:pt idx="19">
                  <c:v>45.5</c:v>
                </c:pt>
                <c:pt idx="20">
                  <c:v>48</c:v>
                </c:pt>
                <c:pt idx="21">
                  <c:v>44.8</c:v>
                </c:pt>
                <c:pt idx="22">
                  <c:v>45.2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8-35CC-4404-8DB5-BA5A957FA156}"/>
            </c:ext>
          </c:extLst>
        </c:ser>
        <c:marker val="1"/>
        <c:axId val="84332544"/>
        <c:axId val="84326272"/>
      </c:lineChart>
      <c:catAx>
        <c:axId val="84314368"/>
        <c:scaling>
          <c:orientation val="minMax"/>
        </c:scaling>
        <c:axPos val="b"/>
        <c:numFmt formatCode="General" sourceLinked="1"/>
        <c:majorTickMark val="none"/>
        <c:tickLblPos val="nextTo"/>
        <c:crossAx val="84324352"/>
        <c:crosses val="autoZero"/>
        <c:auto val="1"/>
        <c:lblAlgn val="ctr"/>
        <c:lblOffset val="100"/>
      </c:catAx>
      <c:valAx>
        <c:axId val="84324352"/>
        <c:scaling>
          <c:orientation val="minMax"/>
          <c:max val="65"/>
          <c:min val="0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případy</a:t>
                </a:r>
              </a:p>
            </c:rich>
          </c:tx>
          <c:layout>
            <c:manualLayout>
              <c:xMode val="edge"/>
              <c:yMode val="edge"/>
              <c:x val="0"/>
              <c:y val="0.35775631993369289"/>
            </c:manualLayout>
          </c:layout>
        </c:title>
        <c:numFmt formatCode="#,##0" sourceLinked="0"/>
        <c:tickLblPos val="nextTo"/>
        <c:spPr>
          <a:ln>
            <a:noFill/>
          </a:ln>
        </c:spPr>
        <c:crossAx val="84314368"/>
        <c:crosses val="autoZero"/>
        <c:crossBetween val="between"/>
      </c:valAx>
      <c:valAx>
        <c:axId val="84326272"/>
        <c:scaling>
          <c:orientation val="minMax"/>
          <c:max val="65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dny</a:t>
                </a:r>
              </a:p>
            </c:rich>
          </c:tx>
          <c:layout>
            <c:manualLayout>
              <c:xMode val="edge"/>
              <c:yMode val="edge"/>
              <c:x val="0.9761232709347456"/>
              <c:y val="0.38896670810885575"/>
            </c:manualLayout>
          </c:layout>
        </c:title>
        <c:numFmt formatCode="#,##0" sourceLinked="0"/>
        <c:tickLblPos val="nextTo"/>
        <c:spPr>
          <a:ln>
            <a:noFill/>
          </a:ln>
        </c:spPr>
        <c:crossAx val="84332544"/>
        <c:crosses val="max"/>
        <c:crossBetween val="between"/>
      </c:valAx>
      <c:catAx>
        <c:axId val="84332544"/>
        <c:scaling>
          <c:orientation val="minMax"/>
        </c:scaling>
        <c:delete val="1"/>
        <c:axPos val="b"/>
        <c:numFmt formatCode="General" sourceLinked="1"/>
        <c:tickLblPos val="none"/>
        <c:crossAx val="8432627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4944488767097977"/>
          <c:y val="0.94791020859234698"/>
          <c:w val="0.70111007049228979"/>
          <c:h val="5.2089791407652991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lineChart>
        <c:grouping val="standard"/>
        <c:ser>
          <c:idx val="0"/>
          <c:order val="0"/>
          <c:tx>
            <c:strRef>
              <c:f>List6!$A$4</c:f>
              <c:strCache>
                <c:ptCount val="1"/>
                <c:pt idx="0">
                  <c:v> celkem</c:v>
                </c:pt>
              </c:strCache>
            </c:strRef>
          </c:tx>
          <c:spPr>
            <a:ln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</c:marker>
          <c:cat>
            <c:numRef>
              <c:f>List6!$B$3:$L$3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List6!$B$4:$L$4</c:f>
              <c:numCache>
                <c:formatCode>#,##0.000</c:formatCode>
                <c:ptCount val="11"/>
                <c:pt idx="0">
                  <c:v>5.8139999999999965</c:v>
                </c:pt>
                <c:pt idx="1">
                  <c:v>5.61899999999999</c:v>
                </c:pt>
                <c:pt idx="2">
                  <c:v>5.1839999999999975</c:v>
                </c:pt>
                <c:pt idx="3">
                  <c:v>4.1839999999999975</c:v>
                </c:pt>
                <c:pt idx="4">
                  <c:v>3.7629999999999999</c:v>
                </c:pt>
                <c:pt idx="5">
                  <c:v>3.6379999999999999</c:v>
                </c:pt>
                <c:pt idx="6">
                  <c:v>3.4519999999999977</c:v>
                </c:pt>
                <c:pt idx="7">
                  <c:v>3.6149999999999998</c:v>
                </c:pt>
                <c:pt idx="8">
                  <c:v>3.6970000000000001</c:v>
                </c:pt>
                <c:pt idx="9" formatCode="General">
                  <c:v>4.0999999999999996</c:v>
                </c:pt>
                <c:pt idx="10" formatCode="General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E1-469D-A5D3-18864CF9C643}"/>
            </c:ext>
          </c:extLst>
        </c:ser>
        <c:ser>
          <c:idx val="1"/>
          <c:order val="1"/>
          <c:tx>
            <c:strRef>
              <c:f>List6!$A$5</c:f>
              <c:strCache>
                <c:ptCount val="1"/>
                <c:pt idx="0">
                  <c:v> nemoc</c:v>
                </c:pt>
              </c:strCache>
            </c:strRef>
          </c:tx>
          <c:spPr>
            <a:ln>
              <a:solidFill>
                <a:schemeClr val="accent6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numRef>
              <c:f>List6!$B$3:$L$3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List6!$B$5:$L$5</c:f>
              <c:numCache>
                <c:formatCode>#,##0.000</c:formatCode>
                <c:ptCount val="11"/>
                <c:pt idx="0">
                  <c:v>5.1890000000000001</c:v>
                </c:pt>
                <c:pt idx="1">
                  <c:v>5.05</c:v>
                </c:pt>
                <c:pt idx="2">
                  <c:v>4.6399999999999997</c:v>
                </c:pt>
                <c:pt idx="3">
                  <c:v>3.6869999999999998</c:v>
                </c:pt>
                <c:pt idx="4">
                  <c:v>3.2840000000000011</c:v>
                </c:pt>
                <c:pt idx="5">
                  <c:v>3.173</c:v>
                </c:pt>
                <c:pt idx="6">
                  <c:v>2.9129999999999967</c:v>
                </c:pt>
                <c:pt idx="7">
                  <c:v>3.0589999999999997</c:v>
                </c:pt>
                <c:pt idx="8">
                  <c:v>3.1359999999999997</c:v>
                </c:pt>
                <c:pt idx="9" formatCode="General">
                  <c:v>3.5</c:v>
                </c:pt>
                <c:pt idx="10" formatCode="General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E1-469D-A5D3-18864CF9C643}"/>
            </c:ext>
          </c:extLst>
        </c:ser>
        <c:ser>
          <c:idx val="2"/>
          <c:order val="2"/>
          <c:tx>
            <c:strRef>
              <c:f>List6!$A$6</c:f>
              <c:strCache>
                <c:ptCount val="1"/>
                <c:pt idx="0">
                  <c:v> pracovní úraz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List6!$B$3:$L$3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List6!$B$6:$L$6</c:f>
              <c:numCache>
                <c:formatCode>#,##0.000</c:formatCode>
                <c:ptCount val="11"/>
                <c:pt idx="0">
                  <c:v>0.22900000000000001</c:v>
                </c:pt>
                <c:pt idx="1">
                  <c:v>0.2150000000000003</c:v>
                </c:pt>
                <c:pt idx="2">
                  <c:v>0.21200000000000024</c:v>
                </c:pt>
                <c:pt idx="3">
                  <c:v>0.17800000000000021</c:v>
                </c:pt>
                <c:pt idx="4">
                  <c:v>0.17100000000000001</c:v>
                </c:pt>
                <c:pt idx="5">
                  <c:v>0.19600000000000001</c:v>
                </c:pt>
                <c:pt idx="6">
                  <c:v>0.14800000000000021</c:v>
                </c:pt>
                <c:pt idx="7">
                  <c:v>0.14800000000000021</c:v>
                </c:pt>
                <c:pt idx="8">
                  <c:v>0.15000000000000024</c:v>
                </c:pt>
                <c:pt idx="9" formatCode="General">
                  <c:v>0.2</c:v>
                </c:pt>
                <c:pt idx="10" formatCode="General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E1-469D-A5D3-18864CF9C643}"/>
            </c:ext>
          </c:extLst>
        </c:ser>
        <c:ser>
          <c:idx val="3"/>
          <c:order val="3"/>
          <c:tx>
            <c:strRef>
              <c:f>List6!$A$7</c:f>
              <c:strCache>
                <c:ptCount val="1"/>
                <c:pt idx="0">
                  <c:v> ostatní úraz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List6!$B$3:$L$3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List6!$B$7:$L$7</c:f>
              <c:numCache>
                <c:formatCode>#,##0.000</c:formatCode>
                <c:ptCount val="11"/>
                <c:pt idx="0">
                  <c:v>0.39600000000000085</c:v>
                </c:pt>
                <c:pt idx="1">
                  <c:v>0.35400000000000031</c:v>
                </c:pt>
                <c:pt idx="2">
                  <c:v>0.33200000000000085</c:v>
                </c:pt>
                <c:pt idx="3">
                  <c:v>0.31900000000000067</c:v>
                </c:pt>
                <c:pt idx="4">
                  <c:v>0.30800000000000038</c:v>
                </c:pt>
                <c:pt idx="5">
                  <c:v>0.29600000000000032</c:v>
                </c:pt>
                <c:pt idx="6">
                  <c:v>0.39000000000000068</c:v>
                </c:pt>
                <c:pt idx="7">
                  <c:v>0.40800000000000008</c:v>
                </c:pt>
                <c:pt idx="8">
                  <c:v>0.41100000000000031</c:v>
                </c:pt>
                <c:pt idx="9" formatCode="General">
                  <c:v>0.4</c:v>
                </c:pt>
                <c:pt idx="10" formatCode="General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E1-469D-A5D3-18864CF9C643}"/>
            </c:ext>
          </c:extLst>
        </c:ser>
        <c:marker val="1"/>
        <c:axId val="66983808"/>
        <c:axId val="66985344"/>
      </c:lineChart>
      <c:catAx>
        <c:axId val="66983808"/>
        <c:scaling>
          <c:orientation val="minMax"/>
        </c:scaling>
        <c:axPos val="b"/>
        <c:numFmt formatCode="General" sourceLinked="1"/>
        <c:tickLblPos val="nextTo"/>
        <c:crossAx val="66985344"/>
        <c:crosses val="autoZero"/>
        <c:auto val="1"/>
        <c:lblAlgn val="ctr"/>
        <c:lblOffset val="100"/>
      </c:catAx>
      <c:valAx>
        <c:axId val="66985344"/>
        <c:scaling>
          <c:orientation val="minMax"/>
          <c:max val="6"/>
          <c:min val="0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sysDot"/>
            </a:ln>
          </c:spPr>
        </c:majorGridlines>
        <c:numFmt formatCode="#,##0.0" sourceLinked="0"/>
        <c:tickLblPos val="nextTo"/>
        <c:spPr>
          <a:ln>
            <a:noFill/>
          </a:ln>
        </c:spPr>
        <c:crossAx val="66983808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0.2947</cdr:x>
      <cdr:y>0.40374</cdr:y>
    </cdr:from>
    <cdr:to>
      <cdr:x>0.48119</cdr:x>
      <cdr:y>0.61497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799351" y="1302578"/>
          <a:ext cx="1138653" cy="6814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Arial" pitchFamily="34" charset="0"/>
              <a:cs typeface="Arial" pitchFamily="34" charset="0"/>
            </a:rPr>
            <a:t>1 633,4 tis</a:t>
          </a:r>
          <a:r>
            <a:rPr lang="cs-CZ" sz="1000">
              <a:latin typeface="Arial" pitchFamily="34" charset="0"/>
              <a:cs typeface="Arial" pitchFamily="34" charset="0"/>
            </a:rPr>
            <a:t>. nově hlášených případů PN celkem</a:t>
          </a:r>
        </a:p>
      </cdr:txBody>
    </cdr:sp>
  </cdr:relSizeAnchor>
  <cdr:relSizeAnchor xmlns:cdr="http://schemas.openxmlformats.org/drawingml/2006/chartDrawing">
    <cdr:from>
      <cdr:x>0.21216</cdr:x>
      <cdr:y>0.07381</cdr:y>
    </cdr:from>
    <cdr:to>
      <cdr:x>0.28548</cdr:x>
      <cdr:y>0.15647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295400" y="238125"/>
          <a:ext cx="4476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latin typeface="Arial" pitchFamily="34" charset="0"/>
              <a:cs typeface="Arial" pitchFamily="34" charset="0"/>
            </a:rPr>
            <a:t>3 %</a:t>
          </a:r>
          <a:endParaRPr lang="cs-CZ" sz="10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0.31824</cdr:x>
      <cdr:y>0</cdr:y>
    </cdr:from>
    <cdr:to>
      <cdr:x>0.39156</cdr:x>
      <cdr:y>0.08266</cdr:y>
    </cdr:to>
    <cdr:sp macro="" textlink="">
      <cdr:nvSpPr>
        <cdr:cNvPr id="5" name="TextovéPole 1"/>
        <cdr:cNvSpPr txBox="1"/>
      </cdr:nvSpPr>
      <cdr:spPr>
        <a:xfrm xmlns:a="http://schemas.openxmlformats.org/drawingml/2006/main">
          <a:off x="1943100" y="0"/>
          <a:ext cx="4476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r>
            <a:rPr lang="en-US" sz="1000" b="1">
              <a:latin typeface="Arial" pitchFamily="34" charset="0"/>
              <a:cs typeface="Arial" pitchFamily="34" charset="0"/>
            </a:rPr>
            <a:t>9 %</a:t>
          </a:r>
          <a:endParaRPr lang="cs-CZ" sz="10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829-CD40-4BAC-8ECE-DC50A16A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2</TotalTime>
  <Pages>12</Pages>
  <Words>3829</Words>
  <Characters>22597</Characters>
  <Application>Microsoft Office Word</Application>
  <DocSecurity>0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pubalova6594</cp:lastModifiedBy>
  <cp:revision>2</cp:revision>
  <cp:lastPrinted>2014-07-17T14:07:00Z</cp:lastPrinted>
  <dcterms:created xsi:type="dcterms:W3CDTF">2017-05-30T07:19:00Z</dcterms:created>
  <dcterms:modified xsi:type="dcterms:W3CDTF">2017-05-30T07:19:00Z</dcterms:modified>
</cp:coreProperties>
</file>