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D798" w14:textId="77777777" w:rsidR="00EE5B59" w:rsidRPr="00FE604F" w:rsidRDefault="00EE5B59" w:rsidP="00EE5B59">
      <w:pPr>
        <w:pStyle w:val="Nadpis1"/>
      </w:pPr>
      <w:bookmarkStart w:id="0" w:name="_Toc232503739"/>
      <w:r w:rsidRPr="00FE604F">
        <w:rPr>
          <w:szCs w:val="32"/>
        </w:rPr>
        <w:t>8</w:t>
      </w:r>
      <w:r w:rsidRPr="00FE604F">
        <w:t>. Státní rozpočet</w:t>
      </w:r>
      <w:bookmarkEnd w:id="0"/>
    </w:p>
    <w:tbl>
      <w:tblPr>
        <w:tblW w:w="9669" w:type="dxa"/>
        <w:tblInd w:w="-20" w:type="dxa"/>
        <w:tblLayout w:type="fixed"/>
        <w:tblCellMar>
          <w:left w:w="0" w:type="dxa"/>
          <w:right w:w="0" w:type="dxa"/>
        </w:tblCellMar>
        <w:tblLook w:val="00A0" w:firstRow="1" w:lastRow="0" w:firstColumn="1" w:lastColumn="0" w:noHBand="0" w:noVBand="0"/>
      </w:tblPr>
      <w:tblGrid>
        <w:gridCol w:w="1810"/>
        <w:gridCol w:w="203"/>
        <w:gridCol w:w="7656"/>
      </w:tblGrid>
      <w:tr w:rsidR="00EE5B59" w:rsidRPr="00FE604F" w14:paraId="1BEFB505" w14:textId="77777777" w:rsidTr="000E74FE">
        <w:trPr>
          <w:trHeight w:val="60"/>
        </w:trPr>
        <w:tc>
          <w:tcPr>
            <w:tcW w:w="1810" w:type="dxa"/>
            <w:tcMar>
              <w:left w:w="0" w:type="dxa"/>
            </w:tcMar>
          </w:tcPr>
          <w:p w14:paraId="5E83B803" w14:textId="77777777" w:rsidR="00EE5B59" w:rsidRPr="00FE604F" w:rsidRDefault="00EE5B59" w:rsidP="000E74FE">
            <w:pPr>
              <w:pStyle w:val="Marginlie"/>
              <w:rPr>
                <w:spacing w:val="0"/>
              </w:rPr>
            </w:pPr>
            <w:r w:rsidRPr="00FE604F">
              <w:rPr>
                <w:spacing w:val="0"/>
              </w:rPr>
              <w:t xml:space="preserve">SR letos hospodařil s nejnižším schodkem po roce 2019. Výrazné meziroční zlepšení salda úzce souvisí s dočasným režimem rozpočtového provizoria. </w:t>
            </w:r>
          </w:p>
        </w:tc>
        <w:tc>
          <w:tcPr>
            <w:tcW w:w="203" w:type="dxa"/>
            <w:tcMar>
              <w:left w:w="0" w:type="dxa"/>
            </w:tcMar>
          </w:tcPr>
          <w:p w14:paraId="7E37241A" w14:textId="77777777" w:rsidR="00EE5B59" w:rsidRPr="00FE604F" w:rsidRDefault="00EE5B59" w:rsidP="000E74FE">
            <w:pPr>
              <w:pStyle w:val="Textpoznpodarou"/>
              <w:jc w:val="both"/>
            </w:pPr>
          </w:p>
        </w:tc>
        <w:tc>
          <w:tcPr>
            <w:tcW w:w="7656" w:type="dxa"/>
            <w:tcMar>
              <w:left w:w="0" w:type="dxa"/>
            </w:tcMar>
          </w:tcPr>
          <w:p w14:paraId="2470F18F" w14:textId="77777777" w:rsidR="00EE5B59" w:rsidRPr="00693594" w:rsidRDefault="00EE5B59" w:rsidP="000E74FE">
            <w:pPr>
              <w:spacing w:after="200"/>
            </w:pPr>
            <w:r w:rsidRPr="00693594">
              <w:t>Hospodaření státního rozpočtu (SR)</w:t>
            </w:r>
            <w:r w:rsidRPr="00693594">
              <w:rPr>
                <w:rStyle w:val="Znakapoznpodarou"/>
              </w:rPr>
              <w:footnoteReference w:id="1"/>
            </w:r>
            <w:r w:rsidRPr="00693594">
              <w:t xml:space="preserve"> skončilo v 1. čtvrtletí 2026 schodkem ve výši 27,6 mld. korun, meziročně o více než dvě třetiny nižším. O více než polovinu klesl také deficit SR očištěný o prostředky z rozpočtu EU</w:t>
            </w:r>
            <w:r w:rsidRPr="00693594">
              <w:rPr>
                <w:rStyle w:val="Znakapoznpodarou"/>
              </w:rPr>
              <w:footnoteReference w:id="2"/>
            </w:r>
            <w:r w:rsidRPr="00693594">
              <w:t xml:space="preserve"> (na 39,0 mld. korun). V obou případech je letošní schodek nejnižší po roce 2019. Zásadní roli zde sehrál specifický režim rozpočtového provizoria</w:t>
            </w:r>
            <w:r w:rsidRPr="00693594">
              <w:rPr>
                <w:rStyle w:val="Znakapoznpodarou"/>
              </w:rPr>
              <w:footnoteReference w:id="3"/>
            </w:r>
            <w:r w:rsidRPr="00693594">
              <w:t>, jež na počátku roku ovlivnilo zejména čerpání investic i možnosti předfinancování některých běžných transferů a rovněž omezilo i další zdroje financování</w:t>
            </w:r>
            <w:r w:rsidRPr="00693594">
              <w:rPr>
                <w:rStyle w:val="Znakapoznpodarou"/>
              </w:rPr>
              <w:footnoteReference w:id="4"/>
            </w:r>
            <w:r w:rsidRPr="00693594">
              <w:t>. Na výsledek hospodaření SR letos působily i další dlouhodobější administrativní vlivy. Jde zejména o dopady konsolidačního ozdravného balíčku (schváleného již v roce 2023) a také změnu rozpočtového určení daní (RUD), jež od ledna 2026 opět snížila podíl na výnosu některých váhově významných daní ve prospěch územních rozpočtů</w:t>
            </w:r>
            <w:r w:rsidRPr="00693594">
              <w:rPr>
                <w:rStyle w:val="Znakapoznpodarou"/>
              </w:rPr>
              <w:footnoteReference w:id="5"/>
            </w:r>
            <w:r w:rsidRPr="00693594">
              <w:t xml:space="preserve">. </w:t>
            </w:r>
          </w:p>
        </w:tc>
      </w:tr>
      <w:tr w:rsidR="00EE5B59" w:rsidRPr="00FE604F" w14:paraId="0AB481BD" w14:textId="77777777" w:rsidTr="000E74FE">
        <w:trPr>
          <w:trHeight w:val="60"/>
        </w:trPr>
        <w:tc>
          <w:tcPr>
            <w:tcW w:w="1810" w:type="dxa"/>
            <w:tcMar>
              <w:left w:w="0" w:type="dxa"/>
            </w:tcMar>
          </w:tcPr>
          <w:p w14:paraId="560051E3" w14:textId="77777777" w:rsidR="00EE5B59" w:rsidRPr="00FE604F" w:rsidRDefault="00EE5B59" w:rsidP="000E74FE">
            <w:pPr>
              <w:pStyle w:val="Marginlie"/>
              <w:rPr>
                <w:spacing w:val="0"/>
              </w:rPr>
            </w:pPr>
            <w:r w:rsidRPr="00FE604F">
              <w:rPr>
                <w:spacing w:val="0"/>
              </w:rPr>
              <w:t>Růst celkových příjmů SR zvolnil. Projevil se vliv změny rozpočtového určení daní i vyprchání příjmů mimořádných daní uvalených během energetické krize.</w:t>
            </w:r>
          </w:p>
          <w:p w14:paraId="65525FD5" w14:textId="77777777" w:rsidR="00EE5B59" w:rsidRPr="00FE604F" w:rsidRDefault="00EE5B59" w:rsidP="000E74FE">
            <w:pPr>
              <w:pStyle w:val="Marginlie"/>
              <w:rPr>
                <w:spacing w:val="0"/>
              </w:rPr>
            </w:pPr>
          </w:p>
          <w:p w14:paraId="24335D93" w14:textId="77777777" w:rsidR="00EE5B59" w:rsidRPr="00FE604F" w:rsidRDefault="00EE5B59" w:rsidP="000E74FE">
            <w:pPr>
              <w:pStyle w:val="Marginlie"/>
              <w:rPr>
                <w:spacing w:val="0"/>
              </w:rPr>
            </w:pPr>
          </w:p>
          <w:p w14:paraId="61999928" w14:textId="77777777" w:rsidR="00EE5B59" w:rsidRPr="00FE604F" w:rsidRDefault="00EE5B59" w:rsidP="000E74FE">
            <w:pPr>
              <w:pStyle w:val="Marginlie"/>
              <w:rPr>
                <w:spacing w:val="0"/>
              </w:rPr>
            </w:pPr>
          </w:p>
          <w:p w14:paraId="5C957BAE" w14:textId="77777777" w:rsidR="00EE5B59" w:rsidRPr="00FE604F" w:rsidRDefault="00EE5B59" w:rsidP="000E74FE">
            <w:pPr>
              <w:pStyle w:val="Marginlie"/>
              <w:rPr>
                <w:spacing w:val="0"/>
              </w:rPr>
            </w:pPr>
          </w:p>
          <w:p w14:paraId="6DB6AE7B" w14:textId="77777777" w:rsidR="00EE5B59" w:rsidRPr="00FE604F" w:rsidRDefault="00EE5B59" w:rsidP="000E74FE">
            <w:pPr>
              <w:pStyle w:val="Marginlie"/>
              <w:rPr>
                <w:spacing w:val="0"/>
              </w:rPr>
            </w:pPr>
            <w:r w:rsidRPr="00FE604F">
              <w:rPr>
                <w:spacing w:val="0"/>
              </w:rPr>
              <w:t>Pokračoval relativně svižný růst výběru pojistného za sociální zabezpečení.</w:t>
            </w:r>
          </w:p>
        </w:tc>
        <w:tc>
          <w:tcPr>
            <w:tcW w:w="203" w:type="dxa"/>
            <w:tcMar>
              <w:left w:w="0" w:type="dxa"/>
            </w:tcMar>
          </w:tcPr>
          <w:p w14:paraId="14509095" w14:textId="77777777" w:rsidR="00EE5B59" w:rsidRPr="00FE604F" w:rsidRDefault="00EE5B59" w:rsidP="000E74FE">
            <w:pPr>
              <w:pStyle w:val="Textpoznpodarou"/>
              <w:jc w:val="both"/>
            </w:pPr>
          </w:p>
        </w:tc>
        <w:tc>
          <w:tcPr>
            <w:tcW w:w="7656" w:type="dxa"/>
            <w:tcMar>
              <w:left w:w="0" w:type="dxa"/>
            </w:tcMar>
          </w:tcPr>
          <w:p w14:paraId="71C76D2E" w14:textId="77777777" w:rsidR="00EE5B59" w:rsidRPr="00693594" w:rsidRDefault="00EE5B59" w:rsidP="000E74FE">
            <w:pPr>
              <w:spacing w:after="200"/>
            </w:pPr>
            <w:r w:rsidRPr="00693594">
              <w:t>Celkové příjmy SR letos v 1. čtvrtletí meziročně posílily o 3,9 % (+18,5 mld. korun). Byť jde o nejslabší tempo za poslední pětiletí, předčilo zatím dosavadní letošní tempo celoroční rozpočtové očekávání</w:t>
            </w:r>
            <w:r w:rsidRPr="00693594">
              <w:rPr>
                <w:rStyle w:val="Znakapoznpodarou"/>
              </w:rPr>
              <w:footnoteReference w:id="6"/>
            </w:r>
            <w:r w:rsidRPr="00693594">
              <w:t>. K růstu příjmů zásadně přispěl vyšší výběr pojistného na sociální zabezpečení vč. aktivní politiky zaměstnanosti (+12,7 mld. korun), a to navzdory tomu, že jeho růst v posledních čtvrtletích zpomaloval a aktuální tempo (+6,6 %) bylo nejslabší za posledních tři a půl roku. Ve stále relativně vysokém tempu se odrážela dobrá kondice trhu práce vyznačující se vyšší zaměstnaností doprovázenou posilujícími průměrnými výdělky v podnikové sféře (a v letošním roce i</w:t>
            </w:r>
            <w:r>
              <w:t> </w:t>
            </w:r>
            <w:r w:rsidRPr="00693594">
              <w:t>v rozpočtové sféře). Stejně jako loni se navíc projevilo postupné zvyšování minimálního vyměřovacího základu pojistného pro osoby samostatně výdělečně činné</w:t>
            </w:r>
            <w:r w:rsidRPr="00693594">
              <w:rPr>
                <w:rStyle w:val="Znakapoznpodarou"/>
              </w:rPr>
              <w:footnoteReference w:id="7"/>
            </w:r>
            <w:r w:rsidRPr="00693594">
              <w:t>. Růst celkových příjmů SR letos podpořilo také vyšší daňové inkaso, jeho vliv byl ale relativně malý (+2,5 mld. korun), neboť výběr některých významnějších položek meziročně klesl. Celostátní daňové inkaso (zohledňující příjmy na úrovni všech veřejných rozpočtů) ale vzrostlo o 6,4 % (po odečtení mimořádných daní uvalených v souvislosti s energetickou krizí</w:t>
            </w:r>
            <w:r w:rsidRPr="00693594">
              <w:rPr>
                <w:rStyle w:val="Znakapoznpodarou"/>
              </w:rPr>
              <w:footnoteReference w:id="8"/>
            </w:r>
            <w:r w:rsidRPr="00693594">
              <w:t xml:space="preserve"> dokonce o 9,1 %) a rostlo tak mírně vyšším tempem než v úhrnu za loňský rok. To souvisí s postupným posilováním růstu tuzemského hospodářství i ekonomik některých důležitých obchodních partnerů. </w:t>
            </w:r>
          </w:p>
        </w:tc>
      </w:tr>
      <w:tr w:rsidR="00EE5B59" w:rsidRPr="00FE604F" w14:paraId="237A8AAF" w14:textId="77777777" w:rsidTr="000E74FE">
        <w:trPr>
          <w:trHeight w:val="60"/>
        </w:trPr>
        <w:tc>
          <w:tcPr>
            <w:tcW w:w="1810" w:type="dxa"/>
            <w:tcMar>
              <w:left w:w="0" w:type="dxa"/>
            </w:tcMar>
          </w:tcPr>
          <w:p w14:paraId="49E1E53C" w14:textId="77777777" w:rsidR="00EE5B59" w:rsidRPr="00FE604F" w:rsidRDefault="00EE5B59" w:rsidP="000E74FE">
            <w:pPr>
              <w:pStyle w:val="Marginlie"/>
              <w:rPr>
                <w:spacing w:val="0"/>
              </w:rPr>
            </w:pPr>
            <w:r w:rsidRPr="00FE604F">
              <w:rPr>
                <w:spacing w:val="0"/>
              </w:rPr>
              <w:t>K růstu daňových příjmů přispělo zejména vyšší inkaso běžné korporátní daně.</w:t>
            </w:r>
          </w:p>
          <w:p w14:paraId="7A2403C3" w14:textId="77777777" w:rsidR="00EE5B59" w:rsidRPr="00FE604F" w:rsidRDefault="00EE5B59" w:rsidP="000E74FE">
            <w:pPr>
              <w:pStyle w:val="Marginlie"/>
              <w:rPr>
                <w:spacing w:val="0"/>
              </w:rPr>
            </w:pPr>
          </w:p>
          <w:p w14:paraId="52B14F4B" w14:textId="77777777" w:rsidR="00EE5B59" w:rsidRPr="00FE604F" w:rsidRDefault="00EE5B59" w:rsidP="000E74FE">
            <w:pPr>
              <w:pStyle w:val="Marginlie"/>
              <w:rPr>
                <w:spacing w:val="0"/>
              </w:rPr>
            </w:pPr>
          </w:p>
          <w:p w14:paraId="773BC908" w14:textId="77777777" w:rsidR="00EE5B59" w:rsidRPr="00FE604F" w:rsidRDefault="00EE5B59" w:rsidP="000E74FE">
            <w:pPr>
              <w:pStyle w:val="Marginlie"/>
              <w:rPr>
                <w:spacing w:val="0"/>
              </w:rPr>
            </w:pPr>
            <w:r w:rsidRPr="00FE604F">
              <w:rPr>
                <w:spacing w:val="0"/>
              </w:rPr>
              <w:t xml:space="preserve">Výběr DPFO ze závislé činnosti odráželo přetrvávající svižný mzdový růst v ekonomice i pokračující mírné </w:t>
            </w:r>
            <w:r w:rsidRPr="00FE604F">
              <w:rPr>
                <w:spacing w:val="0"/>
              </w:rPr>
              <w:lastRenderedPageBreak/>
              <w:t xml:space="preserve">navyšování počtu zaměstnanců. </w:t>
            </w:r>
          </w:p>
          <w:p w14:paraId="4B9C4179" w14:textId="77777777" w:rsidR="00EE5B59" w:rsidRPr="00FE604F" w:rsidRDefault="00EE5B59" w:rsidP="000E74FE">
            <w:pPr>
              <w:pStyle w:val="Marginlie"/>
              <w:rPr>
                <w:spacing w:val="0"/>
              </w:rPr>
            </w:pPr>
            <w:r w:rsidRPr="00FE604F">
              <w:rPr>
                <w:spacing w:val="0"/>
              </w:rPr>
              <w:t xml:space="preserve">Růst inkasa ostatních druhů DPFO souvisel s vysokou mírou úspor domácností i </w:t>
            </w:r>
            <w:r>
              <w:rPr>
                <w:spacing w:val="0"/>
              </w:rPr>
              <w:t xml:space="preserve">se </w:t>
            </w:r>
            <w:r w:rsidRPr="00FE604F">
              <w:rPr>
                <w:spacing w:val="0"/>
              </w:rPr>
              <w:t>zvyšování</w:t>
            </w:r>
            <w:r>
              <w:rPr>
                <w:spacing w:val="0"/>
              </w:rPr>
              <w:t>m</w:t>
            </w:r>
            <w:r w:rsidRPr="00FE604F">
              <w:rPr>
                <w:spacing w:val="0"/>
              </w:rPr>
              <w:t xml:space="preserve"> počtu drobných podnikatelů.</w:t>
            </w:r>
          </w:p>
          <w:p w14:paraId="4488ABAE" w14:textId="77777777" w:rsidR="00EE5B59" w:rsidRPr="00FE604F" w:rsidRDefault="00EE5B59" w:rsidP="000E74FE">
            <w:pPr>
              <w:pStyle w:val="Marginlie"/>
              <w:rPr>
                <w:spacing w:val="0"/>
              </w:rPr>
            </w:pPr>
          </w:p>
        </w:tc>
        <w:tc>
          <w:tcPr>
            <w:tcW w:w="203" w:type="dxa"/>
            <w:tcMar>
              <w:left w:w="0" w:type="dxa"/>
            </w:tcMar>
          </w:tcPr>
          <w:p w14:paraId="4A2EFB31" w14:textId="77777777" w:rsidR="00EE5B59" w:rsidRPr="00FE604F" w:rsidRDefault="00EE5B59" w:rsidP="000E74FE">
            <w:pPr>
              <w:pStyle w:val="Textpoznpodarou"/>
              <w:jc w:val="both"/>
            </w:pPr>
          </w:p>
        </w:tc>
        <w:tc>
          <w:tcPr>
            <w:tcW w:w="7656" w:type="dxa"/>
            <w:tcMar>
              <w:left w:w="0" w:type="dxa"/>
            </w:tcMar>
          </w:tcPr>
          <w:p w14:paraId="07675D7F" w14:textId="77777777" w:rsidR="00EE5B59" w:rsidRPr="00693594" w:rsidRDefault="00EE5B59" w:rsidP="000E74FE">
            <w:pPr>
              <w:spacing w:after="200"/>
            </w:pPr>
            <w:r w:rsidRPr="00693594">
              <w:t>K růstu daňových příjmů SR přispělo nejvíce inkaso daně z příjmů právnických osob (</w:t>
            </w:r>
            <w:r w:rsidRPr="00693594">
              <w:rPr>
                <w:szCs w:val="20"/>
              </w:rPr>
              <w:t>bez mimořádných daní)</w:t>
            </w:r>
            <w:r w:rsidRPr="00693594">
              <w:t xml:space="preserve">, jež bylo v 1. čtvrtletí meziročně vyšší o 6,4 mld. korun, resp. 15,2 %. Tempo na úrovni všech veřejných rozpočtů naznačuje, že růst výběru korporátní daně ve srovnání s rokem 2025 (již ovlivněným vyšší sazbou daně) díky pokračujícímu hospodářskému oživení dále zrychloval. Vedle korporátní daně rostlo letos svižně a zatím současně nad úrovní rozpočtového očekávání také inkaso daně z příjmů fyzických osob (DPFO). Do SR z něj plynulo meziročně o 6,6 % více (+3,0 mld. korun), když se nejvíce zvýšil výběr váhově dominantní položky této daně – DPFO odvedená plátci (resp. ze závislé činnosti), a to o 7,2 % (na 35,4 mld. korun). Dynamika </w:t>
            </w:r>
            <w:r w:rsidRPr="00693594">
              <w:lastRenderedPageBreak/>
              <w:t>růstu této položky na úrovni všech veřejných rozpočtů zůstává přibližně srovnatelná jako loni, což korespondovalo se stabilním nominálním růstem průměrné mzdy i</w:t>
            </w:r>
            <w:r>
              <w:t> </w:t>
            </w:r>
            <w:r w:rsidRPr="00693594">
              <w:t>přetrvávajícím mírným posilováním počtu zaměstnanců v ekonomice. Dílčí pozitivní vliv na letošní inkaso daně měly legislativní vlivy (úprava zdanění vybraných nepeněžních benefitů poskytovaných zaměstnancům</w:t>
            </w:r>
            <w:r w:rsidRPr="00693594">
              <w:rPr>
                <w:rStyle w:val="Znakapoznpodarou"/>
              </w:rPr>
              <w:footnoteReference w:id="9"/>
            </w:r>
            <w:r w:rsidRPr="00693594">
              <w:t>). Po loňském spíše ojedinělém poklesu se opět zvýšilo inkaso DPFO vybírané srážkou (+4,9 %). Při stabilních úrokových sazbách na vkladech se patrně projevil dopad relativně vysoké míry úspor domácností. Výběr DPFO placené poplatníky (hlavně ze samostatné výdělečné činnosti) po svižném loňském růstu souvisejícím s legislativními změnami</w:t>
            </w:r>
            <w:r w:rsidRPr="00693594">
              <w:rPr>
                <w:rStyle w:val="Znakapoznpodarou"/>
              </w:rPr>
              <w:footnoteReference w:id="10"/>
            </w:r>
            <w:r w:rsidRPr="00693594">
              <w:t xml:space="preserve"> v 1.</w:t>
            </w:r>
            <w:r>
              <w:t> </w:t>
            </w:r>
            <w:r w:rsidRPr="00693594">
              <w:t>čtvrtletí 2026 zvolnil na 5,7 %. Především díky první čtvrtletní záloze této daně tak SR zatím letos získal 6,5 mld. korun. V inkasu se obdobně jako loni pozitivně projevuje rostoucí počet drobných podnikatelů.</w:t>
            </w:r>
          </w:p>
        </w:tc>
      </w:tr>
      <w:tr w:rsidR="00EE5B59" w:rsidRPr="00FE604F" w14:paraId="15B9E2C4" w14:textId="77777777" w:rsidTr="000E74FE">
        <w:trPr>
          <w:trHeight w:val="60"/>
        </w:trPr>
        <w:tc>
          <w:tcPr>
            <w:tcW w:w="1810" w:type="dxa"/>
            <w:tcMar>
              <w:left w:w="0" w:type="dxa"/>
            </w:tcMar>
          </w:tcPr>
          <w:p w14:paraId="2F27223C" w14:textId="77777777" w:rsidR="00EE5B59" w:rsidRPr="00FE604F" w:rsidRDefault="00EE5B59" w:rsidP="000E74FE">
            <w:pPr>
              <w:pStyle w:val="Marginlie"/>
              <w:rPr>
                <w:spacing w:val="0"/>
              </w:rPr>
            </w:pPr>
            <w:r w:rsidRPr="00FE604F">
              <w:rPr>
                <w:spacing w:val="0"/>
              </w:rPr>
              <w:lastRenderedPageBreak/>
              <w:t> </w:t>
            </w:r>
          </w:p>
        </w:tc>
        <w:tc>
          <w:tcPr>
            <w:tcW w:w="203" w:type="dxa"/>
            <w:tcMar>
              <w:left w:w="0" w:type="dxa"/>
            </w:tcMar>
          </w:tcPr>
          <w:p w14:paraId="0B59164A" w14:textId="77777777" w:rsidR="00EE5B59" w:rsidRPr="00FE604F" w:rsidRDefault="00EE5B59" w:rsidP="000E74FE">
            <w:pPr>
              <w:pStyle w:val="Textpoznpodarou"/>
              <w:jc w:val="both"/>
            </w:pPr>
          </w:p>
        </w:tc>
        <w:tc>
          <w:tcPr>
            <w:tcW w:w="7656" w:type="dxa"/>
            <w:tcMar>
              <w:left w:w="0" w:type="dxa"/>
            </w:tcMar>
          </w:tcPr>
          <w:p w14:paraId="73B8DB16" w14:textId="5B941580" w:rsidR="00EE5B59" w:rsidRPr="00FE604F" w:rsidRDefault="00EE5B59" w:rsidP="000E74FE">
            <w:pPr>
              <w:spacing w:after="20"/>
            </w:pPr>
            <w:r w:rsidRPr="00FE604F">
              <w:rPr>
                <w:rFonts w:cs="Arial"/>
                <w:b/>
                <w:bCs/>
                <w:szCs w:val="20"/>
              </w:rPr>
              <w:t>Graf č. 1</w:t>
            </w:r>
            <w:r w:rsidR="00D75205">
              <w:rPr>
                <w:rFonts w:cs="Arial"/>
                <w:b/>
                <w:bCs/>
                <w:szCs w:val="20"/>
              </w:rPr>
              <w:t>7</w:t>
            </w:r>
            <w:r w:rsidRPr="00FE604F">
              <w:rPr>
                <w:rFonts w:cs="Arial"/>
                <w:b/>
                <w:bCs/>
                <w:szCs w:val="20"/>
              </w:rPr>
              <w:t xml:space="preserve"> Příspěvek dílčích příjmů k meziročnímu růstu souhrnného celostátního inkasa daňových příjmů </w:t>
            </w:r>
            <w:r w:rsidRPr="00FE604F">
              <w:rPr>
                <w:rFonts w:cs="Arial"/>
                <w:bCs/>
                <w:szCs w:val="20"/>
              </w:rPr>
              <w:t xml:space="preserve">(v p. b.), </w:t>
            </w:r>
            <w:r w:rsidRPr="00FE604F">
              <w:rPr>
                <w:rFonts w:cs="Arial"/>
                <w:b/>
                <w:bCs/>
                <w:szCs w:val="20"/>
              </w:rPr>
              <w:t>meziroční růst příjmů pojistného na sociální zabezpečení</w:t>
            </w:r>
            <w:r w:rsidRPr="00FE604F">
              <w:rPr>
                <w:rFonts w:cs="Arial"/>
                <w:bCs/>
                <w:szCs w:val="20"/>
              </w:rPr>
              <w:t xml:space="preserve"> (%) </w:t>
            </w:r>
            <w:r w:rsidRPr="00FE604F">
              <w:rPr>
                <w:rFonts w:cs="Arial"/>
                <w:b/>
                <w:bCs/>
                <w:szCs w:val="20"/>
              </w:rPr>
              <w:t xml:space="preserve">a saldo státního rozpočtu </w:t>
            </w:r>
            <w:r w:rsidRPr="00FE604F">
              <w:rPr>
                <w:rFonts w:cs="Arial"/>
                <w:b/>
                <w:bCs/>
              </w:rPr>
              <w:t xml:space="preserve">v rámci 1. čtvrtletí </w:t>
            </w:r>
            <w:r w:rsidRPr="00FE604F">
              <w:rPr>
                <w:rFonts w:cs="Arial"/>
                <w:bCs/>
                <w:szCs w:val="20"/>
              </w:rPr>
              <w:t>(v mld. korun)</w:t>
            </w:r>
          </w:p>
        </w:tc>
      </w:tr>
      <w:tr w:rsidR="00EE5B59" w:rsidRPr="00FE604F" w14:paraId="35B8FFD8" w14:textId="77777777" w:rsidTr="000E74FE">
        <w:tblPrEx>
          <w:tblCellMar>
            <w:left w:w="70" w:type="dxa"/>
            <w:right w:w="70" w:type="dxa"/>
          </w:tblCellMar>
        </w:tblPrEx>
        <w:trPr>
          <w:trHeight w:val="60"/>
        </w:trPr>
        <w:tc>
          <w:tcPr>
            <w:tcW w:w="1810" w:type="dxa"/>
          </w:tcPr>
          <w:p w14:paraId="173D31C7" w14:textId="77777777" w:rsidR="00EE5B59" w:rsidRPr="00FE604F" w:rsidRDefault="00EE5B59" w:rsidP="000E74FE">
            <w:pPr>
              <w:pStyle w:val="Marginlie"/>
              <w:rPr>
                <w:spacing w:val="0"/>
              </w:rPr>
            </w:pPr>
          </w:p>
        </w:tc>
        <w:tc>
          <w:tcPr>
            <w:tcW w:w="203" w:type="dxa"/>
          </w:tcPr>
          <w:p w14:paraId="21AB5817" w14:textId="77777777" w:rsidR="00EE5B59" w:rsidRPr="00FE604F" w:rsidRDefault="00EE5B59" w:rsidP="000E74FE">
            <w:pPr>
              <w:pStyle w:val="Textpoznpodarou"/>
              <w:jc w:val="both"/>
            </w:pPr>
          </w:p>
          <w:p w14:paraId="455F380E" w14:textId="77777777" w:rsidR="00EE5B59" w:rsidRPr="00FE604F" w:rsidRDefault="00EE5B59" w:rsidP="000E74FE">
            <w:pPr>
              <w:pStyle w:val="Textpoznpodarou"/>
              <w:jc w:val="both"/>
            </w:pPr>
          </w:p>
        </w:tc>
        <w:tc>
          <w:tcPr>
            <w:tcW w:w="7656" w:type="dxa"/>
          </w:tcPr>
          <w:p w14:paraId="70F658C9" w14:textId="77777777" w:rsidR="00EE5B59" w:rsidRPr="00FE604F" w:rsidRDefault="00EE5B59" w:rsidP="000E74FE">
            <w:pPr>
              <w:spacing w:before="20" w:after="20"/>
            </w:pPr>
            <w:r w:rsidRPr="00FE604F">
              <w:rPr>
                <w:noProof/>
              </w:rPr>
              <w:drawing>
                <wp:inline distT="0" distB="0" distL="0" distR="0" wp14:anchorId="205CA426" wp14:editId="1D11FF5A">
                  <wp:extent cx="4743450" cy="3549015"/>
                  <wp:effectExtent l="0" t="0" r="0" b="0"/>
                  <wp:docPr id="1359418474" name="Graf 1">
                    <a:extLst xmlns:a="http://schemas.openxmlformats.org/drawingml/2006/main">
                      <a:ext uri="{FF2B5EF4-FFF2-40B4-BE49-F238E27FC236}">
                        <a16:creationId xmlns:a16="http://schemas.microsoft.com/office/drawing/2014/main" id="{00000000-0008-0000-19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EE5B59" w:rsidRPr="00FE604F" w14:paraId="76B31345" w14:textId="77777777" w:rsidTr="000E74FE">
        <w:tblPrEx>
          <w:tblCellMar>
            <w:left w:w="70" w:type="dxa"/>
            <w:right w:w="70" w:type="dxa"/>
          </w:tblCellMar>
        </w:tblPrEx>
        <w:trPr>
          <w:trHeight w:val="170"/>
        </w:trPr>
        <w:tc>
          <w:tcPr>
            <w:tcW w:w="1810" w:type="dxa"/>
          </w:tcPr>
          <w:p w14:paraId="153BDFCE" w14:textId="77777777" w:rsidR="00EE5B59" w:rsidRPr="00FE604F" w:rsidRDefault="00EE5B59" w:rsidP="000E74FE">
            <w:pPr>
              <w:pStyle w:val="Marginlie"/>
              <w:rPr>
                <w:spacing w:val="0"/>
              </w:rPr>
            </w:pPr>
          </w:p>
        </w:tc>
        <w:tc>
          <w:tcPr>
            <w:tcW w:w="203" w:type="dxa"/>
          </w:tcPr>
          <w:p w14:paraId="3505AF9D" w14:textId="77777777" w:rsidR="00EE5B59" w:rsidRPr="00FE604F" w:rsidRDefault="00EE5B59" w:rsidP="000E74FE">
            <w:pPr>
              <w:pStyle w:val="Textpoznpodarou"/>
              <w:jc w:val="both"/>
            </w:pPr>
          </w:p>
        </w:tc>
        <w:tc>
          <w:tcPr>
            <w:tcW w:w="7656" w:type="dxa"/>
          </w:tcPr>
          <w:p w14:paraId="362EE258" w14:textId="77777777" w:rsidR="00EE5B59" w:rsidRPr="00FE604F" w:rsidRDefault="00EE5B59" w:rsidP="000E74FE">
            <w:pPr>
              <w:tabs>
                <w:tab w:val="right" w:pos="7683"/>
              </w:tabs>
              <w:spacing w:after="0" w:line="240" w:lineRule="auto"/>
              <w:jc w:val="left"/>
              <w:rPr>
                <w:sz w:val="14"/>
                <w:szCs w:val="14"/>
              </w:rPr>
            </w:pPr>
            <w:r w:rsidRPr="00FE604F">
              <w:rPr>
                <w:sz w:val="14"/>
                <w:szCs w:val="14"/>
              </w:rPr>
              <w:t>*Zahrnují i příspěvky na státní politiku zaměstnanosti.</w:t>
            </w:r>
          </w:p>
          <w:p w14:paraId="3FAE084F" w14:textId="77777777" w:rsidR="00EE5B59" w:rsidRPr="00FE604F" w:rsidRDefault="00EE5B59" w:rsidP="000E74FE">
            <w:pPr>
              <w:tabs>
                <w:tab w:val="right" w:pos="7683"/>
              </w:tabs>
              <w:spacing w:after="0" w:line="240" w:lineRule="auto"/>
              <w:jc w:val="left"/>
              <w:rPr>
                <w:sz w:val="14"/>
                <w:szCs w:val="14"/>
              </w:rPr>
            </w:pPr>
            <w:r w:rsidRPr="00FE604F">
              <w:rPr>
                <w:sz w:val="14"/>
                <w:szCs w:val="14"/>
              </w:rPr>
              <w:t>**Saldo očištěné o prostředky na programy/projekty z rozpočtu EU a finančních mechanismů, které byly předfinancovány ze SR a následně jsou propláceny z rozpočtu EU a FM. Roční údaje jsou k dispozici počínaje rokem 2010.</w:t>
            </w:r>
          </w:p>
          <w:p w14:paraId="12819D56" w14:textId="77777777" w:rsidR="00EE5B59" w:rsidRPr="00FE604F" w:rsidRDefault="00EE5B59" w:rsidP="000E74FE">
            <w:pPr>
              <w:tabs>
                <w:tab w:val="right" w:pos="7683"/>
              </w:tabs>
              <w:spacing w:after="0" w:line="240" w:lineRule="auto"/>
              <w:jc w:val="left"/>
              <w:rPr>
                <w:sz w:val="16"/>
                <w:szCs w:val="16"/>
              </w:rPr>
            </w:pPr>
            <w:r w:rsidRPr="00FE604F">
              <w:rPr>
                <w:sz w:val="14"/>
                <w:szCs w:val="14"/>
              </w:rPr>
              <w:t>FO = fyzické soby, PO = právnické osoby. Ostatní daně z příjmů FO zahrnují daně placené poplatníky (zejména z drobného podnikání) a dále daně vybírané srážkou (např. bankovní vklady, pracovní dohody).</w:t>
            </w:r>
          </w:p>
          <w:p w14:paraId="117DAF88" w14:textId="77777777" w:rsidR="00EE5B59" w:rsidRPr="00FE604F" w:rsidRDefault="00EE5B59" w:rsidP="000E74FE">
            <w:pPr>
              <w:spacing w:after="0" w:line="240" w:lineRule="auto"/>
              <w:rPr>
                <w:sz w:val="14"/>
                <w:szCs w:val="14"/>
              </w:rPr>
            </w:pPr>
            <w:r w:rsidRPr="00FE604F">
              <w:rPr>
                <w:sz w:val="14"/>
                <w:szCs w:val="14"/>
              </w:rPr>
              <w:t>Ostatní daně a poplatky obsahují zejména daň z nemovitých věcí, daň z hazardních her, dálniční poplatek, mýtné a od roku 2023 nově rovněž odvod z nadměrných příjmů a neočekávaných zisků.</w:t>
            </w:r>
          </w:p>
          <w:p w14:paraId="1DC3AC3B" w14:textId="77777777" w:rsidR="00EE5B59" w:rsidRPr="00FE604F" w:rsidRDefault="00EE5B59" w:rsidP="000E74FE">
            <w:pPr>
              <w:spacing w:after="200" w:line="240" w:lineRule="auto"/>
              <w:rPr>
                <w:rFonts w:cs="Arial"/>
                <w:b/>
                <w:bCs/>
                <w:szCs w:val="20"/>
              </w:rPr>
            </w:pPr>
            <w:r w:rsidRPr="00FE604F">
              <w:rPr>
                <w:sz w:val="14"/>
                <w:szCs w:val="14"/>
              </w:rPr>
              <w:t>Zdroj: MF ČR</w:t>
            </w:r>
          </w:p>
        </w:tc>
      </w:tr>
      <w:tr w:rsidR="00EE5B59" w:rsidRPr="00FE604F" w14:paraId="593B1446" w14:textId="77777777" w:rsidTr="000E74FE">
        <w:trPr>
          <w:trHeight w:val="170"/>
        </w:trPr>
        <w:tc>
          <w:tcPr>
            <w:tcW w:w="1810" w:type="dxa"/>
            <w:tcMar>
              <w:left w:w="0" w:type="dxa"/>
            </w:tcMar>
          </w:tcPr>
          <w:p w14:paraId="4EF734FA" w14:textId="77777777" w:rsidR="00EE5B59" w:rsidRPr="00FE604F" w:rsidRDefault="00EE5B59" w:rsidP="000E74FE">
            <w:pPr>
              <w:pStyle w:val="Marginlie"/>
              <w:rPr>
                <w:spacing w:val="0"/>
                <w:szCs w:val="20"/>
              </w:rPr>
            </w:pPr>
            <w:r w:rsidRPr="00FE604F">
              <w:rPr>
                <w:spacing w:val="0"/>
                <w:szCs w:val="20"/>
              </w:rPr>
              <w:t>Inkaso DPH na úrovni všech veřejných rozpočtů rostlo relativně svižným tempem srovnatelným s loňským vývojem.</w:t>
            </w:r>
          </w:p>
          <w:p w14:paraId="7CB83ED9" w14:textId="77777777" w:rsidR="00EE5B59" w:rsidRPr="00FE604F" w:rsidRDefault="00EE5B59" w:rsidP="000E74FE">
            <w:pPr>
              <w:pStyle w:val="Marginlie"/>
              <w:rPr>
                <w:spacing w:val="0"/>
                <w:sz w:val="12"/>
                <w:szCs w:val="12"/>
              </w:rPr>
            </w:pPr>
          </w:p>
          <w:p w14:paraId="434FF77A" w14:textId="77777777" w:rsidR="00EE5B59" w:rsidRPr="00FE604F" w:rsidRDefault="00EE5B59" w:rsidP="000E74FE">
            <w:pPr>
              <w:pStyle w:val="Marginlie"/>
              <w:rPr>
                <w:spacing w:val="0"/>
                <w:sz w:val="12"/>
                <w:szCs w:val="12"/>
              </w:rPr>
            </w:pPr>
          </w:p>
          <w:p w14:paraId="6DD5EBD8" w14:textId="77777777" w:rsidR="00EE5B59" w:rsidRPr="00FE604F" w:rsidRDefault="00EE5B59" w:rsidP="000E74FE">
            <w:pPr>
              <w:pStyle w:val="Marginlie"/>
              <w:rPr>
                <w:spacing w:val="0"/>
                <w:szCs w:val="20"/>
              </w:rPr>
            </w:pPr>
            <w:r w:rsidRPr="00FE604F">
              <w:rPr>
                <w:spacing w:val="0"/>
                <w:szCs w:val="20"/>
              </w:rPr>
              <w:t xml:space="preserve">Pokračující růst výběru daně z minerálních olejů </w:t>
            </w:r>
            <w:r w:rsidRPr="00FE604F">
              <w:rPr>
                <w:spacing w:val="0"/>
                <w:szCs w:val="20"/>
              </w:rPr>
              <w:lastRenderedPageBreak/>
              <w:t>odrážel vyšší přepravní výkon</w:t>
            </w:r>
            <w:r>
              <w:rPr>
                <w:spacing w:val="0"/>
                <w:szCs w:val="20"/>
              </w:rPr>
              <w:t>y</w:t>
            </w:r>
            <w:r w:rsidRPr="00FE604F">
              <w:rPr>
                <w:spacing w:val="0"/>
                <w:szCs w:val="20"/>
              </w:rPr>
              <w:t xml:space="preserve"> i vyšší poptávk</w:t>
            </w:r>
            <w:r>
              <w:rPr>
                <w:spacing w:val="0"/>
                <w:szCs w:val="20"/>
              </w:rPr>
              <w:t>u</w:t>
            </w:r>
            <w:r w:rsidRPr="00FE604F">
              <w:rPr>
                <w:spacing w:val="0"/>
                <w:szCs w:val="20"/>
              </w:rPr>
              <w:t xml:space="preserve"> po PHM vlivem příznivé spotřebitelské ceny. </w:t>
            </w:r>
          </w:p>
          <w:p w14:paraId="42C5A638" w14:textId="77777777" w:rsidR="00EE5B59" w:rsidRPr="00FE604F" w:rsidRDefault="00EE5B59" w:rsidP="000E74FE">
            <w:pPr>
              <w:pStyle w:val="Marginlie"/>
              <w:rPr>
                <w:spacing w:val="0"/>
                <w:szCs w:val="20"/>
              </w:rPr>
            </w:pPr>
            <w:r w:rsidRPr="00FE604F">
              <w:rPr>
                <w:spacing w:val="0"/>
                <w:szCs w:val="20"/>
              </w:rPr>
              <w:t>Efekt předzásobení tabákovými výrobky byl letos slabší než na počátku roku 2025.</w:t>
            </w:r>
          </w:p>
        </w:tc>
        <w:tc>
          <w:tcPr>
            <w:tcW w:w="203" w:type="dxa"/>
            <w:tcMar>
              <w:left w:w="0" w:type="dxa"/>
            </w:tcMar>
          </w:tcPr>
          <w:p w14:paraId="338689C9" w14:textId="77777777" w:rsidR="00EE5B59" w:rsidRPr="00FE604F" w:rsidRDefault="00EE5B59" w:rsidP="000E74FE">
            <w:pPr>
              <w:pStyle w:val="Textpoznpodarou"/>
              <w:jc w:val="both"/>
            </w:pPr>
          </w:p>
        </w:tc>
        <w:tc>
          <w:tcPr>
            <w:tcW w:w="7656" w:type="dxa"/>
            <w:tcMar>
              <w:left w:w="0" w:type="dxa"/>
            </w:tcMar>
          </w:tcPr>
          <w:p w14:paraId="4B60BCE2" w14:textId="77777777" w:rsidR="00EE5B59" w:rsidRPr="00693594" w:rsidRDefault="00EE5B59" w:rsidP="000E74FE">
            <w:pPr>
              <w:spacing w:after="200"/>
              <w:rPr>
                <w:szCs w:val="20"/>
              </w:rPr>
            </w:pPr>
            <w:r w:rsidRPr="00693594">
              <w:t>Na váhově dominantní dani – DPH – plynulo do SR letos 94,5 mld. korun, meziročně o 2,5 % více. Toto „skromnější“ tempo odráželo zejména dopad změny RUD. Celostátní výběr DPH totiž posílil o 6,6 %, podobně jako po celý loňský rok. Aktuální růstové tempo výběru zatím nepatrně překračuje celoroční rozpočtové očekávání, což souvisí s</w:t>
            </w:r>
            <w:r>
              <w:t> </w:t>
            </w:r>
            <w:r w:rsidRPr="00693594">
              <w:t>relativně příznivou spotřebitelskou důvěrou v ekonomiku</w:t>
            </w:r>
            <w:r w:rsidRPr="00693594">
              <w:rPr>
                <w:rStyle w:val="Znakapoznpodarou"/>
              </w:rPr>
              <w:footnoteReference w:id="11"/>
            </w:r>
            <w:r w:rsidRPr="00693594">
              <w:t xml:space="preserve"> vyúsťující ve stabilní růst soukromé spotřeby. </w:t>
            </w:r>
            <w:r w:rsidRPr="00693594">
              <w:rPr>
                <w:szCs w:val="20"/>
              </w:rPr>
              <w:t>Na spotřebních daních (vč. energetických daní) získal SR meziročně o 1,1 % méně (</w:t>
            </w:r>
            <w:r w:rsidRPr="00693594">
              <w:t>–</w:t>
            </w:r>
            <w:r w:rsidRPr="00693594">
              <w:rPr>
                <w:szCs w:val="20"/>
              </w:rPr>
              <w:t xml:space="preserve">0,4 mld. korun) a zůstal tak zatím za rozpočtovým </w:t>
            </w:r>
            <w:r w:rsidRPr="00693594">
              <w:rPr>
                <w:szCs w:val="20"/>
              </w:rPr>
              <w:lastRenderedPageBreak/>
              <w:t xml:space="preserve">očekáváním. Díky růstu přepravních výkonů (a po drtivou většinu 1. čtvrtletí stále ještě </w:t>
            </w:r>
            <w:r w:rsidRPr="00693594">
              <w:t>příznivému vývoji spotřebitelských cen PHM)</w:t>
            </w:r>
            <w:r w:rsidRPr="00693594">
              <w:rPr>
                <w:szCs w:val="20"/>
              </w:rPr>
              <w:t xml:space="preserve"> se sice zvyšoval výběr dominantní položky – daně z minerálních olejů – ten však nebyl dostatečně robustní (+5,5 %), aby kompenzoval slabší výběr ostatních položek, hlavně daně z tabákových výrobků, jenž byl nižší o 5,3 %. Ten je na počátku roku tradičně rozkolísaný, což úzce souvisí s předzásobením kvůli pokračujícímu zvyšování sazby daně</w:t>
            </w:r>
            <w:r w:rsidRPr="00693594">
              <w:rPr>
                <w:rStyle w:val="Znakapoznpodarou"/>
                <w:szCs w:val="20"/>
              </w:rPr>
              <w:footnoteReference w:id="12"/>
            </w:r>
            <w:r w:rsidRPr="00693594">
              <w:rPr>
                <w:szCs w:val="20"/>
              </w:rPr>
              <w:t>. Dílčí vliv má však i</w:t>
            </w:r>
            <w:r>
              <w:rPr>
                <w:szCs w:val="20"/>
              </w:rPr>
              <w:t> </w:t>
            </w:r>
            <w:r w:rsidRPr="00693594">
              <w:rPr>
                <w:szCs w:val="20"/>
              </w:rPr>
              <w:t>dlouhodobější trend poklesu spotřeby těchto produktů. Ten se projevuje i v případě alkoholických nápojů, což vedlo k letošnímu poklesu výběru daně z lihu i piva. Meziročně se snížilo také inkaso daně z produkce solárních elektráren (</w:t>
            </w:r>
            <w:r>
              <w:t>−</w:t>
            </w:r>
            <w:r w:rsidRPr="00693594">
              <w:rPr>
                <w:szCs w:val="20"/>
              </w:rPr>
              <w:t>0,2 mld. korun), výběr ostatních energetických daní fakticky stagnoval.</w:t>
            </w:r>
          </w:p>
        </w:tc>
      </w:tr>
      <w:tr w:rsidR="00EE5B59" w:rsidRPr="00FE604F" w14:paraId="6BAFE3E4" w14:textId="77777777" w:rsidTr="000E74FE">
        <w:trPr>
          <w:trHeight w:val="170"/>
        </w:trPr>
        <w:tc>
          <w:tcPr>
            <w:tcW w:w="1810" w:type="dxa"/>
            <w:tcMar>
              <w:left w:w="0" w:type="dxa"/>
            </w:tcMar>
          </w:tcPr>
          <w:p w14:paraId="4A85AA07" w14:textId="77777777" w:rsidR="00EE5B59" w:rsidRPr="00FE604F" w:rsidRDefault="00EE5B59" w:rsidP="000E74FE">
            <w:pPr>
              <w:pStyle w:val="Marginlie"/>
              <w:rPr>
                <w:spacing w:val="0"/>
              </w:rPr>
            </w:pPr>
            <w:r w:rsidRPr="00FE604F">
              <w:rPr>
                <w:spacing w:val="0"/>
                <w:szCs w:val="20"/>
              </w:rPr>
              <w:lastRenderedPageBreak/>
              <w:t>Nedaňové a kapitálové příjmy i přijaté transfery SR se meziročně</w:t>
            </w:r>
            <w:r w:rsidRPr="00FE604F">
              <w:rPr>
                <w:spacing w:val="0"/>
              </w:rPr>
              <w:t xml:space="preserve"> zvýšily díky posílení příjmů z rozpočtu EU a FM.</w:t>
            </w:r>
          </w:p>
        </w:tc>
        <w:tc>
          <w:tcPr>
            <w:tcW w:w="203" w:type="dxa"/>
            <w:tcMar>
              <w:left w:w="0" w:type="dxa"/>
            </w:tcMar>
          </w:tcPr>
          <w:p w14:paraId="04D8BE44" w14:textId="77777777" w:rsidR="00EE5B59" w:rsidRPr="00FE604F" w:rsidRDefault="00EE5B59" w:rsidP="000E74FE">
            <w:pPr>
              <w:pStyle w:val="Textpoznpodarou"/>
              <w:jc w:val="both"/>
            </w:pPr>
          </w:p>
        </w:tc>
        <w:tc>
          <w:tcPr>
            <w:tcW w:w="7656" w:type="dxa"/>
            <w:tcMar>
              <w:left w:w="0" w:type="dxa"/>
            </w:tcMar>
          </w:tcPr>
          <w:p w14:paraId="0A07E384" w14:textId="77777777" w:rsidR="00EE5B59" w:rsidRPr="00693594" w:rsidRDefault="00EE5B59" w:rsidP="000E74FE">
            <w:pPr>
              <w:spacing w:after="200"/>
              <w:rPr>
                <w:szCs w:val="20"/>
              </w:rPr>
            </w:pPr>
            <w:r w:rsidRPr="00693594">
              <w:rPr>
                <w:szCs w:val="20"/>
              </w:rPr>
              <w:t>Nedaňové a kapitálové příjmy i přijaté transfery SR se po výraznějším meziročním poklesu v letech 2024 i 2025 na počátku letošního roku zvýšily o 7,5 % (+3,4 mld. korun). Projevily se zde především vyšší příjmy prostředků z rozpočtu EU a finančních mechanismů (FM) o 23 % (resp. o 7,4 mld. korun). Vyšší přiliv těchto refundací mohl souviset s vysokou investiční aktivitou státu v loňském roce, resp. s posilujícím náběhem příjmů z aktuálního období 2021–2027 a prostředků z Národního plánu obnovy. Schválený SR počítá letos s mírným celoročním růstem příjmů z rozpočtu EU a FM (+6,6 %), avšak s poklesem celkových nedaňových a kapitálových příjmů (</w:t>
            </w:r>
            <w:r>
              <w:t>−</w:t>
            </w:r>
            <w:r w:rsidRPr="00693594">
              <w:rPr>
                <w:szCs w:val="20"/>
              </w:rPr>
              <w:t>7,3</w:t>
            </w:r>
            <w:r>
              <w:rPr>
                <w:szCs w:val="20"/>
              </w:rPr>
              <w:t> </w:t>
            </w:r>
            <w:r w:rsidRPr="00693594">
              <w:rPr>
                <w:szCs w:val="20"/>
              </w:rPr>
              <w:t>%).</w:t>
            </w:r>
          </w:p>
        </w:tc>
      </w:tr>
      <w:tr w:rsidR="00EE5B59" w:rsidRPr="00FE604F" w14:paraId="246046EB" w14:textId="77777777" w:rsidTr="000E74FE">
        <w:trPr>
          <w:trHeight w:val="170"/>
        </w:trPr>
        <w:tc>
          <w:tcPr>
            <w:tcW w:w="1810" w:type="dxa"/>
            <w:tcMar>
              <w:left w:w="0" w:type="dxa"/>
            </w:tcMar>
          </w:tcPr>
          <w:p w14:paraId="55C690B9" w14:textId="77777777" w:rsidR="00EE5B59" w:rsidRPr="00FE604F" w:rsidRDefault="00EE5B59" w:rsidP="000E74FE">
            <w:pPr>
              <w:pStyle w:val="Marginlie"/>
              <w:rPr>
                <w:spacing w:val="0"/>
              </w:rPr>
            </w:pPr>
            <w:r w:rsidRPr="00FE604F">
              <w:rPr>
                <w:spacing w:val="0"/>
              </w:rPr>
              <w:t>Procentní meziroční pokles celkových výdajů SR byl letos v 1. čtvrtletí nejvyšší za poslední čtyři roky. Podílely se na něm výhradně běžné výdaje.</w:t>
            </w:r>
          </w:p>
        </w:tc>
        <w:tc>
          <w:tcPr>
            <w:tcW w:w="203" w:type="dxa"/>
            <w:tcMar>
              <w:left w:w="0" w:type="dxa"/>
            </w:tcMar>
          </w:tcPr>
          <w:p w14:paraId="3DAADC74" w14:textId="77777777" w:rsidR="00EE5B59" w:rsidRPr="00FE604F" w:rsidRDefault="00EE5B59" w:rsidP="000E74FE">
            <w:pPr>
              <w:pStyle w:val="Textpoznpodarou"/>
              <w:jc w:val="both"/>
            </w:pPr>
          </w:p>
        </w:tc>
        <w:tc>
          <w:tcPr>
            <w:tcW w:w="7656" w:type="dxa"/>
            <w:tcMar>
              <w:left w:w="0" w:type="dxa"/>
            </w:tcMar>
          </w:tcPr>
          <w:p w14:paraId="5ED82069" w14:textId="77777777" w:rsidR="00EE5B59" w:rsidRPr="00693594" w:rsidRDefault="00EE5B59" w:rsidP="000E74FE">
            <w:pPr>
              <w:spacing w:after="200"/>
            </w:pPr>
            <w:r w:rsidRPr="00693594">
              <w:t xml:space="preserve">Celkové výdaje SR se v 1. čtvrtletí 2026 dle předpokladů meziročně výrazně snížily </w:t>
            </w:r>
            <w:r w:rsidRPr="00693594">
              <w:br/>
              <w:t xml:space="preserve">(o 7,9 %, resp. 45,1 mld. korun). Naplno se totiž projevil dopad hospodaření v režimu rozpočtového provizoria. V 1. čtvrtletí 2022, kdy hospodaření probíhalo po stejnou dobu v obdobném režimu, byl ale propad výdajů ještě výraznější (činil 10,7 %). Tehdy se na něm podílely nejen běžné výdaje, jejichž čerpání bylo významně ovlivněno i postupným ukončováním dotační pomoci podnikatelům vlivem ústupu pandemie covidu-19, ale také investice. Pro vývoj v letošním roce byl naopak určující pokles výhradně běžných výdajů (o 47,9 mld. korun), jenž se odrazil v dočasně nižším objemu financování výzkumu, vývoje a inovací, školství, sociálních služeb a sportu. Na druhou stranu čerpání řady váhově významných mandatorních výdajů (důchody a ostatní sociální dávky, platy v organizačních složkách státu či výdaje na obsluhu státního dluhu) dotčeny nebyly. </w:t>
            </w:r>
          </w:p>
        </w:tc>
      </w:tr>
      <w:tr w:rsidR="00EE5B59" w:rsidRPr="00FE604F" w14:paraId="1D1D7456" w14:textId="77777777" w:rsidTr="000E74FE">
        <w:trPr>
          <w:trHeight w:val="170"/>
        </w:trPr>
        <w:tc>
          <w:tcPr>
            <w:tcW w:w="1810" w:type="dxa"/>
            <w:tcMar>
              <w:left w:w="0" w:type="dxa"/>
            </w:tcMar>
          </w:tcPr>
          <w:p w14:paraId="1C8D78FE" w14:textId="77777777" w:rsidR="00EE5B59" w:rsidRPr="00FE604F" w:rsidRDefault="00EE5B59" w:rsidP="000E74FE">
            <w:pPr>
              <w:pStyle w:val="Marginlie"/>
              <w:rPr>
                <w:spacing w:val="0"/>
              </w:rPr>
            </w:pPr>
            <w:r w:rsidRPr="00FE604F">
              <w:rPr>
                <w:spacing w:val="0"/>
              </w:rPr>
              <w:t>Razantní pokles běžných výdajů SR odrážel zejména nižší zálohy územní</w:t>
            </w:r>
            <w:r>
              <w:rPr>
                <w:spacing w:val="0"/>
              </w:rPr>
              <w:t>m</w:t>
            </w:r>
            <w:r w:rsidRPr="00FE604F">
              <w:rPr>
                <w:spacing w:val="0"/>
              </w:rPr>
              <w:t xml:space="preserve"> rozpočt</w:t>
            </w:r>
            <w:r>
              <w:rPr>
                <w:spacing w:val="0"/>
              </w:rPr>
              <w:t>ům</w:t>
            </w:r>
            <w:r w:rsidRPr="00FE604F">
              <w:rPr>
                <w:spacing w:val="0"/>
              </w:rPr>
              <w:t xml:space="preserve"> na školství a sociální služby.</w:t>
            </w:r>
          </w:p>
          <w:p w14:paraId="7A677705" w14:textId="77777777" w:rsidR="00EE5B59" w:rsidRPr="00FE604F" w:rsidRDefault="00EE5B59" w:rsidP="000E74FE">
            <w:pPr>
              <w:pStyle w:val="Marginlie"/>
              <w:rPr>
                <w:spacing w:val="0"/>
              </w:rPr>
            </w:pPr>
          </w:p>
          <w:p w14:paraId="6E4DF758" w14:textId="77777777" w:rsidR="00EE5B59" w:rsidRPr="00FE604F" w:rsidRDefault="00EE5B59" w:rsidP="000E74FE">
            <w:pPr>
              <w:pStyle w:val="Marginlie"/>
              <w:rPr>
                <w:spacing w:val="0"/>
              </w:rPr>
            </w:pPr>
          </w:p>
          <w:p w14:paraId="4016E6FA" w14:textId="77777777" w:rsidR="00EE5B59" w:rsidRPr="00FE604F" w:rsidRDefault="00EE5B59" w:rsidP="000E74FE">
            <w:pPr>
              <w:pStyle w:val="Marginlie"/>
              <w:rPr>
                <w:spacing w:val="0"/>
              </w:rPr>
            </w:pPr>
          </w:p>
          <w:p w14:paraId="49A7CFF9" w14:textId="77777777" w:rsidR="00EE5B59" w:rsidRPr="00FE604F" w:rsidRDefault="00EE5B59" w:rsidP="000E74FE">
            <w:pPr>
              <w:pStyle w:val="Marginlie"/>
              <w:rPr>
                <w:spacing w:val="0"/>
              </w:rPr>
            </w:pPr>
          </w:p>
          <w:p w14:paraId="45E2646A" w14:textId="77777777" w:rsidR="00EE5B59" w:rsidRPr="00FE604F" w:rsidRDefault="00EE5B59" w:rsidP="000E74FE">
            <w:pPr>
              <w:pStyle w:val="Marginlie"/>
              <w:rPr>
                <w:spacing w:val="0"/>
              </w:rPr>
            </w:pPr>
          </w:p>
          <w:p w14:paraId="193311FF" w14:textId="77777777" w:rsidR="00EE5B59" w:rsidRPr="00FE604F" w:rsidRDefault="00EE5B59" w:rsidP="000E74FE">
            <w:pPr>
              <w:pStyle w:val="Marginlie"/>
              <w:rPr>
                <w:spacing w:val="0"/>
              </w:rPr>
            </w:pPr>
          </w:p>
          <w:p w14:paraId="57463528" w14:textId="77777777" w:rsidR="00EE5B59" w:rsidRPr="00FE604F" w:rsidRDefault="00EE5B59" w:rsidP="000E74FE">
            <w:pPr>
              <w:pStyle w:val="Marginlie"/>
              <w:rPr>
                <w:spacing w:val="0"/>
              </w:rPr>
            </w:pPr>
          </w:p>
          <w:p w14:paraId="3B723159" w14:textId="77777777" w:rsidR="00EE5B59" w:rsidRPr="00FE604F" w:rsidRDefault="00EE5B59" w:rsidP="000E74FE">
            <w:pPr>
              <w:pStyle w:val="Marginlie"/>
              <w:rPr>
                <w:spacing w:val="0"/>
              </w:rPr>
            </w:pPr>
          </w:p>
          <w:p w14:paraId="26DBF9CD" w14:textId="77777777" w:rsidR="00EE5B59" w:rsidRPr="00FE604F" w:rsidRDefault="00EE5B59" w:rsidP="000E74FE">
            <w:pPr>
              <w:pStyle w:val="Marginlie"/>
              <w:rPr>
                <w:spacing w:val="0"/>
              </w:rPr>
            </w:pPr>
            <w:r w:rsidRPr="00FE604F">
              <w:rPr>
                <w:spacing w:val="0"/>
              </w:rPr>
              <w:t xml:space="preserve">Režim provizoria </w:t>
            </w:r>
            <w:r>
              <w:rPr>
                <w:spacing w:val="0"/>
              </w:rPr>
              <w:br/>
            </w:r>
            <w:r w:rsidRPr="00FE604F">
              <w:rPr>
                <w:spacing w:val="0"/>
              </w:rPr>
              <w:t xml:space="preserve">v 1. čtvrtletí významně zasáhl do dalších významných běžných výdajů příspěvkových, neziskových institucí, </w:t>
            </w:r>
            <w:r w:rsidRPr="00FE604F">
              <w:rPr>
                <w:spacing w:val="0"/>
              </w:rPr>
              <w:lastRenderedPageBreak/>
              <w:t xml:space="preserve">státních fondů či podnikatelů. </w:t>
            </w:r>
          </w:p>
        </w:tc>
        <w:tc>
          <w:tcPr>
            <w:tcW w:w="203" w:type="dxa"/>
            <w:tcMar>
              <w:left w:w="0" w:type="dxa"/>
            </w:tcMar>
          </w:tcPr>
          <w:p w14:paraId="600AF879" w14:textId="77777777" w:rsidR="00EE5B59" w:rsidRPr="00FE604F" w:rsidRDefault="00EE5B59" w:rsidP="000E74FE">
            <w:pPr>
              <w:pStyle w:val="Textpoznpodarou"/>
              <w:jc w:val="both"/>
            </w:pPr>
          </w:p>
        </w:tc>
        <w:tc>
          <w:tcPr>
            <w:tcW w:w="7656" w:type="dxa"/>
            <w:tcMar>
              <w:left w:w="0" w:type="dxa"/>
            </w:tcMar>
          </w:tcPr>
          <w:p w14:paraId="1FEB3358" w14:textId="77777777" w:rsidR="00EE5B59" w:rsidRPr="00693594" w:rsidRDefault="00EE5B59" w:rsidP="000E74FE">
            <w:pPr>
              <w:rPr>
                <w:szCs w:val="20"/>
              </w:rPr>
            </w:pPr>
            <w:r w:rsidRPr="00693594">
              <w:rPr>
                <w:szCs w:val="20"/>
              </w:rPr>
              <w:t xml:space="preserve">Za poklesem běžných výdajů stálo na počátku letošního roku zejména razantní omezení transferů územním rozpočtům, jež byly meziročně nižší skoro o dvě pětiny </w:t>
            </w:r>
            <w:r w:rsidRPr="00693594">
              <w:rPr>
                <w:szCs w:val="20"/>
              </w:rPr>
              <w:br/>
              <w:t>(resp. 34,4 mld. korun). K tomuto vývoji přispěly v první řadě nižší dotace do regionálního školství vlivem nezahrnutí prostředků na platy nepedagogických pracovníků či dočasného pozastavení části zálohových plateb veřejnému školství. Významný vliv mělo rovněž dočasné snížení příspěvku státu na financování sociálních služeb. Neinvestiční transfery příspěvkovým organizacím propadly o 45 % (</w:t>
            </w:r>
            <w:r>
              <w:rPr>
                <w:szCs w:val="20"/>
              </w:rPr>
              <w:t>−</w:t>
            </w:r>
            <w:r w:rsidRPr="00693594">
              <w:rPr>
                <w:szCs w:val="20"/>
              </w:rPr>
              <w:t>16,8 mld. korun) z drtivé části kvůli dočasně omezeným platbám na podporu výzkumu, vývoje a</w:t>
            </w:r>
            <w:r>
              <w:rPr>
                <w:szCs w:val="20"/>
              </w:rPr>
              <w:t> </w:t>
            </w:r>
            <w:r w:rsidRPr="00693594">
              <w:rPr>
                <w:szCs w:val="20"/>
              </w:rPr>
              <w:t>inovací vysokým školám a veřejným výzkumným institucím. Dále o bezmála 40 % kleslo financování váhově méně významné položky dotací neziskovým organizacím – zejména do oblasti rozvoje a podpory sportu, v menší míře do sociálních služeb či výzkumu. Obdobný dočasný propad nastal i u běžných transferů podnikatelům, jež byly meziročně nižší o 6,5 mld. korun</w:t>
            </w:r>
            <w:r w:rsidRPr="00693594">
              <w:rPr>
                <w:rStyle w:val="Znakapoznpodarou"/>
                <w:szCs w:val="20"/>
              </w:rPr>
              <w:footnoteReference w:id="13"/>
            </w:r>
            <w:r w:rsidRPr="00693594">
              <w:rPr>
                <w:szCs w:val="20"/>
              </w:rPr>
              <w:t>, z téměř poloviny vlivem omezení prostředků na výzkum, vývoj a inovace. Významnou roli zde ale hrál i pokles dotací na obnovitelné zdroje energií, dílčí dopad mělo také ukončení kompenzací za dodávku elektřiny a plynu zákazníkům</w:t>
            </w:r>
            <w:r w:rsidRPr="00693594">
              <w:rPr>
                <w:rStyle w:val="Znakapoznpodarou"/>
                <w:szCs w:val="20"/>
              </w:rPr>
              <w:footnoteReference w:id="14"/>
            </w:r>
            <w:r w:rsidRPr="00693594">
              <w:rPr>
                <w:szCs w:val="20"/>
              </w:rPr>
              <w:t xml:space="preserve">. O bezmála třetinu propadly také běžné dotace státním fondům </w:t>
            </w:r>
            <w:r w:rsidRPr="00693594">
              <w:rPr>
                <w:szCs w:val="20"/>
              </w:rPr>
              <w:lastRenderedPageBreak/>
              <w:t>(</w:t>
            </w:r>
            <w:r>
              <w:rPr>
                <w:szCs w:val="20"/>
              </w:rPr>
              <w:t>−</w:t>
            </w:r>
            <w:r w:rsidRPr="00693594">
              <w:rPr>
                <w:szCs w:val="20"/>
              </w:rPr>
              <w:t>6,1</w:t>
            </w:r>
            <w:r>
              <w:rPr>
                <w:szCs w:val="20"/>
              </w:rPr>
              <w:t> </w:t>
            </w:r>
            <w:r w:rsidRPr="00693594">
              <w:rPr>
                <w:szCs w:val="20"/>
              </w:rPr>
              <w:t>mld. korun) vlivem dočasného omezení prostředků na oblast dopravní infrastruktury či audiovize, naopak výdaje alokované do zemědělství (zejména na přímé platby zemědělců) nebyly režimem provizoria dotčeny. Na neinvestiční nákupy a</w:t>
            </w:r>
            <w:r>
              <w:rPr>
                <w:szCs w:val="20"/>
              </w:rPr>
              <w:t> </w:t>
            </w:r>
            <w:r w:rsidRPr="00693594">
              <w:rPr>
                <w:szCs w:val="20"/>
              </w:rPr>
              <w:t>související výdaje vydal letos SR meziročně o osminu méně (</w:t>
            </w:r>
            <w:r>
              <w:rPr>
                <w:szCs w:val="20"/>
              </w:rPr>
              <w:t>−</w:t>
            </w:r>
            <w:r w:rsidRPr="00693594">
              <w:rPr>
                <w:szCs w:val="20"/>
              </w:rPr>
              <w:t>4 mld. korun), což se projevilo hlavně absencí kompenzační platby v oblasti telekomunikací a také odsunutím části nákupů v oblasti obrany na pozdější část roku. Z výše uvedeného vyplývá, že váha výdajových položek významně ovlivněných na počátku letošního roku dočasným režimem provizoria dosahovala zhruba jedné třetiny všech běžných výdajů SR (z</w:t>
            </w:r>
            <w:r>
              <w:rPr>
                <w:szCs w:val="20"/>
              </w:rPr>
              <w:t> </w:t>
            </w:r>
            <w:r w:rsidRPr="00693594">
              <w:rPr>
                <w:szCs w:val="20"/>
              </w:rPr>
              <w:t>pohledu očekávaných výdajů na celý rok 2026 dle schváleného rozpočtu).</w:t>
            </w:r>
          </w:p>
        </w:tc>
      </w:tr>
      <w:tr w:rsidR="00EE5B59" w:rsidRPr="00FE604F" w14:paraId="5D5B2079" w14:textId="77777777" w:rsidTr="000E74FE">
        <w:trPr>
          <w:trHeight w:val="170"/>
        </w:trPr>
        <w:tc>
          <w:tcPr>
            <w:tcW w:w="1810" w:type="dxa"/>
            <w:tcMar>
              <w:left w:w="0" w:type="dxa"/>
            </w:tcMar>
          </w:tcPr>
          <w:p w14:paraId="0E04D805" w14:textId="77777777" w:rsidR="00EE5B59" w:rsidRPr="00FE604F" w:rsidRDefault="00EE5B59" w:rsidP="000E74FE">
            <w:pPr>
              <w:pStyle w:val="Marginlie"/>
              <w:rPr>
                <w:spacing w:val="0"/>
              </w:rPr>
            </w:pPr>
          </w:p>
        </w:tc>
        <w:tc>
          <w:tcPr>
            <w:tcW w:w="203" w:type="dxa"/>
            <w:tcMar>
              <w:left w:w="0" w:type="dxa"/>
            </w:tcMar>
          </w:tcPr>
          <w:p w14:paraId="6ADFE3F2" w14:textId="77777777" w:rsidR="00EE5B59" w:rsidRPr="00FE604F" w:rsidRDefault="00EE5B59" w:rsidP="000E74FE">
            <w:pPr>
              <w:pStyle w:val="Textpoznpodarou"/>
              <w:jc w:val="both"/>
            </w:pPr>
          </w:p>
        </w:tc>
        <w:tc>
          <w:tcPr>
            <w:tcW w:w="7656" w:type="dxa"/>
            <w:tcMar>
              <w:left w:w="0" w:type="dxa"/>
            </w:tcMar>
          </w:tcPr>
          <w:p w14:paraId="2A38BA98" w14:textId="42AE93AC" w:rsidR="00EE5B59" w:rsidRPr="00FE604F" w:rsidRDefault="00EE5B59" w:rsidP="000E74FE">
            <w:pPr>
              <w:spacing w:after="20"/>
            </w:pPr>
            <w:r w:rsidRPr="00FE604F">
              <w:rPr>
                <w:b/>
              </w:rPr>
              <w:t>Graf č. 1</w:t>
            </w:r>
            <w:r w:rsidR="00D75205">
              <w:rPr>
                <w:b/>
              </w:rPr>
              <w:t>8</w:t>
            </w:r>
            <w:r w:rsidRPr="00FE604F">
              <w:rPr>
                <w:b/>
              </w:rPr>
              <w:t xml:space="preserve"> </w:t>
            </w:r>
            <w:r w:rsidRPr="00FE604F">
              <w:rPr>
                <w:rFonts w:cs="Arial"/>
                <w:b/>
                <w:bCs/>
              </w:rPr>
              <w:t xml:space="preserve">Vybrané výdaje státního rozpočtu v rámci 1. čtvrtletí </w:t>
            </w:r>
            <w:r w:rsidRPr="00FE604F">
              <w:rPr>
                <w:rFonts w:cs="Arial"/>
              </w:rPr>
              <w:t>(v mld. korun)</w:t>
            </w:r>
          </w:p>
        </w:tc>
      </w:tr>
      <w:tr w:rsidR="00EE5B59" w:rsidRPr="00FE604F" w14:paraId="6EE3636E" w14:textId="77777777" w:rsidTr="000E74FE">
        <w:tblPrEx>
          <w:tblCellMar>
            <w:left w:w="70" w:type="dxa"/>
            <w:right w:w="70" w:type="dxa"/>
          </w:tblCellMar>
        </w:tblPrEx>
        <w:trPr>
          <w:trHeight w:val="170"/>
        </w:trPr>
        <w:tc>
          <w:tcPr>
            <w:tcW w:w="1810" w:type="dxa"/>
          </w:tcPr>
          <w:p w14:paraId="0BF9B833" w14:textId="77777777" w:rsidR="00EE5B59" w:rsidRPr="00FE604F" w:rsidRDefault="00EE5B59" w:rsidP="000E74FE">
            <w:pPr>
              <w:pStyle w:val="Marginlie"/>
              <w:rPr>
                <w:spacing w:val="0"/>
              </w:rPr>
            </w:pPr>
          </w:p>
        </w:tc>
        <w:tc>
          <w:tcPr>
            <w:tcW w:w="203" w:type="dxa"/>
          </w:tcPr>
          <w:p w14:paraId="061C21C5" w14:textId="77777777" w:rsidR="00EE5B59" w:rsidRPr="00FE604F" w:rsidRDefault="00EE5B59" w:rsidP="000E74FE">
            <w:pPr>
              <w:pStyle w:val="Textpoznpodarou"/>
              <w:jc w:val="both"/>
            </w:pPr>
          </w:p>
        </w:tc>
        <w:tc>
          <w:tcPr>
            <w:tcW w:w="7656" w:type="dxa"/>
          </w:tcPr>
          <w:p w14:paraId="0048409C" w14:textId="77777777" w:rsidR="00EE5B59" w:rsidRPr="00FE604F" w:rsidRDefault="00EE5B59" w:rsidP="000E74FE">
            <w:pPr>
              <w:spacing w:before="20" w:after="20"/>
            </w:pPr>
            <w:r w:rsidRPr="00FE604F">
              <w:rPr>
                <w:noProof/>
              </w:rPr>
              <w:drawing>
                <wp:inline distT="0" distB="0" distL="0" distR="0" wp14:anchorId="567DE65A" wp14:editId="36FAEF8D">
                  <wp:extent cx="4724400" cy="3530009"/>
                  <wp:effectExtent l="0" t="0" r="0" b="0"/>
                  <wp:docPr id="1326385261" name="Graf 1">
                    <a:extLst xmlns:a="http://schemas.openxmlformats.org/drawingml/2006/main">
                      <a:ext uri="{FF2B5EF4-FFF2-40B4-BE49-F238E27FC236}">
                        <a16:creationId xmlns:a16="http://schemas.microsoft.com/office/drawing/2014/main" id="{00000000-0008-0000-26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EE5B59" w:rsidRPr="00FE604F" w14:paraId="4A660757" w14:textId="77777777" w:rsidTr="000E74FE">
        <w:trPr>
          <w:trHeight w:val="170"/>
        </w:trPr>
        <w:tc>
          <w:tcPr>
            <w:tcW w:w="1810" w:type="dxa"/>
            <w:tcMar>
              <w:left w:w="0" w:type="dxa"/>
            </w:tcMar>
          </w:tcPr>
          <w:p w14:paraId="246A6D19" w14:textId="77777777" w:rsidR="00EE5B59" w:rsidRPr="00FE604F" w:rsidRDefault="00EE5B59" w:rsidP="000E74FE">
            <w:pPr>
              <w:pStyle w:val="Marginlie"/>
              <w:rPr>
                <w:spacing w:val="0"/>
              </w:rPr>
            </w:pPr>
          </w:p>
        </w:tc>
        <w:tc>
          <w:tcPr>
            <w:tcW w:w="203" w:type="dxa"/>
            <w:tcMar>
              <w:left w:w="0" w:type="dxa"/>
            </w:tcMar>
          </w:tcPr>
          <w:p w14:paraId="21E81CCB" w14:textId="77777777" w:rsidR="00EE5B59" w:rsidRPr="00FE604F" w:rsidRDefault="00EE5B59" w:rsidP="000E74FE">
            <w:pPr>
              <w:pStyle w:val="Textpoznpodarou"/>
              <w:jc w:val="both"/>
            </w:pPr>
          </w:p>
        </w:tc>
        <w:tc>
          <w:tcPr>
            <w:tcW w:w="7656" w:type="dxa"/>
            <w:tcMar>
              <w:left w:w="0" w:type="dxa"/>
            </w:tcMar>
          </w:tcPr>
          <w:p w14:paraId="60A560E0" w14:textId="77777777" w:rsidR="00EE5B59" w:rsidRPr="00FE604F" w:rsidRDefault="00EE5B59" w:rsidP="000E74FE">
            <w:pPr>
              <w:pStyle w:val="Textpoznpodarou"/>
              <w:rPr>
                <w:sz w:val="14"/>
                <w:szCs w:val="14"/>
              </w:rPr>
            </w:pPr>
            <w:r w:rsidRPr="00FE604F">
              <w:rPr>
                <w:sz w:val="14"/>
                <w:szCs w:val="14"/>
              </w:rPr>
              <w:t>* Pokrývají výdaje na platy v organizačních složkách státu. Nezahrnují například mzdové výdaje na regionální školství.</w:t>
            </w:r>
          </w:p>
          <w:p w14:paraId="43825601" w14:textId="77777777" w:rsidR="00EE5B59" w:rsidRPr="00FE604F" w:rsidRDefault="00EE5B59" w:rsidP="000E74FE">
            <w:pPr>
              <w:pStyle w:val="Textpoznpodarou"/>
              <w:rPr>
                <w:sz w:val="14"/>
                <w:szCs w:val="14"/>
              </w:rPr>
            </w:pPr>
            <w:r w:rsidRPr="00FE604F">
              <w:rPr>
                <w:sz w:val="14"/>
                <w:szCs w:val="14"/>
              </w:rPr>
              <w:t>** Obsahuje také dávky pěstounské péče.</w:t>
            </w:r>
          </w:p>
          <w:p w14:paraId="7A2A3C07" w14:textId="77777777" w:rsidR="00EE5B59" w:rsidRPr="00FE604F" w:rsidRDefault="00EE5B59" w:rsidP="000E74FE">
            <w:pPr>
              <w:pStyle w:val="Textpoznpodarou"/>
              <w:rPr>
                <w:sz w:val="14"/>
                <w:szCs w:val="14"/>
              </w:rPr>
            </w:pPr>
            <w:r w:rsidRPr="00FE604F">
              <w:rPr>
                <w:sz w:val="14"/>
                <w:szCs w:val="14"/>
              </w:rPr>
              <w:t>*** Zahrnují dávky pomoci v hmotné nouzi, dávky osobám se zdravotním postižením, příspěvek na péči dle zákona o soc. službách. Jsou zde obsaženy i dávky humanitární pomoci poskytnuté občanům Ukrajiny.</w:t>
            </w:r>
          </w:p>
          <w:p w14:paraId="414DC650" w14:textId="77777777" w:rsidR="00EE5B59" w:rsidRPr="00FE604F" w:rsidRDefault="00EE5B59" w:rsidP="000E74FE">
            <w:pPr>
              <w:pStyle w:val="Textpoznpodarou"/>
              <w:rPr>
                <w:sz w:val="14"/>
                <w:szCs w:val="14"/>
              </w:rPr>
            </w:pPr>
            <w:r w:rsidRPr="00FE604F">
              <w:rPr>
                <w:sz w:val="14"/>
                <w:szCs w:val="14"/>
              </w:rPr>
              <w:t>**** Obsahují zejména výdaje na nákup služeb, materiálu, energií či ostatních služeb (např. výdaje na opravy a údržbu).</w:t>
            </w:r>
          </w:p>
          <w:p w14:paraId="5FBDC8F2" w14:textId="77777777" w:rsidR="00EE5B59" w:rsidRPr="00FE604F" w:rsidRDefault="00EE5B59" w:rsidP="000E74FE">
            <w:pPr>
              <w:pStyle w:val="Textpoznpodarou"/>
              <w:rPr>
                <w:sz w:val="14"/>
                <w:szCs w:val="14"/>
              </w:rPr>
            </w:pPr>
            <w:r w:rsidRPr="00FE604F">
              <w:rPr>
                <w:sz w:val="14"/>
                <w:szCs w:val="14"/>
              </w:rPr>
              <w:t xml:space="preserve">***** Čisté výdaje odpovídají saldu rozpočtové kapitoly Státní dluh (č. 396). </w:t>
            </w:r>
          </w:p>
          <w:p w14:paraId="0ED2DC9C" w14:textId="77777777" w:rsidR="00EE5B59" w:rsidRPr="00FE604F" w:rsidRDefault="00EE5B59" w:rsidP="000E74FE">
            <w:pPr>
              <w:spacing w:before="20" w:after="200"/>
            </w:pPr>
            <w:r w:rsidRPr="00FE604F">
              <w:rPr>
                <w:sz w:val="14"/>
                <w:szCs w:val="14"/>
              </w:rPr>
              <w:t xml:space="preserve"> Zdroj: MF ČR</w:t>
            </w:r>
          </w:p>
        </w:tc>
      </w:tr>
      <w:tr w:rsidR="00EE5B59" w:rsidRPr="00FE604F" w14:paraId="125D18EB" w14:textId="77777777" w:rsidTr="000E74FE">
        <w:trPr>
          <w:trHeight w:val="170"/>
        </w:trPr>
        <w:tc>
          <w:tcPr>
            <w:tcW w:w="1810" w:type="dxa"/>
            <w:tcMar>
              <w:left w:w="0" w:type="dxa"/>
            </w:tcMar>
          </w:tcPr>
          <w:p w14:paraId="47347710" w14:textId="77777777" w:rsidR="00EE5B59" w:rsidRPr="00FE604F" w:rsidRDefault="00EE5B59" w:rsidP="000E74FE">
            <w:pPr>
              <w:pStyle w:val="Marginlie"/>
              <w:rPr>
                <w:spacing w:val="0"/>
              </w:rPr>
            </w:pPr>
            <w:r w:rsidRPr="00FE604F">
              <w:rPr>
                <w:spacing w:val="0"/>
              </w:rPr>
              <w:t>Očekávaný svižný letošní růst výdajů na obsluhu státního dluhu se zatím na počátku roku neprojevil.</w:t>
            </w:r>
          </w:p>
          <w:p w14:paraId="42C86E37" w14:textId="77777777" w:rsidR="00EE5B59" w:rsidRPr="00FE604F" w:rsidRDefault="00EE5B59" w:rsidP="000E74FE">
            <w:pPr>
              <w:pStyle w:val="Marginlie"/>
              <w:rPr>
                <w:spacing w:val="0"/>
              </w:rPr>
            </w:pPr>
          </w:p>
          <w:p w14:paraId="1E38FFCF" w14:textId="77777777" w:rsidR="00EE5B59" w:rsidRPr="00FE604F" w:rsidRDefault="00EE5B59" w:rsidP="000E74FE">
            <w:pPr>
              <w:pStyle w:val="Marginlie"/>
              <w:rPr>
                <w:spacing w:val="0"/>
              </w:rPr>
            </w:pPr>
          </w:p>
          <w:p w14:paraId="0BBA7B26" w14:textId="77777777" w:rsidR="00EE5B59" w:rsidRPr="00FE604F" w:rsidRDefault="00EE5B59" w:rsidP="000E74FE">
            <w:pPr>
              <w:pStyle w:val="Marginlie"/>
              <w:rPr>
                <w:spacing w:val="0"/>
              </w:rPr>
            </w:pPr>
          </w:p>
          <w:p w14:paraId="0C131735" w14:textId="77777777" w:rsidR="00EE5B59" w:rsidRPr="00FE604F" w:rsidRDefault="00EE5B59" w:rsidP="000E74FE">
            <w:pPr>
              <w:pStyle w:val="Marginlie"/>
              <w:rPr>
                <w:spacing w:val="0"/>
              </w:rPr>
            </w:pPr>
            <w:r w:rsidRPr="00FE604F">
              <w:rPr>
                <w:spacing w:val="0"/>
              </w:rPr>
              <w:t>Růst výše státního dluhu zrychlil. Rostla však jen vnitřní zadluženost.</w:t>
            </w:r>
          </w:p>
        </w:tc>
        <w:tc>
          <w:tcPr>
            <w:tcW w:w="203" w:type="dxa"/>
            <w:tcMar>
              <w:left w:w="0" w:type="dxa"/>
            </w:tcMar>
          </w:tcPr>
          <w:p w14:paraId="536DFAC9" w14:textId="77777777" w:rsidR="00EE5B59" w:rsidRPr="00FE604F" w:rsidRDefault="00EE5B59" w:rsidP="000E74FE">
            <w:pPr>
              <w:pStyle w:val="Textpoznpodarou"/>
              <w:jc w:val="both"/>
            </w:pPr>
          </w:p>
        </w:tc>
        <w:tc>
          <w:tcPr>
            <w:tcW w:w="7656" w:type="dxa"/>
            <w:tcMar>
              <w:left w:w="0" w:type="dxa"/>
            </w:tcMar>
          </w:tcPr>
          <w:p w14:paraId="3D3AC324" w14:textId="77777777" w:rsidR="00EE5B59" w:rsidRPr="00693594" w:rsidRDefault="00EE5B59" w:rsidP="000E74FE">
            <w:pPr>
              <w:spacing w:after="0"/>
              <w:rPr>
                <w:szCs w:val="20"/>
              </w:rPr>
            </w:pPr>
            <w:r w:rsidRPr="00693594">
              <w:rPr>
                <w:szCs w:val="20"/>
              </w:rPr>
              <w:t>Výdaje na obsluhu státního dluhu</w:t>
            </w:r>
            <w:r w:rsidRPr="00693594">
              <w:rPr>
                <w:vertAlign w:val="superscript"/>
              </w:rPr>
              <w:footnoteReference w:id="15"/>
            </w:r>
            <w:r w:rsidRPr="00693594">
              <w:rPr>
                <w:szCs w:val="20"/>
              </w:rPr>
              <w:t xml:space="preserve">, zahrnující převážně úroky, činily v 1. čtvrtletí </w:t>
            </w:r>
            <w:r w:rsidRPr="00693594">
              <w:rPr>
                <w:szCs w:val="20"/>
              </w:rPr>
              <w:br/>
              <w:t>14,3 mld. korun a meziročně se mírně snížily (o 4 %), avšak v celoročním pohledu je letos jejich rozpočtovaný objem (110 mld.) meziročně o 12 % vyšší. Výše státního dluhu ČR dosáhla letos na konci března rekordních 3 720 mld. korun a meziročně vzrostla o</w:t>
            </w:r>
            <w:r>
              <w:rPr>
                <w:szCs w:val="20"/>
              </w:rPr>
              <w:t> </w:t>
            </w:r>
            <w:r w:rsidRPr="00693594">
              <w:rPr>
                <w:szCs w:val="20"/>
              </w:rPr>
              <w:t>9,1 % (tempo ve srovnání s počátkem roku 2024 i 2025 posílilo). Zvyšovala se však pouze vnitřní zadluženost. Vnější dluh</w:t>
            </w:r>
            <w:r w:rsidRPr="00693594">
              <w:rPr>
                <w:rStyle w:val="Znakapoznpodarou"/>
                <w:szCs w:val="20"/>
              </w:rPr>
              <w:footnoteReference w:id="16"/>
            </w:r>
            <w:r w:rsidRPr="00693594">
              <w:rPr>
                <w:szCs w:val="20"/>
              </w:rPr>
              <w:t xml:space="preserve"> klesl zejména díky řádným splátkám úvěrů Evropské investiční bance, resp. Evropské komisi, ke kterým došlo na počátku letošního roku. K meziročnímu navýšení vnitřního dluhu přispěly tradičně zejména střednědobé a</w:t>
            </w:r>
            <w:r>
              <w:rPr>
                <w:szCs w:val="20"/>
              </w:rPr>
              <w:t> </w:t>
            </w:r>
            <w:r w:rsidRPr="00693594">
              <w:rPr>
                <w:szCs w:val="20"/>
              </w:rPr>
              <w:t>dlouhodobé státní dluhopisy (+272 mld. korun) a státní pokladniční poukázky (+58</w:t>
            </w:r>
            <w:r>
              <w:rPr>
                <w:szCs w:val="20"/>
              </w:rPr>
              <w:t> </w:t>
            </w:r>
            <w:r w:rsidRPr="00693594">
              <w:rPr>
                <w:szCs w:val="20"/>
              </w:rPr>
              <w:t>mld.), opačný vliv měly státní dluhopisy pro občany, jejichž stav se v důsledku řádných</w:t>
            </w:r>
            <w:r>
              <w:rPr>
                <w:szCs w:val="20"/>
              </w:rPr>
              <w:t xml:space="preserve"> </w:t>
            </w:r>
            <w:r w:rsidRPr="00693594">
              <w:rPr>
                <w:szCs w:val="20"/>
              </w:rPr>
              <w:t>i předčasných splátek snížil o 16 mld. korun. Od počátku letošního roku celkový dluh vzrostl o 42 mld. korun</w:t>
            </w:r>
            <w:r w:rsidRPr="00693594">
              <w:rPr>
                <w:rStyle w:val="Znakapoznpodarou"/>
                <w:szCs w:val="20"/>
              </w:rPr>
              <w:footnoteReference w:id="17"/>
            </w:r>
            <w:r w:rsidRPr="00693594">
              <w:rPr>
                <w:szCs w:val="20"/>
              </w:rPr>
              <w:t>.</w:t>
            </w:r>
          </w:p>
        </w:tc>
      </w:tr>
      <w:tr w:rsidR="00EE5B59" w:rsidRPr="00FE604F" w14:paraId="035EC408" w14:textId="77777777" w:rsidTr="000E74FE">
        <w:trPr>
          <w:trHeight w:val="170"/>
        </w:trPr>
        <w:tc>
          <w:tcPr>
            <w:tcW w:w="1810" w:type="dxa"/>
            <w:tcMar>
              <w:left w:w="0" w:type="dxa"/>
            </w:tcMar>
          </w:tcPr>
          <w:p w14:paraId="1891A4DF" w14:textId="77777777" w:rsidR="00EE5B59" w:rsidRPr="00FE604F" w:rsidRDefault="00EE5B59" w:rsidP="000E74FE">
            <w:pPr>
              <w:pStyle w:val="Marginlie"/>
              <w:rPr>
                <w:spacing w:val="0"/>
              </w:rPr>
            </w:pPr>
            <w:r w:rsidRPr="00FE604F">
              <w:rPr>
                <w:spacing w:val="0"/>
              </w:rPr>
              <w:lastRenderedPageBreak/>
              <w:t>Růst výdajů na důchody letos zrychlil, počet jejich příjemců se opět velmi mírně snížil.</w:t>
            </w:r>
          </w:p>
          <w:p w14:paraId="266ECD04" w14:textId="77777777" w:rsidR="00EE5B59" w:rsidRPr="00FE604F" w:rsidRDefault="00EE5B59" w:rsidP="000E74FE">
            <w:pPr>
              <w:pStyle w:val="Marginlie"/>
              <w:rPr>
                <w:spacing w:val="0"/>
              </w:rPr>
            </w:pPr>
          </w:p>
          <w:p w14:paraId="03BBC94E" w14:textId="77777777" w:rsidR="00EE5B59" w:rsidRPr="00FE604F" w:rsidRDefault="00EE5B59" w:rsidP="000E74FE">
            <w:pPr>
              <w:pStyle w:val="Marginlie"/>
              <w:rPr>
                <w:spacing w:val="0"/>
              </w:rPr>
            </w:pPr>
          </w:p>
          <w:p w14:paraId="56266750" w14:textId="77777777" w:rsidR="00EE5B59" w:rsidRPr="00FE604F" w:rsidRDefault="00EE5B59" w:rsidP="000E74FE">
            <w:pPr>
              <w:pStyle w:val="Marginlie"/>
              <w:rPr>
                <w:spacing w:val="0"/>
              </w:rPr>
            </w:pPr>
          </w:p>
          <w:p w14:paraId="1A5647D3" w14:textId="77777777" w:rsidR="00EE5B59" w:rsidRPr="00FE604F" w:rsidRDefault="00EE5B59" w:rsidP="000E74FE">
            <w:pPr>
              <w:pStyle w:val="Marginlie"/>
              <w:rPr>
                <w:spacing w:val="0"/>
              </w:rPr>
            </w:pPr>
          </w:p>
          <w:p w14:paraId="7B0E225F" w14:textId="77777777" w:rsidR="00EE5B59" w:rsidRPr="00FE604F" w:rsidRDefault="00EE5B59" w:rsidP="000E74FE">
            <w:pPr>
              <w:pStyle w:val="Marginlie"/>
              <w:rPr>
                <w:spacing w:val="0"/>
              </w:rPr>
            </w:pPr>
          </w:p>
          <w:p w14:paraId="6849839B" w14:textId="77777777" w:rsidR="00EE5B59" w:rsidRPr="00FE604F" w:rsidRDefault="00EE5B59" w:rsidP="000E74FE">
            <w:pPr>
              <w:pStyle w:val="Marginlie"/>
              <w:rPr>
                <w:spacing w:val="0"/>
              </w:rPr>
            </w:pPr>
          </w:p>
          <w:p w14:paraId="674ABD21" w14:textId="77777777" w:rsidR="00EE5B59" w:rsidRPr="00FE604F" w:rsidRDefault="00EE5B59" w:rsidP="000E74FE">
            <w:pPr>
              <w:pStyle w:val="Marginlie"/>
              <w:rPr>
                <w:spacing w:val="0"/>
              </w:rPr>
            </w:pPr>
          </w:p>
          <w:p w14:paraId="39468370" w14:textId="77777777" w:rsidR="00EE5B59" w:rsidRPr="00FE604F" w:rsidRDefault="00EE5B59" w:rsidP="000E74FE">
            <w:pPr>
              <w:pStyle w:val="Marginlie"/>
              <w:rPr>
                <w:spacing w:val="0"/>
              </w:rPr>
            </w:pPr>
          </w:p>
          <w:p w14:paraId="612D4178" w14:textId="77777777" w:rsidR="00EE5B59" w:rsidRPr="00FE604F" w:rsidRDefault="00EE5B59" w:rsidP="000E74FE">
            <w:pPr>
              <w:pStyle w:val="Marginlie"/>
              <w:rPr>
                <w:spacing w:val="0"/>
              </w:rPr>
            </w:pPr>
            <w:r w:rsidRPr="00FE604F">
              <w:rPr>
                <w:spacing w:val="0"/>
              </w:rPr>
              <w:t>Deficit systému důchodového pojištění se třetí rok v řadě zmírnil a současně byl nejnižší za posledních pět let.</w:t>
            </w:r>
          </w:p>
          <w:p w14:paraId="20357402" w14:textId="77777777" w:rsidR="00EE5B59" w:rsidRPr="00FE604F" w:rsidRDefault="00EE5B59" w:rsidP="000E74FE">
            <w:pPr>
              <w:pStyle w:val="Marginlie"/>
              <w:rPr>
                <w:spacing w:val="0"/>
              </w:rPr>
            </w:pPr>
          </w:p>
        </w:tc>
        <w:tc>
          <w:tcPr>
            <w:tcW w:w="203" w:type="dxa"/>
            <w:tcMar>
              <w:left w:w="0" w:type="dxa"/>
            </w:tcMar>
          </w:tcPr>
          <w:p w14:paraId="3DB03B48" w14:textId="77777777" w:rsidR="00EE5B59" w:rsidRPr="00FE604F" w:rsidRDefault="00EE5B59" w:rsidP="000E74FE">
            <w:pPr>
              <w:pStyle w:val="Textpoznpodarou"/>
              <w:jc w:val="both"/>
            </w:pPr>
          </w:p>
        </w:tc>
        <w:tc>
          <w:tcPr>
            <w:tcW w:w="7656" w:type="dxa"/>
            <w:tcMar>
              <w:left w:w="0" w:type="dxa"/>
            </w:tcMar>
          </w:tcPr>
          <w:p w14:paraId="2CDF08BB" w14:textId="77777777" w:rsidR="00EE5B59" w:rsidRPr="00693594" w:rsidRDefault="00EE5B59" w:rsidP="000E74FE">
            <w:pPr>
              <w:rPr>
                <w:szCs w:val="20"/>
              </w:rPr>
            </w:pPr>
            <w:r w:rsidRPr="00693594">
              <w:rPr>
                <w:szCs w:val="20"/>
              </w:rPr>
              <w:t>Proti hlubšímu poklesu běžných výdajů SR působily v 1. čtvrtletí nejvíce sociální dávky, na něž směřovalo meziročně o 5,2 % více (+12,0 mld. korun) a toto tempo mírně překračovalo celoroční rozpočtové očekávání. Vzhledem k tomu, že tato oblast nebyla režimem provizoria dotčena, vzrostl na počátku roku podíl sociálních dávek na celkových výdajích SR na 46,6 %, což bylo v rámci 1. čtvrtletí nejvíce v současném miléniu</w:t>
            </w:r>
            <w:r w:rsidRPr="00693594">
              <w:rPr>
                <w:rStyle w:val="Znakapoznpodarou"/>
                <w:szCs w:val="20"/>
              </w:rPr>
              <w:footnoteReference w:id="18"/>
            </w:r>
            <w:r w:rsidRPr="00693594">
              <w:rPr>
                <w:szCs w:val="20"/>
              </w:rPr>
              <w:t xml:space="preserve">. </w:t>
            </w:r>
            <w:r w:rsidRPr="00693594">
              <w:t>Mírně přes tři čtvrtiny z nich připadají dlouhodobě na dávky důchodového pojištění. Na důchody vydal SR zatím letos meziročně o 5,1 % více, když se do jejich výše promítla letošní řádná valorizace zvyšující průměrný starobní důchod o 3,1 %</w:t>
            </w:r>
            <w:r w:rsidRPr="00693594">
              <w:rPr>
                <w:rStyle w:val="Znakapoznpodarou"/>
              </w:rPr>
              <w:footnoteReference w:id="19"/>
            </w:r>
            <w:r w:rsidRPr="00693594">
              <w:t>. Ve vztahu k loňskému celoročnímu tempu výdajů na důchody, jež bylo nejslabší za posledních jedenáct let (+0,8 %), jde tak o významnější posílení. V 1. čtvrtletí 2026 meziročně vzrostly výdaje na všechny druhy důchodů (nejvíce vdovecký), přičemž počet jejich příjemců se meziročně opět velmi mírně snížil (o 0,4 %)</w:t>
            </w:r>
            <w:r w:rsidRPr="00693594">
              <w:rPr>
                <w:rStyle w:val="Znakapoznpodarou"/>
              </w:rPr>
              <w:footnoteReference w:id="20"/>
            </w:r>
            <w:r w:rsidRPr="00693594">
              <w:t>, což souviselo v prvé řadě se zpřísněnými pravidly pro odchod do předčasného důchodu</w:t>
            </w:r>
            <w:r w:rsidRPr="00693594">
              <w:rPr>
                <w:rStyle w:val="Znakapoznpodarou"/>
              </w:rPr>
              <w:footnoteReference w:id="21"/>
            </w:r>
            <w:r w:rsidRPr="00693594">
              <w:t>. I přes stabilní relativně svižné tempo výběru pojistného na důchody (v 1. čtvrtletí činilo 7,0 %) byl opět zaznamenán deficit</w:t>
            </w:r>
            <w:r w:rsidRPr="00693594">
              <w:rPr>
                <w:rFonts w:cs="Arial"/>
              </w:rPr>
              <w:t xml:space="preserve"> systému důchodového pojištění</w:t>
            </w:r>
            <w:r w:rsidRPr="00693594">
              <w:rPr>
                <w:rStyle w:val="Znakapoznpodarou"/>
              </w:rPr>
              <w:footnoteReference w:id="22"/>
            </w:r>
            <w:r w:rsidRPr="00693594">
              <w:rPr>
                <w:rFonts w:cs="Arial"/>
              </w:rPr>
              <w:t xml:space="preserve"> (7,9 mld. korun), který se ovšem třetí rok v řadě zmírnil (ve stejném období loni činil 11,5 mld. a na počátku roku 2023 dokonce 25,7 mld.). Aktuální deficit byl současně nejnižší za poslední pětiletí.</w:t>
            </w:r>
          </w:p>
        </w:tc>
      </w:tr>
      <w:tr w:rsidR="00EE5B59" w:rsidRPr="00FE604F" w14:paraId="016B3DFE" w14:textId="77777777" w:rsidTr="000E74FE">
        <w:trPr>
          <w:trHeight w:val="170"/>
        </w:trPr>
        <w:tc>
          <w:tcPr>
            <w:tcW w:w="1810" w:type="dxa"/>
            <w:tcMar>
              <w:left w:w="0" w:type="dxa"/>
            </w:tcMar>
          </w:tcPr>
          <w:p w14:paraId="65930F11" w14:textId="77777777" w:rsidR="00EE5B59" w:rsidRPr="00FE604F" w:rsidRDefault="00EE5B59" w:rsidP="000E74FE">
            <w:pPr>
              <w:pStyle w:val="Marginlie"/>
              <w:rPr>
                <w:spacing w:val="0"/>
              </w:rPr>
            </w:pPr>
            <w:r w:rsidRPr="00FE604F">
              <w:rPr>
                <w:spacing w:val="0"/>
              </w:rPr>
              <w:t xml:space="preserve">K růstu výdajů na nedůchodové sociální dávky přispěly zejména dávky nezaměstnaným </w:t>
            </w:r>
            <w:r>
              <w:rPr>
                <w:spacing w:val="0"/>
              </w:rPr>
              <w:br/>
            </w:r>
            <w:r w:rsidRPr="00FE604F">
              <w:rPr>
                <w:spacing w:val="0"/>
              </w:rPr>
              <w:t>a vyšší čerpání dávek z nemocenského pojištění. Rostly i dávky na péči dlouhodobě nemocným.</w:t>
            </w:r>
          </w:p>
          <w:p w14:paraId="55B5E6CD" w14:textId="77777777" w:rsidR="00EE5B59" w:rsidRPr="00FE604F" w:rsidRDefault="00EE5B59" w:rsidP="000E74FE">
            <w:pPr>
              <w:pStyle w:val="Marginlie"/>
              <w:rPr>
                <w:spacing w:val="0"/>
              </w:rPr>
            </w:pPr>
          </w:p>
        </w:tc>
        <w:tc>
          <w:tcPr>
            <w:tcW w:w="203" w:type="dxa"/>
            <w:tcMar>
              <w:left w:w="0" w:type="dxa"/>
            </w:tcMar>
          </w:tcPr>
          <w:p w14:paraId="3E642854" w14:textId="77777777" w:rsidR="00EE5B59" w:rsidRPr="00FE604F" w:rsidRDefault="00EE5B59" w:rsidP="000E74FE">
            <w:pPr>
              <w:pStyle w:val="Textpoznpodarou"/>
              <w:jc w:val="both"/>
            </w:pPr>
          </w:p>
        </w:tc>
        <w:tc>
          <w:tcPr>
            <w:tcW w:w="7656" w:type="dxa"/>
            <w:tcMar>
              <w:left w:w="0" w:type="dxa"/>
            </w:tcMar>
          </w:tcPr>
          <w:p w14:paraId="236C00E6" w14:textId="77777777" w:rsidR="00EE5B59" w:rsidRPr="006760C8" w:rsidRDefault="00EE5B59" w:rsidP="000E74FE">
            <w:r w:rsidRPr="00693594">
              <w:rPr>
                <w:szCs w:val="20"/>
              </w:rPr>
              <w:t>Meziroční růst výdajů na ostatní (nedůchodové) sociální dávky dosáhl letos v 1. čtvrtletí 5,4 % a stejně jako v případě důchodů mírně překračoval rozpočtové očekávání. Na rozdíl od důchodů ovšem meziročně růst těchto dávek oproti tempu z roku 2025 zvolnil. K letošnímu růstu přispěly z drtivé části pojistné dávky – dle očekávání nejvíce podpora v nezaměstnanosti, jež zejména vlivem legislativní úpravy</w:t>
            </w:r>
            <w:r w:rsidRPr="00693594">
              <w:rPr>
                <w:rStyle w:val="Znakapoznpodarou"/>
                <w:szCs w:val="20"/>
              </w:rPr>
              <w:footnoteReference w:id="23"/>
            </w:r>
            <w:r w:rsidRPr="00693594">
              <w:rPr>
                <w:szCs w:val="20"/>
              </w:rPr>
              <w:t xml:space="preserve"> směřující k vyšší motivaci lidí měnit nevyhovující zaměstnání vzrostla bezmála o třetinu (+1,2 mld., korun). Projevil se i pokračující lehký růst míry nezaměstnanosti a počet uchazečů o práci s nárokem na podporu se tak meziročně zvýšil o 13 tis. (na 105 tis., necelých 30 % všech registrovaných uchazečů). Mimo to pokračoval třetím rokem v řadě mírný růst výdajů na dávky </w:t>
            </w:r>
            <w:r w:rsidRPr="00693594">
              <w:t>nemocenského pojištění (+6,2 %, +0,8 mld. korun). K růstu přispěly hlavně dávky nemocenské a zčásti i peněžité pomoci v mateřství, u níž se pokles po delší době zastavil. Příjmy z pojistného placeného zaměstnanými osobami se dále meziročně zvyšovaly (+6,1 %), zčásti stále vlivem zákonné úpravy ve vazbě na konsolidační balíček</w:t>
            </w:r>
            <w:r w:rsidRPr="00693594">
              <w:rPr>
                <w:rStyle w:val="Znakapoznpodarou"/>
              </w:rPr>
              <w:footnoteReference w:id="24"/>
            </w:r>
            <w:r w:rsidRPr="00693594">
              <w:t xml:space="preserve">. Díky tomu se </w:t>
            </w:r>
            <w:r w:rsidRPr="00693594">
              <w:rPr>
                <w:rFonts w:cs="Arial"/>
              </w:rPr>
              <w:t>bilance nemocenského pojištění</w:t>
            </w:r>
            <w:r w:rsidRPr="00693594">
              <w:rPr>
                <w:rStyle w:val="Znakapoznpodarou"/>
              </w:rPr>
              <w:footnoteReference w:id="25"/>
            </w:r>
            <w:r w:rsidRPr="00693594">
              <w:rPr>
                <w:rFonts w:cs="Arial"/>
              </w:rPr>
              <w:t xml:space="preserve"> potřetí v řadě na počátku roku pohybovala v mírném přebytku (+1,8 mld. korun). V rámci nepojistných sociálních dávek měly největší vliv rostoucí příspěvky na péči pro dlouhodobě nemocné (+6,0 %, +0,7 mld. korun). Objemově významná položka dávek státní sociální podpory druhým rokem v řadě fakticky stagnovala (okolo 15 mld. korun), pokračoval zde však pokles objemu vyplacených přídavků na dítě</w:t>
            </w:r>
            <w:r w:rsidRPr="00693594">
              <w:rPr>
                <w:rStyle w:val="Znakapoznpodarou"/>
              </w:rPr>
              <w:footnoteReference w:id="26"/>
            </w:r>
            <w:r w:rsidRPr="00693594">
              <w:rPr>
                <w:rFonts w:cs="Arial"/>
              </w:rPr>
              <w:t xml:space="preserve"> či rodičovských příspěvků. V rámci dávek hmotné nouze klesla o pětinu (</w:t>
            </w:r>
            <w:r>
              <w:rPr>
                <w:szCs w:val="20"/>
              </w:rPr>
              <w:t>−</w:t>
            </w:r>
            <w:r w:rsidRPr="00693594">
              <w:rPr>
                <w:rFonts w:cs="Arial"/>
              </w:rPr>
              <w:t xml:space="preserve">0,5 mld. korun) výplata humanitárních dávek </w:t>
            </w:r>
            <w:r w:rsidRPr="00693594">
              <w:rPr>
                <w:rFonts w:cs="Arial"/>
              </w:rPr>
              <w:lastRenderedPageBreak/>
              <w:t>ukrajinským uprchlíkům, což souviselo s meziročním poklesem počtu jejich příjemců (z</w:t>
            </w:r>
            <w:r w:rsidRPr="00693594">
              <w:t> </w:t>
            </w:r>
            <w:r w:rsidRPr="00693594">
              <w:rPr>
                <w:rFonts w:cs="Arial"/>
              </w:rPr>
              <w:t>51 na 44 tis.</w:t>
            </w:r>
            <w:r w:rsidRPr="00693594">
              <w:rPr>
                <w:rStyle w:val="Znakapoznpodarou"/>
              </w:rPr>
              <w:footnoteReference w:id="27"/>
            </w:r>
            <w:r w:rsidRPr="00693594">
              <w:rPr>
                <w:rFonts w:cs="Arial"/>
              </w:rPr>
              <w:t xml:space="preserve">). </w:t>
            </w:r>
          </w:p>
        </w:tc>
      </w:tr>
      <w:tr w:rsidR="00EE5B59" w:rsidRPr="00FE604F" w14:paraId="1AD0BCC6" w14:textId="77777777" w:rsidTr="000E74FE">
        <w:trPr>
          <w:trHeight w:val="170"/>
        </w:trPr>
        <w:tc>
          <w:tcPr>
            <w:tcW w:w="1810" w:type="dxa"/>
            <w:tcMar>
              <w:left w:w="0" w:type="dxa"/>
            </w:tcMar>
          </w:tcPr>
          <w:p w14:paraId="0A35E2DD" w14:textId="77777777" w:rsidR="00EE5B59" w:rsidRPr="00FE604F" w:rsidRDefault="00EE5B59" w:rsidP="000E74FE">
            <w:pPr>
              <w:pStyle w:val="Marginlie"/>
              <w:rPr>
                <w:spacing w:val="0"/>
              </w:rPr>
            </w:pPr>
            <w:r w:rsidRPr="00FE604F">
              <w:rPr>
                <w:spacing w:val="0"/>
              </w:rPr>
              <w:lastRenderedPageBreak/>
              <w:t xml:space="preserve">Růst odvodů do rozpočtu EU na počátku roku výrazně zrychlil. Posílilo také tempo výdajů na platy v organizačních složkách státu. </w:t>
            </w:r>
          </w:p>
        </w:tc>
        <w:tc>
          <w:tcPr>
            <w:tcW w:w="203" w:type="dxa"/>
            <w:tcMar>
              <w:left w:w="0" w:type="dxa"/>
            </w:tcMar>
          </w:tcPr>
          <w:p w14:paraId="504CE47E" w14:textId="77777777" w:rsidR="00EE5B59" w:rsidRPr="00FE604F" w:rsidRDefault="00EE5B59" w:rsidP="000E74FE">
            <w:pPr>
              <w:pStyle w:val="Textpoznpodarou"/>
              <w:jc w:val="both"/>
            </w:pPr>
          </w:p>
        </w:tc>
        <w:tc>
          <w:tcPr>
            <w:tcW w:w="7656" w:type="dxa"/>
            <w:tcMar>
              <w:left w:w="0" w:type="dxa"/>
            </w:tcMar>
          </w:tcPr>
          <w:p w14:paraId="30E6A18F" w14:textId="77777777" w:rsidR="00EE5B59" w:rsidRPr="006760C8" w:rsidRDefault="00EE5B59" w:rsidP="000E74FE">
            <w:r w:rsidRPr="006760C8">
              <w:t>Odvody vlastních zdrojů do rozpočtu EU se letos v 1. čtvrtletí meziročně zvýšily na téměř dvojnásobek, když vzrostly o 11,2 mld. korun. Roli zde hrálo zejména předsunutí části plateb v rámci roku</w:t>
            </w:r>
            <w:r w:rsidRPr="006760C8">
              <w:rPr>
                <w:rStyle w:val="Znakapoznpodarou"/>
              </w:rPr>
              <w:footnoteReference w:id="28"/>
            </w:r>
            <w:r w:rsidRPr="006760C8">
              <w:t xml:space="preserve"> i citelné navýšení rozpočtu EU</w:t>
            </w:r>
            <w:r w:rsidRPr="006760C8">
              <w:rPr>
                <w:rStyle w:val="Znakapoznpodarou"/>
              </w:rPr>
              <w:footnoteReference w:id="29"/>
            </w:r>
            <w:r w:rsidRPr="006760C8">
              <w:t>. Významně posílily i výdaje na platy v organizačních složkách státu (+2,1 mld. korun) a jejich růstové tempo (+7,4 %) bylo nejvyšší za poslední tři roky. Projevilo se zde především zvýšení výdajů na platy v oblasti bezpečnosti států, zvýšení u dalších skupin zaměstnanců (např. úředníků) se začne výrazněji projevovat až v dalších měsících letošního roku</w:t>
            </w:r>
            <w:r w:rsidRPr="006760C8">
              <w:rPr>
                <w:rStyle w:val="Znakapoznpodarou"/>
              </w:rPr>
              <w:footnoteReference w:id="30"/>
            </w:r>
            <w:r w:rsidRPr="006760C8">
              <w:t>. Režimem rozpočtového provizoria v ČR nebyly letos dotčeny ani dotace fondům sociálního a</w:t>
            </w:r>
            <w:r w:rsidRPr="006760C8">
              <w:rPr>
                <w:rFonts w:cs="Arial"/>
              </w:rPr>
              <w:t> </w:t>
            </w:r>
            <w:r w:rsidRPr="006760C8">
              <w:t>veřejného zdravotního pojištění. Ty se v souladu s rozpočtovým očekáváním navýšily o 2,3 %</w:t>
            </w:r>
            <w:r w:rsidRPr="006760C8">
              <w:rPr>
                <w:rStyle w:val="Znakapoznpodarou"/>
              </w:rPr>
              <w:footnoteReference w:id="31"/>
            </w:r>
            <w:r w:rsidRPr="006760C8">
              <w:t xml:space="preserve"> a navázaly tak na mírný loňský růst. </w:t>
            </w:r>
          </w:p>
        </w:tc>
      </w:tr>
      <w:tr w:rsidR="00EE5B59" w:rsidRPr="00FE604F" w14:paraId="2CF83921" w14:textId="77777777" w:rsidTr="000E74FE">
        <w:trPr>
          <w:trHeight w:val="170"/>
        </w:trPr>
        <w:tc>
          <w:tcPr>
            <w:tcW w:w="1810" w:type="dxa"/>
            <w:tcMar>
              <w:left w:w="0" w:type="dxa"/>
            </w:tcMar>
          </w:tcPr>
          <w:p w14:paraId="54E6B8E4" w14:textId="77777777" w:rsidR="00EE5B59" w:rsidRPr="00FE604F" w:rsidRDefault="00EE5B59" w:rsidP="000E74FE">
            <w:pPr>
              <w:pStyle w:val="Marginlie"/>
              <w:rPr>
                <w:spacing w:val="0"/>
              </w:rPr>
            </w:pPr>
            <w:r w:rsidRPr="00FE604F">
              <w:rPr>
                <w:spacing w:val="0"/>
              </w:rPr>
              <w:t>Růst kapitálových výdajů souvisel s investičními nákupy státu a větším využitím evropských fondů.</w:t>
            </w:r>
          </w:p>
        </w:tc>
        <w:tc>
          <w:tcPr>
            <w:tcW w:w="203" w:type="dxa"/>
            <w:tcMar>
              <w:left w:w="0" w:type="dxa"/>
            </w:tcMar>
          </w:tcPr>
          <w:p w14:paraId="324FEF2D" w14:textId="77777777" w:rsidR="00EE5B59" w:rsidRPr="00FE604F" w:rsidRDefault="00EE5B59" w:rsidP="000E74FE">
            <w:pPr>
              <w:pStyle w:val="Textpoznpodarou"/>
              <w:jc w:val="both"/>
            </w:pPr>
          </w:p>
        </w:tc>
        <w:tc>
          <w:tcPr>
            <w:tcW w:w="7656" w:type="dxa"/>
            <w:tcMar>
              <w:left w:w="0" w:type="dxa"/>
            </w:tcMar>
          </w:tcPr>
          <w:p w14:paraId="3F975DDA" w14:textId="77777777" w:rsidR="00EE5B59" w:rsidRPr="006760C8" w:rsidRDefault="00EE5B59" w:rsidP="000E74FE">
            <w:pPr>
              <w:spacing w:after="200"/>
            </w:pPr>
            <w:r w:rsidRPr="006760C8">
              <w:t>Navzdory režimu rozpočtového provizoria kapitálové výdaje SR v 1. čtvrtletí meziročně vzrostly (+8,7 %). Pomalý náběh investic i při běžném režimu hospodaření byl totiž patrný i na počátku loňského roku</w:t>
            </w:r>
            <w:r w:rsidRPr="006760C8">
              <w:rPr>
                <w:rStyle w:val="Znakapoznpodarou"/>
              </w:rPr>
              <w:footnoteReference w:id="32"/>
            </w:r>
            <w:r w:rsidRPr="006760C8">
              <w:t>. Největší podíl investic směřoval tradičně státním fondům, zejména do oblasti dopravní infrastruktury. K meziročnímu růstu kapitálových výdajů ovšem nejvíce přispěly investiční nákupy státu (nákup nemovitostí a výdaje v oblasti obrany). Svižně rostly zejména díky zapojení evropských fondů investiční dotace podnikatelům i územním samosprávám. Naopak dotace příspěvkovým organizacím byly zatím letos čerpány v minimální výši, což byl patrně důsledek režimu provizoria.</w:t>
            </w:r>
          </w:p>
        </w:tc>
      </w:tr>
      <w:tr w:rsidR="00EE5B59" w:rsidRPr="00FE604F" w14:paraId="0BEFD6D1" w14:textId="77777777" w:rsidTr="000E74FE">
        <w:trPr>
          <w:trHeight w:val="170"/>
        </w:trPr>
        <w:tc>
          <w:tcPr>
            <w:tcW w:w="1810" w:type="dxa"/>
            <w:tcMar>
              <w:left w:w="0" w:type="dxa"/>
            </w:tcMar>
          </w:tcPr>
          <w:p w14:paraId="49B48506" w14:textId="77777777" w:rsidR="00EE5B59" w:rsidRPr="00FE604F" w:rsidRDefault="00EE5B59" w:rsidP="000E74FE">
            <w:pPr>
              <w:pStyle w:val="Marginlie"/>
              <w:rPr>
                <w:spacing w:val="0"/>
              </w:rPr>
            </w:pPr>
            <w:r w:rsidRPr="00FE604F">
              <w:rPr>
                <w:spacing w:val="0"/>
              </w:rPr>
              <w:t>Deficit sektoru VI se za loňský rok mírně prohloubil, ve vztahu k HDP se však změnil jen nepatrně a patřil k nejnižším za posledních šest let.</w:t>
            </w:r>
          </w:p>
          <w:p w14:paraId="2D600F72" w14:textId="77777777" w:rsidR="00EE5B59" w:rsidRPr="00FE604F" w:rsidRDefault="00EE5B59" w:rsidP="000E74FE">
            <w:pPr>
              <w:pStyle w:val="Marginlie"/>
              <w:rPr>
                <w:spacing w:val="0"/>
              </w:rPr>
            </w:pPr>
          </w:p>
          <w:p w14:paraId="593D6134" w14:textId="77777777" w:rsidR="00EE5B59" w:rsidRPr="00FE604F" w:rsidRDefault="00EE5B59" w:rsidP="000E74FE">
            <w:pPr>
              <w:pStyle w:val="Marginlie"/>
              <w:rPr>
                <w:spacing w:val="0"/>
              </w:rPr>
            </w:pPr>
          </w:p>
          <w:p w14:paraId="22C6EB19" w14:textId="77777777" w:rsidR="00EE5B59" w:rsidRPr="00FE604F" w:rsidRDefault="00EE5B59" w:rsidP="000E74FE">
            <w:pPr>
              <w:pStyle w:val="Marginlie"/>
              <w:rPr>
                <w:spacing w:val="0"/>
              </w:rPr>
            </w:pPr>
          </w:p>
          <w:p w14:paraId="4435E471" w14:textId="77777777" w:rsidR="00EE5B59" w:rsidRPr="00FE604F" w:rsidRDefault="00EE5B59" w:rsidP="000E74FE">
            <w:pPr>
              <w:pStyle w:val="Marginlie"/>
              <w:rPr>
                <w:spacing w:val="0"/>
              </w:rPr>
            </w:pPr>
          </w:p>
          <w:p w14:paraId="62898C07" w14:textId="77777777" w:rsidR="00EE5B59" w:rsidRPr="00FE604F" w:rsidRDefault="00EE5B59" w:rsidP="000E74FE">
            <w:pPr>
              <w:pStyle w:val="Marginlie"/>
              <w:rPr>
                <w:spacing w:val="0"/>
              </w:rPr>
            </w:pPr>
          </w:p>
          <w:p w14:paraId="51CDE599" w14:textId="77777777" w:rsidR="00EE5B59" w:rsidRPr="00FE604F" w:rsidRDefault="00EE5B59" w:rsidP="000E74FE">
            <w:pPr>
              <w:pStyle w:val="Marginlie"/>
              <w:rPr>
                <w:spacing w:val="0"/>
              </w:rPr>
            </w:pPr>
            <w:r w:rsidRPr="00FE604F">
              <w:rPr>
                <w:spacing w:val="0"/>
              </w:rPr>
              <w:t xml:space="preserve">Růst příjmů loni </w:t>
            </w:r>
            <w:r>
              <w:rPr>
                <w:spacing w:val="0"/>
              </w:rPr>
              <w:t xml:space="preserve">zvolnil </w:t>
            </w:r>
            <w:r w:rsidRPr="00FE604F">
              <w:rPr>
                <w:spacing w:val="0"/>
              </w:rPr>
              <w:t xml:space="preserve">vlivem slabší dynamiky výběru běžných daní z příjmů a jmění. Růst výdajů naopak zrychlil, zejména vlivem dotací </w:t>
            </w:r>
            <w:r>
              <w:rPr>
                <w:spacing w:val="0"/>
              </w:rPr>
              <w:br/>
            </w:r>
            <w:r w:rsidRPr="00FE604F">
              <w:rPr>
                <w:spacing w:val="0"/>
              </w:rPr>
              <w:t>a investic.</w:t>
            </w:r>
          </w:p>
        </w:tc>
        <w:tc>
          <w:tcPr>
            <w:tcW w:w="203" w:type="dxa"/>
            <w:tcMar>
              <w:left w:w="0" w:type="dxa"/>
            </w:tcMar>
          </w:tcPr>
          <w:p w14:paraId="62EDFE7D" w14:textId="77777777" w:rsidR="00EE5B59" w:rsidRPr="00FE604F" w:rsidRDefault="00EE5B59" w:rsidP="000E74FE">
            <w:pPr>
              <w:pStyle w:val="Textpoznpodarou"/>
              <w:jc w:val="both"/>
            </w:pPr>
          </w:p>
        </w:tc>
        <w:tc>
          <w:tcPr>
            <w:tcW w:w="7656" w:type="dxa"/>
            <w:tcMar>
              <w:left w:w="0" w:type="dxa"/>
            </w:tcMar>
          </w:tcPr>
          <w:p w14:paraId="5F48EE6E" w14:textId="77777777" w:rsidR="00EE5B59" w:rsidRPr="006760C8" w:rsidRDefault="00EE5B59" w:rsidP="000E74FE">
            <w:pPr>
              <w:spacing w:after="200"/>
            </w:pPr>
            <w:r w:rsidRPr="006760C8">
              <w:t>Dle aktuálních údajů hospodařil sektor vládních institucí (VI) v Česku v roce 2025</w:t>
            </w:r>
            <w:r w:rsidRPr="006760C8">
              <w:rPr>
                <w:rStyle w:val="Znakapoznpodarou"/>
              </w:rPr>
              <w:footnoteReference w:id="33"/>
            </w:r>
            <w:r w:rsidRPr="006760C8">
              <w:t xml:space="preserve"> </w:t>
            </w:r>
            <w:r w:rsidRPr="006760C8">
              <w:br/>
              <w:t>s deficitem 183,7 mld. korun</w:t>
            </w:r>
            <w:r w:rsidRPr="006760C8">
              <w:rPr>
                <w:rStyle w:val="Znakapoznpodarou"/>
              </w:rPr>
              <w:footnoteReference w:id="34"/>
            </w:r>
            <w:r w:rsidRPr="006760C8">
              <w:t>. Ačkoli schodek meziročně vzrostl o 20,4 mld. korun</w:t>
            </w:r>
            <w:r w:rsidRPr="006760C8">
              <w:rPr>
                <w:rStyle w:val="Znakapoznpodarou"/>
              </w:rPr>
              <w:footnoteReference w:id="35"/>
            </w:r>
            <w:r w:rsidRPr="006760C8">
              <w:t>, ve vztahu k výkonu ekonomiky se téměř nezměnil, když činil 2,1 % HDP a spolu s předloňským výsledkem (2,0 %) patřil k nejnižším po roce 2019. Růst celkových příjmů sektoru VI loni třetím rokem v řadě zvolnil (na 5,9 %), loni především vlivem slabšího růstu výběru běžných daní z důchodů a jmění. K růstu celkových příjmů pak nejvíce přispěly přijaté sociální příspěvky, a to navzdory tomu, že i jejich tempo meziročně oslabilo (na +6,3 %, což představovalo nejnižší růst za posledních pět let). Příjmy z objemově významné položky daní z výroby a z dovozu, zahrnující v prvé řadě nepřímé daně, se meziročně zvýšily o 5,0 % (i zde bylo patrné mírné zpomalení, primárně vlivem slabého růstu výběru spotřební daně). Růst příjmů byl loni (podobně jako v roce 2024) tlumen nižšími prostředky plynoucími z vlastnických důchodů (−6,0</w:t>
            </w:r>
            <w:r>
              <w:t> </w:t>
            </w:r>
            <w:r w:rsidRPr="006760C8">
              <w:t xml:space="preserve">%), konkrétně příjmy z úroků. Celkové výdaje sektoru VI loni vzrostly o 6,2 % (skoro dvojnásobným tempem než v předchozím roce). K tomuto zrychlení přispěly v prvé řadě vyšší vyplacené dotace, které po předloňském útlumu (o 25 %) přešly loni k 11% růstu. I tak jejich výše (172 mld. korun) zaostala za roky 2020, 2021 i 2023 ovlivněnými mimořádnými událostmi. Na fiskální expanzi se loni podílely i vyšší výdaje na tvorbu kapitálu (+16,9 %, nejvyšší tempo za posledních sedm let). Relativně svižně </w:t>
            </w:r>
            <w:r w:rsidRPr="006760C8">
              <w:lastRenderedPageBreak/>
              <w:t xml:space="preserve">rostly i náhrady zaměstnancům (+7,3 %, pětileté maximum). Růst výdajů na </w:t>
            </w:r>
            <w:proofErr w:type="spellStart"/>
            <w:r w:rsidRPr="006760C8">
              <w:t>mezispotřebu</w:t>
            </w:r>
            <w:proofErr w:type="spellEnd"/>
            <w:r w:rsidRPr="006760C8">
              <w:t xml:space="preserve"> naopak významně zvolnil (na 4,8 %). Totéž platí i pro váhově nejvýznamnější výdajovou položku </w:t>
            </w:r>
            <w:r>
              <w:t>(</w:t>
            </w:r>
            <w:r w:rsidRPr="006760C8">
              <w:t>sociální dávky</w:t>
            </w:r>
            <w:r>
              <w:t xml:space="preserve">, </w:t>
            </w:r>
            <w:r w:rsidRPr="006760C8">
              <w:t>vč</w:t>
            </w:r>
            <w:r>
              <w:t>etně</w:t>
            </w:r>
            <w:r w:rsidRPr="006760C8">
              <w:t xml:space="preserve"> naturálních sociálních transferů)</w:t>
            </w:r>
            <w:r>
              <w:t>,</w:t>
            </w:r>
            <w:r w:rsidRPr="006760C8">
              <w:t xml:space="preserve"> jež vzrostla o 2,4 % (nejméně za posledních deset let). Projevily se zde zejména dopady zklidnění dynamiky spotřebitelských cen, zlepšení finanční situace domácností a také valorizační úpravy u starobních důchodů, dílčí roli hrálo i zmírnění tempa výdajů na naturální sociální transfery.</w:t>
            </w:r>
          </w:p>
        </w:tc>
      </w:tr>
      <w:tr w:rsidR="00EE5B59" w:rsidRPr="00FE604F" w14:paraId="4094D74E" w14:textId="77777777" w:rsidTr="000E74FE">
        <w:trPr>
          <w:trHeight w:val="170"/>
        </w:trPr>
        <w:tc>
          <w:tcPr>
            <w:tcW w:w="1810" w:type="dxa"/>
            <w:tcMar>
              <w:left w:w="0" w:type="dxa"/>
            </w:tcMar>
          </w:tcPr>
          <w:p w14:paraId="0B10D623" w14:textId="77777777" w:rsidR="00EE5B59" w:rsidRPr="00FE604F" w:rsidRDefault="00EE5B59" w:rsidP="000E74FE">
            <w:pPr>
              <w:pStyle w:val="Marginlie"/>
              <w:rPr>
                <w:spacing w:val="0"/>
              </w:rPr>
            </w:pPr>
            <w:r w:rsidRPr="00FE604F">
              <w:rPr>
                <w:spacing w:val="0"/>
              </w:rPr>
              <w:lastRenderedPageBreak/>
              <w:t xml:space="preserve">Deficit hospodaření VI v EU se během loňského roku mírně zhoršoval </w:t>
            </w:r>
            <w:r>
              <w:rPr>
                <w:spacing w:val="0"/>
              </w:rPr>
              <w:br/>
            </w:r>
            <w:r w:rsidRPr="00FE604F">
              <w:rPr>
                <w:spacing w:val="0"/>
              </w:rPr>
              <w:t>a v jeho závěru překročil hranic</w:t>
            </w:r>
            <w:r>
              <w:rPr>
                <w:spacing w:val="0"/>
              </w:rPr>
              <w:t>i</w:t>
            </w:r>
            <w:r w:rsidRPr="00FE604F">
              <w:rPr>
                <w:spacing w:val="0"/>
              </w:rPr>
              <w:t xml:space="preserve"> 3 % HDP. Relativně vysoký deficit tížil řadu novějších členských států Unie.</w:t>
            </w:r>
          </w:p>
        </w:tc>
        <w:tc>
          <w:tcPr>
            <w:tcW w:w="203" w:type="dxa"/>
            <w:tcMar>
              <w:left w:w="0" w:type="dxa"/>
            </w:tcMar>
          </w:tcPr>
          <w:p w14:paraId="1FF3B7C3" w14:textId="77777777" w:rsidR="00EE5B59" w:rsidRPr="00FE604F" w:rsidRDefault="00EE5B59" w:rsidP="000E74FE">
            <w:pPr>
              <w:pStyle w:val="Textpoznpodarou"/>
              <w:jc w:val="both"/>
            </w:pPr>
          </w:p>
        </w:tc>
        <w:tc>
          <w:tcPr>
            <w:tcW w:w="7656" w:type="dxa"/>
            <w:tcMar>
              <w:left w:w="0" w:type="dxa"/>
            </w:tcMar>
          </w:tcPr>
          <w:p w14:paraId="63DD6C69" w14:textId="77777777" w:rsidR="00EE5B59" w:rsidRPr="006760C8" w:rsidRDefault="00EE5B59" w:rsidP="000E74FE">
            <w:pPr>
              <w:spacing w:after="220"/>
            </w:pPr>
            <w:r w:rsidRPr="006760C8">
              <w:t>Situace v oblasti hospodaření sektoru VI v členských státech EU</w:t>
            </w:r>
            <w:r w:rsidRPr="006760C8">
              <w:rPr>
                <w:rStyle w:val="Znakapoznpodarou"/>
              </w:rPr>
              <w:footnoteReference w:id="36"/>
            </w:r>
            <w:r w:rsidRPr="006760C8">
              <w:t xml:space="preserve"> se během loňského roku mírně zhoršovala. Ve většině oblastí ekonomiky sice došlo ke zklidnění cenového vývoje a příznivé tendence přetrvávaly na trhu práce, na druhou stranu pokračovala nestabilní geopolitická situace. Rostoucí napětí v obchodních vztazích s některými klíčovými partnery stavělo ekonomiky v EU před naléhavější potřebu hledání nových odbytišť. Zatímco v 1. čtvrtletí klesl deficit hospodaření v zemích EU těsně pod 3 % HDP, během roku se i vlivem přetrvávajícího slabého růstu ekonomiky lehce prohluboval až ke 3,2 % HDP ve 4. čtvrtletí. Mezi státy Unie tížil v závěru roku nejhlubší deficit Rumunsko (−7,9 % HDP), Slovensko (−7,2 %) a Polsko (−7,0 %), ze starších členských zemí zejména Belgii (−5,7 %), Francii, Rakousko a Německo (shodně těsně okolo 4 %). V Česku činil schodek 2,2 % HDP (podobně jako ve Švédsku, Nizozemsku, Španělsku a Bulharsku) a zároveň byl zřetelně nejnižší ze všech středoevropských států. Naopak přebytku dosáhlo jen 5 států – šlo vesměs o menší či středně velké ekonomiky. Nejvyšší byl na Kypru (+4,0 % HDP), Irsku (+2,5 %) a v tradičně rozpočtově odpovědném Dánsku (+2,0 %). Proti 4. čtvrtletí 2024 se saldo hospodaření zhoršilo v</w:t>
            </w:r>
            <w:r>
              <w:t> </w:t>
            </w:r>
            <w:r w:rsidRPr="006760C8">
              <w:t>16</w:t>
            </w:r>
            <w:r>
              <w:t> </w:t>
            </w:r>
            <w:r w:rsidRPr="006760C8">
              <w:t>státech – nejvíce v Lucembursku (o 5,1 p. b.) a Slovinsku (o 3,9 p. b.), z významných ekonomik pak v Německu (o 1,6 p. b.). V Česku se tato fiskální nerovnováha prohloubila jen mírně (o 0,4 p. b.). Naopak schodek dokázaly nejvýrazněji zredukovat Malta (z 9,8 % HDP na 3,2 % HDP) a z klíčových ekonomik zejména Francie, Španělsko a Rumunsko (shodně zhruba o 2 p. b.).</w:t>
            </w:r>
          </w:p>
        </w:tc>
      </w:tr>
      <w:tr w:rsidR="00EE5B59" w:rsidRPr="00FE604F" w14:paraId="0684B135" w14:textId="77777777" w:rsidTr="000E74FE">
        <w:trPr>
          <w:trHeight w:val="170"/>
        </w:trPr>
        <w:tc>
          <w:tcPr>
            <w:tcW w:w="1810" w:type="dxa"/>
            <w:tcMar>
              <w:left w:w="0" w:type="dxa"/>
            </w:tcMar>
          </w:tcPr>
          <w:p w14:paraId="2914990A" w14:textId="77777777" w:rsidR="00EE5B59" w:rsidRPr="00FE604F" w:rsidRDefault="00EE5B59" w:rsidP="000E74FE">
            <w:pPr>
              <w:pStyle w:val="Marginlie"/>
              <w:rPr>
                <w:spacing w:val="0"/>
              </w:rPr>
            </w:pPr>
            <w:r w:rsidRPr="00FE604F">
              <w:rPr>
                <w:spacing w:val="0"/>
              </w:rPr>
              <w:t xml:space="preserve">Míra zadlužení sektoru VI v EU vzrostla nejvíce </w:t>
            </w:r>
            <w:r>
              <w:rPr>
                <w:spacing w:val="0"/>
              </w:rPr>
              <w:t>z</w:t>
            </w:r>
            <w:r w:rsidRPr="00FE604F">
              <w:rPr>
                <w:spacing w:val="0"/>
              </w:rPr>
              <w:t>a poslední</w:t>
            </w:r>
            <w:r>
              <w:rPr>
                <w:spacing w:val="0"/>
              </w:rPr>
              <w:t>ch</w:t>
            </w:r>
            <w:r w:rsidRPr="00FE604F">
              <w:rPr>
                <w:spacing w:val="0"/>
              </w:rPr>
              <w:t xml:space="preserve"> čtyři a půl roku. </w:t>
            </w:r>
          </w:p>
          <w:p w14:paraId="163FD5F9" w14:textId="77777777" w:rsidR="00EE5B59" w:rsidRPr="00FE604F" w:rsidRDefault="00EE5B59" w:rsidP="000E74FE">
            <w:pPr>
              <w:pStyle w:val="Marginlie"/>
              <w:rPr>
                <w:spacing w:val="0"/>
              </w:rPr>
            </w:pPr>
          </w:p>
          <w:p w14:paraId="2A0073EC" w14:textId="77777777" w:rsidR="00EE5B59" w:rsidRPr="00FE604F" w:rsidRDefault="00EE5B59" w:rsidP="000E74FE">
            <w:pPr>
              <w:pStyle w:val="Marginlie"/>
              <w:rPr>
                <w:spacing w:val="0"/>
              </w:rPr>
            </w:pPr>
          </w:p>
          <w:p w14:paraId="6E6BDCA1" w14:textId="77777777" w:rsidR="00EE5B59" w:rsidRPr="00FE604F" w:rsidRDefault="00EE5B59" w:rsidP="000E74FE">
            <w:pPr>
              <w:pStyle w:val="Marginlie"/>
              <w:rPr>
                <w:spacing w:val="0"/>
              </w:rPr>
            </w:pPr>
          </w:p>
          <w:p w14:paraId="3AFBF9A9" w14:textId="77777777" w:rsidR="00EE5B59" w:rsidRPr="00FE604F" w:rsidRDefault="00EE5B59" w:rsidP="000E74FE">
            <w:pPr>
              <w:pStyle w:val="Marginlie"/>
              <w:rPr>
                <w:spacing w:val="0"/>
              </w:rPr>
            </w:pPr>
          </w:p>
          <w:p w14:paraId="6FA594E5" w14:textId="77777777" w:rsidR="00EE5B59" w:rsidRPr="00FE604F" w:rsidRDefault="00EE5B59" w:rsidP="000E74FE">
            <w:pPr>
              <w:pStyle w:val="Marginlie"/>
              <w:rPr>
                <w:spacing w:val="0"/>
              </w:rPr>
            </w:pPr>
          </w:p>
          <w:p w14:paraId="3E4E007D" w14:textId="77777777" w:rsidR="00EE5B59" w:rsidRPr="00FE604F" w:rsidRDefault="00EE5B59" w:rsidP="000E74FE">
            <w:pPr>
              <w:pStyle w:val="Marginlie"/>
              <w:rPr>
                <w:spacing w:val="0"/>
              </w:rPr>
            </w:pPr>
          </w:p>
          <w:p w14:paraId="51759972" w14:textId="77777777" w:rsidR="00EE5B59" w:rsidRPr="00FE604F" w:rsidRDefault="00EE5B59" w:rsidP="000E74FE">
            <w:pPr>
              <w:pStyle w:val="Marginlie"/>
              <w:rPr>
                <w:spacing w:val="0"/>
              </w:rPr>
            </w:pPr>
            <w:r w:rsidRPr="00FE604F">
              <w:rPr>
                <w:spacing w:val="0"/>
              </w:rPr>
              <w:t xml:space="preserve">V Česku se zadluženost druhý rok v řadě mírně zvýšila, stále však dosahovala v rámci střední Evropy minima. </w:t>
            </w:r>
          </w:p>
        </w:tc>
        <w:tc>
          <w:tcPr>
            <w:tcW w:w="203" w:type="dxa"/>
            <w:tcMar>
              <w:left w:w="0" w:type="dxa"/>
            </w:tcMar>
          </w:tcPr>
          <w:p w14:paraId="278C82AE" w14:textId="77777777" w:rsidR="00EE5B59" w:rsidRPr="00FE604F" w:rsidRDefault="00EE5B59" w:rsidP="000E74FE">
            <w:pPr>
              <w:pStyle w:val="Textpoznpodarou"/>
              <w:jc w:val="both"/>
            </w:pPr>
          </w:p>
        </w:tc>
        <w:tc>
          <w:tcPr>
            <w:tcW w:w="7656" w:type="dxa"/>
            <w:tcMar>
              <w:left w:w="0" w:type="dxa"/>
            </w:tcMar>
          </w:tcPr>
          <w:p w14:paraId="547E2600" w14:textId="77777777" w:rsidR="00EE5B59" w:rsidRPr="006760C8" w:rsidRDefault="00EE5B59" w:rsidP="000E74FE">
            <w:pPr>
              <w:spacing w:after="0"/>
            </w:pPr>
            <w:r w:rsidRPr="006760C8">
              <w:t xml:space="preserve">Hrubý konsolidovaný dluh sektoru VI činil na konci 4. čtvrtletí v EU na 81,7 % (v eurozóně na 87,5 % HDP) a poprvé </w:t>
            </w:r>
            <w:r>
              <w:t>v loňském roce</w:t>
            </w:r>
            <w:r w:rsidRPr="006760C8">
              <w:t xml:space="preserve"> se mezikvartálně mírně snížil (shodně zhruba o 0,5 p. b.). Meziročně ovšem zadluženost dále vzrostla o 1,0 p. b., což bylo nejvíce za posledních čtyři a půl roku. Ke zvýšení došlo ve více než dvou třetinách členských států – nejvíce v Bulharsku (o 6,1 p. b., na 29,9 % HDP), které ještě před dvěma lety drželo pozici nejméně zadlužené ekonomiky EU a letos vstoupilo do eurozóny. Zadluženost se srovnatelně zvýšila i ve Finsku (na 88,5 % HDP), které tak z vysoce zadlužených ekonomik zaznamenalo největší zhoršení. Významný nárůst (o</w:t>
            </w:r>
            <w:r>
              <w:t> </w:t>
            </w:r>
            <w:r w:rsidRPr="006760C8">
              <w:t>téměř 5 p. b.) nastal i v Polsku a Rumunsku a míra zadlužení v nich shodně dosáhla rekordní úrovně a těsně se přiblížila 60 % HDP. V Česku byl loni, podobně jako v roce 2024, tento růst mírný (+1,0 p. b.) a úroveň zadlužení osmé nejnižší v Unii (44,3 % HDP) a současně stále zřetelně nejpříznivější v rámci střední Evropy. Nejhorší pozice stále drželo Řecko (146,1 % HDP), a to navzdory tomu, že zadlužení zde kleslo pátý rok v řadě a stejně jako předloni nejvíce v rámci Unie. Z ekonomik dlouhodobě trpících výraznou fiskální nerovnováhou se dařilo i díky solidnímu růstu ekonomiky udržovat příznivý trend redukce zadlužení i Španělsku (na 100,7 % HDP) a Portugalsku (89,7</w:t>
            </w:r>
            <w:r>
              <w:t> </w:t>
            </w:r>
            <w:r w:rsidRPr="006760C8">
              <w:t>%), naopak pokračovalo zhoršování v Itálii (na 137,1 % HDP), Francii (116,2 %) a Belgii (107,9 %). Dluh převyšující 60 % HDP vykázalo aktuálně dvanáct členských států eurozóny, stejně jako na sklonku roku 2024.</w:t>
            </w:r>
          </w:p>
        </w:tc>
      </w:tr>
    </w:tbl>
    <w:p w14:paraId="2B8F049D" w14:textId="77777777" w:rsidR="00EE5B59" w:rsidRPr="00FE604F" w:rsidRDefault="00EE5B59" w:rsidP="00EE5B59">
      <w:pPr>
        <w:pStyle w:val="Nadpis1"/>
        <w:rPr>
          <w:color w:val="auto"/>
          <w:sz w:val="2"/>
          <w:szCs w:val="2"/>
        </w:rPr>
      </w:pPr>
    </w:p>
    <w:p w14:paraId="28B0C404" w14:textId="77777777" w:rsidR="00EE5B59" w:rsidRPr="00FC6700" w:rsidRDefault="00EE5B59" w:rsidP="00EE5B59">
      <w:pPr>
        <w:pStyle w:val="Nadpis1"/>
        <w:rPr>
          <w:sz w:val="2"/>
          <w:szCs w:val="2"/>
        </w:rPr>
      </w:pPr>
    </w:p>
    <w:p w14:paraId="2143296F" w14:textId="65E279AE" w:rsidR="00A50D73" w:rsidRPr="00FC6700" w:rsidRDefault="00A50D73" w:rsidP="00AB11E0">
      <w:pPr>
        <w:pStyle w:val="Nadpis1"/>
        <w:rPr>
          <w:sz w:val="2"/>
          <w:szCs w:val="2"/>
        </w:rPr>
      </w:pPr>
    </w:p>
    <w:sectPr w:rsidR="00A50D73" w:rsidRPr="00FC6700" w:rsidSect="00E8259F">
      <w:headerReference w:type="even" r:id="rId13"/>
      <w:headerReference w:type="default" r:id="rId14"/>
      <w:footerReference w:type="even" r:id="rId15"/>
      <w:footerReference w:type="default" r:id="rId16"/>
      <w:pgSz w:w="11906" w:h="16838" w:code="9"/>
      <w:pgMar w:top="1134" w:right="1134" w:bottom="1418" w:left="1134" w:header="680" w:footer="680" w:gutter="0"/>
      <w:pgNumType w:start="4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76F06" w14:textId="77777777" w:rsidR="0007716A" w:rsidRDefault="0007716A" w:rsidP="00E71A58">
      <w:r>
        <w:separator/>
      </w:r>
    </w:p>
  </w:endnote>
  <w:endnote w:type="continuationSeparator" w:id="0">
    <w:p w14:paraId="4401CB5F" w14:textId="77777777" w:rsidR="0007716A" w:rsidRDefault="0007716A"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362E7" w14:textId="2E38F52B" w:rsidR="004C456F" w:rsidRPr="00932443" w:rsidRDefault="004C456F" w:rsidP="00A418BC">
    <w:pPr>
      <w:pStyle w:val="Zpat"/>
      <w:rPr>
        <w:szCs w:val="16"/>
      </w:rPr>
    </w:pPr>
    <w:r>
      <w:rPr>
        <w:szCs w:val="16"/>
        <w:lang w:eastAsia="cs-CZ"/>
      </w:rPr>
      <w:drawing>
        <wp:anchor distT="0" distB="0" distL="114300" distR="114300" simplePos="0" relativeHeight="251658241" behindDoc="0" locked="0" layoutInCell="1" allowOverlap="1" wp14:anchorId="2143298A" wp14:editId="2143298B">
          <wp:simplePos x="0" y="0"/>
          <wp:positionH relativeFrom="column">
            <wp:align>right</wp:align>
          </wp:positionH>
          <wp:positionV relativeFrom="paragraph">
            <wp:posOffset>-64770</wp:posOffset>
          </wp:positionV>
          <wp:extent cx="428625" cy="201295"/>
          <wp:effectExtent l="0" t="0" r="3175" b="1905"/>
          <wp:wrapNone/>
          <wp:docPr id="21" name="Picture 15"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fldChar w:fldCharType="begin"/>
    </w:r>
    <w:r w:rsidRPr="00932443">
      <w:rPr>
        <w:szCs w:val="16"/>
      </w:rPr>
      <w:instrText>PAGE   \* MERGEFORMAT</w:instrText>
    </w:r>
    <w:r w:rsidRPr="00932443">
      <w:rPr>
        <w:szCs w:val="16"/>
      </w:rPr>
      <w:fldChar w:fldCharType="separate"/>
    </w:r>
    <w:r w:rsidR="00233D05">
      <w:rPr>
        <w:szCs w:val="16"/>
      </w:rPr>
      <w:t>50</w:t>
    </w:r>
    <w:r w:rsidRPr="00932443">
      <w:rPr>
        <w:szCs w:val="16"/>
      </w:rPr>
      <w:fldChar w:fldCharType="end"/>
    </w:r>
    <w:r w:rsidRPr="00932443">
      <w:rPr>
        <w:szCs w:val="16"/>
      </w:rPr>
      <w:tab/>
    </w:r>
    <w:r w:rsidR="00D53EAD">
      <w:rPr>
        <w:szCs w:val="16"/>
      </w:rPr>
      <w:t xml:space="preserve">1. čtvrtletí </w:t>
    </w:r>
    <w:r w:rsidR="00C5418A">
      <w:rPr>
        <w:szCs w:val="16"/>
      </w:rPr>
      <w:t>202</w:t>
    </w:r>
    <w:r w:rsidR="00D53EAD">
      <w:rPr>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9" w14:textId="38290478" w:rsidR="004C456F" w:rsidRPr="00932443" w:rsidRDefault="004C456F" w:rsidP="00A418BC">
    <w:pPr>
      <w:pStyle w:val="Zpat"/>
      <w:rPr>
        <w:szCs w:val="16"/>
      </w:rPr>
    </w:pPr>
    <w:r>
      <w:rPr>
        <w:szCs w:val="16"/>
        <w:lang w:eastAsia="cs-CZ"/>
      </w:rPr>
      <w:drawing>
        <wp:anchor distT="0" distB="0" distL="114300" distR="114300" simplePos="0" relativeHeight="251658240" behindDoc="0" locked="0" layoutInCell="1" allowOverlap="1" wp14:anchorId="2143298C" wp14:editId="2143298D">
          <wp:simplePos x="0" y="0"/>
          <wp:positionH relativeFrom="column">
            <wp:align>left</wp:align>
          </wp:positionH>
          <wp:positionV relativeFrom="paragraph">
            <wp:posOffset>-122555</wp:posOffset>
          </wp:positionV>
          <wp:extent cx="510540" cy="272415"/>
          <wp:effectExtent l="0" t="0" r="0" b="6985"/>
          <wp:wrapNone/>
          <wp:docPr id="22" name="Picture 16"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tab/>
    </w:r>
    <w:r w:rsidR="00D53EAD">
      <w:rPr>
        <w:szCs w:val="16"/>
      </w:rPr>
      <w:t>1. čtvrtletí</w:t>
    </w:r>
    <w:r>
      <w:rPr>
        <w:szCs w:val="16"/>
      </w:rPr>
      <w:t xml:space="preserve"> 202</w:t>
    </w:r>
    <w:r w:rsidR="00D53EAD">
      <w:rPr>
        <w:szCs w:val="16"/>
      </w:rPr>
      <w:t>6</w:t>
    </w:r>
    <w:r w:rsidRPr="00932443">
      <w:rPr>
        <w:szCs w:val="16"/>
      </w:rPr>
      <w:tab/>
    </w:r>
    <w:r w:rsidRPr="00932443">
      <w:rPr>
        <w:rStyle w:val="ZpatChar"/>
        <w:szCs w:val="16"/>
      </w:rPr>
      <w:fldChar w:fldCharType="begin"/>
    </w:r>
    <w:r w:rsidRPr="00932443">
      <w:rPr>
        <w:rStyle w:val="ZpatChar"/>
        <w:szCs w:val="16"/>
      </w:rPr>
      <w:instrText>PAGE   \* MERGEFORMAT</w:instrText>
    </w:r>
    <w:r w:rsidRPr="00932443">
      <w:rPr>
        <w:rStyle w:val="ZpatChar"/>
        <w:szCs w:val="16"/>
      </w:rPr>
      <w:fldChar w:fldCharType="separate"/>
    </w:r>
    <w:r w:rsidR="00233D05">
      <w:rPr>
        <w:rStyle w:val="ZpatChar"/>
        <w:szCs w:val="16"/>
      </w:rPr>
      <w:t>49</w:t>
    </w:r>
    <w:r w:rsidRPr="00932443">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03392" w14:textId="77777777" w:rsidR="0007716A" w:rsidRDefault="0007716A" w:rsidP="00EA4302">
      <w:pPr>
        <w:spacing w:after="0"/>
      </w:pPr>
      <w:r>
        <w:separator/>
      </w:r>
    </w:p>
  </w:footnote>
  <w:footnote w:type="continuationSeparator" w:id="0">
    <w:p w14:paraId="0F33E51F" w14:textId="77777777" w:rsidR="0007716A" w:rsidRDefault="0007716A" w:rsidP="00E71A58">
      <w:r>
        <w:continuationSeparator/>
      </w:r>
    </w:p>
  </w:footnote>
  <w:footnote w:id="1">
    <w:p w14:paraId="53C4BA6E" w14:textId="77777777" w:rsidR="00EE5B59" w:rsidRPr="00FE604F" w:rsidRDefault="00EE5B59" w:rsidP="00EE5B59">
      <w:pPr>
        <w:pStyle w:val="Textpoznpodarou"/>
        <w:jc w:val="both"/>
        <w:rPr>
          <w:sz w:val="16"/>
          <w:szCs w:val="16"/>
        </w:rPr>
      </w:pPr>
      <w:r w:rsidRPr="00FE604F">
        <w:rPr>
          <w:rStyle w:val="Znakapoznpodarou"/>
          <w:spacing w:val="-2"/>
          <w:sz w:val="16"/>
          <w:szCs w:val="16"/>
        </w:rPr>
        <w:footnoteRef/>
      </w:r>
      <w:r w:rsidRPr="00FE604F">
        <w:rPr>
          <w:spacing w:val="-2"/>
          <w:sz w:val="16"/>
          <w:szCs w:val="16"/>
        </w:rPr>
        <w:t xml:space="preserve"> </w:t>
      </w:r>
      <w:r w:rsidRPr="00FE604F">
        <w:rPr>
          <w:sz w:val="16"/>
          <w:szCs w:val="16"/>
        </w:rPr>
        <w:t xml:space="preserve">Není-li uvedeno jinak, vycházejí všechny údaje týkající se státního rozpočtu </w:t>
      </w:r>
      <w:r w:rsidRPr="00FE604F">
        <w:rPr>
          <w:rFonts w:cs="Arial"/>
          <w:sz w:val="16"/>
          <w:szCs w:val="16"/>
        </w:rPr>
        <w:t>z dat Ministerstva financí (MF) ČR o pokladním plnění.</w:t>
      </w:r>
    </w:p>
  </w:footnote>
  <w:footnote w:id="2">
    <w:p w14:paraId="3D30EF5E" w14:textId="77777777" w:rsidR="00EE5B59" w:rsidRPr="00FE604F" w:rsidRDefault="00EE5B59" w:rsidP="00EE5B59">
      <w:pPr>
        <w:pStyle w:val="Textpoznpodarou"/>
      </w:pPr>
      <w:r w:rsidRPr="00FE604F">
        <w:rPr>
          <w:rStyle w:val="Znakapoznpodarou"/>
          <w:sz w:val="16"/>
          <w:szCs w:val="16"/>
        </w:rPr>
        <w:footnoteRef/>
      </w:r>
      <w:r w:rsidRPr="00FE604F">
        <w:rPr>
          <w:sz w:val="16"/>
          <w:szCs w:val="16"/>
        </w:rPr>
        <w:t xml:space="preserve"> Jde o prostředky na programy</w:t>
      </w:r>
      <w:r w:rsidRPr="00FE604F">
        <w:rPr>
          <w:rFonts w:cs="Arial"/>
          <w:sz w:val="16"/>
          <w:szCs w:val="16"/>
        </w:rPr>
        <w:t xml:space="preserve"> z rozpočtu EU a Finančních mechanismů (FM) předfinancované ze SR a následně proplacené z</w:t>
      </w:r>
      <w:r w:rsidRPr="00FE604F">
        <w:rPr>
          <w:sz w:val="16"/>
          <w:szCs w:val="16"/>
        </w:rPr>
        <w:t> </w:t>
      </w:r>
      <w:r w:rsidRPr="00FE604F">
        <w:rPr>
          <w:rFonts w:cs="Arial"/>
          <w:sz w:val="16"/>
          <w:szCs w:val="16"/>
        </w:rPr>
        <w:t>rozpočtu EU a FM.</w:t>
      </w:r>
    </w:p>
  </w:footnote>
  <w:footnote w:id="3">
    <w:p w14:paraId="195BC816" w14:textId="77777777" w:rsidR="00EE5B59" w:rsidRPr="00FE604F" w:rsidRDefault="00EE5B59" w:rsidP="00EE5B59">
      <w:pPr>
        <w:pStyle w:val="Textpoznpodarou"/>
        <w:rPr>
          <w:sz w:val="16"/>
          <w:szCs w:val="16"/>
        </w:rPr>
      </w:pPr>
      <w:r w:rsidRPr="00FE604F">
        <w:rPr>
          <w:rStyle w:val="Znakapoznpodarou"/>
          <w:sz w:val="16"/>
          <w:szCs w:val="16"/>
        </w:rPr>
        <w:footnoteRef/>
      </w:r>
      <w:r w:rsidRPr="00FE604F">
        <w:rPr>
          <w:sz w:val="16"/>
          <w:szCs w:val="16"/>
        </w:rPr>
        <w:t xml:space="preserve"> Rozpočtové provizorium bylo letos ukončeno 20. března, a to nabytím účinnosti zákona o státním rozpočtu ČR na rok 2026. V režimu rozpočtového provizoria hospodařil v minulosti SR v Česku rovněž na počátku let 1999, 2000 a 2022.</w:t>
      </w:r>
    </w:p>
  </w:footnote>
  <w:footnote w:id="4">
    <w:p w14:paraId="7117ACC9" w14:textId="77777777" w:rsidR="00EE5B59" w:rsidRPr="00FE604F" w:rsidRDefault="00EE5B59" w:rsidP="00EE5B59">
      <w:pPr>
        <w:pStyle w:val="Textpoznpodarou"/>
        <w:rPr>
          <w:sz w:val="16"/>
          <w:szCs w:val="16"/>
        </w:rPr>
      </w:pPr>
      <w:r w:rsidRPr="00FE604F">
        <w:rPr>
          <w:rStyle w:val="Znakapoznpodarou"/>
          <w:sz w:val="16"/>
          <w:szCs w:val="16"/>
        </w:rPr>
        <w:footnoteRef/>
      </w:r>
      <w:r w:rsidRPr="00FE604F">
        <w:rPr>
          <w:sz w:val="16"/>
          <w:szCs w:val="16"/>
        </w:rPr>
        <w:t xml:space="preserve"> Toto provizorium znemožnilo využívat mimorozpočtové zdroje – především nároky z nespotřebovaných výdajů z minulých let.</w:t>
      </w:r>
    </w:p>
  </w:footnote>
  <w:footnote w:id="5">
    <w:p w14:paraId="344C8F16" w14:textId="77777777" w:rsidR="00EE5B59" w:rsidRPr="00FE604F" w:rsidRDefault="00EE5B59" w:rsidP="00EE5B59">
      <w:pPr>
        <w:pStyle w:val="Textpoznpodarou"/>
        <w:rPr>
          <w:sz w:val="16"/>
          <w:szCs w:val="16"/>
        </w:rPr>
      </w:pPr>
      <w:r w:rsidRPr="00FE604F">
        <w:rPr>
          <w:rStyle w:val="Znakapoznpodarou"/>
          <w:sz w:val="16"/>
          <w:szCs w:val="16"/>
        </w:rPr>
        <w:footnoteRef/>
      </w:r>
      <w:r w:rsidRPr="00FE604F">
        <w:rPr>
          <w:sz w:val="16"/>
          <w:szCs w:val="16"/>
        </w:rPr>
        <w:t xml:space="preserve"> Od ledna 2026 došlo ke snížení podílu státu na výnosech DPH a z příjmů právnických a fyzických osob o 2,55 p. b. ve prospěch obcí a krajů, což mělo na konci března na SR negativní dopad ve výši 7,7 mld. korun. V předchozích dvou letech naopak ze měny RUD profitoval SR (např. za celý rok 2025 dle odhadu MF 13,3 mld. korun).</w:t>
      </w:r>
    </w:p>
  </w:footnote>
  <w:footnote w:id="6">
    <w:p w14:paraId="781A0067" w14:textId="77777777" w:rsidR="00EE5B59" w:rsidRPr="00FE604F" w:rsidRDefault="00EE5B59" w:rsidP="00EE5B59">
      <w:pPr>
        <w:pStyle w:val="Textpoznpodarou"/>
        <w:rPr>
          <w:sz w:val="16"/>
          <w:szCs w:val="16"/>
        </w:rPr>
      </w:pPr>
      <w:r w:rsidRPr="00FE604F">
        <w:rPr>
          <w:rStyle w:val="Znakapoznpodarou"/>
          <w:sz w:val="16"/>
          <w:szCs w:val="16"/>
        </w:rPr>
        <w:footnoteRef/>
      </w:r>
      <w:r w:rsidRPr="00FE604F">
        <w:rPr>
          <w:sz w:val="16"/>
          <w:szCs w:val="16"/>
        </w:rPr>
        <w:t xml:space="preserve"> Zákon o státním rozpočtu na rok 2026 (vycházející z makroekonomické predikce MF z ledna 2026) počítal pro letošní rok oproti loňské skutečnosti s růstem celkových příjmů o 2,1 % a výdajů o 2,4 %. Rozpočtový schod</w:t>
      </w:r>
      <w:r>
        <w:rPr>
          <w:sz w:val="16"/>
          <w:szCs w:val="16"/>
        </w:rPr>
        <w:t>ek</w:t>
      </w:r>
      <w:r w:rsidRPr="00FE604F">
        <w:rPr>
          <w:sz w:val="16"/>
          <w:szCs w:val="16"/>
        </w:rPr>
        <w:t xml:space="preserve"> by měl činit 310 mld. korun, což je o 19,3 mld. vyšší deficit než skutečně dosažený v roce 2025.</w:t>
      </w:r>
    </w:p>
  </w:footnote>
  <w:footnote w:id="7">
    <w:p w14:paraId="188E5F37" w14:textId="77777777" w:rsidR="00EE5B59" w:rsidRPr="00FE604F" w:rsidRDefault="00EE5B59" w:rsidP="00EE5B59">
      <w:pPr>
        <w:pStyle w:val="Textpoznpodarou"/>
      </w:pPr>
      <w:r w:rsidRPr="00FE604F">
        <w:rPr>
          <w:rStyle w:val="Znakapoznpodarou"/>
          <w:sz w:val="16"/>
          <w:szCs w:val="16"/>
        </w:rPr>
        <w:footnoteRef/>
      </w:r>
      <w:r w:rsidRPr="00FE604F">
        <w:rPr>
          <w:sz w:val="16"/>
          <w:szCs w:val="16"/>
        </w:rPr>
        <w:t xml:space="preserve"> Tento základ se od ledna 2026 zvýšil z 35 % na 40 % průměrné mzdy. Současně se ovšem navrhuje legislativní úprava, kterou by došlo od 1. července 2026 k navrácení vyměřovacího základu na úroveň roku 2025 (se zpětným dopadem na odvody provedené </w:t>
      </w:r>
      <w:r>
        <w:rPr>
          <w:sz w:val="16"/>
          <w:szCs w:val="16"/>
        </w:rPr>
        <w:br/>
      </w:r>
      <w:r w:rsidRPr="00FE604F">
        <w:rPr>
          <w:sz w:val="16"/>
          <w:szCs w:val="16"/>
        </w:rPr>
        <w:t>v 1. pololetí letošního roku).</w:t>
      </w:r>
    </w:p>
  </w:footnote>
  <w:footnote w:id="8">
    <w:p w14:paraId="28E774C2" w14:textId="77777777" w:rsidR="00EE5B59" w:rsidRPr="00FE604F" w:rsidRDefault="00EE5B59" w:rsidP="00EE5B59">
      <w:pPr>
        <w:pStyle w:val="Textpoznpodarou"/>
        <w:rPr>
          <w:sz w:val="16"/>
          <w:szCs w:val="16"/>
        </w:rPr>
      </w:pPr>
      <w:r w:rsidRPr="00FE604F">
        <w:rPr>
          <w:rStyle w:val="Znakapoznpodarou"/>
          <w:sz w:val="16"/>
          <w:szCs w:val="16"/>
        </w:rPr>
        <w:footnoteRef/>
      </w:r>
      <w:r w:rsidRPr="00FE604F">
        <w:rPr>
          <w:sz w:val="16"/>
          <w:szCs w:val="16"/>
        </w:rPr>
        <w:t xml:space="preserve"> </w:t>
      </w:r>
      <w:r w:rsidRPr="00FE604F">
        <w:rPr>
          <w:spacing w:val="-2"/>
          <w:sz w:val="16"/>
          <w:szCs w:val="16"/>
        </w:rPr>
        <w:t>Jde o daně z nadměrných příjmů a neočekávaných zisků. Jejich pozitivní vliv na příjmy SR kulminoval v roce 2023. Letos již je zcela zanedbatelný (nepočítá se již s dalšími zálohami těchto daní, pouze v druhé polovině tohoto roku proběhne vyrovnání daně za rok 2025).</w:t>
      </w:r>
    </w:p>
  </w:footnote>
  <w:footnote w:id="9">
    <w:p w14:paraId="5276FDA8" w14:textId="77777777" w:rsidR="00EE5B59" w:rsidRPr="00FE604F" w:rsidRDefault="00EE5B59" w:rsidP="00EE5B59">
      <w:pPr>
        <w:pStyle w:val="Textpoznpodarou"/>
        <w:rPr>
          <w:sz w:val="16"/>
          <w:szCs w:val="16"/>
        </w:rPr>
      </w:pPr>
      <w:r w:rsidRPr="00FE604F">
        <w:rPr>
          <w:rStyle w:val="Znakapoznpodarou"/>
          <w:sz w:val="16"/>
          <w:szCs w:val="16"/>
        </w:rPr>
        <w:footnoteRef/>
      </w:r>
      <w:r w:rsidRPr="00FE604F">
        <w:rPr>
          <w:sz w:val="16"/>
          <w:szCs w:val="16"/>
        </w:rPr>
        <w:t xml:space="preserve"> Ta se začala projevovat v hotovostním plnění SR až od února 2025.</w:t>
      </w:r>
    </w:p>
  </w:footnote>
  <w:footnote w:id="10">
    <w:p w14:paraId="39EE054D" w14:textId="77777777" w:rsidR="00EE5B59" w:rsidRPr="00FE604F" w:rsidRDefault="00EE5B59" w:rsidP="00EE5B59">
      <w:pPr>
        <w:pStyle w:val="Textpoznpodarou"/>
        <w:rPr>
          <w:sz w:val="16"/>
          <w:szCs w:val="16"/>
        </w:rPr>
      </w:pPr>
      <w:r w:rsidRPr="00FE604F">
        <w:rPr>
          <w:rStyle w:val="Znakapoznpodarou"/>
          <w:sz w:val="16"/>
          <w:szCs w:val="16"/>
        </w:rPr>
        <w:footnoteRef/>
      </w:r>
      <w:r w:rsidRPr="00FE604F">
        <w:rPr>
          <w:sz w:val="16"/>
          <w:szCs w:val="16"/>
        </w:rPr>
        <w:t xml:space="preserve"> Šlo především o snížení hranice příjmů pro druhou, vyšší daňovou sazbu, zrušení či omezení některých daňových slev.</w:t>
      </w:r>
    </w:p>
  </w:footnote>
  <w:footnote w:id="11">
    <w:p w14:paraId="7B4E2AB1" w14:textId="77777777" w:rsidR="00EE5B59" w:rsidRPr="00FE604F" w:rsidRDefault="00EE5B59" w:rsidP="00EE5B59">
      <w:pPr>
        <w:pStyle w:val="Textpoznpodarou"/>
        <w:rPr>
          <w:sz w:val="16"/>
          <w:szCs w:val="16"/>
        </w:rPr>
      </w:pPr>
      <w:r w:rsidRPr="00FE604F">
        <w:rPr>
          <w:rStyle w:val="Znakapoznpodarou"/>
          <w:sz w:val="16"/>
          <w:szCs w:val="16"/>
        </w:rPr>
        <w:footnoteRef/>
      </w:r>
      <w:r w:rsidRPr="00FE604F">
        <w:rPr>
          <w:sz w:val="16"/>
          <w:szCs w:val="16"/>
        </w:rPr>
        <w:t xml:space="preserve"> Dle konjunkturálních průzkumů ČSÚ se v 1. čtvrtletí 2026 (obdobně jako v předchozím kvartálu) celková důvěra tuzemských domácností v ekonomiku nacházela téměř o desetinu na</w:t>
      </w:r>
      <w:r>
        <w:rPr>
          <w:sz w:val="16"/>
          <w:szCs w:val="16"/>
        </w:rPr>
        <w:t>d</w:t>
      </w:r>
      <w:r w:rsidRPr="00FE604F">
        <w:rPr>
          <w:sz w:val="16"/>
          <w:szCs w:val="16"/>
        </w:rPr>
        <w:t xml:space="preserve"> úrovn</w:t>
      </w:r>
      <w:r>
        <w:rPr>
          <w:sz w:val="16"/>
          <w:szCs w:val="16"/>
        </w:rPr>
        <w:t>í</w:t>
      </w:r>
      <w:r w:rsidRPr="00FE604F">
        <w:rPr>
          <w:sz w:val="16"/>
          <w:szCs w:val="16"/>
        </w:rPr>
        <w:t xml:space="preserve"> dlouhodobého průměru (za období </w:t>
      </w:r>
      <w:r>
        <w:rPr>
          <w:sz w:val="16"/>
          <w:szCs w:val="16"/>
        </w:rPr>
        <w:t xml:space="preserve">let </w:t>
      </w:r>
      <w:r w:rsidRPr="00FE604F">
        <w:rPr>
          <w:sz w:val="16"/>
          <w:szCs w:val="16"/>
        </w:rPr>
        <w:t>2003 až 2025).</w:t>
      </w:r>
    </w:p>
  </w:footnote>
  <w:footnote w:id="12">
    <w:p w14:paraId="00C8D2B3" w14:textId="77777777" w:rsidR="00EE5B59" w:rsidRPr="00FE604F" w:rsidRDefault="00EE5B59" w:rsidP="00EE5B59">
      <w:pPr>
        <w:pStyle w:val="Textpoznpodarou"/>
        <w:rPr>
          <w:sz w:val="16"/>
          <w:szCs w:val="16"/>
        </w:rPr>
      </w:pPr>
      <w:r w:rsidRPr="00FE604F">
        <w:rPr>
          <w:rStyle w:val="Znakapoznpodarou"/>
          <w:sz w:val="16"/>
          <w:szCs w:val="16"/>
        </w:rPr>
        <w:footnoteRef/>
      </w:r>
      <w:r w:rsidRPr="00FE604F">
        <w:rPr>
          <w:sz w:val="16"/>
          <w:szCs w:val="16"/>
        </w:rPr>
        <w:t xml:space="preserve"> Intenzita předzásobení prodejců tabákovými výrobky nebyla na počátku letošního roku zdaleka tak silná jako v předešlých dvou letech (např. v 1. čtvrtletí 2025 se inkaso této daně meziročně zvýšilo o 24 % a za celý loňský rok již pouze o 4,0 %)</w:t>
      </w:r>
      <w:r>
        <w:rPr>
          <w:sz w:val="16"/>
          <w:szCs w:val="16"/>
        </w:rPr>
        <w:t>.</w:t>
      </w:r>
    </w:p>
  </w:footnote>
  <w:footnote w:id="13">
    <w:p w14:paraId="3347BD06" w14:textId="77777777" w:rsidR="00EE5B59" w:rsidRPr="00FE604F" w:rsidRDefault="00EE5B59" w:rsidP="00EE5B59">
      <w:pPr>
        <w:pStyle w:val="Textpoznpodarou"/>
        <w:rPr>
          <w:sz w:val="16"/>
          <w:szCs w:val="16"/>
        </w:rPr>
      </w:pPr>
      <w:r w:rsidRPr="00FE604F">
        <w:rPr>
          <w:rStyle w:val="Znakapoznpodarou"/>
          <w:sz w:val="16"/>
          <w:szCs w:val="16"/>
        </w:rPr>
        <w:footnoteRef/>
      </w:r>
      <w:r w:rsidRPr="00FE604F">
        <w:rPr>
          <w:sz w:val="16"/>
          <w:szCs w:val="16"/>
        </w:rPr>
        <w:t xml:space="preserve"> Míra plnění těchto výdajů ve vztahu k celoročnímu plánovanému rozpočtu nedosahovala na konci 1. čtvrtletí ani 15 %.</w:t>
      </w:r>
    </w:p>
  </w:footnote>
  <w:footnote w:id="14">
    <w:p w14:paraId="622B5829" w14:textId="77777777" w:rsidR="00EE5B59" w:rsidRPr="00FE604F" w:rsidRDefault="00EE5B59" w:rsidP="00EE5B59">
      <w:pPr>
        <w:pStyle w:val="Textpoznpodarou"/>
        <w:rPr>
          <w:sz w:val="16"/>
          <w:szCs w:val="16"/>
        </w:rPr>
      </w:pPr>
      <w:r w:rsidRPr="00FE604F">
        <w:rPr>
          <w:rStyle w:val="Znakapoznpodarou"/>
          <w:sz w:val="16"/>
          <w:szCs w:val="16"/>
        </w:rPr>
        <w:footnoteRef/>
      </w:r>
      <w:r w:rsidRPr="00FE604F">
        <w:rPr>
          <w:sz w:val="16"/>
          <w:szCs w:val="16"/>
        </w:rPr>
        <w:t xml:space="preserve"> Tyto kompenzace byly vypláceny podnikům jako jeden z klíčových nástrojů pomoci s vysokými cenami energií během období energetické krize. Ještě na počátku loňského roku bylo touto formou ze SR uvolněno 0,5 mld. korun.</w:t>
      </w:r>
    </w:p>
  </w:footnote>
  <w:footnote w:id="15">
    <w:p w14:paraId="33E1FF17" w14:textId="77777777" w:rsidR="00EE5B59" w:rsidRPr="00FE604F" w:rsidRDefault="00EE5B59" w:rsidP="00EE5B59">
      <w:pPr>
        <w:pStyle w:val="Textpoznpodarou"/>
        <w:rPr>
          <w:sz w:val="16"/>
          <w:szCs w:val="16"/>
        </w:rPr>
      </w:pPr>
      <w:r w:rsidRPr="00FE604F">
        <w:rPr>
          <w:rStyle w:val="Znakapoznpodarou"/>
          <w:sz w:val="16"/>
          <w:szCs w:val="16"/>
        </w:rPr>
        <w:footnoteRef/>
      </w:r>
      <w:r w:rsidRPr="00FE604F">
        <w:rPr>
          <w:sz w:val="16"/>
          <w:szCs w:val="16"/>
        </w:rPr>
        <w:t xml:space="preserve"> Čisté výdaje odpovídají saldu rozpočtové kapitoly Státní dluh (č. 396).</w:t>
      </w:r>
    </w:p>
  </w:footnote>
  <w:footnote w:id="16">
    <w:p w14:paraId="0003DD97" w14:textId="77777777" w:rsidR="00EE5B59" w:rsidRPr="00FE604F" w:rsidRDefault="00EE5B59" w:rsidP="00EE5B59">
      <w:pPr>
        <w:pStyle w:val="Textpoznpodarou"/>
        <w:rPr>
          <w:spacing w:val="-3"/>
          <w:sz w:val="16"/>
          <w:szCs w:val="16"/>
        </w:rPr>
      </w:pPr>
      <w:r w:rsidRPr="00FE604F">
        <w:rPr>
          <w:rStyle w:val="Znakapoznpodarou"/>
          <w:spacing w:val="-3"/>
          <w:sz w:val="16"/>
          <w:szCs w:val="16"/>
        </w:rPr>
        <w:footnoteRef/>
      </w:r>
      <w:r w:rsidRPr="00FE604F">
        <w:rPr>
          <w:spacing w:val="-3"/>
          <w:sz w:val="16"/>
          <w:szCs w:val="16"/>
        </w:rPr>
        <w:t xml:space="preserve"> Vnější dluh činil letos na konci 1. čtvrtletí 175 mld. korun a na celkovém státním dluhu se tak podílela 4,7 %, což je nejméně po roce 2004.</w:t>
      </w:r>
    </w:p>
  </w:footnote>
  <w:footnote w:id="17">
    <w:p w14:paraId="2F58A13B" w14:textId="77777777" w:rsidR="00EE5B59" w:rsidRPr="00FE604F" w:rsidRDefault="00EE5B59" w:rsidP="00EE5B59">
      <w:pPr>
        <w:pStyle w:val="Textpoznpodarou"/>
        <w:rPr>
          <w:sz w:val="16"/>
          <w:szCs w:val="16"/>
        </w:rPr>
      </w:pPr>
      <w:r w:rsidRPr="00FE604F">
        <w:rPr>
          <w:rStyle w:val="Znakapoznpodarou"/>
          <w:sz w:val="16"/>
          <w:szCs w:val="16"/>
        </w:rPr>
        <w:footnoteRef/>
      </w:r>
      <w:r w:rsidRPr="00FE604F">
        <w:rPr>
          <w:sz w:val="16"/>
          <w:szCs w:val="16"/>
        </w:rPr>
        <w:t xml:space="preserve"> Probíhala pravidelná emisní činnost státu ve standardním režimu za účelem pokrytí řádných splátek státního dluhu v 1. čtvrtletí 2026 </w:t>
      </w:r>
      <w:r>
        <w:rPr>
          <w:sz w:val="16"/>
          <w:szCs w:val="16"/>
        </w:rPr>
        <w:br/>
      </w:r>
      <w:r w:rsidRPr="00FE604F">
        <w:rPr>
          <w:sz w:val="16"/>
          <w:szCs w:val="16"/>
        </w:rPr>
        <w:t xml:space="preserve">i průběžného krytí schodu a předfinancování části splátek dluhu připadajících na 2. čtvrtletí 2026. Dominantním nástrojem této činnosti byly korunové </w:t>
      </w:r>
      <w:proofErr w:type="gramStart"/>
      <w:r w:rsidRPr="00FE604F">
        <w:rPr>
          <w:sz w:val="16"/>
          <w:szCs w:val="16"/>
        </w:rPr>
        <w:t>středně</w:t>
      </w:r>
      <w:r>
        <w:rPr>
          <w:sz w:val="16"/>
          <w:szCs w:val="16"/>
        </w:rPr>
        <w:t>-</w:t>
      </w:r>
      <w:r w:rsidRPr="00FE604F">
        <w:rPr>
          <w:sz w:val="16"/>
          <w:szCs w:val="16"/>
        </w:rPr>
        <w:t xml:space="preserve"> a</w:t>
      </w:r>
      <w:proofErr w:type="gramEnd"/>
      <w:r w:rsidRPr="00FE604F">
        <w:rPr>
          <w:sz w:val="16"/>
          <w:szCs w:val="16"/>
        </w:rPr>
        <w:t xml:space="preserve"> dlouhodobé státní dluhopisy, jejichž hrubá emise na domácím trhu dosáhla v 1. čtvrtletí 130 mld. korun (o rok dříve šlo o 109 mld.) s průměrnou dobou splatnosti 9,9 roku (analogicky 9,1 roku) a s průměrným ročním výnosem u nově prodaných fixně úročených dluhopisů 4,5 % (resp. 4,0 %).  </w:t>
      </w:r>
    </w:p>
  </w:footnote>
  <w:footnote w:id="18">
    <w:p w14:paraId="762E10D3" w14:textId="77777777" w:rsidR="00EE5B59" w:rsidRPr="00FE604F" w:rsidRDefault="00EE5B59" w:rsidP="00EE5B59">
      <w:pPr>
        <w:pStyle w:val="Textpoznpodarou"/>
        <w:rPr>
          <w:sz w:val="16"/>
          <w:szCs w:val="16"/>
        </w:rPr>
      </w:pPr>
      <w:r w:rsidRPr="00FE604F">
        <w:rPr>
          <w:rStyle w:val="Znakapoznpodarou"/>
          <w:sz w:val="16"/>
          <w:szCs w:val="16"/>
        </w:rPr>
        <w:footnoteRef/>
      </w:r>
      <w:r w:rsidRPr="00FE604F">
        <w:rPr>
          <w:sz w:val="16"/>
          <w:szCs w:val="16"/>
        </w:rPr>
        <w:t xml:space="preserve"> V 1. čtvrtletí 2022, jež bylo rovněž zásadně ovlivněno dočasným provizoriem, činil tento podíl 44,4 %.</w:t>
      </w:r>
    </w:p>
  </w:footnote>
  <w:footnote w:id="19">
    <w:p w14:paraId="604865C0" w14:textId="77777777" w:rsidR="00EE5B59" w:rsidRPr="00FE604F" w:rsidRDefault="00EE5B59" w:rsidP="00EE5B59">
      <w:pPr>
        <w:pStyle w:val="Textpoznpodarou"/>
        <w:rPr>
          <w:sz w:val="16"/>
          <w:szCs w:val="16"/>
        </w:rPr>
      </w:pPr>
      <w:r w:rsidRPr="00FE604F">
        <w:rPr>
          <w:rStyle w:val="Znakapoznpodarou"/>
          <w:sz w:val="16"/>
          <w:szCs w:val="16"/>
        </w:rPr>
        <w:footnoteRef/>
      </w:r>
      <w:r w:rsidRPr="00FE604F">
        <w:rPr>
          <w:sz w:val="16"/>
          <w:szCs w:val="16"/>
        </w:rPr>
        <w:t xml:space="preserve"> </w:t>
      </w:r>
      <w:r w:rsidRPr="00FE604F">
        <w:rPr>
          <w:spacing w:val="-2"/>
          <w:sz w:val="16"/>
          <w:szCs w:val="16"/>
        </w:rPr>
        <w:t>Průměrný měsíční starobní důchod (bez souběhu s ostatními důchody) byl v březnu 2025 meziročně vyšší o 3,5 % a činil 21,8 tis. korun</w:t>
      </w:r>
      <w:r w:rsidRPr="00FE604F">
        <w:rPr>
          <w:sz w:val="16"/>
          <w:szCs w:val="16"/>
        </w:rPr>
        <w:t xml:space="preserve"> (u mužů 23,1 tis. korun, u žen 20,6 tis. korun).</w:t>
      </w:r>
    </w:p>
  </w:footnote>
  <w:footnote w:id="20">
    <w:p w14:paraId="547458FB" w14:textId="77777777" w:rsidR="00EE5B59" w:rsidRPr="00FE604F" w:rsidRDefault="00EE5B59" w:rsidP="00EE5B59">
      <w:pPr>
        <w:pStyle w:val="Textpoznpodarou"/>
        <w:rPr>
          <w:sz w:val="16"/>
          <w:szCs w:val="16"/>
        </w:rPr>
      </w:pPr>
      <w:r w:rsidRPr="00FE604F">
        <w:rPr>
          <w:rStyle w:val="Znakapoznpodarou"/>
          <w:sz w:val="16"/>
          <w:szCs w:val="16"/>
        </w:rPr>
        <w:footnoteRef/>
      </w:r>
      <w:r w:rsidRPr="00FE604F">
        <w:rPr>
          <w:sz w:val="16"/>
          <w:szCs w:val="16"/>
        </w:rPr>
        <w:t xml:space="preserve"> Vzrostl pouze počet příjemců invalidních důchodů (+1,1 %), ti ovšem tvořili pouze sedminu všech příjemců důchodů.</w:t>
      </w:r>
    </w:p>
  </w:footnote>
  <w:footnote w:id="21">
    <w:p w14:paraId="0E86740C" w14:textId="77777777" w:rsidR="00EE5B59" w:rsidRPr="00FE604F" w:rsidRDefault="00EE5B59" w:rsidP="00EE5B59">
      <w:pPr>
        <w:spacing w:after="0" w:line="240" w:lineRule="auto"/>
        <w:jc w:val="left"/>
        <w:rPr>
          <w:rFonts w:eastAsia="Calibri" w:cs="Verdana"/>
          <w:sz w:val="16"/>
          <w:szCs w:val="16"/>
        </w:rPr>
      </w:pPr>
      <w:r w:rsidRPr="00FE604F">
        <w:rPr>
          <w:rStyle w:val="Znakapoznpodarou"/>
          <w:sz w:val="16"/>
          <w:szCs w:val="16"/>
        </w:rPr>
        <w:footnoteRef/>
      </w:r>
      <w:r w:rsidRPr="00FE604F">
        <w:rPr>
          <w:sz w:val="16"/>
          <w:szCs w:val="16"/>
        </w:rPr>
        <w:t xml:space="preserve"> </w:t>
      </w:r>
      <w:r w:rsidRPr="00FE604F">
        <w:rPr>
          <w:rFonts w:eastAsia="Calibri" w:cs="Verdana"/>
          <w:spacing w:val="-2"/>
          <w:sz w:val="16"/>
          <w:szCs w:val="16"/>
        </w:rPr>
        <w:t xml:space="preserve">Od října 2024 se potřebná doba pojištění zvýšila z 35 na 40 let. Již dříve došlo k dalším zpřísněním: maximální doba předčasnosti se zkrátila z 5 let na 3 roky, zrušila se valorizace procentní výměry předčasného důchodu až do doby dosažení důchodového věku a výrazně vzrostlo krácení výše důchodu pro předčasnost. Celkový počet osob s trvale kráceným starobním důchodem (pro předčasnost) byl </w:t>
      </w:r>
      <w:r>
        <w:rPr>
          <w:rFonts w:eastAsia="Calibri" w:cs="Verdana"/>
          <w:spacing w:val="-2"/>
          <w:sz w:val="16"/>
          <w:szCs w:val="16"/>
        </w:rPr>
        <w:br/>
      </w:r>
      <w:r w:rsidRPr="00FE604F">
        <w:rPr>
          <w:rFonts w:eastAsia="Calibri" w:cs="Verdana"/>
          <w:spacing w:val="-2"/>
          <w:sz w:val="16"/>
          <w:szCs w:val="16"/>
        </w:rPr>
        <w:t>v 1. čtvrtletí 2026 meziročně vyšší jen o 0,5 %. I tak se tito lidé na celkovém počtu starobních důchodců podíleli již skoro z jedné třetiny.</w:t>
      </w:r>
    </w:p>
  </w:footnote>
  <w:footnote w:id="22">
    <w:p w14:paraId="571EA230" w14:textId="77777777" w:rsidR="00EE5B59" w:rsidRPr="00FE604F" w:rsidRDefault="00EE5B59" w:rsidP="00EE5B59">
      <w:pPr>
        <w:spacing w:after="0" w:line="240" w:lineRule="auto"/>
      </w:pPr>
      <w:r w:rsidRPr="00FE604F">
        <w:rPr>
          <w:rStyle w:val="Znakapoznpodarou"/>
          <w:rFonts w:eastAsia="Calibri"/>
          <w:sz w:val="16"/>
          <w:szCs w:val="16"/>
        </w:rPr>
        <w:footnoteRef/>
      </w:r>
      <w:r w:rsidRPr="00FE604F">
        <w:rPr>
          <w:rStyle w:val="Znakapoznpodarou"/>
          <w:rFonts w:eastAsia="Calibri"/>
          <w:sz w:val="16"/>
          <w:szCs w:val="16"/>
        </w:rPr>
        <w:t xml:space="preserve"> </w:t>
      </w:r>
      <w:r w:rsidRPr="00FE604F">
        <w:rPr>
          <w:rFonts w:eastAsia="Calibri"/>
          <w:sz w:val="16"/>
          <w:szCs w:val="16"/>
        </w:rPr>
        <w:t xml:space="preserve">Jde o rozdíl mezi příjmy z pojistného na důchodové pojištění a výdaji na tyto dávky (vč. výdajů na jejich správu) </w:t>
      </w:r>
      <w:r w:rsidRPr="00FE604F">
        <w:rPr>
          <w:rFonts w:cs="Arial"/>
          <w:sz w:val="16"/>
          <w:szCs w:val="16"/>
        </w:rPr>
        <w:t>dle účetní bilance MF.</w:t>
      </w:r>
    </w:p>
  </w:footnote>
  <w:footnote w:id="23">
    <w:p w14:paraId="4D40DD42" w14:textId="77777777" w:rsidR="00EE5B59" w:rsidRPr="00FE604F" w:rsidRDefault="00EE5B59" w:rsidP="00EE5B59">
      <w:pPr>
        <w:pStyle w:val="Textpoznpodarou"/>
        <w:rPr>
          <w:sz w:val="16"/>
          <w:szCs w:val="16"/>
        </w:rPr>
      </w:pPr>
      <w:r w:rsidRPr="00FE604F">
        <w:rPr>
          <w:rStyle w:val="Znakapoznpodarou"/>
          <w:sz w:val="16"/>
          <w:szCs w:val="16"/>
        </w:rPr>
        <w:footnoteRef/>
      </w:r>
      <w:r w:rsidRPr="00FE604F">
        <w:rPr>
          <w:sz w:val="16"/>
          <w:szCs w:val="16"/>
        </w:rPr>
        <w:t xml:space="preserve"> Od ledna 2026 došlo k navýšení procentní sazby rozhodné pro výpočet podpory vyplácené v prvních měsících nezaměstnanosti. Zároveň se rozšířil i okruh osob majících nárok na podporu (ve vazbě na důvody ukončení posledního pracovního poměru).</w:t>
      </w:r>
    </w:p>
  </w:footnote>
  <w:footnote w:id="24">
    <w:p w14:paraId="4C75144D" w14:textId="77777777" w:rsidR="00EE5B59" w:rsidRPr="00FE604F" w:rsidRDefault="00EE5B59" w:rsidP="00EE5B59">
      <w:pPr>
        <w:pStyle w:val="Textpoznpodarou"/>
      </w:pPr>
      <w:r w:rsidRPr="00FE604F">
        <w:rPr>
          <w:rStyle w:val="Znakapoznpodarou"/>
          <w:sz w:val="16"/>
          <w:szCs w:val="16"/>
        </w:rPr>
        <w:footnoteRef/>
      </w:r>
      <w:r w:rsidRPr="00FE604F">
        <w:rPr>
          <w:rStyle w:val="Znakapoznpodarou"/>
          <w:sz w:val="16"/>
          <w:szCs w:val="16"/>
        </w:rPr>
        <w:t xml:space="preserve"> </w:t>
      </w:r>
      <w:r w:rsidRPr="00FE604F">
        <w:rPr>
          <w:sz w:val="16"/>
          <w:szCs w:val="16"/>
        </w:rPr>
        <w:t>Od ledna 2024 došlo k znovuzavedení hrazení nemocenského pojištění zaměstnanci (ve výši 0,6 % vyměřovacího základu) i ke zvýšení vyměřovacího základu pro osoby samostatně výdělečně činné. Později následovalo i stanovení limitů pro vznik účasti na pojištění zaměstnance pracujícího na základě dohody o provedení práce (od ledna 2025 je tento limit ve výši 11 500 korun).</w:t>
      </w:r>
    </w:p>
  </w:footnote>
  <w:footnote w:id="25">
    <w:p w14:paraId="4298BA52" w14:textId="77777777" w:rsidR="00EE5B59" w:rsidRPr="00FE604F" w:rsidRDefault="00EE5B59" w:rsidP="00EE5B59">
      <w:pPr>
        <w:pStyle w:val="Textpoznpodarou"/>
        <w:rPr>
          <w:sz w:val="16"/>
          <w:szCs w:val="16"/>
        </w:rPr>
      </w:pPr>
      <w:r w:rsidRPr="00FE604F">
        <w:rPr>
          <w:rStyle w:val="Znakapoznpodarou"/>
          <w:sz w:val="16"/>
          <w:szCs w:val="16"/>
        </w:rPr>
        <w:footnoteRef/>
      </w:r>
      <w:r w:rsidRPr="00FE604F">
        <w:rPr>
          <w:sz w:val="16"/>
          <w:szCs w:val="16"/>
        </w:rPr>
        <w:t xml:space="preserve"> To vyjadřuje r</w:t>
      </w:r>
      <w:r w:rsidRPr="00FE604F">
        <w:rPr>
          <w:rFonts w:cs="Arial"/>
          <w:sz w:val="16"/>
          <w:szCs w:val="16"/>
        </w:rPr>
        <w:t>ozdíl mezi příjmy z pojistného na nemocenské pojištění</w:t>
      </w:r>
      <w:r w:rsidRPr="00FE604F">
        <w:rPr>
          <w:rFonts w:ascii="Segoe UI" w:eastAsia="Times New Roman" w:hAnsi="Segoe UI" w:cs="Segoe UI"/>
          <w:b/>
          <w:bCs/>
          <w:sz w:val="16"/>
          <w:szCs w:val="16"/>
        </w:rPr>
        <w:t xml:space="preserve"> </w:t>
      </w:r>
      <w:r w:rsidRPr="00FE604F">
        <w:rPr>
          <w:rFonts w:cs="Arial"/>
          <w:sz w:val="16"/>
          <w:szCs w:val="16"/>
        </w:rPr>
        <w:t>a výdaji na dávky z tohoto pojištění dle účetní bilance ČSSZ.</w:t>
      </w:r>
    </w:p>
  </w:footnote>
  <w:footnote w:id="26">
    <w:p w14:paraId="7830A84A" w14:textId="77777777" w:rsidR="00EE5B59" w:rsidRPr="00FE604F" w:rsidRDefault="00EE5B59" w:rsidP="00EE5B59">
      <w:pPr>
        <w:pStyle w:val="Textpoznpodarou"/>
        <w:rPr>
          <w:sz w:val="16"/>
          <w:szCs w:val="16"/>
        </w:rPr>
      </w:pPr>
      <w:r w:rsidRPr="00FE604F">
        <w:rPr>
          <w:rStyle w:val="Znakapoznpodarou"/>
          <w:sz w:val="16"/>
          <w:szCs w:val="16"/>
        </w:rPr>
        <w:footnoteRef/>
      </w:r>
      <w:r w:rsidRPr="00FE604F">
        <w:rPr>
          <w:sz w:val="16"/>
          <w:szCs w:val="16"/>
        </w:rPr>
        <w:t xml:space="preserve"> </w:t>
      </w:r>
      <w:r w:rsidRPr="00FE604F">
        <w:rPr>
          <w:rFonts w:cs="Arial"/>
          <w:sz w:val="16"/>
          <w:szCs w:val="16"/>
        </w:rPr>
        <w:t xml:space="preserve">U nové dávky státní sociální pomoci (od 1. října 2025 nahrazující příspěvek na bydlení, přídavek na dítě, příspěvek na živobytí </w:t>
      </w:r>
      <w:r>
        <w:rPr>
          <w:rFonts w:cs="Arial"/>
          <w:sz w:val="16"/>
          <w:szCs w:val="16"/>
        </w:rPr>
        <w:br/>
      </w:r>
      <w:r w:rsidRPr="00FE604F">
        <w:rPr>
          <w:rFonts w:cs="Arial"/>
          <w:sz w:val="16"/>
          <w:szCs w:val="16"/>
        </w:rPr>
        <w:t>a doplatek na bydlení) probíhá do července 2026 přechodné období (pobírali j</w:t>
      </w:r>
      <w:r>
        <w:rPr>
          <w:rFonts w:cs="Arial"/>
          <w:sz w:val="16"/>
          <w:szCs w:val="16"/>
        </w:rPr>
        <w:t>i</w:t>
      </w:r>
      <w:r w:rsidRPr="00FE604F">
        <w:rPr>
          <w:rFonts w:cs="Arial"/>
          <w:sz w:val="16"/>
          <w:szCs w:val="16"/>
        </w:rPr>
        <w:t xml:space="preserve"> zatím pouze noví žadatelé, letos v březnu šlo </w:t>
      </w:r>
      <w:r>
        <w:rPr>
          <w:rFonts w:cs="Arial"/>
          <w:sz w:val="16"/>
          <w:szCs w:val="16"/>
        </w:rPr>
        <w:br/>
      </w:r>
      <w:r w:rsidRPr="00FE604F">
        <w:rPr>
          <w:rFonts w:cs="Arial"/>
          <w:sz w:val="16"/>
          <w:szCs w:val="16"/>
        </w:rPr>
        <w:t xml:space="preserve">o 34 tis. osob) a objem její výplaty v 1. čtvrtletí 2026 činil 0,6 mld. korun. Nahrazené dávky o stejnou výši klesly. Stávajícím příjemcům těchto dávek (v březnu šlo o 566 tis. osob, část z nich pobírala více dávek současně) bylo v 1. čtvrtletí celkově vyplaceno </w:t>
      </w:r>
      <w:r w:rsidRPr="00FE604F">
        <w:rPr>
          <w:rFonts w:cs="Arial"/>
          <w:spacing w:val="-4"/>
          <w:sz w:val="16"/>
          <w:szCs w:val="16"/>
        </w:rPr>
        <w:t>7,9 mld. korun.</w:t>
      </w:r>
    </w:p>
  </w:footnote>
  <w:footnote w:id="27">
    <w:p w14:paraId="7DB50A2D" w14:textId="77777777" w:rsidR="00EE5B59" w:rsidRPr="00FE604F" w:rsidRDefault="00EE5B59" w:rsidP="00EE5B59">
      <w:pPr>
        <w:pStyle w:val="Textpoznpodarou"/>
        <w:rPr>
          <w:sz w:val="16"/>
          <w:szCs w:val="16"/>
        </w:rPr>
      </w:pPr>
      <w:r w:rsidRPr="00FE604F">
        <w:rPr>
          <w:rStyle w:val="Znakapoznpodarou"/>
          <w:sz w:val="16"/>
          <w:szCs w:val="16"/>
        </w:rPr>
        <w:footnoteRef/>
      </w:r>
      <w:r w:rsidRPr="00FE604F">
        <w:rPr>
          <w:sz w:val="16"/>
          <w:szCs w:val="16"/>
        </w:rPr>
        <w:t xml:space="preserve"> Jde o průměr za jednotlivé měsíce v 1. čtvrtletí 2025, resp. 2026.</w:t>
      </w:r>
    </w:p>
  </w:footnote>
  <w:footnote w:id="28">
    <w:p w14:paraId="255464BF" w14:textId="77777777" w:rsidR="00EE5B59" w:rsidRPr="00FE604F" w:rsidRDefault="00EE5B59" w:rsidP="00EE5B59">
      <w:pPr>
        <w:pStyle w:val="Textpoznpodarou"/>
        <w:rPr>
          <w:sz w:val="16"/>
          <w:szCs w:val="16"/>
        </w:rPr>
      </w:pPr>
      <w:r w:rsidRPr="00FE604F">
        <w:rPr>
          <w:rStyle w:val="Znakapoznpodarou"/>
          <w:sz w:val="16"/>
          <w:szCs w:val="16"/>
        </w:rPr>
        <w:footnoteRef/>
      </w:r>
      <w:r w:rsidRPr="00FE604F">
        <w:rPr>
          <w:sz w:val="16"/>
          <w:szCs w:val="16"/>
        </w:rPr>
        <w:t xml:space="preserve"> To souviselo s požadavkem Evropské komise o zaplacení 3,2/12 celkového rozpočtu oproti standardním 3/12 v 1. čtvrtletí roku.</w:t>
      </w:r>
    </w:p>
  </w:footnote>
  <w:footnote w:id="29">
    <w:p w14:paraId="31A9CBBA" w14:textId="77777777" w:rsidR="00EE5B59" w:rsidRPr="00FE604F" w:rsidRDefault="00EE5B59" w:rsidP="00EE5B59">
      <w:pPr>
        <w:pStyle w:val="Textpoznpodarou"/>
        <w:rPr>
          <w:sz w:val="16"/>
          <w:szCs w:val="16"/>
        </w:rPr>
      </w:pPr>
      <w:r w:rsidRPr="00FE604F">
        <w:rPr>
          <w:rStyle w:val="Znakapoznpodarou"/>
          <w:sz w:val="16"/>
          <w:szCs w:val="16"/>
        </w:rPr>
        <w:footnoteRef/>
      </w:r>
      <w:r w:rsidRPr="00FE604F">
        <w:rPr>
          <w:sz w:val="16"/>
          <w:szCs w:val="16"/>
        </w:rPr>
        <w:t xml:space="preserve"> Tento faktor je zohledněn i ve schváleném SR, jenž pro letošní rok předpokládá oproti skutečnému čerpání roku 2025 růst odvodů ČR do rozpočtu EU zhruba </w:t>
      </w:r>
      <w:r>
        <w:rPr>
          <w:sz w:val="16"/>
          <w:szCs w:val="16"/>
        </w:rPr>
        <w:t xml:space="preserve">o </w:t>
      </w:r>
      <w:r w:rsidRPr="00FE604F">
        <w:rPr>
          <w:sz w:val="16"/>
          <w:szCs w:val="16"/>
        </w:rPr>
        <w:t>pětinu.</w:t>
      </w:r>
    </w:p>
  </w:footnote>
  <w:footnote w:id="30">
    <w:p w14:paraId="59F97E54" w14:textId="77777777" w:rsidR="00EE5B59" w:rsidRPr="00FE604F" w:rsidRDefault="00EE5B59" w:rsidP="00EE5B59">
      <w:pPr>
        <w:pStyle w:val="Textpoznpodarou"/>
        <w:rPr>
          <w:sz w:val="16"/>
          <w:szCs w:val="16"/>
        </w:rPr>
      </w:pPr>
      <w:r w:rsidRPr="00FE604F">
        <w:rPr>
          <w:rStyle w:val="Znakapoznpodarou"/>
          <w:sz w:val="16"/>
          <w:szCs w:val="16"/>
        </w:rPr>
        <w:footnoteRef/>
      </w:r>
      <w:r w:rsidRPr="00FE604F">
        <w:rPr>
          <w:sz w:val="16"/>
          <w:szCs w:val="16"/>
        </w:rPr>
        <w:t xml:space="preserve"> V úhrnu za celý rok 2026 počítá schválený SR oproti skutečnému loňskému čerpání s nárůstem výdajů na platy a obdobné </w:t>
      </w:r>
      <w:r>
        <w:rPr>
          <w:sz w:val="16"/>
          <w:szCs w:val="16"/>
        </w:rPr>
        <w:br/>
      </w:r>
      <w:r w:rsidRPr="00FE604F">
        <w:rPr>
          <w:sz w:val="16"/>
          <w:szCs w:val="16"/>
        </w:rPr>
        <w:t>a související výdaje v organizačních složkách státu o 9,4 %.</w:t>
      </w:r>
    </w:p>
  </w:footnote>
  <w:footnote w:id="31">
    <w:p w14:paraId="53703B99" w14:textId="77777777" w:rsidR="00EE5B59" w:rsidRPr="00FE604F" w:rsidRDefault="00EE5B59" w:rsidP="00EE5B59">
      <w:pPr>
        <w:pStyle w:val="Textpoznpodarou"/>
        <w:rPr>
          <w:sz w:val="16"/>
          <w:szCs w:val="16"/>
        </w:rPr>
      </w:pPr>
      <w:r w:rsidRPr="00FE604F">
        <w:rPr>
          <w:rStyle w:val="Znakapoznpodarou"/>
          <w:sz w:val="16"/>
          <w:szCs w:val="16"/>
        </w:rPr>
        <w:footnoteRef/>
      </w:r>
      <w:r w:rsidRPr="00FE604F">
        <w:rPr>
          <w:sz w:val="16"/>
          <w:szCs w:val="16"/>
        </w:rPr>
        <w:t xml:space="preserve"> Projevuje se zde především posílení měsíční platby veřejného zdravotního pojištění za tzv. státní pojištěnce (ta byla od 1. ledna 2026 valorizačním mechanismem navýšena z 2 127 korun na 2 188 korun, tj. o 2,9 %</w:t>
      </w:r>
      <w:r>
        <w:rPr>
          <w:sz w:val="16"/>
          <w:szCs w:val="16"/>
        </w:rPr>
        <w:t>)</w:t>
      </w:r>
      <w:r w:rsidRPr="00FE604F">
        <w:rPr>
          <w:sz w:val="16"/>
          <w:szCs w:val="16"/>
        </w:rPr>
        <w:t>.</w:t>
      </w:r>
    </w:p>
  </w:footnote>
  <w:footnote w:id="32">
    <w:p w14:paraId="13AB49AE" w14:textId="77777777" w:rsidR="00EE5B59" w:rsidRPr="00FE604F" w:rsidRDefault="00EE5B59" w:rsidP="00EE5B59">
      <w:pPr>
        <w:pStyle w:val="Textpoznpodarou"/>
        <w:rPr>
          <w:sz w:val="16"/>
          <w:szCs w:val="16"/>
        </w:rPr>
      </w:pPr>
      <w:r w:rsidRPr="00FE604F">
        <w:rPr>
          <w:rStyle w:val="Znakapoznpodarou"/>
          <w:sz w:val="16"/>
          <w:szCs w:val="16"/>
        </w:rPr>
        <w:footnoteRef/>
      </w:r>
      <w:r w:rsidRPr="00FE604F">
        <w:rPr>
          <w:sz w:val="16"/>
          <w:szCs w:val="16"/>
        </w:rPr>
        <w:t xml:space="preserve"> Ve vztahu k celoroční očekávané výši (dle schváleného SR) bylo loni v 1. čtvrtletí investováno jen 12,7 % a letos 13,4 %.</w:t>
      </w:r>
    </w:p>
  </w:footnote>
  <w:footnote w:id="33">
    <w:p w14:paraId="2D365DAC" w14:textId="77777777" w:rsidR="00EE5B59" w:rsidRPr="00FE604F" w:rsidRDefault="00EE5B59" w:rsidP="00EE5B59">
      <w:pPr>
        <w:pStyle w:val="Textpoznpodarou"/>
        <w:rPr>
          <w:sz w:val="16"/>
          <w:szCs w:val="16"/>
        </w:rPr>
      </w:pPr>
      <w:r w:rsidRPr="00FE604F">
        <w:rPr>
          <w:rStyle w:val="Znakapoznpodarou"/>
          <w:sz w:val="16"/>
          <w:szCs w:val="16"/>
        </w:rPr>
        <w:footnoteRef/>
      </w:r>
      <w:r w:rsidRPr="00FE604F">
        <w:rPr>
          <w:sz w:val="16"/>
          <w:szCs w:val="16"/>
        </w:rPr>
        <w:t xml:space="preserve"> Údaje o hospodaření sektoru vládních institucí v Česku za 1. čtvrtletí 2026 zveřejní ČSÚ 1. července 2026, Eurostat za členské státy Unie potom 21. července. Detailnější zhodnocení tuzemského vývoje za 4. čtvrtletí 2025 nabízí publikace </w:t>
      </w:r>
      <w:hyperlink r:id="rId1" w:history="1">
        <w:r w:rsidRPr="00FE604F">
          <w:rPr>
            <w:rStyle w:val="Hypertextovodkaz"/>
            <w:i/>
            <w:color w:val="auto"/>
            <w:sz w:val="16"/>
            <w:szCs w:val="16"/>
          </w:rPr>
          <w:t>Analýza sektorových účtů</w:t>
        </w:r>
      </w:hyperlink>
    </w:p>
  </w:footnote>
  <w:footnote w:id="34">
    <w:p w14:paraId="19B45193" w14:textId="77777777" w:rsidR="00EE5B59" w:rsidRPr="00FE604F" w:rsidRDefault="00EE5B59" w:rsidP="00EE5B59">
      <w:pPr>
        <w:pStyle w:val="Textpoznpodarou"/>
        <w:rPr>
          <w:sz w:val="16"/>
          <w:szCs w:val="16"/>
        </w:rPr>
      </w:pPr>
      <w:r w:rsidRPr="00FE604F">
        <w:rPr>
          <w:rStyle w:val="Znakapoznpodarou"/>
          <w:sz w:val="16"/>
          <w:szCs w:val="16"/>
        </w:rPr>
        <w:footnoteRef/>
      </w:r>
      <w:r w:rsidRPr="00FE604F">
        <w:rPr>
          <w:sz w:val="16"/>
          <w:szCs w:val="16"/>
        </w:rPr>
        <w:t xml:space="preserve"> Není-li uvedeno jinak, jsou údaje o hospodaření sektoru VI v ČR vyjádřeny v nominálním vyjádření a bez sezónního očištění.</w:t>
      </w:r>
    </w:p>
  </w:footnote>
  <w:footnote w:id="35">
    <w:p w14:paraId="35AA2FD2" w14:textId="77777777" w:rsidR="00EE5B59" w:rsidRPr="00FE604F" w:rsidRDefault="00EE5B59" w:rsidP="00EE5B59">
      <w:pPr>
        <w:pStyle w:val="Textpoznpodarou"/>
        <w:rPr>
          <w:sz w:val="16"/>
          <w:szCs w:val="16"/>
        </w:rPr>
      </w:pPr>
      <w:r w:rsidRPr="00FE604F">
        <w:rPr>
          <w:rStyle w:val="Znakapoznpodarou"/>
          <w:sz w:val="16"/>
          <w:szCs w:val="16"/>
        </w:rPr>
        <w:footnoteRef/>
      </w:r>
      <w:r w:rsidRPr="00FE604F">
        <w:rPr>
          <w:sz w:val="16"/>
          <w:szCs w:val="16"/>
        </w:rPr>
        <w:t xml:space="preserve"> Za tímto zhoršením stály místní vládní instituce, jejichž přebytek hospodaření zejména vlivem vyšší investiční aktivity klesl o polovinu na 29 mld. korun (a byl nejnižší za poslední pětiletí). Naopak schodek ústředních vládních institucí, který v posledních letech tradičně dominantně přispíval ke zhoršení salda hospodaření sektoru VI, se meziročně zmírnil o 4 %, na 198 mld</w:t>
      </w:r>
      <w:r>
        <w:rPr>
          <w:sz w:val="16"/>
          <w:szCs w:val="16"/>
        </w:rPr>
        <w:t>.</w:t>
      </w:r>
      <w:r w:rsidRPr="00FE604F">
        <w:rPr>
          <w:sz w:val="16"/>
          <w:szCs w:val="16"/>
        </w:rPr>
        <w:t xml:space="preserve"> (nejlepší výsledek za posledních šest let). Deficit zdravotních pojišťoven se pak meziročně mírně utlumil (na 15 mld. korun).</w:t>
      </w:r>
    </w:p>
  </w:footnote>
  <w:footnote w:id="36">
    <w:p w14:paraId="5CF966B3" w14:textId="77777777" w:rsidR="00EE5B59" w:rsidRPr="00FE604F" w:rsidRDefault="00EE5B59" w:rsidP="00EE5B59">
      <w:pPr>
        <w:pStyle w:val="Textpoznpodarou"/>
        <w:rPr>
          <w:sz w:val="16"/>
          <w:szCs w:val="16"/>
        </w:rPr>
      </w:pPr>
      <w:r w:rsidRPr="00FE604F">
        <w:rPr>
          <w:rStyle w:val="Znakapoznpodarou"/>
          <w:sz w:val="16"/>
          <w:szCs w:val="16"/>
        </w:rPr>
        <w:footnoteRef/>
      </w:r>
      <w:r w:rsidRPr="00FE604F">
        <w:rPr>
          <w:sz w:val="16"/>
          <w:szCs w:val="16"/>
        </w:rPr>
        <w:t xml:space="preserve"> Všechny níže uvedené údaje o příjmech, výdajích a saldu jsou vyjádřeny po očištění o sezónnost i pracovní dny. Údaje za eurozónu zahrnují 21 členských států (vč. nově přijatého Bulharska).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6" w14:textId="3C11EE3B" w:rsidR="004C456F" w:rsidRPr="00C27E4F" w:rsidRDefault="004C456F" w:rsidP="00C27E4F">
    <w:pPr>
      <w:pStyle w:val="Zhlav"/>
    </w:pPr>
    <w:r>
      <w:t>Vývoj ekonomiky České republiky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7" w14:textId="4F78F164" w:rsidR="004C456F" w:rsidRPr="006F5416" w:rsidRDefault="004C456F" w:rsidP="00937AE2">
    <w:pPr>
      <w:pStyle w:val="Zhlav"/>
    </w:pPr>
    <w:r>
      <w:t>Vývoj ekonomiky České republiky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C5946"/>
    <w:multiLevelType w:val="hybridMultilevel"/>
    <w:tmpl w:val="4C1C2D78"/>
    <w:lvl w:ilvl="0" w:tplc="B01A56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95764B"/>
    <w:multiLevelType w:val="hybridMultilevel"/>
    <w:tmpl w:val="84788BC8"/>
    <w:lvl w:ilvl="0" w:tplc="1B96A2C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9D55121"/>
    <w:multiLevelType w:val="hybridMultilevel"/>
    <w:tmpl w:val="338E27C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0D361065"/>
    <w:multiLevelType w:val="hybridMultilevel"/>
    <w:tmpl w:val="991072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0E145AAD"/>
    <w:multiLevelType w:val="hybridMultilevel"/>
    <w:tmpl w:val="963044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8B35353"/>
    <w:multiLevelType w:val="multilevel"/>
    <w:tmpl w:val="1C0E9EAE"/>
    <w:name w:val="Analyza"/>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pStyle w:val="Nadpis5"/>
      <w:suff w:val="space"/>
      <w:lvlText w:val="%1.%2.%3.%4.%5"/>
      <w:lvlJc w:val="left"/>
      <w:pPr>
        <w:ind w:left="1008" w:hanging="1008"/>
      </w:pPr>
      <w:rPr>
        <w:rFonts w:hint="default"/>
      </w:rPr>
    </w:lvl>
    <w:lvl w:ilvl="5">
      <w:start w:val="1"/>
      <w:numFmt w:val="decimal"/>
      <w:pStyle w:val="Nadpis6"/>
      <w:suff w:val="space"/>
      <w:lvlText w:val="%1.%2.%3.%4.%5.%6"/>
      <w:lvlJc w:val="left"/>
      <w:pPr>
        <w:ind w:left="1152" w:hanging="1152"/>
      </w:pPr>
      <w:rPr>
        <w:rFonts w:hint="default"/>
      </w:rPr>
    </w:lvl>
    <w:lvl w:ilvl="6">
      <w:start w:val="1"/>
      <w:numFmt w:val="decimal"/>
      <w:pStyle w:val="Nadpis7"/>
      <w:suff w:val="space"/>
      <w:lvlText w:val="%1.%2.%3.%4.%5.%6.%7"/>
      <w:lvlJc w:val="left"/>
      <w:pPr>
        <w:ind w:left="1296" w:hanging="1296"/>
      </w:pPr>
      <w:rPr>
        <w:rFonts w:hint="default"/>
      </w:rPr>
    </w:lvl>
    <w:lvl w:ilvl="7">
      <w:start w:val="1"/>
      <w:numFmt w:val="decimal"/>
      <w:pStyle w:val="Nadpis8"/>
      <w:suff w:val="space"/>
      <w:lvlText w:val="%1.%2.%3.%4.%5.%6.%7.%8"/>
      <w:lvlJc w:val="left"/>
      <w:pPr>
        <w:ind w:left="1440" w:hanging="1440"/>
      </w:pPr>
      <w:rPr>
        <w:rFonts w:hint="default"/>
      </w:rPr>
    </w:lvl>
    <w:lvl w:ilvl="8">
      <w:start w:val="1"/>
      <w:numFmt w:val="decimal"/>
      <w:pStyle w:val="Nadpis9"/>
      <w:suff w:val="space"/>
      <w:lvlText w:val="%1.%2.%3.%4.%5.%6.%7.%8.%9"/>
      <w:lvlJc w:val="left"/>
      <w:pPr>
        <w:ind w:left="1584" w:hanging="1584"/>
      </w:pPr>
      <w:rPr>
        <w:rFonts w:hint="default"/>
      </w:rPr>
    </w:lvl>
  </w:abstractNum>
  <w:abstractNum w:abstractNumId="16" w15:restartNumberingAfterBreak="0">
    <w:nsid w:val="1E462C8E"/>
    <w:multiLevelType w:val="hybridMultilevel"/>
    <w:tmpl w:val="84B464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2C64F20"/>
    <w:multiLevelType w:val="hybridMultilevel"/>
    <w:tmpl w:val="ADE25A6C"/>
    <w:lvl w:ilvl="0" w:tplc="04050001">
      <w:start w:val="1"/>
      <w:numFmt w:val="bullet"/>
      <w:lvlText w:val=""/>
      <w:lvlJc w:val="left"/>
      <w:pPr>
        <w:ind w:left="363"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8352333"/>
    <w:multiLevelType w:val="multilevel"/>
    <w:tmpl w:val="D0ACFA4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8DA62F8"/>
    <w:multiLevelType w:val="hybridMultilevel"/>
    <w:tmpl w:val="419C87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A5A7A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2420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D106E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11355C0"/>
    <w:multiLevelType w:val="multilevel"/>
    <w:tmpl w:val="697E8B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39914012"/>
    <w:multiLevelType w:val="multilevel"/>
    <w:tmpl w:val="F380F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C7C1667"/>
    <w:multiLevelType w:val="hybridMultilevel"/>
    <w:tmpl w:val="735E7570"/>
    <w:lvl w:ilvl="0" w:tplc="5588AF8E">
      <w:start w:val="1"/>
      <w:numFmt w:val="decimal"/>
      <w:lvlText w:val="%1."/>
      <w:lvlJc w:val="left"/>
      <w:pPr>
        <w:ind w:left="4800" w:hanging="360"/>
      </w:pPr>
      <w:rPr>
        <w:rFonts w:hint="default"/>
      </w:rPr>
    </w:lvl>
    <w:lvl w:ilvl="1" w:tplc="04050019" w:tentative="1">
      <w:start w:val="1"/>
      <w:numFmt w:val="lowerLetter"/>
      <w:lvlText w:val="%2."/>
      <w:lvlJc w:val="left"/>
      <w:pPr>
        <w:ind w:left="5520" w:hanging="360"/>
      </w:pPr>
    </w:lvl>
    <w:lvl w:ilvl="2" w:tplc="0405001B" w:tentative="1">
      <w:start w:val="1"/>
      <w:numFmt w:val="lowerRoman"/>
      <w:lvlText w:val="%3."/>
      <w:lvlJc w:val="right"/>
      <w:pPr>
        <w:ind w:left="6240" w:hanging="180"/>
      </w:pPr>
    </w:lvl>
    <w:lvl w:ilvl="3" w:tplc="0405000F" w:tentative="1">
      <w:start w:val="1"/>
      <w:numFmt w:val="decimal"/>
      <w:lvlText w:val="%4."/>
      <w:lvlJc w:val="left"/>
      <w:pPr>
        <w:ind w:left="6960" w:hanging="360"/>
      </w:pPr>
    </w:lvl>
    <w:lvl w:ilvl="4" w:tplc="04050019" w:tentative="1">
      <w:start w:val="1"/>
      <w:numFmt w:val="lowerLetter"/>
      <w:lvlText w:val="%5."/>
      <w:lvlJc w:val="left"/>
      <w:pPr>
        <w:ind w:left="7680" w:hanging="360"/>
      </w:pPr>
    </w:lvl>
    <w:lvl w:ilvl="5" w:tplc="0405001B" w:tentative="1">
      <w:start w:val="1"/>
      <w:numFmt w:val="lowerRoman"/>
      <w:lvlText w:val="%6."/>
      <w:lvlJc w:val="right"/>
      <w:pPr>
        <w:ind w:left="8400" w:hanging="180"/>
      </w:pPr>
    </w:lvl>
    <w:lvl w:ilvl="6" w:tplc="0405000F" w:tentative="1">
      <w:start w:val="1"/>
      <w:numFmt w:val="decimal"/>
      <w:lvlText w:val="%7."/>
      <w:lvlJc w:val="left"/>
      <w:pPr>
        <w:ind w:left="9120" w:hanging="360"/>
      </w:pPr>
    </w:lvl>
    <w:lvl w:ilvl="7" w:tplc="04050019" w:tentative="1">
      <w:start w:val="1"/>
      <w:numFmt w:val="lowerLetter"/>
      <w:lvlText w:val="%8."/>
      <w:lvlJc w:val="left"/>
      <w:pPr>
        <w:ind w:left="9840" w:hanging="360"/>
      </w:pPr>
    </w:lvl>
    <w:lvl w:ilvl="8" w:tplc="0405001B" w:tentative="1">
      <w:start w:val="1"/>
      <w:numFmt w:val="lowerRoman"/>
      <w:lvlText w:val="%9."/>
      <w:lvlJc w:val="right"/>
      <w:pPr>
        <w:ind w:left="10560" w:hanging="180"/>
      </w:pPr>
    </w:lvl>
  </w:abstractNum>
  <w:abstractNum w:abstractNumId="27" w15:restartNumberingAfterBreak="0">
    <w:nsid w:val="3D4D0562"/>
    <w:multiLevelType w:val="hybridMultilevel"/>
    <w:tmpl w:val="E8A8F2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3BB1D16"/>
    <w:multiLevelType w:val="hybridMultilevel"/>
    <w:tmpl w:val="CA4409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44558D6"/>
    <w:multiLevelType w:val="hybridMultilevel"/>
    <w:tmpl w:val="1B90B8E0"/>
    <w:lvl w:ilvl="0" w:tplc="4B66ED1E">
      <w:start w:val="1"/>
      <w:numFmt w:val="decimal"/>
      <w:lvlText w:val="%1."/>
      <w:lvlJc w:val="left"/>
      <w:pPr>
        <w:ind w:left="4905" w:hanging="360"/>
      </w:pPr>
      <w:rPr>
        <w:rFonts w:hint="default"/>
      </w:rPr>
    </w:lvl>
    <w:lvl w:ilvl="1" w:tplc="04050019" w:tentative="1">
      <w:start w:val="1"/>
      <w:numFmt w:val="lowerLetter"/>
      <w:lvlText w:val="%2."/>
      <w:lvlJc w:val="left"/>
      <w:pPr>
        <w:ind w:left="5625" w:hanging="360"/>
      </w:pPr>
    </w:lvl>
    <w:lvl w:ilvl="2" w:tplc="0405001B" w:tentative="1">
      <w:start w:val="1"/>
      <w:numFmt w:val="lowerRoman"/>
      <w:lvlText w:val="%3."/>
      <w:lvlJc w:val="right"/>
      <w:pPr>
        <w:ind w:left="6345" w:hanging="180"/>
      </w:pPr>
    </w:lvl>
    <w:lvl w:ilvl="3" w:tplc="0405000F" w:tentative="1">
      <w:start w:val="1"/>
      <w:numFmt w:val="decimal"/>
      <w:lvlText w:val="%4."/>
      <w:lvlJc w:val="left"/>
      <w:pPr>
        <w:ind w:left="7065" w:hanging="360"/>
      </w:pPr>
    </w:lvl>
    <w:lvl w:ilvl="4" w:tplc="04050019" w:tentative="1">
      <w:start w:val="1"/>
      <w:numFmt w:val="lowerLetter"/>
      <w:lvlText w:val="%5."/>
      <w:lvlJc w:val="left"/>
      <w:pPr>
        <w:ind w:left="7785" w:hanging="360"/>
      </w:pPr>
    </w:lvl>
    <w:lvl w:ilvl="5" w:tplc="0405001B" w:tentative="1">
      <w:start w:val="1"/>
      <w:numFmt w:val="lowerRoman"/>
      <w:lvlText w:val="%6."/>
      <w:lvlJc w:val="right"/>
      <w:pPr>
        <w:ind w:left="8505" w:hanging="180"/>
      </w:pPr>
    </w:lvl>
    <w:lvl w:ilvl="6" w:tplc="0405000F" w:tentative="1">
      <w:start w:val="1"/>
      <w:numFmt w:val="decimal"/>
      <w:lvlText w:val="%7."/>
      <w:lvlJc w:val="left"/>
      <w:pPr>
        <w:ind w:left="9225" w:hanging="360"/>
      </w:pPr>
    </w:lvl>
    <w:lvl w:ilvl="7" w:tplc="04050019" w:tentative="1">
      <w:start w:val="1"/>
      <w:numFmt w:val="lowerLetter"/>
      <w:lvlText w:val="%8."/>
      <w:lvlJc w:val="left"/>
      <w:pPr>
        <w:ind w:left="9945" w:hanging="360"/>
      </w:pPr>
    </w:lvl>
    <w:lvl w:ilvl="8" w:tplc="0405001B" w:tentative="1">
      <w:start w:val="1"/>
      <w:numFmt w:val="lowerRoman"/>
      <w:lvlText w:val="%9."/>
      <w:lvlJc w:val="right"/>
      <w:pPr>
        <w:ind w:left="10665" w:hanging="180"/>
      </w:pPr>
    </w:lvl>
  </w:abstractNum>
  <w:abstractNum w:abstractNumId="30" w15:restartNumberingAfterBreak="0">
    <w:nsid w:val="479678F7"/>
    <w:multiLevelType w:val="hybridMultilevel"/>
    <w:tmpl w:val="A4DE7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95051A8"/>
    <w:multiLevelType w:val="hybridMultilevel"/>
    <w:tmpl w:val="DEACEA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ADA4287"/>
    <w:multiLevelType w:val="multilevel"/>
    <w:tmpl w:val="1C0E9EAE"/>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4"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E490F3B"/>
    <w:multiLevelType w:val="hybridMultilevel"/>
    <w:tmpl w:val="D64CB604"/>
    <w:lvl w:ilvl="0" w:tplc="67AC8A1C">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655F88"/>
    <w:multiLevelType w:val="hybridMultilevel"/>
    <w:tmpl w:val="70283F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38567A6"/>
    <w:multiLevelType w:val="hybridMultilevel"/>
    <w:tmpl w:val="50E0F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8CB210F"/>
    <w:multiLevelType w:val="multilevel"/>
    <w:tmpl w:val="D64CB604"/>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CD405E1"/>
    <w:multiLevelType w:val="multilevel"/>
    <w:tmpl w:val="5FCA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EF3AA7"/>
    <w:multiLevelType w:val="multilevel"/>
    <w:tmpl w:val="9092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B048D2"/>
    <w:multiLevelType w:val="hybridMultilevel"/>
    <w:tmpl w:val="D2A0F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B235D04"/>
    <w:multiLevelType w:val="hybridMultilevel"/>
    <w:tmpl w:val="26840E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87747AF"/>
    <w:multiLevelType w:val="hybridMultilevel"/>
    <w:tmpl w:val="76204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B651B2D"/>
    <w:multiLevelType w:val="hybridMultilevel"/>
    <w:tmpl w:val="858498FC"/>
    <w:lvl w:ilvl="0" w:tplc="B4A838D0">
      <w:start w:val="1"/>
      <w:numFmt w:val="bullet"/>
      <w:pStyle w:val="Normalodrka"/>
      <w:lvlText w:val=""/>
      <w:lvlJc w:val="left"/>
      <w:pPr>
        <w:ind w:left="363"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DA7946"/>
    <w:multiLevelType w:val="multilevel"/>
    <w:tmpl w:val="6F3E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8E301A"/>
    <w:multiLevelType w:val="hybridMultilevel"/>
    <w:tmpl w:val="1A92D7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694960533">
    <w:abstractNumId w:val="31"/>
  </w:num>
  <w:num w:numId="2" w16cid:durableId="997685702">
    <w:abstractNumId w:val="8"/>
  </w:num>
  <w:num w:numId="3" w16cid:durableId="2038313518">
    <w:abstractNumId w:val="3"/>
  </w:num>
  <w:num w:numId="4" w16cid:durableId="331031531">
    <w:abstractNumId w:val="2"/>
  </w:num>
  <w:num w:numId="5" w16cid:durableId="1757743337">
    <w:abstractNumId w:val="1"/>
  </w:num>
  <w:num w:numId="6" w16cid:durableId="409816451">
    <w:abstractNumId w:val="0"/>
  </w:num>
  <w:num w:numId="7" w16cid:durableId="1318534121">
    <w:abstractNumId w:val="9"/>
  </w:num>
  <w:num w:numId="8" w16cid:durableId="262305282">
    <w:abstractNumId w:val="7"/>
  </w:num>
  <w:num w:numId="9" w16cid:durableId="136917715">
    <w:abstractNumId w:val="6"/>
  </w:num>
  <w:num w:numId="10" w16cid:durableId="2045862263">
    <w:abstractNumId w:val="5"/>
  </w:num>
  <w:num w:numId="11" w16cid:durableId="191305307">
    <w:abstractNumId w:val="4"/>
  </w:num>
  <w:num w:numId="12" w16cid:durableId="333654438">
    <w:abstractNumId w:val="18"/>
  </w:num>
  <w:num w:numId="13" w16cid:durableId="969557016">
    <w:abstractNumId w:val="34"/>
  </w:num>
  <w:num w:numId="14" w16cid:durableId="607392429">
    <w:abstractNumId w:val="15"/>
  </w:num>
  <w:num w:numId="15" w16cid:durableId="1953782534">
    <w:abstractNumId w:val="24"/>
  </w:num>
  <w:num w:numId="16" w16cid:durableId="2048219208">
    <w:abstractNumId w:val="19"/>
  </w:num>
  <w:num w:numId="17" w16cid:durableId="684745295">
    <w:abstractNumId w:val="35"/>
  </w:num>
  <w:num w:numId="18" w16cid:durableId="1764376373">
    <w:abstractNumId w:val="25"/>
  </w:num>
  <w:num w:numId="19" w16cid:durableId="807280038">
    <w:abstractNumId w:val="38"/>
  </w:num>
  <w:num w:numId="20" w16cid:durableId="1692685976">
    <w:abstractNumId w:val="44"/>
  </w:num>
  <w:num w:numId="21" w16cid:durableId="1978029892">
    <w:abstractNumId w:val="33"/>
  </w:num>
  <w:num w:numId="22" w16cid:durableId="718896653">
    <w:abstractNumId w:val="23"/>
  </w:num>
  <w:num w:numId="23" w16cid:durableId="159078720">
    <w:abstractNumId w:val="21"/>
  </w:num>
  <w:num w:numId="24" w16cid:durableId="1135441192">
    <w:abstractNumId w:val="22"/>
  </w:num>
  <w:num w:numId="25" w16cid:durableId="1815366340">
    <w:abstractNumId w:val="41"/>
  </w:num>
  <w:num w:numId="26" w16cid:durableId="1577863405">
    <w:abstractNumId w:val="43"/>
  </w:num>
  <w:num w:numId="27" w16cid:durableId="223610688">
    <w:abstractNumId w:val="44"/>
  </w:num>
  <w:num w:numId="28" w16cid:durableId="1207061094">
    <w:abstractNumId w:val="13"/>
  </w:num>
  <w:num w:numId="29" w16cid:durableId="1693920833">
    <w:abstractNumId w:val="27"/>
  </w:num>
  <w:num w:numId="30" w16cid:durableId="1876775477">
    <w:abstractNumId w:val="26"/>
  </w:num>
  <w:num w:numId="31" w16cid:durableId="179972127">
    <w:abstractNumId w:val="10"/>
  </w:num>
  <w:num w:numId="32" w16cid:durableId="970136012">
    <w:abstractNumId w:val="28"/>
  </w:num>
  <w:num w:numId="33" w16cid:durableId="1617836376">
    <w:abstractNumId w:val="12"/>
  </w:num>
  <w:num w:numId="34" w16cid:durableId="357007340">
    <w:abstractNumId w:val="46"/>
  </w:num>
  <w:num w:numId="35" w16cid:durableId="2131776467">
    <w:abstractNumId w:val="11"/>
  </w:num>
  <w:num w:numId="36" w16cid:durableId="1776095800">
    <w:abstractNumId w:val="37"/>
  </w:num>
  <w:num w:numId="37" w16cid:durableId="862209000">
    <w:abstractNumId w:val="30"/>
  </w:num>
  <w:num w:numId="38" w16cid:durableId="322010878">
    <w:abstractNumId w:val="29"/>
  </w:num>
  <w:num w:numId="39" w16cid:durableId="1458373311">
    <w:abstractNumId w:val="39"/>
  </w:num>
  <w:num w:numId="40" w16cid:durableId="288441997">
    <w:abstractNumId w:val="45"/>
  </w:num>
  <w:num w:numId="41" w16cid:durableId="952595072">
    <w:abstractNumId w:val="40"/>
  </w:num>
  <w:num w:numId="42" w16cid:durableId="1427652868">
    <w:abstractNumId w:val="32"/>
  </w:num>
  <w:num w:numId="43" w16cid:durableId="1024401835">
    <w:abstractNumId w:val="20"/>
  </w:num>
  <w:num w:numId="44" w16cid:durableId="428089243">
    <w:abstractNumId w:val="14"/>
  </w:num>
  <w:num w:numId="45" w16cid:durableId="82647767">
    <w:abstractNumId w:val="36"/>
  </w:num>
  <w:num w:numId="46" w16cid:durableId="215163427">
    <w:abstractNumId w:val="16"/>
  </w:num>
  <w:num w:numId="47" w16cid:durableId="222064403">
    <w:abstractNumId w:val="44"/>
  </w:num>
  <w:num w:numId="48" w16cid:durableId="1639922006">
    <w:abstractNumId w:val="44"/>
    <w:lvlOverride w:ilvl="0">
      <w:startOverride w:val="1"/>
    </w:lvlOverride>
  </w:num>
  <w:num w:numId="49" w16cid:durableId="1509101590">
    <w:abstractNumId w:val="17"/>
  </w:num>
  <w:num w:numId="50" w16cid:durableId="14816520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50">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062"/>
    <w:rsid w:val="0000209D"/>
    <w:rsid w:val="00004D5A"/>
    <w:rsid w:val="000056D5"/>
    <w:rsid w:val="00006ABD"/>
    <w:rsid w:val="0000767A"/>
    <w:rsid w:val="00010256"/>
    <w:rsid w:val="00010702"/>
    <w:rsid w:val="00011912"/>
    <w:rsid w:val="00011F39"/>
    <w:rsid w:val="00017058"/>
    <w:rsid w:val="0001750B"/>
    <w:rsid w:val="0002195D"/>
    <w:rsid w:val="000234D6"/>
    <w:rsid w:val="00023D29"/>
    <w:rsid w:val="00026389"/>
    <w:rsid w:val="00031AE0"/>
    <w:rsid w:val="000322EF"/>
    <w:rsid w:val="00033FCD"/>
    <w:rsid w:val="000347D3"/>
    <w:rsid w:val="00040D10"/>
    <w:rsid w:val="00041CEC"/>
    <w:rsid w:val="0004694F"/>
    <w:rsid w:val="000522E4"/>
    <w:rsid w:val="00054EA4"/>
    <w:rsid w:val="00055507"/>
    <w:rsid w:val="000610E1"/>
    <w:rsid w:val="00062EC5"/>
    <w:rsid w:val="00062F22"/>
    <w:rsid w:val="000673C2"/>
    <w:rsid w:val="000712B3"/>
    <w:rsid w:val="00073A4E"/>
    <w:rsid w:val="0007716A"/>
    <w:rsid w:val="0008263E"/>
    <w:rsid w:val="000829B1"/>
    <w:rsid w:val="00082C19"/>
    <w:rsid w:val="00085395"/>
    <w:rsid w:val="00086CFB"/>
    <w:rsid w:val="00087634"/>
    <w:rsid w:val="00087F2B"/>
    <w:rsid w:val="00090C0E"/>
    <w:rsid w:val="000912CC"/>
    <w:rsid w:val="00092201"/>
    <w:rsid w:val="00095135"/>
    <w:rsid w:val="000974D1"/>
    <w:rsid w:val="0009799E"/>
    <w:rsid w:val="000A1183"/>
    <w:rsid w:val="000A256D"/>
    <w:rsid w:val="000A395A"/>
    <w:rsid w:val="000A3A2C"/>
    <w:rsid w:val="000A5265"/>
    <w:rsid w:val="000A57D4"/>
    <w:rsid w:val="000B1202"/>
    <w:rsid w:val="000B3CE2"/>
    <w:rsid w:val="000B7C8D"/>
    <w:rsid w:val="000C004E"/>
    <w:rsid w:val="000C2CF1"/>
    <w:rsid w:val="000C3408"/>
    <w:rsid w:val="000C6AFD"/>
    <w:rsid w:val="000C7C6F"/>
    <w:rsid w:val="000D1B52"/>
    <w:rsid w:val="000D3CE8"/>
    <w:rsid w:val="000D5637"/>
    <w:rsid w:val="000E15EA"/>
    <w:rsid w:val="000E22F0"/>
    <w:rsid w:val="000E6FBD"/>
    <w:rsid w:val="000F18D0"/>
    <w:rsid w:val="000F49A9"/>
    <w:rsid w:val="00100F5C"/>
    <w:rsid w:val="00101CDA"/>
    <w:rsid w:val="00102C41"/>
    <w:rsid w:val="00104C4C"/>
    <w:rsid w:val="00107F50"/>
    <w:rsid w:val="00117623"/>
    <w:rsid w:val="0012096D"/>
    <w:rsid w:val="0012192F"/>
    <w:rsid w:val="00122098"/>
    <w:rsid w:val="001224E5"/>
    <w:rsid w:val="00124443"/>
    <w:rsid w:val="00124940"/>
    <w:rsid w:val="00125D69"/>
    <w:rsid w:val="001302D9"/>
    <w:rsid w:val="001403D0"/>
    <w:rsid w:val="001405FA"/>
    <w:rsid w:val="00142254"/>
    <w:rsid w:val="001425C3"/>
    <w:rsid w:val="001476BD"/>
    <w:rsid w:val="001477BA"/>
    <w:rsid w:val="00151983"/>
    <w:rsid w:val="00153D91"/>
    <w:rsid w:val="001612F4"/>
    <w:rsid w:val="00161AB8"/>
    <w:rsid w:val="0016256B"/>
    <w:rsid w:val="001625B5"/>
    <w:rsid w:val="00163793"/>
    <w:rsid w:val="0016649F"/>
    <w:rsid w:val="00170621"/>
    <w:rsid w:val="001706D6"/>
    <w:rsid w:val="001714F2"/>
    <w:rsid w:val="00175B9F"/>
    <w:rsid w:val="00175C9E"/>
    <w:rsid w:val="00181BBC"/>
    <w:rsid w:val="00184B08"/>
    <w:rsid w:val="00185010"/>
    <w:rsid w:val="0019143B"/>
    <w:rsid w:val="00193777"/>
    <w:rsid w:val="001A0487"/>
    <w:rsid w:val="001A108E"/>
    <w:rsid w:val="001A4CA3"/>
    <w:rsid w:val="001A552F"/>
    <w:rsid w:val="001A5B6F"/>
    <w:rsid w:val="001A6170"/>
    <w:rsid w:val="001A7280"/>
    <w:rsid w:val="001B2CA9"/>
    <w:rsid w:val="001B3110"/>
    <w:rsid w:val="001B4729"/>
    <w:rsid w:val="001B4738"/>
    <w:rsid w:val="001B6310"/>
    <w:rsid w:val="001B6C09"/>
    <w:rsid w:val="001B73E6"/>
    <w:rsid w:val="001C05CD"/>
    <w:rsid w:val="001C2AA7"/>
    <w:rsid w:val="001C3924"/>
    <w:rsid w:val="001C6020"/>
    <w:rsid w:val="001D1815"/>
    <w:rsid w:val="001D40D7"/>
    <w:rsid w:val="001D48D4"/>
    <w:rsid w:val="001D68B2"/>
    <w:rsid w:val="001E1C2E"/>
    <w:rsid w:val="001E504C"/>
    <w:rsid w:val="001E5850"/>
    <w:rsid w:val="001E6062"/>
    <w:rsid w:val="001E6753"/>
    <w:rsid w:val="001F4597"/>
    <w:rsid w:val="00203DA4"/>
    <w:rsid w:val="00207871"/>
    <w:rsid w:val="002118B9"/>
    <w:rsid w:val="00213E46"/>
    <w:rsid w:val="00214CF7"/>
    <w:rsid w:val="002152E4"/>
    <w:rsid w:val="00216286"/>
    <w:rsid w:val="00216A01"/>
    <w:rsid w:val="002175EA"/>
    <w:rsid w:val="00217C5B"/>
    <w:rsid w:val="0022139E"/>
    <w:rsid w:val="00222729"/>
    <w:rsid w:val="00222833"/>
    <w:rsid w:val="002252E0"/>
    <w:rsid w:val="002255F6"/>
    <w:rsid w:val="00227850"/>
    <w:rsid w:val="00227A53"/>
    <w:rsid w:val="00230682"/>
    <w:rsid w:val="00230C6E"/>
    <w:rsid w:val="00233546"/>
    <w:rsid w:val="00233CD7"/>
    <w:rsid w:val="00233D05"/>
    <w:rsid w:val="00236443"/>
    <w:rsid w:val="00237B95"/>
    <w:rsid w:val="00241B06"/>
    <w:rsid w:val="00242119"/>
    <w:rsid w:val="002421C4"/>
    <w:rsid w:val="00242C10"/>
    <w:rsid w:val="002436BA"/>
    <w:rsid w:val="00243A3C"/>
    <w:rsid w:val="00244A15"/>
    <w:rsid w:val="0024661A"/>
    <w:rsid w:val="00247319"/>
    <w:rsid w:val="0024741D"/>
    <w:rsid w:val="002475AC"/>
    <w:rsid w:val="0024799E"/>
    <w:rsid w:val="00247EE7"/>
    <w:rsid w:val="0025271C"/>
    <w:rsid w:val="00252D48"/>
    <w:rsid w:val="00253C0F"/>
    <w:rsid w:val="002558C1"/>
    <w:rsid w:val="00255B30"/>
    <w:rsid w:val="00261A17"/>
    <w:rsid w:val="0027099B"/>
    <w:rsid w:val="00271465"/>
    <w:rsid w:val="00275385"/>
    <w:rsid w:val="00281666"/>
    <w:rsid w:val="0028207A"/>
    <w:rsid w:val="00282918"/>
    <w:rsid w:val="00285412"/>
    <w:rsid w:val="00290725"/>
    <w:rsid w:val="00291407"/>
    <w:rsid w:val="00291640"/>
    <w:rsid w:val="0029568F"/>
    <w:rsid w:val="00295A5D"/>
    <w:rsid w:val="002A1407"/>
    <w:rsid w:val="002A16D4"/>
    <w:rsid w:val="002A230C"/>
    <w:rsid w:val="002A66B0"/>
    <w:rsid w:val="002B2299"/>
    <w:rsid w:val="002B264B"/>
    <w:rsid w:val="002B4845"/>
    <w:rsid w:val="002B48B4"/>
    <w:rsid w:val="002C2FE9"/>
    <w:rsid w:val="002C3E17"/>
    <w:rsid w:val="002C43BD"/>
    <w:rsid w:val="002C5568"/>
    <w:rsid w:val="002D0E59"/>
    <w:rsid w:val="002E02A1"/>
    <w:rsid w:val="002E42AC"/>
    <w:rsid w:val="002E4E4C"/>
    <w:rsid w:val="002F2057"/>
    <w:rsid w:val="002F3E4F"/>
    <w:rsid w:val="002F40D1"/>
    <w:rsid w:val="00302ADD"/>
    <w:rsid w:val="00304771"/>
    <w:rsid w:val="0030495D"/>
    <w:rsid w:val="003052D4"/>
    <w:rsid w:val="00306C5B"/>
    <w:rsid w:val="00307B34"/>
    <w:rsid w:val="003103E0"/>
    <w:rsid w:val="0031173F"/>
    <w:rsid w:val="00314F9F"/>
    <w:rsid w:val="003209D6"/>
    <w:rsid w:val="00321205"/>
    <w:rsid w:val="00321924"/>
    <w:rsid w:val="00324442"/>
    <w:rsid w:val="0032656E"/>
    <w:rsid w:val="00327D4E"/>
    <w:rsid w:val="00332190"/>
    <w:rsid w:val="00340188"/>
    <w:rsid w:val="003421E1"/>
    <w:rsid w:val="0034226A"/>
    <w:rsid w:val="00343182"/>
    <w:rsid w:val="0034335E"/>
    <w:rsid w:val="00343701"/>
    <w:rsid w:val="00344668"/>
    <w:rsid w:val="003462D9"/>
    <w:rsid w:val="00352109"/>
    <w:rsid w:val="00360C86"/>
    <w:rsid w:val="00360FBC"/>
    <w:rsid w:val="00362E90"/>
    <w:rsid w:val="00364FA0"/>
    <w:rsid w:val="003657F3"/>
    <w:rsid w:val="00366591"/>
    <w:rsid w:val="00366647"/>
    <w:rsid w:val="00371826"/>
    <w:rsid w:val="00373504"/>
    <w:rsid w:val="00374FEF"/>
    <w:rsid w:val="0038123E"/>
    <w:rsid w:val="003818DC"/>
    <w:rsid w:val="00382C5B"/>
    <w:rsid w:val="00384327"/>
    <w:rsid w:val="00385D98"/>
    <w:rsid w:val="003A15ED"/>
    <w:rsid w:val="003A1A03"/>
    <w:rsid w:val="003A2B4D"/>
    <w:rsid w:val="003A2B5E"/>
    <w:rsid w:val="003A2D12"/>
    <w:rsid w:val="003A3C62"/>
    <w:rsid w:val="003A478C"/>
    <w:rsid w:val="003A5525"/>
    <w:rsid w:val="003A6B38"/>
    <w:rsid w:val="003B461F"/>
    <w:rsid w:val="003B5A32"/>
    <w:rsid w:val="003B6B31"/>
    <w:rsid w:val="003B6BF6"/>
    <w:rsid w:val="003B7AFA"/>
    <w:rsid w:val="003C1099"/>
    <w:rsid w:val="003C16D0"/>
    <w:rsid w:val="003C3490"/>
    <w:rsid w:val="003C6550"/>
    <w:rsid w:val="003C79A6"/>
    <w:rsid w:val="003C7E62"/>
    <w:rsid w:val="003D5B4E"/>
    <w:rsid w:val="003D6920"/>
    <w:rsid w:val="003E3F1E"/>
    <w:rsid w:val="003E48F2"/>
    <w:rsid w:val="003E4C91"/>
    <w:rsid w:val="003E5DB7"/>
    <w:rsid w:val="003E62A5"/>
    <w:rsid w:val="003F313C"/>
    <w:rsid w:val="003F37FC"/>
    <w:rsid w:val="003F4B2C"/>
    <w:rsid w:val="003F551C"/>
    <w:rsid w:val="003F62B0"/>
    <w:rsid w:val="003F72ED"/>
    <w:rsid w:val="003F7D23"/>
    <w:rsid w:val="00400DF4"/>
    <w:rsid w:val="0040550D"/>
    <w:rsid w:val="004069FF"/>
    <w:rsid w:val="00407510"/>
    <w:rsid w:val="00407C13"/>
    <w:rsid w:val="0041041D"/>
    <w:rsid w:val="00410638"/>
    <w:rsid w:val="00410694"/>
    <w:rsid w:val="0041501E"/>
    <w:rsid w:val="004159C3"/>
    <w:rsid w:val="0041695B"/>
    <w:rsid w:val="00416EB7"/>
    <w:rsid w:val="00420136"/>
    <w:rsid w:val="00421773"/>
    <w:rsid w:val="00432A58"/>
    <w:rsid w:val="00434617"/>
    <w:rsid w:val="00440900"/>
    <w:rsid w:val="00441BF6"/>
    <w:rsid w:val="00443556"/>
    <w:rsid w:val="004441A0"/>
    <w:rsid w:val="004455BA"/>
    <w:rsid w:val="00446D77"/>
    <w:rsid w:val="0045010F"/>
    <w:rsid w:val="0045078A"/>
    <w:rsid w:val="0045086D"/>
    <w:rsid w:val="00451504"/>
    <w:rsid w:val="004557A9"/>
    <w:rsid w:val="00456339"/>
    <w:rsid w:val="004607BF"/>
    <w:rsid w:val="00460FB3"/>
    <w:rsid w:val="00465F26"/>
    <w:rsid w:val="0046627E"/>
    <w:rsid w:val="00476240"/>
    <w:rsid w:val="00476439"/>
    <w:rsid w:val="0047735C"/>
    <w:rsid w:val="004776BC"/>
    <w:rsid w:val="0048139F"/>
    <w:rsid w:val="00481E40"/>
    <w:rsid w:val="00484ECE"/>
    <w:rsid w:val="00485567"/>
    <w:rsid w:val="00487F47"/>
    <w:rsid w:val="004915CB"/>
    <w:rsid w:val="004924DC"/>
    <w:rsid w:val="004942CC"/>
    <w:rsid w:val="004963C7"/>
    <w:rsid w:val="004976EF"/>
    <w:rsid w:val="004A14E4"/>
    <w:rsid w:val="004A3212"/>
    <w:rsid w:val="004A5494"/>
    <w:rsid w:val="004A61C5"/>
    <w:rsid w:val="004A77DF"/>
    <w:rsid w:val="004B1417"/>
    <w:rsid w:val="004B55B7"/>
    <w:rsid w:val="004B5A60"/>
    <w:rsid w:val="004B6468"/>
    <w:rsid w:val="004B7125"/>
    <w:rsid w:val="004C180F"/>
    <w:rsid w:val="004C384C"/>
    <w:rsid w:val="004C3867"/>
    <w:rsid w:val="004C456F"/>
    <w:rsid w:val="004C4CD0"/>
    <w:rsid w:val="004C5B81"/>
    <w:rsid w:val="004C6092"/>
    <w:rsid w:val="004C70DC"/>
    <w:rsid w:val="004D0211"/>
    <w:rsid w:val="004D0794"/>
    <w:rsid w:val="004D5C93"/>
    <w:rsid w:val="004E1288"/>
    <w:rsid w:val="004E7C0C"/>
    <w:rsid w:val="004E7C6B"/>
    <w:rsid w:val="004F06F5"/>
    <w:rsid w:val="004F16B2"/>
    <w:rsid w:val="004F2C1B"/>
    <w:rsid w:val="004F33A0"/>
    <w:rsid w:val="004F3A59"/>
    <w:rsid w:val="00501EBC"/>
    <w:rsid w:val="005040A8"/>
    <w:rsid w:val="00504EE1"/>
    <w:rsid w:val="0050689D"/>
    <w:rsid w:val="00510205"/>
    <w:rsid w:val="005108C0"/>
    <w:rsid w:val="00511873"/>
    <w:rsid w:val="00511DE3"/>
    <w:rsid w:val="00512A2F"/>
    <w:rsid w:val="00513B7E"/>
    <w:rsid w:val="00515684"/>
    <w:rsid w:val="00515C74"/>
    <w:rsid w:val="00516086"/>
    <w:rsid w:val="0051713B"/>
    <w:rsid w:val="0052007E"/>
    <w:rsid w:val="0052337A"/>
    <w:rsid w:val="00525137"/>
    <w:rsid w:val="005251DD"/>
    <w:rsid w:val="00532CE7"/>
    <w:rsid w:val="00532E62"/>
    <w:rsid w:val="0053324C"/>
    <w:rsid w:val="00533DAC"/>
    <w:rsid w:val="00534A28"/>
    <w:rsid w:val="005353A2"/>
    <w:rsid w:val="005402E9"/>
    <w:rsid w:val="00541508"/>
    <w:rsid w:val="00543498"/>
    <w:rsid w:val="00545512"/>
    <w:rsid w:val="00553016"/>
    <w:rsid w:val="0055599F"/>
    <w:rsid w:val="00556995"/>
    <w:rsid w:val="00556D68"/>
    <w:rsid w:val="005602C0"/>
    <w:rsid w:val="00563EB8"/>
    <w:rsid w:val="005647BF"/>
    <w:rsid w:val="0056486D"/>
    <w:rsid w:val="00564AF1"/>
    <w:rsid w:val="0056601A"/>
    <w:rsid w:val="005722EB"/>
    <w:rsid w:val="0057364B"/>
    <w:rsid w:val="0057452C"/>
    <w:rsid w:val="00574773"/>
    <w:rsid w:val="0058050D"/>
    <w:rsid w:val="0058308D"/>
    <w:rsid w:val="00583FFD"/>
    <w:rsid w:val="00591099"/>
    <w:rsid w:val="005911BE"/>
    <w:rsid w:val="00591330"/>
    <w:rsid w:val="00593152"/>
    <w:rsid w:val="00596010"/>
    <w:rsid w:val="005A10F2"/>
    <w:rsid w:val="005A14E8"/>
    <w:rsid w:val="005A21E0"/>
    <w:rsid w:val="005A28FF"/>
    <w:rsid w:val="005A3DF8"/>
    <w:rsid w:val="005A5113"/>
    <w:rsid w:val="005A5549"/>
    <w:rsid w:val="005A7038"/>
    <w:rsid w:val="005A7128"/>
    <w:rsid w:val="005B121D"/>
    <w:rsid w:val="005B1BD0"/>
    <w:rsid w:val="005B3361"/>
    <w:rsid w:val="005C06ED"/>
    <w:rsid w:val="005C2609"/>
    <w:rsid w:val="005C3522"/>
    <w:rsid w:val="005C50BD"/>
    <w:rsid w:val="005C6CF0"/>
    <w:rsid w:val="005D0D46"/>
    <w:rsid w:val="005D2A72"/>
    <w:rsid w:val="005D4DDC"/>
    <w:rsid w:val="005D5802"/>
    <w:rsid w:val="005D7119"/>
    <w:rsid w:val="005D7241"/>
    <w:rsid w:val="005D7890"/>
    <w:rsid w:val="005E705E"/>
    <w:rsid w:val="005E7903"/>
    <w:rsid w:val="005E7C78"/>
    <w:rsid w:val="005F082A"/>
    <w:rsid w:val="005F18C5"/>
    <w:rsid w:val="005F3374"/>
    <w:rsid w:val="005F3491"/>
    <w:rsid w:val="005F3EB1"/>
    <w:rsid w:val="005F46D8"/>
    <w:rsid w:val="005F5469"/>
    <w:rsid w:val="0060201D"/>
    <w:rsid w:val="00603FF5"/>
    <w:rsid w:val="00604307"/>
    <w:rsid w:val="0060487F"/>
    <w:rsid w:val="00604EAD"/>
    <w:rsid w:val="00605D96"/>
    <w:rsid w:val="006104FB"/>
    <w:rsid w:val="00612A2F"/>
    <w:rsid w:val="0061390C"/>
    <w:rsid w:val="0061546D"/>
    <w:rsid w:val="006165E5"/>
    <w:rsid w:val="00616E05"/>
    <w:rsid w:val="00622275"/>
    <w:rsid w:val="00624093"/>
    <w:rsid w:val="00625F8F"/>
    <w:rsid w:val="00632F89"/>
    <w:rsid w:val="006350D5"/>
    <w:rsid w:val="006404A7"/>
    <w:rsid w:val="006451E4"/>
    <w:rsid w:val="00645B33"/>
    <w:rsid w:val="006516CB"/>
    <w:rsid w:val="00656FC8"/>
    <w:rsid w:val="00657E87"/>
    <w:rsid w:val="00660072"/>
    <w:rsid w:val="00664803"/>
    <w:rsid w:val="0066504F"/>
    <w:rsid w:val="00665BA4"/>
    <w:rsid w:val="00667AF2"/>
    <w:rsid w:val="006710C9"/>
    <w:rsid w:val="006712EC"/>
    <w:rsid w:val="0067229E"/>
    <w:rsid w:val="006741AC"/>
    <w:rsid w:val="00674D89"/>
    <w:rsid w:val="00675BD1"/>
    <w:rsid w:val="00675E37"/>
    <w:rsid w:val="006760C8"/>
    <w:rsid w:val="0068174E"/>
    <w:rsid w:val="00681DCE"/>
    <w:rsid w:val="0068260E"/>
    <w:rsid w:val="0068697A"/>
    <w:rsid w:val="00693594"/>
    <w:rsid w:val="00693FEC"/>
    <w:rsid w:val="0069490A"/>
    <w:rsid w:val="00695BEF"/>
    <w:rsid w:val="006977F6"/>
    <w:rsid w:val="00697A13"/>
    <w:rsid w:val="006A109C"/>
    <w:rsid w:val="006A2056"/>
    <w:rsid w:val="006A31AB"/>
    <w:rsid w:val="006A3832"/>
    <w:rsid w:val="006B0F92"/>
    <w:rsid w:val="006B173A"/>
    <w:rsid w:val="006B344A"/>
    <w:rsid w:val="006B6C74"/>
    <w:rsid w:val="006B759B"/>
    <w:rsid w:val="006B78D8"/>
    <w:rsid w:val="006C113F"/>
    <w:rsid w:val="006C123E"/>
    <w:rsid w:val="006C1752"/>
    <w:rsid w:val="006C4460"/>
    <w:rsid w:val="006C4ED6"/>
    <w:rsid w:val="006C56D4"/>
    <w:rsid w:val="006C66EC"/>
    <w:rsid w:val="006C6924"/>
    <w:rsid w:val="006C70EB"/>
    <w:rsid w:val="006C7CA6"/>
    <w:rsid w:val="006D3E8A"/>
    <w:rsid w:val="006D61F6"/>
    <w:rsid w:val="006E279A"/>
    <w:rsid w:val="006E313B"/>
    <w:rsid w:val="006E41EC"/>
    <w:rsid w:val="006E4254"/>
    <w:rsid w:val="006E50F8"/>
    <w:rsid w:val="006E6B4C"/>
    <w:rsid w:val="006E7227"/>
    <w:rsid w:val="006F438E"/>
    <w:rsid w:val="006F4AB0"/>
    <w:rsid w:val="006F5416"/>
    <w:rsid w:val="006F7076"/>
    <w:rsid w:val="00702448"/>
    <w:rsid w:val="007037C0"/>
    <w:rsid w:val="00705242"/>
    <w:rsid w:val="00706AD4"/>
    <w:rsid w:val="00707150"/>
    <w:rsid w:val="00710078"/>
    <w:rsid w:val="00710229"/>
    <w:rsid w:val="00710CD2"/>
    <w:rsid w:val="0071217E"/>
    <w:rsid w:val="00712600"/>
    <w:rsid w:val="0071340F"/>
    <w:rsid w:val="007140BE"/>
    <w:rsid w:val="007143B4"/>
    <w:rsid w:val="007211F5"/>
    <w:rsid w:val="0072213B"/>
    <w:rsid w:val="00723946"/>
    <w:rsid w:val="007240E2"/>
    <w:rsid w:val="00725BB5"/>
    <w:rsid w:val="00730517"/>
    <w:rsid w:val="00730AE8"/>
    <w:rsid w:val="00730F1B"/>
    <w:rsid w:val="00733628"/>
    <w:rsid w:val="007342AC"/>
    <w:rsid w:val="00735AD8"/>
    <w:rsid w:val="00741493"/>
    <w:rsid w:val="00743C34"/>
    <w:rsid w:val="007446ED"/>
    <w:rsid w:val="007457F6"/>
    <w:rsid w:val="00752180"/>
    <w:rsid w:val="00753CAB"/>
    <w:rsid w:val="00755202"/>
    <w:rsid w:val="00755D3A"/>
    <w:rsid w:val="007578D3"/>
    <w:rsid w:val="007609C6"/>
    <w:rsid w:val="00760EA4"/>
    <w:rsid w:val="0076175D"/>
    <w:rsid w:val="00763B85"/>
    <w:rsid w:val="00764744"/>
    <w:rsid w:val="00764BEB"/>
    <w:rsid w:val="0076521E"/>
    <w:rsid w:val="00765C12"/>
    <w:rsid w:val="007661E9"/>
    <w:rsid w:val="00770784"/>
    <w:rsid w:val="00773220"/>
    <w:rsid w:val="00776169"/>
    <w:rsid w:val="00776527"/>
    <w:rsid w:val="00776EAB"/>
    <w:rsid w:val="00780EF1"/>
    <w:rsid w:val="00782AD8"/>
    <w:rsid w:val="007835CD"/>
    <w:rsid w:val="00790711"/>
    <w:rsid w:val="00790764"/>
    <w:rsid w:val="0079124F"/>
    <w:rsid w:val="0079453C"/>
    <w:rsid w:val="00794677"/>
    <w:rsid w:val="007951E8"/>
    <w:rsid w:val="00795928"/>
    <w:rsid w:val="00797445"/>
    <w:rsid w:val="007A0CEC"/>
    <w:rsid w:val="007A37D6"/>
    <w:rsid w:val="007A3861"/>
    <w:rsid w:val="007A4577"/>
    <w:rsid w:val="007A516D"/>
    <w:rsid w:val="007B3597"/>
    <w:rsid w:val="007B5EB6"/>
    <w:rsid w:val="007B6203"/>
    <w:rsid w:val="007B6689"/>
    <w:rsid w:val="007C6BBD"/>
    <w:rsid w:val="007D293C"/>
    <w:rsid w:val="007D40DF"/>
    <w:rsid w:val="007E29B4"/>
    <w:rsid w:val="007E2BA5"/>
    <w:rsid w:val="007E435A"/>
    <w:rsid w:val="007E4A88"/>
    <w:rsid w:val="007E76C3"/>
    <w:rsid w:val="007E7E61"/>
    <w:rsid w:val="007E7FCE"/>
    <w:rsid w:val="007F0076"/>
    <w:rsid w:val="007F0845"/>
    <w:rsid w:val="007F708D"/>
    <w:rsid w:val="00800216"/>
    <w:rsid w:val="00801E13"/>
    <w:rsid w:val="00807365"/>
    <w:rsid w:val="00807C82"/>
    <w:rsid w:val="00810C82"/>
    <w:rsid w:val="00811E1D"/>
    <w:rsid w:val="00814B15"/>
    <w:rsid w:val="00816905"/>
    <w:rsid w:val="00821777"/>
    <w:rsid w:val="00821C44"/>
    <w:rsid w:val="00821FF6"/>
    <w:rsid w:val="00822574"/>
    <w:rsid w:val="00825C4D"/>
    <w:rsid w:val="008304D1"/>
    <w:rsid w:val="00830D03"/>
    <w:rsid w:val="0083143E"/>
    <w:rsid w:val="00831CDE"/>
    <w:rsid w:val="0083316C"/>
    <w:rsid w:val="00834304"/>
    <w:rsid w:val="00834FAA"/>
    <w:rsid w:val="0083516C"/>
    <w:rsid w:val="00836086"/>
    <w:rsid w:val="00843A14"/>
    <w:rsid w:val="00846121"/>
    <w:rsid w:val="008462A8"/>
    <w:rsid w:val="0084708F"/>
    <w:rsid w:val="008477C8"/>
    <w:rsid w:val="00847963"/>
    <w:rsid w:val="00850815"/>
    <w:rsid w:val="0085114D"/>
    <w:rsid w:val="00852217"/>
    <w:rsid w:val="00853B8D"/>
    <w:rsid w:val="00853CC6"/>
    <w:rsid w:val="00854F24"/>
    <w:rsid w:val="00855408"/>
    <w:rsid w:val="00855712"/>
    <w:rsid w:val="00856D65"/>
    <w:rsid w:val="0085781D"/>
    <w:rsid w:val="00860007"/>
    <w:rsid w:val="00861B41"/>
    <w:rsid w:val="00861BE3"/>
    <w:rsid w:val="00863434"/>
    <w:rsid w:val="00865E4C"/>
    <w:rsid w:val="008701E4"/>
    <w:rsid w:val="0087052A"/>
    <w:rsid w:val="00871069"/>
    <w:rsid w:val="00875A32"/>
    <w:rsid w:val="00875B99"/>
    <w:rsid w:val="00876086"/>
    <w:rsid w:val="008766AC"/>
    <w:rsid w:val="00881EAF"/>
    <w:rsid w:val="008825B0"/>
    <w:rsid w:val="00884AD6"/>
    <w:rsid w:val="008873D4"/>
    <w:rsid w:val="00890D6D"/>
    <w:rsid w:val="0089126C"/>
    <w:rsid w:val="0089296D"/>
    <w:rsid w:val="00893E85"/>
    <w:rsid w:val="00894031"/>
    <w:rsid w:val="00895508"/>
    <w:rsid w:val="008A6CB4"/>
    <w:rsid w:val="008A7135"/>
    <w:rsid w:val="008B542E"/>
    <w:rsid w:val="008B5CF6"/>
    <w:rsid w:val="008B76AB"/>
    <w:rsid w:val="008B7C02"/>
    <w:rsid w:val="008B7D2B"/>
    <w:rsid w:val="008C0049"/>
    <w:rsid w:val="008C0E88"/>
    <w:rsid w:val="008C1968"/>
    <w:rsid w:val="008C4F74"/>
    <w:rsid w:val="008C53CB"/>
    <w:rsid w:val="008C6FD4"/>
    <w:rsid w:val="008D1BA1"/>
    <w:rsid w:val="008D1E6A"/>
    <w:rsid w:val="008D2A16"/>
    <w:rsid w:val="008D632C"/>
    <w:rsid w:val="008D6B35"/>
    <w:rsid w:val="008D75D9"/>
    <w:rsid w:val="008E163D"/>
    <w:rsid w:val="008E2C57"/>
    <w:rsid w:val="008E31FF"/>
    <w:rsid w:val="008E6F06"/>
    <w:rsid w:val="008E7FC9"/>
    <w:rsid w:val="008F029B"/>
    <w:rsid w:val="008F3FC9"/>
    <w:rsid w:val="008F585B"/>
    <w:rsid w:val="009003A8"/>
    <w:rsid w:val="00901518"/>
    <w:rsid w:val="00902500"/>
    <w:rsid w:val="00902EFF"/>
    <w:rsid w:val="00906401"/>
    <w:rsid w:val="0091155E"/>
    <w:rsid w:val="00912A92"/>
    <w:rsid w:val="0091728D"/>
    <w:rsid w:val="0092180B"/>
    <w:rsid w:val="00921F14"/>
    <w:rsid w:val="009231A3"/>
    <w:rsid w:val="00924AC8"/>
    <w:rsid w:val="0092597A"/>
    <w:rsid w:val="00925E75"/>
    <w:rsid w:val="00930FB1"/>
    <w:rsid w:val="0093139F"/>
    <w:rsid w:val="00932443"/>
    <w:rsid w:val="00934279"/>
    <w:rsid w:val="00934464"/>
    <w:rsid w:val="00937AE2"/>
    <w:rsid w:val="00943853"/>
    <w:rsid w:val="0094427A"/>
    <w:rsid w:val="00945245"/>
    <w:rsid w:val="009452D0"/>
    <w:rsid w:val="00952289"/>
    <w:rsid w:val="00954BC5"/>
    <w:rsid w:val="00956572"/>
    <w:rsid w:val="00957309"/>
    <w:rsid w:val="0095759C"/>
    <w:rsid w:val="009607C5"/>
    <w:rsid w:val="00960A29"/>
    <w:rsid w:val="00961532"/>
    <w:rsid w:val="0096774F"/>
    <w:rsid w:val="00967E76"/>
    <w:rsid w:val="009721DB"/>
    <w:rsid w:val="0097239B"/>
    <w:rsid w:val="00974071"/>
    <w:rsid w:val="00974923"/>
    <w:rsid w:val="009808F7"/>
    <w:rsid w:val="00980D3D"/>
    <w:rsid w:val="00981FFA"/>
    <w:rsid w:val="009855E1"/>
    <w:rsid w:val="00986D06"/>
    <w:rsid w:val="00987A30"/>
    <w:rsid w:val="00991731"/>
    <w:rsid w:val="00992CF3"/>
    <w:rsid w:val="00994868"/>
    <w:rsid w:val="0099574A"/>
    <w:rsid w:val="009968D6"/>
    <w:rsid w:val="009A1136"/>
    <w:rsid w:val="009A1CAB"/>
    <w:rsid w:val="009A60D1"/>
    <w:rsid w:val="009A7063"/>
    <w:rsid w:val="009B6FD3"/>
    <w:rsid w:val="009B8F42"/>
    <w:rsid w:val="009C02C3"/>
    <w:rsid w:val="009C1750"/>
    <w:rsid w:val="009C2E29"/>
    <w:rsid w:val="009C3F5D"/>
    <w:rsid w:val="009C554B"/>
    <w:rsid w:val="009C719E"/>
    <w:rsid w:val="009C7A10"/>
    <w:rsid w:val="009D1120"/>
    <w:rsid w:val="009D3ACD"/>
    <w:rsid w:val="009D4785"/>
    <w:rsid w:val="009E1988"/>
    <w:rsid w:val="009E5273"/>
    <w:rsid w:val="009E5DDB"/>
    <w:rsid w:val="009E7F05"/>
    <w:rsid w:val="009F46B7"/>
    <w:rsid w:val="009F4CA7"/>
    <w:rsid w:val="009F7558"/>
    <w:rsid w:val="009F791A"/>
    <w:rsid w:val="00A04CEF"/>
    <w:rsid w:val="00A10D66"/>
    <w:rsid w:val="00A14114"/>
    <w:rsid w:val="00A14995"/>
    <w:rsid w:val="00A1537C"/>
    <w:rsid w:val="00A16413"/>
    <w:rsid w:val="00A16E1D"/>
    <w:rsid w:val="00A17D5B"/>
    <w:rsid w:val="00A17EB2"/>
    <w:rsid w:val="00A206E5"/>
    <w:rsid w:val="00A20CC0"/>
    <w:rsid w:val="00A23447"/>
    <w:rsid w:val="00A23E43"/>
    <w:rsid w:val="00A25216"/>
    <w:rsid w:val="00A30F65"/>
    <w:rsid w:val="00A32BF2"/>
    <w:rsid w:val="00A33549"/>
    <w:rsid w:val="00A33A89"/>
    <w:rsid w:val="00A34D27"/>
    <w:rsid w:val="00A404C0"/>
    <w:rsid w:val="00A40EAC"/>
    <w:rsid w:val="00A40EDD"/>
    <w:rsid w:val="00A418BC"/>
    <w:rsid w:val="00A41A20"/>
    <w:rsid w:val="00A41D7E"/>
    <w:rsid w:val="00A4206C"/>
    <w:rsid w:val="00A4632B"/>
    <w:rsid w:val="00A46DE0"/>
    <w:rsid w:val="00A472EB"/>
    <w:rsid w:val="00A47FCA"/>
    <w:rsid w:val="00A50D73"/>
    <w:rsid w:val="00A52CAD"/>
    <w:rsid w:val="00A53FC7"/>
    <w:rsid w:val="00A60799"/>
    <w:rsid w:val="00A62CE1"/>
    <w:rsid w:val="00A668A3"/>
    <w:rsid w:val="00A6741E"/>
    <w:rsid w:val="00A7453F"/>
    <w:rsid w:val="00A754EA"/>
    <w:rsid w:val="00A75E40"/>
    <w:rsid w:val="00A770F4"/>
    <w:rsid w:val="00A77D1D"/>
    <w:rsid w:val="00A84A6A"/>
    <w:rsid w:val="00A857C0"/>
    <w:rsid w:val="00A85A4E"/>
    <w:rsid w:val="00A875AD"/>
    <w:rsid w:val="00A90FED"/>
    <w:rsid w:val="00AA2996"/>
    <w:rsid w:val="00AA2A70"/>
    <w:rsid w:val="00AA2DA1"/>
    <w:rsid w:val="00AA4B30"/>
    <w:rsid w:val="00AA52BF"/>
    <w:rsid w:val="00AA559A"/>
    <w:rsid w:val="00AB11E0"/>
    <w:rsid w:val="00AB2AF1"/>
    <w:rsid w:val="00AB4BB8"/>
    <w:rsid w:val="00AB535B"/>
    <w:rsid w:val="00AC45BD"/>
    <w:rsid w:val="00AC5791"/>
    <w:rsid w:val="00AD168E"/>
    <w:rsid w:val="00AD306C"/>
    <w:rsid w:val="00AD4F16"/>
    <w:rsid w:val="00AD5323"/>
    <w:rsid w:val="00AD68C4"/>
    <w:rsid w:val="00AE09B3"/>
    <w:rsid w:val="00AE0ED3"/>
    <w:rsid w:val="00AE153F"/>
    <w:rsid w:val="00AE1A2E"/>
    <w:rsid w:val="00AE1A83"/>
    <w:rsid w:val="00AE31A7"/>
    <w:rsid w:val="00AF1DE9"/>
    <w:rsid w:val="00AF6128"/>
    <w:rsid w:val="00B00913"/>
    <w:rsid w:val="00B01593"/>
    <w:rsid w:val="00B01CF3"/>
    <w:rsid w:val="00B023F2"/>
    <w:rsid w:val="00B04705"/>
    <w:rsid w:val="00B04E70"/>
    <w:rsid w:val="00B07959"/>
    <w:rsid w:val="00B07BBB"/>
    <w:rsid w:val="00B10325"/>
    <w:rsid w:val="00B10A4D"/>
    <w:rsid w:val="00B14BC1"/>
    <w:rsid w:val="00B17E71"/>
    <w:rsid w:val="00B17FDE"/>
    <w:rsid w:val="00B2379C"/>
    <w:rsid w:val="00B25189"/>
    <w:rsid w:val="00B2648A"/>
    <w:rsid w:val="00B2687D"/>
    <w:rsid w:val="00B26897"/>
    <w:rsid w:val="00B32DDB"/>
    <w:rsid w:val="00B34528"/>
    <w:rsid w:val="00B34CC9"/>
    <w:rsid w:val="00B402FC"/>
    <w:rsid w:val="00B42C45"/>
    <w:rsid w:val="00B439DA"/>
    <w:rsid w:val="00B46604"/>
    <w:rsid w:val="00B50624"/>
    <w:rsid w:val="00B530CD"/>
    <w:rsid w:val="00B55F5E"/>
    <w:rsid w:val="00B5752E"/>
    <w:rsid w:val="00B615F8"/>
    <w:rsid w:val="00B63A11"/>
    <w:rsid w:val="00B63B6A"/>
    <w:rsid w:val="00B64C24"/>
    <w:rsid w:val="00B65232"/>
    <w:rsid w:val="00B6584F"/>
    <w:rsid w:val="00B6608F"/>
    <w:rsid w:val="00B67768"/>
    <w:rsid w:val="00B679FB"/>
    <w:rsid w:val="00B71EF7"/>
    <w:rsid w:val="00B7665A"/>
    <w:rsid w:val="00B76D1E"/>
    <w:rsid w:val="00B8028A"/>
    <w:rsid w:val="00B80B8B"/>
    <w:rsid w:val="00B80EC6"/>
    <w:rsid w:val="00B81396"/>
    <w:rsid w:val="00B84CF6"/>
    <w:rsid w:val="00B857A1"/>
    <w:rsid w:val="00B87623"/>
    <w:rsid w:val="00B927F6"/>
    <w:rsid w:val="00B92D1D"/>
    <w:rsid w:val="00B938C5"/>
    <w:rsid w:val="00B95940"/>
    <w:rsid w:val="00BA37EA"/>
    <w:rsid w:val="00BA5256"/>
    <w:rsid w:val="00BA6C2B"/>
    <w:rsid w:val="00BB22F6"/>
    <w:rsid w:val="00BB46F3"/>
    <w:rsid w:val="00BB4CB1"/>
    <w:rsid w:val="00BB4F98"/>
    <w:rsid w:val="00BB73ED"/>
    <w:rsid w:val="00BC5C12"/>
    <w:rsid w:val="00BC7154"/>
    <w:rsid w:val="00BC731E"/>
    <w:rsid w:val="00BD366B"/>
    <w:rsid w:val="00BD6D50"/>
    <w:rsid w:val="00BE18B9"/>
    <w:rsid w:val="00BE2495"/>
    <w:rsid w:val="00BF155F"/>
    <w:rsid w:val="00BF1578"/>
    <w:rsid w:val="00BF3B1D"/>
    <w:rsid w:val="00BF53A6"/>
    <w:rsid w:val="00BF6D32"/>
    <w:rsid w:val="00BF71A0"/>
    <w:rsid w:val="00BF723F"/>
    <w:rsid w:val="00BF7ED6"/>
    <w:rsid w:val="00C02943"/>
    <w:rsid w:val="00C145CE"/>
    <w:rsid w:val="00C16FB0"/>
    <w:rsid w:val="00C21F94"/>
    <w:rsid w:val="00C27913"/>
    <w:rsid w:val="00C27E4F"/>
    <w:rsid w:val="00C325AE"/>
    <w:rsid w:val="00C32964"/>
    <w:rsid w:val="00C33B68"/>
    <w:rsid w:val="00C36A79"/>
    <w:rsid w:val="00C36F5A"/>
    <w:rsid w:val="00C401D2"/>
    <w:rsid w:val="00C405D4"/>
    <w:rsid w:val="00C41A20"/>
    <w:rsid w:val="00C41D07"/>
    <w:rsid w:val="00C4431F"/>
    <w:rsid w:val="00C4513B"/>
    <w:rsid w:val="00C5390B"/>
    <w:rsid w:val="00C53E5D"/>
    <w:rsid w:val="00C54141"/>
    <w:rsid w:val="00C5418A"/>
    <w:rsid w:val="00C54697"/>
    <w:rsid w:val="00C65535"/>
    <w:rsid w:val="00C65C22"/>
    <w:rsid w:val="00C66B0D"/>
    <w:rsid w:val="00C70427"/>
    <w:rsid w:val="00C71E85"/>
    <w:rsid w:val="00C72884"/>
    <w:rsid w:val="00C73885"/>
    <w:rsid w:val="00C73BA9"/>
    <w:rsid w:val="00C747B1"/>
    <w:rsid w:val="00C82191"/>
    <w:rsid w:val="00C83134"/>
    <w:rsid w:val="00C85545"/>
    <w:rsid w:val="00C9003C"/>
    <w:rsid w:val="00C9082C"/>
    <w:rsid w:val="00C90CF4"/>
    <w:rsid w:val="00C92EB6"/>
    <w:rsid w:val="00C93389"/>
    <w:rsid w:val="00C96040"/>
    <w:rsid w:val="00C97237"/>
    <w:rsid w:val="00C9769E"/>
    <w:rsid w:val="00CA0914"/>
    <w:rsid w:val="00CA6AB4"/>
    <w:rsid w:val="00CA7BE7"/>
    <w:rsid w:val="00CB15D6"/>
    <w:rsid w:val="00CB2F3F"/>
    <w:rsid w:val="00CB4930"/>
    <w:rsid w:val="00CC0E87"/>
    <w:rsid w:val="00CC2E7D"/>
    <w:rsid w:val="00CC6B42"/>
    <w:rsid w:val="00CD10A5"/>
    <w:rsid w:val="00CD1F6B"/>
    <w:rsid w:val="00CD2076"/>
    <w:rsid w:val="00CD29B5"/>
    <w:rsid w:val="00CD6331"/>
    <w:rsid w:val="00CD7704"/>
    <w:rsid w:val="00CD7AFB"/>
    <w:rsid w:val="00CE3E57"/>
    <w:rsid w:val="00CE670B"/>
    <w:rsid w:val="00CF04C7"/>
    <w:rsid w:val="00CF19CB"/>
    <w:rsid w:val="00CF262D"/>
    <w:rsid w:val="00CF322D"/>
    <w:rsid w:val="00CF39C9"/>
    <w:rsid w:val="00CF4908"/>
    <w:rsid w:val="00CF51EC"/>
    <w:rsid w:val="00CF59E5"/>
    <w:rsid w:val="00CF73AE"/>
    <w:rsid w:val="00D040DD"/>
    <w:rsid w:val="00D075BE"/>
    <w:rsid w:val="00D13986"/>
    <w:rsid w:val="00D21D83"/>
    <w:rsid w:val="00D235B7"/>
    <w:rsid w:val="00D238DC"/>
    <w:rsid w:val="00D23C02"/>
    <w:rsid w:val="00D23F97"/>
    <w:rsid w:val="00D25F28"/>
    <w:rsid w:val="00D26071"/>
    <w:rsid w:val="00D27973"/>
    <w:rsid w:val="00D35E1A"/>
    <w:rsid w:val="00D373EA"/>
    <w:rsid w:val="00D37C1E"/>
    <w:rsid w:val="00D40B2B"/>
    <w:rsid w:val="00D40F7C"/>
    <w:rsid w:val="00D417B7"/>
    <w:rsid w:val="00D42211"/>
    <w:rsid w:val="00D42756"/>
    <w:rsid w:val="00D50F46"/>
    <w:rsid w:val="00D53EAD"/>
    <w:rsid w:val="00D567C6"/>
    <w:rsid w:val="00D57677"/>
    <w:rsid w:val="00D61DF8"/>
    <w:rsid w:val="00D66223"/>
    <w:rsid w:val="00D674D7"/>
    <w:rsid w:val="00D71625"/>
    <w:rsid w:val="00D73A8D"/>
    <w:rsid w:val="00D751DA"/>
    <w:rsid w:val="00D75205"/>
    <w:rsid w:val="00D8084C"/>
    <w:rsid w:val="00D915EA"/>
    <w:rsid w:val="00D95B68"/>
    <w:rsid w:val="00D96855"/>
    <w:rsid w:val="00DA47A8"/>
    <w:rsid w:val="00DA48C1"/>
    <w:rsid w:val="00DA7C0C"/>
    <w:rsid w:val="00DB08A9"/>
    <w:rsid w:val="00DB2EC8"/>
    <w:rsid w:val="00DB5AF8"/>
    <w:rsid w:val="00DB5FC0"/>
    <w:rsid w:val="00DB6566"/>
    <w:rsid w:val="00DC1B9B"/>
    <w:rsid w:val="00DC1E84"/>
    <w:rsid w:val="00DC40D2"/>
    <w:rsid w:val="00DC48F1"/>
    <w:rsid w:val="00DC4EDE"/>
    <w:rsid w:val="00DC5B3B"/>
    <w:rsid w:val="00DC6743"/>
    <w:rsid w:val="00DD129F"/>
    <w:rsid w:val="00DD4EFE"/>
    <w:rsid w:val="00DE02BD"/>
    <w:rsid w:val="00DE5DBA"/>
    <w:rsid w:val="00DF42FF"/>
    <w:rsid w:val="00DF5908"/>
    <w:rsid w:val="00E01C0E"/>
    <w:rsid w:val="00E03F9A"/>
    <w:rsid w:val="00E0465E"/>
    <w:rsid w:val="00E04694"/>
    <w:rsid w:val="00E063CE"/>
    <w:rsid w:val="00E1017C"/>
    <w:rsid w:val="00E12B1E"/>
    <w:rsid w:val="00E12F7C"/>
    <w:rsid w:val="00E15B76"/>
    <w:rsid w:val="00E17262"/>
    <w:rsid w:val="00E20B53"/>
    <w:rsid w:val="00E253A2"/>
    <w:rsid w:val="00E314B9"/>
    <w:rsid w:val="00E329EF"/>
    <w:rsid w:val="00E3309D"/>
    <w:rsid w:val="00E374F4"/>
    <w:rsid w:val="00E409C2"/>
    <w:rsid w:val="00E43C1C"/>
    <w:rsid w:val="00E45931"/>
    <w:rsid w:val="00E47EBA"/>
    <w:rsid w:val="00E50156"/>
    <w:rsid w:val="00E51643"/>
    <w:rsid w:val="00E53470"/>
    <w:rsid w:val="00E53874"/>
    <w:rsid w:val="00E539F6"/>
    <w:rsid w:val="00E54E39"/>
    <w:rsid w:val="00E55091"/>
    <w:rsid w:val="00E551D2"/>
    <w:rsid w:val="00E6519D"/>
    <w:rsid w:val="00E67696"/>
    <w:rsid w:val="00E678BC"/>
    <w:rsid w:val="00E71654"/>
    <w:rsid w:val="00E71A58"/>
    <w:rsid w:val="00E72A7A"/>
    <w:rsid w:val="00E75C94"/>
    <w:rsid w:val="00E7677B"/>
    <w:rsid w:val="00E776FD"/>
    <w:rsid w:val="00E77A6B"/>
    <w:rsid w:val="00E8073E"/>
    <w:rsid w:val="00E8259F"/>
    <w:rsid w:val="00E849A6"/>
    <w:rsid w:val="00E91024"/>
    <w:rsid w:val="00E920F4"/>
    <w:rsid w:val="00E93820"/>
    <w:rsid w:val="00E944EF"/>
    <w:rsid w:val="00E94A86"/>
    <w:rsid w:val="00E96143"/>
    <w:rsid w:val="00EA038B"/>
    <w:rsid w:val="00EA0987"/>
    <w:rsid w:val="00EA0C68"/>
    <w:rsid w:val="00EA32BC"/>
    <w:rsid w:val="00EA4302"/>
    <w:rsid w:val="00EA6C97"/>
    <w:rsid w:val="00EA7407"/>
    <w:rsid w:val="00EB24BB"/>
    <w:rsid w:val="00EB39C7"/>
    <w:rsid w:val="00EB3D8F"/>
    <w:rsid w:val="00EB4511"/>
    <w:rsid w:val="00EB4A12"/>
    <w:rsid w:val="00EC03D7"/>
    <w:rsid w:val="00EC15CC"/>
    <w:rsid w:val="00EC313D"/>
    <w:rsid w:val="00ED62C6"/>
    <w:rsid w:val="00ED64C1"/>
    <w:rsid w:val="00EE0E68"/>
    <w:rsid w:val="00EE3446"/>
    <w:rsid w:val="00EE3E78"/>
    <w:rsid w:val="00EE4B1B"/>
    <w:rsid w:val="00EE5B59"/>
    <w:rsid w:val="00EE7F19"/>
    <w:rsid w:val="00EF150D"/>
    <w:rsid w:val="00EF1F5A"/>
    <w:rsid w:val="00EF371C"/>
    <w:rsid w:val="00EF47BF"/>
    <w:rsid w:val="00EF6DB3"/>
    <w:rsid w:val="00F04811"/>
    <w:rsid w:val="00F0488C"/>
    <w:rsid w:val="00F066CF"/>
    <w:rsid w:val="00F06C9E"/>
    <w:rsid w:val="00F10F11"/>
    <w:rsid w:val="00F15AAA"/>
    <w:rsid w:val="00F15BEF"/>
    <w:rsid w:val="00F17E83"/>
    <w:rsid w:val="00F20B71"/>
    <w:rsid w:val="00F21780"/>
    <w:rsid w:val="00F24407"/>
    <w:rsid w:val="00F24931"/>
    <w:rsid w:val="00F24FAA"/>
    <w:rsid w:val="00F252A0"/>
    <w:rsid w:val="00F25B4A"/>
    <w:rsid w:val="00F25DEE"/>
    <w:rsid w:val="00F3364D"/>
    <w:rsid w:val="00F4081A"/>
    <w:rsid w:val="00F437CC"/>
    <w:rsid w:val="00F43E29"/>
    <w:rsid w:val="00F44537"/>
    <w:rsid w:val="00F44B6A"/>
    <w:rsid w:val="00F4587B"/>
    <w:rsid w:val="00F47067"/>
    <w:rsid w:val="00F50FC3"/>
    <w:rsid w:val="00F51087"/>
    <w:rsid w:val="00F5188A"/>
    <w:rsid w:val="00F52106"/>
    <w:rsid w:val="00F525EB"/>
    <w:rsid w:val="00F52AFF"/>
    <w:rsid w:val="00F545ED"/>
    <w:rsid w:val="00F63DDE"/>
    <w:rsid w:val="00F63FB7"/>
    <w:rsid w:val="00F6421B"/>
    <w:rsid w:val="00F649D2"/>
    <w:rsid w:val="00F6602B"/>
    <w:rsid w:val="00F66643"/>
    <w:rsid w:val="00F66E76"/>
    <w:rsid w:val="00F66FD9"/>
    <w:rsid w:val="00F67C4E"/>
    <w:rsid w:val="00F70D20"/>
    <w:rsid w:val="00F72275"/>
    <w:rsid w:val="00F73990"/>
    <w:rsid w:val="00F73A0C"/>
    <w:rsid w:val="00F756DB"/>
    <w:rsid w:val="00F76A1A"/>
    <w:rsid w:val="00F84E7D"/>
    <w:rsid w:val="00F85066"/>
    <w:rsid w:val="00F87A4D"/>
    <w:rsid w:val="00F90035"/>
    <w:rsid w:val="00F9212A"/>
    <w:rsid w:val="00F92283"/>
    <w:rsid w:val="00F9785E"/>
    <w:rsid w:val="00FA1E9B"/>
    <w:rsid w:val="00FA3B1E"/>
    <w:rsid w:val="00FA5D4D"/>
    <w:rsid w:val="00FA60AD"/>
    <w:rsid w:val="00FA7115"/>
    <w:rsid w:val="00FB0EE2"/>
    <w:rsid w:val="00FB4423"/>
    <w:rsid w:val="00FB542E"/>
    <w:rsid w:val="00FB6631"/>
    <w:rsid w:val="00FC0E5F"/>
    <w:rsid w:val="00FC1A95"/>
    <w:rsid w:val="00FC56DE"/>
    <w:rsid w:val="00FC6700"/>
    <w:rsid w:val="00FC684B"/>
    <w:rsid w:val="00FD1A5F"/>
    <w:rsid w:val="00FD23FA"/>
    <w:rsid w:val="00FD3265"/>
    <w:rsid w:val="00FD5F92"/>
    <w:rsid w:val="00FD66F9"/>
    <w:rsid w:val="00FD78F8"/>
    <w:rsid w:val="00FE2F78"/>
    <w:rsid w:val="00FE402C"/>
    <w:rsid w:val="00FE470B"/>
    <w:rsid w:val="00FF4082"/>
    <w:rsid w:val="00FF7090"/>
    <w:rsid w:val="00FF7B96"/>
    <w:rsid w:val="010E6CF6"/>
    <w:rsid w:val="01C12A79"/>
    <w:rsid w:val="0274CEEB"/>
    <w:rsid w:val="068FDE2D"/>
    <w:rsid w:val="0715AD2B"/>
    <w:rsid w:val="07E2429D"/>
    <w:rsid w:val="08A8D553"/>
    <w:rsid w:val="0B987C70"/>
    <w:rsid w:val="0C4F5932"/>
    <w:rsid w:val="0CDADA5A"/>
    <w:rsid w:val="0D60D9AA"/>
    <w:rsid w:val="0F9A6A16"/>
    <w:rsid w:val="11D0C0D9"/>
    <w:rsid w:val="13CB842F"/>
    <w:rsid w:val="13F45D65"/>
    <w:rsid w:val="17193E37"/>
    <w:rsid w:val="1873E3C4"/>
    <w:rsid w:val="1941F3F6"/>
    <w:rsid w:val="1A33BA0B"/>
    <w:rsid w:val="1B2689A5"/>
    <w:rsid w:val="1C7F89FF"/>
    <w:rsid w:val="1F63A775"/>
    <w:rsid w:val="1FF29EC8"/>
    <w:rsid w:val="24E94C0C"/>
    <w:rsid w:val="26B06DF0"/>
    <w:rsid w:val="26E021B7"/>
    <w:rsid w:val="292D1013"/>
    <w:rsid w:val="2A7920C3"/>
    <w:rsid w:val="2A79D812"/>
    <w:rsid w:val="2C90AA00"/>
    <w:rsid w:val="2DB28FFA"/>
    <w:rsid w:val="304DB734"/>
    <w:rsid w:val="30D0B3BE"/>
    <w:rsid w:val="331BE13C"/>
    <w:rsid w:val="332C5513"/>
    <w:rsid w:val="34AC24B1"/>
    <w:rsid w:val="3547C370"/>
    <w:rsid w:val="36710FB5"/>
    <w:rsid w:val="36C06199"/>
    <w:rsid w:val="3A09C7D4"/>
    <w:rsid w:val="3A10C190"/>
    <w:rsid w:val="3D1A961D"/>
    <w:rsid w:val="40199337"/>
    <w:rsid w:val="40B601A1"/>
    <w:rsid w:val="416A2A6C"/>
    <w:rsid w:val="4237DD18"/>
    <w:rsid w:val="442C5944"/>
    <w:rsid w:val="4C532880"/>
    <w:rsid w:val="4D58776A"/>
    <w:rsid w:val="52985A95"/>
    <w:rsid w:val="52CC52E2"/>
    <w:rsid w:val="54C43EB7"/>
    <w:rsid w:val="55C2456F"/>
    <w:rsid w:val="5D089BC5"/>
    <w:rsid w:val="5DC219FF"/>
    <w:rsid w:val="5E9E82EF"/>
    <w:rsid w:val="614CA75B"/>
    <w:rsid w:val="620EDB10"/>
    <w:rsid w:val="62DFE06B"/>
    <w:rsid w:val="6526004C"/>
    <w:rsid w:val="66D2B563"/>
    <w:rsid w:val="6766E9C4"/>
    <w:rsid w:val="68A6219C"/>
    <w:rsid w:val="69AF073E"/>
    <w:rsid w:val="6AD8AC9F"/>
    <w:rsid w:val="6B2670A5"/>
    <w:rsid w:val="6D02C387"/>
    <w:rsid w:val="6E1EAC99"/>
    <w:rsid w:val="7365B279"/>
    <w:rsid w:val="78254C23"/>
    <w:rsid w:val="7934B909"/>
    <w:rsid w:val="7A8E97F6"/>
    <w:rsid w:val="7A9DC929"/>
    <w:rsid w:val="7AD10CA0"/>
    <w:rsid w:val="7B277DC5"/>
    <w:rsid w:val="7BDB84E4"/>
    <w:rsid w:val="7DB22EB4"/>
    <w:rsid w:val="7E11BEDC"/>
    <w:rsid w:val="7E305D59"/>
    <w:rsid w:val="7EFAE34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ecf4dd,#eaecee,#fcec0a,#fcecdb,#f1daf5"/>
    </o:shapedefaults>
    <o:shapelayout v:ext="edit">
      <o:idmap v:ext="edit" data="2"/>
    </o:shapelayout>
  </w:shapeDefaults>
  <w:decimalSymbol w:val=","/>
  <w:listSeparator w:val=";"/>
  <w14:docId w14:val="21432897"/>
  <w15:docId w15:val="{6F256F2C-AFCA-4565-B6C6-99433E465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4FA0"/>
    <w:pPr>
      <w:spacing w:after="240" w:line="276" w:lineRule="auto"/>
      <w:jc w:val="both"/>
    </w:pPr>
    <w:rPr>
      <w:rFonts w:ascii="Arial" w:eastAsia="Times New Roman" w:hAnsi="Arial"/>
      <w:szCs w:val="24"/>
      <w:lang w:eastAsia="cs-CZ"/>
    </w:rPr>
  </w:style>
  <w:style w:type="paragraph" w:styleId="Nadpis1">
    <w:name w:val="heading 1"/>
    <w:next w:val="Normln"/>
    <w:link w:val="Nadpis1Char"/>
    <w:uiPriority w:val="9"/>
    <w:qFormat/>
    <w:rsid w:val="00EA0987"/>
    <w:pPr>
      <w:keepNext/>
      <w:keepLines/>
      <w:spacing w:after="100" w:line="276" w:lineRule="auto"/>
      <w:contextualSpacing/>
      <w:outlineLvl w:val="0"/>
    </w:pPr>
    <w:rPr>
      <w:rFonts w:ascii="Arial" w:eastAsia="MS Gothic" w:hAnsi="Arial"/>
      <w:b/>
      <w:bCs/>
      <w:color w:val="86BF5E"/>
      <w:sz w:val="32"/>
      <w:szCs w:val="28"/>
      <w:lang w:eastAsia="cs-CZ"/>
    </w:rPr>
  </w:style>
  <w:style w:type="paragraph" w:styleId="Nadpis2">
    <w:name w:val="heading 2"/>
    <w:next w:val="Normln"/>
    <w:link w:val="Nadpis2Char"/>
    <w:uiPriority w:val="9"/>
    <w:qFormat/>
    <w:rsid w:val="00EA0987"/>
    <w:pPr>
      <w:keepNext/>
      <w:keepLines/>
      <w:spacing w:line="276" w:lineRule="auto"/>
      <w:outlineLvl w:val="1"/>
    </w:pPr>
    <w:rPr>
      <w:rFonts w:ascii="Arial" w:eastAsia="MS Gothic" w:hAnsi="Arial"/>
      <w:b/>
      <w:bCs/>
      <w:color w:val="86BF5E"/>
      <w:sz w:val="28"/>
      <w:szCs w:val="26"/>
      <w:lang w:eastAsia="cs-CZ"/>
    </w:rPr>
  </w:style>
  <w:style w:type="paragraph" w:styleId="Nadpis3">
    <w:name w:val="heading 3"/>
    <w:next w:val="Normln"/>
    <w:link w:val="Nadpis3Char"/>
    <w:uiPriority w:val="9"/>
    <w:qFormat/>
    <w:rsid w:val="00EA0987"/>
    <w:pPr>
      <w:keepNext/>
      <w:keepLines/>
      <w:spacing w:line="276" w:lineRule="auto"/>
      <w:outlineLvl w:val="2"/>
    </w:pPr>
    <w:rPr>
      <w:rFonts w:ascii="Arial" w:eastAsia="MS Gothic" w:hAnsi="Arial"/>
      <w:b/>
      <w:bCs/>
      <w:color w:val="86BF5E"/>
      <w:sz w:val="24"/>
      <w:szCs w:val="24"/>
      <w:lang w:eastAsia="cs-CZ"/>
    </w:rPr>
  </w:style>
  <w:style w:type="paragraph" w:styleId="Nadpis4">
    <w:name w:val="heading 4"/>
    <w:next w:val="Normln"/>
    <w:link w:val="Nadpis4Char"/>
    <w:uiPriority w:val="9"/>
    <w:qFormat/>
    <w:rsid w:val="0041041D"/>
    <w:pPr>
      <w:keepNext/>
      <w:keepLines/>
      <w:spacing w:line="276" w:lineRule="auto"/>
      <w:outlineLvl w:val="3"/>
    </w:pPr>
    <w:rPr>
      <w:rFonts w:ascii="Arial" w:eastAsia="MS Gothic" w:hAnsi="Arial"/>
      <w:b/>
      <w:bCs/>
      <w:iCs/>
      <w:color w:val="86BF5E"/>
      <w:szCs w:val="24"/>
      <w:lang w:eastAsia="cs-CZ"/>
    </w:rPr>
  </w:style>
  <w:style w:type="paragraph" w:styleId="Nadpis5">
    <w:name w:val="heading 5"/>
    <w:basedOn w:val="Normln"/>
    <w:next w:val="Normln"/>
    <w:link w:val="Nadpis5Char"/>
    <w:uiPriority w:val="9"/>
    <w:semiHidden/>
    <w:unhideWhenUsed/>
    <w:rsid w:val="007A516D"/>
    <w:pPr>
      <w:keepNext/>
      <w:keepLines/>
      <w:numPr>
        <w:ilvl w:val="4"/>
        <w:numId w:val="14"/>
      </w:numPr>
      <w:tabs>
        <w:tab w:val="num" w:pos="360"/>
      </w:tabs>
      <w:spacing w:before="200" w:after="0"/>
      <w:ind w:left="0" w:firstLine="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7A516D"/>
    <w:pPr>
      <w:keepNext/>
      <w:keepLines/>
      <w:numPr>
        <w:ilvl w:val="5"/>
        <w:numId w:val="14"/>
      </w:numPr>
      <w:tabs>
        <w:tab w:val="num" w:pos="360"/>
      </w:tabs>
      <w:spacing w:before="200" w:after="0"/>
      <w:ind w:left="0" w:firstLine="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7A516D"/>
    <w:pPr>
      <w:keepNext/>
      <w:keepLines/>
      <w:numPr>
        <w:ilvl w:val="6"/>
        <w:numId w:val="14"/>
      </w:numPr>
      <w:tabs>
        <w:tab w:val="num" w:pos="360"/>
      </w:tabs>
      <w:spacing w:before="200" w:after="0"/>
      <w:ind w:left="0" w:firstLine="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7A516D"/>
    <w:pPr>
      <w:keepNext/>
      <w:keepLines/>
      <w:numPr>
        <w:ilvl w:val="7"/>
        <w:numId w:val="14"/>
      </w:numPr>
      <w:tabs>
        <w:tab w:val="num" w:pos="360"/>
      </w:tabs>
      <w:spacing w:before="200" w:after="0"/>
      <w:ind w:left="0" w:firstLine="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7A516D"/>
    <w:pPr>
      <w:numPr>
        <w:ilvl w:val="8"/>
        <w:numId w:val="14"/>
      </w:numPr>
      <w:tabs>
        <w:tab w:val="num" w:pos="360"/>
      </w:tabs>
      <w:spacing w:before="240" w:after="60"/>
      <w:ind w:left="0" w:firstLine="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qFormat/>
    <w:rsid w:val="00EA0987"/>
    <w:rPr>
      <w:rFonts w:ascii="Arial" w:eastAsia="MS Gothic" w:hAnsi="Arial"/>
      <w:b/>
      <w:bCs/>
      <w:color w:val="86BF5E"/>
      <w:sz w:val="32"/>
      <w:szCs w:val="28"/>
      <w:lang w:eastAsia="cs-CZ"/>
    </w:rPr>
  </w:style>
  <w:style w:type="character" w:customStyle="1" w:styleId="Nadpis2Char">
    <w:name w:val="Nadpis 2 Char"/>
    <w:link w:val="Nadpis2"/>
    <w:uiPriority w:val="9"/>
    <w:rsid w:val="00EA0987"/>
    <w:rPr>
      <w:rFonts w:ascii="Arial" w:eastAsia="MS Gothic" w:hAnsi="Arial"/>
      <w:b/>
      <w:bCs/>
      <w:color w:val="86BF5E"/>
      <w:sz w:val="28"/>
      <w:szCs w:val="26"/>
      <w:lang w:eastAsia="cs-CZ"/>
    </w:rPr>
  </w:style>
  <w:style w:type="character" w:customStyle="1" w:styleId="Nadpis3Char">
    <w:name w:val="Nadpis 3 Char"/>
    <w:link w:val="Nadpis3"/>
    <w:uiPriority w:val="9"/>
    <w:rsid w:val="00EA0987"/>
    <w:rPr>
      <w:rFonts w:ascii="Arial" w:eastAsia="MS Gothic" w:hAnsi="Arial"/>
      <w:b/>
      <w:bCs/>
      <w:color w:val="86BF5E"/>
      <w:sz w:val="24"/>
      <w:szCs w:val="24"/>
      <w:lang w:eastAsia="cs-CZ"/>
    </w:rPr>
  </w:style>
  <w:style w:type="character" w:customStyle="1" w:styleId="Nadpis4Char">
    <w:name w:val="Nadpis 4 Char"/>
    <w:link w:val="Nadpis4"/>
    <w:uiPriority w:val="9"/>
    <w:rsid w:val="0041041D"/>
    <w:rPr>
      <w:rFonts w:ascii="Arial" w:eastAsia="MS Gothic" w:hAnsi="Arial"/>
      <w:b/>
      <w:bCs/>
      <w:iCs/>
      <w:color w:val="86BF5E"/>
      <w:szCs w:val="24"/>
      <w:lang w:eastAsia="cs-CZ"/>
    </w:rPr>
  </w:style>
  <w:style w:type="character" w:customStyle="1" w:styleId="Nadpis9Char">
    <w:name w:val="Nadpis 9 Char"/>
    <w:link w:val="Nadpis9"/>
    <w:uiPriority w:val="9"/>
    <w:semiHidden/>
    <w:rsid w:val="007A516D"/>
    <w:rPr>
      <w:rFonts w:ascii="Cambria" w:eastAsia="Times New Roman" w:hAnsi="Cambria"/>
      <w:sz w:val="22"/>
      <w:szCs w:val="22"/>
      <w:lang w:eastAsia="cs-CZ"/>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0A57D4"/>
    <w:pPr>
      <w:spacing w:after="80" w:line="288" w:lineRule="auto"/>
    </w:pPr>
    <w:rPr>
      <w:rFonts w:ascii="Arial" w:eastAsia="Times New Roman" w:hAnsi="Arial"/>
      <w:b/>
      <w:color w:val="86BF5E"/>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A-Box1">
    <w:name w:val="A-Box 1"/>
    <w:next w:val="Normln"/>
    <w:qFormat/>
    <w:rsid w:val="00EA0987"/>
    <w:pPr>
      <w:shd w:val="clear" w:color="auto" w:fill="F0F6E9"/>
      <w:spacing w:before="240" w:after="240" w:line="276" w:lineRule="auto"/>
      <w:contextualSpacing/>
      <w:jc w:val="both"/>
    </w:pPr>
    <w:rPr>
      <w:rFonts w:ascii="Arial" w:hAnsi="Arial" w:cs="Arial"/>
      <w:lang w:eastAsia="cs-CZ"/>
    </w:rPr>
  </w:style>
  <w:style w:type="paragraph" w:customStyle="1" w:styleId="A-Box2">
    <w:name w:val="A-Box 2"/>
    <w:next w:val="Normln"/>
    <w:qFormat/>
    <w:rsid w:val="00EA0987"/>
    <w:pPr>
      <w:spacing w:before="240" w:after="240" w:line="276" w:lineRule="auto"/>
      <w:contextualSpacing/>
      <w:jc w:val="both"/>
    </w:pPr>
    <w:rPr>
      <w:rFonts w:ascii="Arial" w:hAnsi="Arial" w:cs="Arial"/>
      <w:color w:val="86BF5E"/>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0A57D4"/>
    <w:pPr>
      <w:spacing w:after="40"/>
      <w:contextualSpacing/>
    </w:pPr>
    <w:rPr>
      <w:b/>
      <w:caps/>
      <w:sz w:val="24"/>
    </w:rPr>
  </w:style>
  <w:style w:type="paragraph" w:customStyle="1" w:styleId="TLKontakty">
    <w:name w:val="TL Kontakty"/>
    <w:qFormat/>
    <w:rsid w:val="000A57D4"/>
    <w:pPr>
      <w:spacing w:after="160" w:line="259" w:lineRule="auto"/>
      <w:contextualSpacing/>
    </w:pPr>
    <w:rPr>
      <w:rFonts w:ascii="Arial" w:eastAsia="Times New Roman" w:hAnsi="Arial"/>
      <w:b/>
      <w:color w:val="86BF5E"/>
      <w:lang w:eastAsia="cs-CZ"/>
    </w:rPr>
  </w:style>
  <w:style w:type="paragraph" w:styleId="Nzev">
    <w:name w:val="Title"/>
    <w:link w:val="NzevChar"/>
    <w:uiPriority w:val="10"/>
    <w:qFormat/>
    <w:rsid w:val="001E6062"/>
    <w:pPr>
      <w:spacing w:line="288" w:lineRule="auto"/>
    </w:pPr>
    <w:rPr>
      <w:rFonts w:ascii="Arial" w:eastAsia="Times New Roman" w:hAnsi="Arial"/>
      <w:b/>
      <w:bCs/>
      <w:caps/>
      <w:color w:val="000000" w:themeColor="text1"/>
      <w:kern w:val="28"/>
      <w:sz w:val="56"/>
      <w:szCs w:val="32"/>
      <w:lang w:eastAsia="cs-CZ"/>
    </w:rPr>
  </w:style>
  <w:style w:type="character" w:customStyle="1" w:styleId="NzevChar">
    <w:name w:val="Název Char"/>
    <w:link w:val="Nzev"/>
    <w:uiPriority w:val="10"/>
    <w:rsid w:val="001E6062"/>
    <w:rPr>
      <w:rFonts w:ascii="Arial" w:eastAsia="Times New Roman" w:hAnsi="Arial"/>
      <w:b/>
      <w:bCs/>
      <w:caps/>
      <w:color w:val="000000" w:themeColor="text1"/>
      <w:kern w:val="28"/>
      <w:sz w:val="56"/>
      <w:szCs w:val="32"/>
      <w:lang w:eastAsia="cs-CZ"/>
    </w:rPr>
  </w:style>
  <w:style w:type="paragraph" w:styleId="Podnadpis">
    <w:name w:val="Subtitle"/>
    <w:link w:val="PodnadpisChar"/>
    <w:uiPriority w:val="11"/>
    <w:qFormat/>
    <w:rsid w:val="001E6062"/>
    <w:pPr>
      <w:spacing w:line="288" w:lineRule="auto"/>
    </w:pPr>
    <w:rPr>
      <w:rFonts w:ascii="Arial" w:eastAsia="Times New Roman" w:hAnsi="Arial" w:cs="Arial"/>
      <w:b/>
      <w:color w:val="000000" w:themeColor="text1"/>
      <w:sz w:val="28"/>
      <w:szCs w:val="24"/>
      <w:lang w:eastAsia="cs-CZ"/>
    </w:rPr>
  </w:style>
  <w:style w:type="character" w:customStyle="1" w:styleId="PodnadpisChar">
    <w:name w:val="Podnadpis Char"/>
    <w:link w:val="Podnadpis"/>
    <w:uiPriority w:val="11"/>
    <w:rsid w:val="001E6062"/>
    <w:rPr>
      <w:rFonts w:ascii="Arial" w:eastAsia="Times New Roman" w:hAnsi="Arial" w:cs="Arial"/>
      <w:b/>
      <w:color w:val="000000" w:themeColor="text1"/>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customStyle="1" w:styleId="Nadpis5Char">
    <w:name w:val="Nadpis 5 Char"/>
    <w:basedOn w:val="Standardnpsmoodstavce"/>
    <w:link w:val="Nadpis5"/>
    <w:uiPriority w:val="9"/>
    <w:semiHidden/>
    <w:rsid w:val="007A516D"/>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7A516D"/>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7A516D"/>
    <w:rPr>
      <w:rFonts w:asciiTheme="majorHAnsi" w:eastAsiaTheme="majorEastAsia" w:hAnsiTheme="majorHAnsi" w:cstheme="majorBidi"/>
      <w:i/>
      <w:iCs/>
      <w:color w:val="404040" w:themeColor="text1" w:themeTint="BF"/>
      <w:szCs w:val="24"/>
      <w:lang w:eastAsia="cs-CZ"/>
    </w:rPr>
  </w:style>
  <w:style w:type="character" w:customStyle="1" w:styleId="Nadpis8Char">
    <w:name w:val="Nadpis 8 Char"/>
    <w:basedOn w:val="Standardnpsmoodstavce"/>
    <w:link w:val="Nadpis8"/>
    <w:uiPriority w:val="9"/>
    <w:semiHidden/>
    <w:rsid w:val="007A516D"/>
    <w:rPr>
      <w:rFonts w:asciiTheme="majorHAnsi" w:eastAsiaTheme="majorEastAsia" w:hAnsiTheme="majorHAnsi" w:cstheme="majorBidi"/>
      <w:color w:val="404040" w:themeColor="text1" w:themeTint="BF"/>
      <w:lang w:eastAsia="cs-CZ"/>
    </w:rPr>
  </w:style>
  <w:style w:type="paragraph" w:styleId="Textpoznpodarou">
    <w:name w:val="footnote text"/>
    <w:aliases w:val="Text pozn. pod čarou_martin_ang"/>
    <w:basedOn w:val="Normln"/>
    <w:link w:val="TextpoznpodarouChar"/>
    <w:qFormat/>
    <w:rsid w:val="008E7FC9"/>
    <w:pPr>
      <w:spacing w:after="0" w:line="240" w:lineRule="auto"/>
      <w:jc w:val="left"/>
    </w:pPr>
    <w:rPr>
      <w:rFonts w:eastAsia="Calibri"/>
      <w:szCs w:val="20"/>
    </w:rPr>
  </w:style>
  <w:style w:type="character" w:customStyle="1" w:styleId="TextpoznpodarouChar">
    <w:name w:val="Text pozn. pod čarou Char"/>
    <w:aliases w:val="Text pozn. pod čarou_martin_ang Char"/>
    <w:basedOn w:val="Standardnpsmoodstavce"/>
    <w:link w:val="Textpoznpodarou"/>
    <w:qFormat/>
    <w:rsid w:val="008E7FC9"/>
    <w:rPr>
      <w:rFonts w:ascii="Arial" w:hAnsi="Arial"/>
      <w:lang w:eastAsia="cs-CZ"/>
    </w:rPr>
  </w:style>
  <w:style w:type="paragraph" w:styleId="Bezmezer">
    <w:name w:val="No Spacing"/>
    <w:uiPriority w:val="1"/>
    <w:qFormat/>
    <w:rsid w:val="00AD68C4"/>
    <w:pPr>
      <w:jc w:val="both"/>
    </w:pPr>
    <w:rPr>
      <w:rFonts w:ascii="Arial" w:eastAsia="Times New Roman" w:hAnsi="Arial"/>
      <w:szCs w:val="24"/>
      <w:lang w:eastAsia="cs-CZ"/>
    </w:rPr>
  </w:style>
  <w:style w:type="paragraph" w:customStyle="1" w:styleId="Marginlie">
    <w:name w:val="Marginálie"/>
    <w:basedOn w:val="Normln"/>
    <w:qFormat/>
    <w:rsid w:val="0089296D"/>
    <w:pPr>
      <w:spacing w:after="0"/>
      <w:jc w:val="left"/>
    </w:pPr>
    <w:rPr>
      <w:spacing w:val="-2"/>
      <w:sz w:val="16"/>
      <w:szCs w:val="16"/>
    </w:rPr>
  </w:style>
  <w:style w:type="paragraph" w:styleId="Odstavecseseznamem">
    <w:name w:val="List Paragraph"/>
    <w:basedOn w:val="Normln"/>
    <w:link w:val="OdstavecseseznamemChar"/>
    <w:uiPriority w:val="34"/>
    <w:qFormat/>
    <w:rsid w:val="006B0F92"/>
    <w:pPr>
      <w:ind w:left="720"/>
      <w:contextualSpacing/>
    </w:pPr>
  </w:style>
  <w:style w:type="paragraph" w:customStyle="1" w:styleId="Normalodrka">
    <w:name w:val="Normal odrážka"/>
    <w:qFormat/>
    <w:rsid w:val="006B0F92"/>
    <w:pPr>
      <w:numPr>
        <w:numId w:val="20"/>
      </w:numPr>
      <w:spacing w:after="240" w:line="276" w:lineRule="auto"/>
      <w:jc w:val="both"/>
    </w:pPr>
    <w:rPr>
      <w:rFonts w:ascii="Arial" w:eastAsia="Times New Roman" w:hAnsi="Arial"/>
      <w:szCs w:val="24"/>
      <w:lang w:eastAsia="cs-CZ"/>
    </w:rPr>
  </w:style>
  <w:style w:type="paragraph" w:customStyle="1" w:styleId="Box1">
    <w:name w:val="Box 1"/>
    <w:next w:val="Normln"/>
    <w:qFormat/>
    <w:rsid w:val="00EA0987"/>
    <w:pPr>
      <w:shd w:val="clear" w:color="auto" w:fill="F0F6E9"/>
      <w:spacing w:before="240" w:after="240" w:line="276" w:lineRule="auto"/>
      <w:ind w:left="709"/>
      <w:contextualSpacing/>
      <w:jc w:val="both"/>
    </w:pPr>
    <w:rPr>
      <w:rFonts w:ascii="Arial" w:hAnsi="Arial" w:cs="Arial"/>
      <w:lang w:eastAsia="cs-CZ"/>
    </w:rPr>
  </w:style>
  <w:style w:type="paragraph" w:customStyle="1" w:styleId="Box2">
    <w:name w:val="Box 2"/>
    <w:next w:val="Normln"/>
    <w:qFormat/>
    <w:rsid w:val="00EA0987"/>
    <w:pPr>
      <w:spacing w:before="240" w:after="240" w:line="276" w:lineRule="auto"/>
      <w:ind w:left="709"/>
      <w:contextualSpacing/>
      <w:jc w:val="both"/>
    </w:pPr>
    <w:rPr>
      <w:rFonts w:ascii="Arial" w:hAnsi="Arial" w:cs="Arial"/>
      <w:b/>
      <w:color w:val="86BF5E"/>
      <w:lang w:eastAsia="cs-CZ"/>
    </w:rPr>
  </w:style>
  <w:style w:type="character" w:styleId="Zdraznnintenzivn">
    <w:name w:val="Intense Emphasis"/>
    <w:basedOn w:val="Standardnpsmoodstavce"/>
    <w:uiPriority w:val="21"/>
    <w:qFormat/>
    <w:rsid w:val="001E6062"/>
    <w:rPr>
      <w:i/>
      <w:iCs/>
      <w:color w:val="000000" w:themeColor="text1"/>
    </w:rPr>
  </w:style>
  <w:style w:type="character" w:styleId="Odkazintenzivn">
    <w:name w:val="Intense Reference"/>
    <w:basedOn w:val="Standardnpsmoodstavce"/>
    <w:uiPriority w:val="32"/>
    <w:qFormat/>
    <w:rsid w:val="001E6062"/>
    <w:rPr>
      <w:b/>
      <w:bCs/>
      <w:smallCaps/>
      <w:color w:val="000000" w:themeColor="text1"/>
      <w:spacing w:val="5"/>
    </w:rPr>
  </w:style>
  <w:style w:type="character" w:styleId="Znakapoznpodarou">
    <w:name w:val="footnote reference"/>
    <w:basedOn w:val="Standardnpsmoodstavce"/>
    <w:rsid w:val="00E063CE"/>
    <w:rPr>
      <w:rFonts w:cs="Times New Roman"/>
      <w:vertAlign w:val="superscript"/>
    </w:rPr>
  </w:style>
  <w:style w:type="paragraph" w:customStyle="1" w:styleId="Nadpis11">
    <w:name w:val="Nadpis 11"/>
    <w:basedOn w:val="Normln"/>
    <w:uiPriority w:val="9"/>
    <w:qFormat/>
    <w:rsid w:val="008A6CB4"/>
    <w:pPr>
      <w:keepNext/>
      <w:keepLines/>
      <w:spacing w:after="100"/>
      <w:contextualSpacing/>
      <w:jc w:val="left"/>
      <w:outlineLvl w:val="0"/>
    </w:pPr>
    <w:rPr>
      <w:rFonts w:eastAsia="MS Gothic"/>
      <w:b/>
      <w:bCs/>
      <w:color w:val="71818C"/>
      <w:sz w:val="32"/>
      <w:szCs w:val="28"/>
    </w:rPr>
  </w:style>
  <w:style w:type="paragraph" w:customStyle="1" w:styleId="Textpoznpodarou1">
    <w:name w:val="Text pozn. pod čarou1"/>
    <w:basedOn w:val="Normln"/>
    <w:qFormat/>
    <w:rsid w:val="008A6CB4"/>
    <w:pPr>
      <w:spacing w:after="0" w:line="240" w:lineRule="auto"/>
      <w:jc w:val="left"/>
    </w:pPr>
    <w:rPr>
      <w:rFonts w:eastAsia="Calibri"/>
      <w:szCs w:val="20"/>
    </w:rPr>
  </w:style>
  <w:style w:type="character" w:styleId="Zdraznn">
    <w:name w:val="Emphasis"/>
    <w:basedOn w:val="Standardnpsmoodstavce"/>
    <w:uiPriority w:val="20"/>
    <w:qFormat/>
    <w:rsid w:val="00C4431F"/>
    <w:rPr>
      <w:i/>
      <w:iCs/>
    </w:rPr>
  </w:style>
  <w:style w:type="character" w:customStyle="1" w:styleId="normaltextrun">
    <w:name w:val="normaltextrun"/>
    <w:basedOn w:val="Standardnpsmoodstavce"/>
    <w:rsid w:val="00C4431F"/>
  </w:style>
  <w:style w:type="paragraph" w:customStyle="1" w:styleId="paragraph">
    <w:name w:val="paragraph"/>
    <w:basedOn w:val="Normln"/>
    <w:rsid w:val="00C4431F"/>
    <w:pPr>
      <w:spacing w:before="100" w:beforeAutospacing="1" w:after="100" w:afterAutospacing="1" w:line="240" w:lineRule="auto"/>
      <w:jc w:val="left"/>
    </w:pPr>
    <w:rPr>
      <w:rFonts w:ascii="Times New Roman" w:hAnsi="Times New Roman"/>
      <w:sz w:val="24"/>
    </w:rPr>
  </w:style>
  <w:style w:type="character" w:customStyle="1" w:styleId="eop">
    <w:name w:val="eop"/>
    <w:basedOn w:val="Standardnpsmoodstavce"/>
    <w:rsid w:val="00C4431F"/>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dpisobsahu">
    <w:name w:val="TOC Heading"/>
    <w:basedOn w:val="Nadpis1"/>
    <w:next w:val="Normln"/>
    <w:uiPriority w:val="39"/>
    <w:unhideWhenUsed/>
    <w:qFormat/>
    <w:rsid w:val="00603FF5"/>
    <w:pPr>
      <w:spacing w:before="240" w:after="0" w:line="259" w:lineRule="auto"/>
      <w:contextualSpacing w:val="0"/>
      <w:outlineLvl w:val="9"/>
    </w:pPr>
    <w:rPr>
      <w:rFonts w:asciiTheme="majorHAnsi" w:eastAsiaTheme="majorEastAsia" w:hAnsiTheme="majorHAnsi" w:cstheme="majorBidi"/>
      <w:b w:val="0"/>
      <w:bCs w:val="0"/>
      <w:color w:val="365F91" w:themeColor="accent1" w:themeShade="BF"/>
      <w:szCs w:val="32"/>
    </w:rPr>
  </w:style>
  <w:style w:type="character" w:styleId="Odkaznakoment">
    <w:name w:val="annotation reference"/>
    <w:basedOn w:val="Standardnpsmoodstavce"/>
    <w:uiPriority w:val="99"/>
    <w:semiHidden/>
    <w:unhideWhenUsed/>
    <w:rsid w:val="00545512"/>
    <w:rPr>
      <w:sz w:val="16"/>
      <w:szCs w:val="16"/>
    </w:rPr>
  </w:style>
  <w:style w:type="paragraph" w:styleId="Textkomente">
    <w:name w:val="annotation text"/>
    <w:basedOn w:val="Normln"/>
    <w:link w:val="TextkomenteChar"/>
    <w:uiPriority w:val="99"/>
    <w:unhideWhenUsed/>
    <w:rsid w:val="00545512"/>
    <w:pPr>
      <w:spacing w:line="240" w:lineRule="auto"/>
    </w:pPr>
    <w:rPr>
      <w:szCs w:val="20"/>
    </w:rPr>
  </w:style>
  <w:style w:type="character" w:customStyle="1" w:styleId="TextkomenteChar">
    <w:name w:val="Text komentáře Char"/>
    <w:basedOn w:val="Standardnpsmoodstavce"/>
    <w:link w:val="Textkomente"/>
    <w:uiPriority w:val="99"/>
    <w:rsid w:val="00545512"/>
    <w:rPr>
      <w:rFonts w:ascii="Arial" w:eastAsia="Times New Roman" w:hAnsi="Arial"/>
      <w:lang w:eastAsia="cs-CZ"/>
    </w:rPr>
  </w:style>
  <w:style w:type="paragraph" w:styleId="Pedmtkomente">
    <w:name w:val="annotation subject"/>
    <w:basedOn w:val="Textkomente"/>
    <w:next w:val="Textkomente"/>
    <w:link w:val="PedmtkomenteChar"/>
    <w:uiPriority w:val="99"/>
    <w:semiHidden/>
    <w:unhideWhenUsed/>
    <w:rsid w:val="00545512"/>
    <w:rPr>
      <w:b/>
      <w:bCs/>
    </w:rPr>
  </w:style>
  <w:style w:type="character" w:customStyle="1" w:styleId="PedmtkomenteChar">
    <w:name w:val="Předmět komentáře Char"/>
    <w:basedOn w:val="TextkomenteChar"/>
    <w:link w:val="Pedmtkomente"/>
    <w:uiPriority w:val="99"/>
    <w:semiHidden/>
    <w:rsid w:val="00545512"/>
    <w:rPr>
      <w:rFonts w:ascii="Arial" w:eastAsia="Times New Roman" w:hAnsi="Arial"/>
      <w:b/>
      <w:bCs/>
      <w:lang w:eastAsia="cs-CZ"/>
    </w:rPr>
  </w:style>
  <w:style w:type="paragraph" w:styleId="Rozloendokumentu">
    <w:name w:val="Document Map"/>
    <w:basedOn w:val="Normln"/>
    <w:link w:val="RozloendokumentuChar"/>
    <w:uiPriority w:val="99"/>
    <w:semiHidden/>
    <w:rsid w:val="00545512"/>
    <w:pPr>
      <w:spacing w:after="0" w:line="288" w:lineRule="auto"/>
      <w:jc w:val="left"/>
    </w:pPr>
    <w:rPr>
      <w:rFonts w:ascii="Tahoma" w:eastAsia="Calibri" w:hAnsi="Tahoma" w:cs="Tahoma"/>
      <w:sz w:val="16"/>
      <w:szCs w:val="16"/>
    </w:rPr>
  </w:style>
  <w:style w:type="character" w:customStyle="1" w:styleId="RozloendokumentuChar">
    <w:name w:val="Rozložení dokumentu Char"/>
    <w:basedOn w:val="Standardnpsmoodstavce"/>
    <w:link w:val="Rozloendokumentu"/>
    <w:uiPriority w:val="99"/>
    <w:semiHidden/>
    <w:rsid w:val="00545512"/>
    <w:rPr>
      <w:rFonts w:ascii="Tahoma" w:hAnsi="Tahoma" w:cs="Tahoma"/>
      <w:sz w:val="16"/>
      <w:szCs w:val="16"/>
      <w:lang w:eastAsia="cs-CZ"/>
    </w:rPr>
  </w:style>
  <w:style w:type="paragraph" w:customStyle="1" w:styleId="Nadpis12">
    <w:name w:val="Nadpis 12"/>
    <w:basedOn w:val="Normln"/>
    <w:uiPriority w:val="9"/>
    <w:qFormat/>
    <w:rsid w:val="00545512"/>
    <w:pPr>
      <w:keepNext/>
      <w:keepLines/>
      <w:spacing w:after="100"/>
      <w:contextualSpacing/>
      <w:jc w:val="left"/>
      <w:outlineLvl w:val="0"/>
    </w:pPr>
    <w:rPr>
      <w:rFonts w:eastAsia="MS Gothic"/>
      <w:b/>
      <w:bCs/>
      <w:color w:val="71818C"/>
      <w:sz w:val="32"/>
      <w:szCs w:val="28"/>
    </w:rPr>
  </w:style>
  <w:style w:type="character" w:customStyle="1" w:styleId="spelle">
    <w:name w:val="spelle"/>
    <w:basedOn w:val="Standardnpsmoodstavce"/>
    <w:rsid w:val="00545512"/>
  </w:style>
  <w:style w:type="paragraph" w:styleId="Revize">
    <w:name w:val="Revision"/>
    <w:hidden/>
    <w:uiPriority w:val="99"/>
    <w:semiHidden/>
    <w:rsid w:val="00545512"/>
    <w:rPr>
      <w:rFonts w:ascii="Arial" w:eastAsia="Times New Roman" w:hAnsi="Arial"/>
      <w:szCs w:val="24"/>
      <w:lang w:eastAsia="cs-CZ"/>
    </w:rPr>
  </w:style>
  <w:style w:type="character" w:customStyle="1" w:styleId="odkaz-style-wrapper">
    <w:name w:val="odkaz-style-wrapper"/>
    <w:basedOn w:val="Standardnpsmoodstavce"/>
    <w:rsid w:val="00545512"/>
  </w:style>
  <w:style w:type="character" w:customStyle="1" w:styleId="tabulka">
    <w:name w:val="tabulka"/>
    <w:basedOn w:val="Standardnpsmoodstavce"/>
    <w:rsid w:val="00545512"/>
  </w:style>
  <w:style w:type="paragraph" w:customStyle="1" w:styleId="Default">
    <w:name w:val="Default"/>
    <w:rsid w:val="00545512"/>
    <w:pPr>
      <w:autoSpaceDE w:val="0"/>
      <w:autoSpaceDN w:val="0"/>
      <w:adjustRightInd w:val="0"/>
    </w:pPr>
    <w:rPr>
      <w:rFonts w:cs="Calibri"/>
      <w:color w:val="000000"/>
      <w:sz w:val="24"/>
      <w:szCs w:val="24"/>
    </w:rPr>
  </w:style>
  <w:style w:type="paragraph" w:styleId="Normlnweb">
    <w:name w:val="Normal (Web)"/>
    <w:basedOn w:val="Normln"/>
    <w:uiPriority w:val="99"/>
    <w:semiHidden/>
    <w:unhideWhenUsed/>
    <w:rsid w:val="00545512"/>
    <w:pPr>
      <w:spacing w:before="100" w:beforeAutospacing="1" w:after="100" w:afterAutospacing="1" w:line="240" w:lineRule="auto"/>
      <w:jc w:val="left"/>
    </w:pPr>
    <w:rPr>
      <w:rFonts w:ascii="Times New Roman" w:hAnsi="Times New Roman"/>
      <w:sz w:val="24"/>
    </w:rPr>
  </w:style>
  <w:style w:type="paragraph" w:styleId="FormtovanvHTML">
    <w:name w:val="HTML Preformatted"/>
    <w:basedOn w:val="Normln"/>
    <w:link w:val="FormtovanvHTMLChar"/>
    <w:uiPriority w:val="99"/>
    <w:semiHidden/>
    <w:unhideWhenUsed/>
    <w:rsid w:val="00545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Cs w:val="20"/>
    </w:rPr>
  </w:style>
  <w:style w:type="character" w:customStyle="1" w:styleId="FormtovanvHTMLChar">
    <w:name w:val="Formátovaný v HTML Char"/>
    <w:basedOn w:val="Standardnpsmoodstavce"/>
    <w:link w:val="FormtovanvHTML"/>
    <w:uiPriority w:val="99"/>
    <w:semiHidden/>
    <w:rsid w:val="00545512"/>
    <w:rPr>
      <w:rFonts w:ascii="Courier New" w:eastAsia="Times New Roman" w:hAnsi="Courier New" w:cs="Courier New"/>
      <w:lang w:eastAsia="cs-CZ"/>
    </w:rPr>
  </w:style>
  <w:style w:type="paragraph" w:customStyle="1" w:styleId="cay">
    <w:name w:val="c_ay"/>
    <w:basedOn w:val="Normln"/>
    <w:rsid w:val="00545512"/>
    <w:pPr>
      <w:spacing w:before="100" w:beforeAutospacing="1" w:after="100" w:afterAutospacing="1" w:line="240" w:lineRule="auto"/>
      <w:jc w:val="left"/>
    </w:pPr>
    <w:rPr>
      <w:rFonts w:ascii="Times New Roman" w:hAnsi="Times New Roman"/>
      <w:sz w:val="24"/>
    </w:rPr>
  </w:style>
  <w:style w:type="character" w:customStyle="1" w:styleId="cew">
    <w:name w:val="c_ew"/>
    <w:basedOn w:val="Standardnpsmoodstavce"/>
    <w:rsid w:val="00545512"/>
  </w:style>
  <w:style w:type="character" w:styleId="Sledovanodkaz">
    <w:name w:val="FollowedHyperlink"/>
    <w:basedOn w:val="Standardnpsmoodstavce"/>
    <w:uiPriority w:val="99"/>
    <w:semiHidden/>
    <w:unhideWhenUsed/>
    <w:rsid w:val="00545512"/>
    <w:rPr>
      <w:color w:val="800080" w:themeColor="followedHyperlink"/>
      <w:u w:val="single"/>
    </w:rPr>
  </w:style>
  <w:style w:type="character" w:customStyle="1" w:styleId="cfu">
    <w:name w:val="c_fu"/>
    <w:basedOn w:val="Standardnpsmoodstavce"/>
    <w:rsid w:val="00BF3B1D"/>
  </w:style>
  <w:style w:type="character" w:customStyle="1" w:styleId="OdstavecseseznamemChar">
    <w:name w:val="Odstavec se seznamem Char"/>
    <w:basedOn w:val="Standardnpsmoodstavce"/>
    <w:link w:val="Odstavecseseznamem"/>
    <w:uiPriority w:val="34"/>
    <w:rsid w:val="00CF59E5"/>
    <w:rPr>
      <w:rFonts w:ascii="Arial" w:eastAsia="Times New Roman" w:hAnsi="Arial"/>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66344914">
      <w:bodyDiv w:val="1"/>
      <w:marLeft w:val="0"/>
      <w:marRight w:val="0"/>
      <w:marTop w:val="0"/>
      <w:marBottom w:val="0"/>
      <w:divBdr>
        <w:top w:val="none" w:sz="0" w:space="0" w:color="auto"/>
        <w:left w:val="none" w:sz="0" w:space="0" w:color="auto"/>
        <w:bottom w:val="none" w:sz="0" w:space="0" w:color="auto"/>
        <w:right w:val="none" w:sz="0" w:space="0" w:color="auto"/>
      </w:divBdr>
    </w:div>
    <w:div w:id="110517919">
      <w:bodyDiv w:val="1"/>
      <w:marLeft w:val="0"/>
      <w:marRight w:val="0"/>
      <w:marTop w:val="0"/>
      <w:marBottom w:val="0"/>
      <w:divBdr>
        <w:top w:val="none" w:sz="0" w:space="0" w:color="auto"/>
        <w:left w:val="none" w:sz="0" w:space="0" w:color="auto"/>
        <w:bottom w:val="none" w:sz="0" w:space="0" w:color="auto"/>
        <w:right w:val="none" w:sz="0" w:space="0" w:color="auto"/>
      </w:divBdr>
    </w:div>
    <w:div w:id="112676334">
      <w:bodyDiv w:val="1"/>
      <w:marLeft w:val="0"/>
      <w:marRight w:val="0"/>
      <w:marTop w:val="0"/>
      <w:marBottom w:val="0"/>
      <w:divBdr>
        <w:top w:val="none" w:sz="0" w:space="0" w:color="auto"/>
        <w:left w:val="none" w:sz="0" w:space="0" w:color="auto"/>
        <w:bottom w:val="none" w:sz="0" w:space="0" w:color="auto"/>
        <w:right w:val="none" w:sz="0" w:space="0" w:color="auto"/>
      </w:divBdr>
    </w:div>
    <w:div w:id="243729605">
      <w:bodyDiv w:val="1"/>
      <w:marLeft w:val="0"/>
      <w:marRight w:val="0"/>
      <w:marTop w:val="0"/>
      <w:marBottom w:val="0"/>
      <w:divBdr>
        <w:top w:val="none" w:sz="0" w:space="0" w:color="auto"/>
        <w:left w:val="none" w:sz="0" w:space="0" w:color="auto"/>
        <w:bottom w:val="none" w:sz="0" w:space="0" w:color="auto"/>
        <w:right w:val="none" w:sz="0" w:space="0" w:color="auto"/>
      </w:divBdr>
    </w:div>
    <w:div w:id="255015632">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387458773">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733701289">
      <w:bodyDiv w:val="1"/>
      <w:marLeft w:val="0"/>
      <w:marRight w:val="0"/>
      <w:marTop w:val="0"/>
      <w:marBottom w:val="0"/>
      <w:divBdr>
        <w:top w:val="none" w:sz="0" w:space="0" w:color="auto"/>
        <w:left w:val="none" w:sz="0" w:space="0" w:color="auto"/>
        <w:bottom w:val="none" w:sz="0" w:space="0" w:color="auto"/>
        <w:right w:val="none" w:sz="0" w:space="0" w:color="auto"/>
      </w:divBdr>
    </w:div>
    <w:div w:id="883518353">
      <w:bodyDiv w:val="1"/>
      <w:marLeft w:val="0"/>
      <w:marRight w:val="0"/>
      <w:marTop w:val="0"/>
      <w:marBottom w:val="0"/>
      <w:divBdr>
        <w:top w:val="none" w:sz="0" w:space="0" w:color="auto"/>
        <w:left w:val="none" w:sz="0" w:space="0" w:color="auto"/>
        <w:bottom w:val="none" w:sz="0" w:space="0" w:color="auto"/>
        <w:right w:val="none" w:sz="0" w:space="0" w:color="auto"/>
      </w:divBdr>
    </w:div>
    <w:div w:id="932319695">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276136441">
      <w:bodyDiv w:val="1"/>
      <w:marLeft w:val="0"/>
      <w:marRight w:val="0"/>
      <w:marTop w:val="0"/>
      <w:marBottom w:val="0"/>
      <w:divBdr>
        <w:top w:val="none" w:sz="0" w:space="0" w:color="auto"/>
        <w:left w:val="none" w:sz="0" w:space="0" w:color="auto"/>
        <w:bottom w:val="none" w:sz="0" w:space="0" w:color="auto"/>
        <w:right w:val="none" w:sz="0" w:space="0" w:color="auto"/>
      </w:divBdr>
    </w:div>
    <w:div w:id="128300063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66721734">
      <w:bodyDiv w:val="1"/>
      <w:marLeft w:val="0"/>
      <w:marRight w:val="0"/>
      <w:marTop w:val="0"/>
      <w:marBottom w:val="0"/>
      <w:divBdr>
        <w:top w:val="none" w:sz="0" w:space="0" w:color="auto"/>
        <w:left w:val="none" w:sz="0" w:space="0" w:color="auto"/>
        <w:bottom w:val="none" w:sz="0" w:space="0" w:color="auto"/>
        <w:right w:val="none" w:sz="0" w:space="0" w:color="auto"/>
      </w:divBdr>
    </w:div>
    <w:div w:id="1639457441">
      <w:bodyDiv w:val="1"/>
      <w:marLeft w:val="0"/>
      <w:marRight w:val="0"/>
      <w:marTop w:val="0"/>
      <w:marBottom w:val="0"/>
      <w:divBdr>
        <w:top w:val="none" w:sz="0" w:space="0" w:color="auto"/>
        <w:left w:val="none" w:sz="0" w:space="0" w:color="auto"/>
        <w:bottom w:val="none" w:sz="0" w:space="0" w:color="auto"/>
        <w:right w:val="none" w:sz="0" w:space="0" w:color="auto"/>
      </w:divBdr>
    </w:div>
    <w:div w:id="1716924412">
      <w:bodyDiv w:val="1"/>
      <w:marLeft w:val="0"/>
      <w:marRight w:val="0"/>
      <w:marTop w:val="0"/>
      <w:marBottom w:val="0"/>
      <w:divBdr>
        <w:top w:val="none" w:sz="0" w:space="0" w:color="auto"/>
        <w:left w:val="none" w:sz="0" w:space="0" w:color="auto"/>
        <w:bottom w:val="none" w:sz="0" w:space="0" w:color="auto"/>
        <w:right w:val="none" w:sz="0" w:space="0" w:color="auto"/>
      </w:divBdr>
    </w:div>
    <w:div w:id="1856962653">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06206753">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csu.gov.cz/produkty/analyza-ctvrtletnich-sektorovych-uctu-4-ctvrtleti-2025"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E:\Qmakro-2026\Grafy-st&#225;tn&#237;%20rozpo&#269;et-1q-202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Qmakro-2026\Grafy-st&#225;tn&#237;%20rozpo&#269;et-1q-202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547146084085555E-2"/>
          <c:y val="1.7107287133586922E-2"/>
          <c:w val="0.83426501745522175"/>
          <c:h val="0.7712532796771161"/>
        </c:manualLayout>
      </c:layout>
      <c:barChart>
        <c:barDir val="col"/>
        <c:grouping val="stacked"/>
        <c:varyColors val="0"/>
        <c:ser>
          <c:idx val="1"/>
          <c:order val="1"/>
          <c:tx>
            <c:strRef>
              <c:f>'G1-SR-příjmy-příspěvky'!$A$36</c:f>
              <c:strCache>
                <c:ptCount val="1"/>
                <c:pt idx="0">
                  <c:v>Ostatní daně a poplatky</c:v>
                </c:pt>
              </c:strCache>
            </c:strRef>
          </c:tx>
          <c:spPr>
            <a:solidFill>
              <a:srgbClr val="B8BBC0"/>
            </a:solidFill>
            <a:ln w="12700">
              <a:noFill/>
              <a:prstDash val="solid"/>
            </a:ln>
          </c:spPr>
          <c:invertIfNegative val="0"/>
          <c:cat>
            <c:numRef>
              <c:f>'G1-SR-příjmy-příspěvky'!$L$34:$W$34</c:f>
              <c:numCache>
                <c:formatCode>General</c:formatCode>
                <c:ptCount val="12"/>
                <c:pt idx="0">
                  <c:v>2015</c:v>
                </c:pt>
                <c:pt idx="1">
                  <c:v>2016</c:v>
                </c:pt>
                <c:pt idx="2">
                  <c:v>2017</c:v>
                </c:pt>
                <c:pt idx="3">
                  <c:v>2018</c:v>
                </c:pt>
                <c:pt idx="4">
                  <c:v>2019</c:v>
                </c:pt>
                <c:pt idx="5">
                  <c:v>2020</c:v>
                </c:pt>
                <c:pt idx="6">
                  <c:v>2021</c:v>
                </c:pt>
                <c:pt idx="7">
                  <c:v>2022</c:v>
                </c:pt>
                <c:pt idx="8">
                  <c:v>2023</c:v>
                </c:pt>
                <c:pt idx="9">
                  <c:v>2024</c:v>
                </c:pt>
                <c:pt idx="10">
                  <c:v>2025</c:v>
                </c:pt>
                <c:pt idx="11">
                  <c:v>2026</c:v>
                </c:pt>
              </c:numCache>
            </c:numRef>
          </c:cat>
          <c:val>
            <c:numRef>
              <c:f>'G1-SR-příjmy-příspěvky'!$L$36:$W$36</c:f>
              <c:numCache>
                <c:formatCode>0.0</c:formatCode>
                <c:ptCount val="12"/>
                <c:pt idx="0">
                  <c:v>0.17244682889444096</c:v>
                </c:pt>
                <c:pt idx="1">
                  <c:v>0.1722838376224716</c:v>
                </c:pt>
                <c:pt idx="2">
                  <c:v>0.23509403761505579</c:v>
                </c:pt>
                <c:pt idx="3">
                  <c:v>0.62235845989504279</c:v>
                </c:pt>
                <c:pt idx="4">
                  <c:v>0.80854504446996855</c:v>
                </c:pt>
                <c:pt idx="5">
                  <c:v>0.66381882645426282</c:v>
                </c:pt>
                <c:pt idx="6">
                  <c:v>-1.6059485038147707</c:v>
                </c:pt>
                <c:pt idx="7">
                  <c:v>1.1042137486708441</c:v>
                </c:pt>
                <c:pt idx="8">
                  <c:v>3.33491604773103</c:v>
                </c:pt>
                <c:pt idx="9">
                  <c:v>2.2832982090889375</c:v>
                </c:pt>
                <c:pt idx="10">
                  <c:v>-0.7441216183719358</c:v>
                </c:pt>
                <c:pt idx="11">
                  <c:v>-2.2758317332676063</c:v>
                </c:pt>
              </c:numCache>
            </c:numRef>
          </c:val>
          <c:extLst>
            <c:ext xmlns:c16="http://schemas.microsoft.com/office/drawing/2014/chart" uri="{C3380CC4-5D6E-409C-BE32-E72D297353CC}">
              <c16:uniqueId val="{00000000-8194-4D38-A9C3-0EAC3A5B1C1E}"/>
            </c:ext>
          </c:extLst>
        </c:ser>
        <c:ser>
          <c:idx val="3"/>
          <c:order val="2"/>
          <c:tx>
            <c:strRef>
              <c:f>'G1-SR-příjmy-příspěvky'!$A$37</c:f>
              <c:strCache>
                <c:ptCount val="1"/>
                <c:pt idx="0">
                  <c:v>Daně z příjmů FO, placená plátci</c:v>
                </c:pt>
              </c:strCache>
            </c:strRef>
          </c:tx>
          <c:spPr>
            <a:solidFill>
              <a:srgbClr val="BC5B80"/>
            </a:solidFill>
            <a:ln w="19050">
              <a:noFill/>
              <a:prstDash val="sysDot"/>
            </a:ln>
          </c:spPr>
          <c:invertIfNegative val="0"/>
          <c:cat>
            <c:numRef>
              <c:f>'G1-SR-příjmy-příspěvky'!$L$34:$W$34</c:f>
              <c:numCache>
                <c:formatCode>General</c:formatCode>
                <c:ptCount val="12"/>
                <c:pt idx="0">
                  <c:v>2015</c:v>
                </c:pt>
                <c:pt idx="1">
                  <c:v>2016</c:v>
                </c:pt>
                <c:pt idx="2">
                  <c:v>2017</c:v>
                </c:pt>
                <c:pt idx="3">
                  <c:v>2018</c:v>
                </c:pt>
                <c:pt idx="4">
                  <c:v>2019</c:v>
                </c:pt>
                <c:pt idx="5">
                  <c:v>2020</c:v>
                </c:pt>
                <c:pt idx="6">
                  <c:v>2021</c:v>
                </c:pt>
                <c:pt idx="7">
                  <c:v>2022</c:v>
                </c:pt>
                <c:pt idx="8">
                  <c:v>2023</c:v>
                </c:pt>
                <c:pt idx="9">
                  <c:v>2024</c:v>
                </c:pt>
                <c:pt idx="10">
                  <c:v>2025</c:v>
                </c:pt>
                <c:pt idx="11">
                  <c:v>2026</c:v>
                </c:pt>
              </c:numCache>
            </c:numRef>
          </c:cat>
          <c:val>
            <c:numRef>
              <c:f>'G1-SR-příjmy-příspěvky'!$L$37:$W$37</c:f>
              <c:numCache>
                <c:formatCode>0.0</c:formatCode>
                <c:ptCount val="12"/>
                <c:pt idx="0">
                  <c:v>0.26825062272465927</c:v>
                </c:pt>
                <c:pt idx="1">
                  <c:v>1.4267255303111859</c:v>
                </c:pt>
                <c:pt idx="2">
                  <c:v>1.790716286514606</c:v>
                </c:pt>
                <c:pt idx="3">
                  <c:v>2.7448794761042179</c:v>
                </c:pt>
                <c:pt idx="4">
                  <c:v>2.353291629431042</c:v>
                </c:pt>
                <c:pt idx="5">
                  <c:v>2.0229026566319881</c:v>
                </c:pt>
                <c:pt idx="6">
                  <c:v>-7.7679840205888215</c:v>
                </c:pt>
                <c:pt idx="7">
                  <c:v>-1.5623633418257472</c:v>
                </c:pt>
                <c:pt idx="8">
                  <c:v>3.5255553646143607</c:v>
                </c:pt>
                <c:pt idx="9">
                  <c:v>1.9761842262136731</c:v>
                </c:pt>
                <c:pt idx="10">
                  <c:v>1.5675983108624574</c:v>
                </c:pt>
                <c:pt idx="11">
                  <c:v>1.7282027508945395</c:v>
                </c:pt>
              </c:numCache>
            </c:numRef>
          </c:val>
          <c:extLst>
            <c:ext xmlns:c16="http://schemas.microsoft.com/office/drawing/2014/chart" uri="{C3380CC4-5D6E-409C-BE32-E72D297353CC}">
              <c16:uniqueId val="{00000001-8194-4D38-A9C3-0EAC3A5B1C1E}"/>
            </c:ext>
          </c:extLst>
        </c:ser>
        <c:ser>
          <c:idx val="4"/>
          <c:order val="3"/>
          <c:tx>
            <c:strRef>
              <c:f>'G1-SR-příjmy-příspěvky'!$A$38</c:f>
              <c:strCache>
                <c:ptCount val="1"/>
                <c:pt idx="0">
                  <c:v>Daně z příjmů FO, ostatní</c:v>
                </c:pt>
              </c:strCache>
            </c:strRef>
          </c:tx>
          <c:spPr>
            <a:solidFill>
              <a:srgbClr val="D8A7B7"/>
            </a:solidFill>
            <a:ln w="19050">
              <a:noFill/>
            </a:ln>
          </c:spPr>
          <c:invertIfNegative val="0"/>
          <c:cat>
            <c:numRef>
              <c:f>'G1-SR-příjmy-příspěvky'!$L$34:$W$34</c:f>
              <c:numCache>
                <c:formatCode>General</c:formatCode>
                <c:ptCount val="12"/>
                <c:pt idx="0">
                  <c:v>2015</c:v>
                </c:pt>
                <c:pt idx="1">
                  <c:v>2016</c:v>
                </c:pt>
                <c:pt idx="2">
                  <c:v>2017</c:v>
                </c:pt>
                <c:pt idx="3">
                  <c:v>2018</c:v>
                </c:pt>
                <c:pt idx="4">
                  <c:v>2019</c:v>
                </c:pt>
                <c:pt idx="5">
                  <c:v>2020</c:v>
                </c:pt>
                <c:pt idx="6">
                  <c:v>2021</c:v>
                </c:pt>
                <c:pt idx="7">
                  <c:v>2022</c:v>
                </c:pt>
                <c:pt idx="8">
                  <c:v>2023</c:v>
                </c:pt>
                <c:pt idx="9">
                  <c:v>2024</c:v>
                </c:pt>
                <c:pt idx="10">
                  <c:v>2025</c:v>
                </c:pt>
                <c:pt idx="11">
                  <c:v>2026</c:v>
                </c:pt>
              </c:numCache>
            </c:numRef>
          </c:cat>
          <c:val>
            <c:numRef>
              <c:f>'G1-SR-příjmy-příspěvky'!$L$38:$W$38</c:f>
              <c:numCache>
                <c:formatCode>0.0</c:formatCode>
                <c:ptCount val="12"/>
                <c:pt idx="0">
                  <c:v>-0.50296991760873755</c:v>
                </c:pt>
                <c:pt idx="1">
                  <c:v>0.83449983848390386</c:v>
                </c:pt>
                <c:pt idx="2">
                  <c:v>0.20508203281311971</c:v>
                </c:pt>
                <c:pt idx="3">
                  <c:v>-1.3933398355856212E-2</c:v>
                </c:pt>
                <c:pt idx="4">
                  <c:v>0.77875654283160978</c:v>
                </c:pt>
                <c:pt idx="5">
                  <c:v>-0.74215988803866995</c:v>
                </c:pt>
                <c:pt idx="6">
                  <c:v>0.13268445991520786</c:v>
                </c:pt>
                <c:pt idx="7">
                  <c:v>1.6770686921142257</c:v>
                </c:pt>
                <c:pt idx="8">
                  <c:v>0.88253048526587563</c:v>
                </c:pt>
                <c:pt idx="9">
                  <c:v>0.1756007887670793</c:v>
                </c:pt>
                <c:pt idx="10">
                  <c:v>0.39987879656526337</c:v>
                </c:pt>
                <c:pt idx="11">
                  <c:v>0.5584654789000183</c:v>
                </c:pt>
              </c:numCache>
            </c:numRef>
          </c:val>
          <c:extLst>
            <c:ext xmlns:c16="http://schemas.microsoft.com/office/drawing/2014/chart" uri="{C3380CC4-5D6E-409C-BE32-E72D297353CC}">
              <c16:uniqueId val="{00000002-8194-4D38-A9C3-0EAC3A5B1C1E}"/>
            </c:ext>
          </c:extLst>
        </c:ser>
        <c:ser>
          <c:idx val="2"/>
          <c:order val="4"/>
          <c:tx>
            <c:strRef>
              <c:f>'G1-SR-příjmy-příspěvky'!$A$39</c:f>
              <c:strCache>
                <c:ptCount val="1"/>
                <c:pt idx="0">
                  <c:v>Daně z příjmů PO</c:v>
                </c:pt>
              </c:strCache>
            </c:strRef>
          </c:tx>
          <c:spPr>
            <a:solidFill>
              <a:srgbClr val="86BF5E"/>
            </a:solidFill>
            <a:ln>
              <a:noFill/>
            </a:ln>
          </c:spPr>
          <c:invertIfNegative val="0"/>
          <c:cat>
            <c:numRef>
              <c:f>'G1-SR-příjmy-příspěvky'!$L$34:$W$34</c:f>
              <c:numCache>
                <c:formatCode>General</c:formatCode>
                <c:ptCount val="12"/>
                <c:pt idx="0">
                  <c:v>2015</c:v>
                </c:pt>
                <c:pt idx="1">
                  <c:v>2016</c:v>
                </c:pt>
                <c:pt idx="2">
                  <c:v>2017</c:v>
                </c:pt>
                <c:pt idx="3">
                  <c:v>2018</c:v>
                </c:pt>
                <c:pt idx="4">
                  <c:v>2019</c:v>
                </c:pt>
                <c:pt idx="5">
                  <c:v>2020</c:v>
                </c:pt>
                <c:pt idx="6">
                  <c:v>2021</c:v>
                </c:pt>
                <c:pt idx="7">
                  <c:v>2022</c:v>
                </c:pt>
                <c:pt idx="8">
                  <c:v>2023</c:v>
                </c:pt>
                <c:pt idx="9">
                  <c:v>2024</c:v>
                </c:pt>
                <c:pt idx="10">
                  <c:v>2025</c:v>
                </c:pt>
                <c:pt idx="11">
                  <c:v>2026</c:v>
                </c:pt>
              </c:numCache>
            </c:numRef>
          </c:cat>
          <c:val>
            <c:numRef>
              <c:f>'G1-SR-příjmy-příspěvky'!$L$39:$W$39</c:f>
              <c:numCache>
                <c:formatCode>0.0</c:formatCode>
                <c:ptCount val="12"/>
                <c:pt idx="0">
                  <c:v>1.0059398352174735</c:v>
                </c:pt>
                <c:pt idx="1">
                  <c:v>2.1104770108754165</c:v>
                </c:pt>
                <c:pt idx="2">
                  <c:v>1.7957182873149218</c:v>
                </c:pt>
                <c:pt idx="3">
                  <c:v>0.20900097533788606</c:v>
                </c:pt>
                <c:pt idx="4">
                  <c:v>0.62981403463977115</c:v>
                </c:pt>
                <c:pt idx="5">
                  <c:v>0.32691017416434559</c:v>
                </c:pt>
                <c:pt idx="6">
                  <c:v>0.10558008367166571</c:v>
                </c:pt>
                <c:pt idx="7">
                  <c:v>1.0191782822047715</c:v>
                </c:pt>
                <c:pt idx="8">
                  <c:v>3.8971374921113422</c:v>
                </c:pt>
                <c:pt idx="9">
                  <c:v>2.8010802336169207</c:v>
                </c:pt>
                <c:pt idx="10">
                  <c:v>0.52757383753584075</c:v>
                </c:pt>
                <c:pt idx="11">
                  <c:v>3.6153244966819007</c:v>
                </c:pt>
              </c:numCache>
            </c:numRef>
          </c:val>
          <c:extLst>
            <c:ext xmlns:c16="http://schemas.microsoft.com/office/drawing/2014/chart" uri="{C3380CC4-5D6E-409C-BE32-E72D297353CC}">
              <c16:uniqueId val="{00000003-8194-4D38-A9C3-0EAC3A5B1C1E}"/>
            </c:ext>
          </c:extLst>
        </c:ser>
        <c:ser>
          <c:idx val="5"/>
          <c:order val="5"/>
          <c:tx>
            <c:strRef>
              <c:f>'G1-SR-příjmy-příspěvky'!$A$40</c:f>
              <c:strCache>
                <c:ptCount val="1"/>
                <c:pt idx="0">
                  <c:v>Spotřební daň</c:v>
                </c:pt>
              </c:strCache>
            </c:strRef>
          </c:tx>
          <c:spPr>
            <a:solidFill>
              <a:srgbClr val="009CB5"/>
            </a:solidFill>
            <a:ln>
              <a:noFill/>
            </a:ln>
          </c:spPr>
          <c:invertIfNegative val="0"/>
          <c:cat>
            <c:numRef>
              <c:f>'G1-SR-příjmy-příspěvky'!$L$34:$W$34</c:f>
              <c:numCache>
                <c:formatCode>General</c:formatCode>
                <c:ptCount val="12"/>
                <c:pt idx="0">
                  <c:v>2015</c:v>
                </c:pt>
                <c:pt idx="1">
                  <c:v>2016</c:v>
                </c:pt>
                <c:pt idx="2">
                  <c:v>2017</c:v>
                </c:pt>
                <c:pt idx="3">
                  <c:v>2018</c:v>
                </c:pt>
                <c:pt idx="4">
                  <c:v>2019</c:v>
                </c:pt>
                <c:pt idx="5">
                  <c:v>2020</c:v>
                </c:pt>
                <c:pt idx="6">
                  <c:v>2021</c:v>
                </c:pt>
                <c:pt idx="7">
                  <c:v>2022</c:v>
                </c:pt>
                <c:pt idx="8">
                  <c:v>2023</c:v>
                </c:pt>
                <c:pt idx="9">
                  <c:v>2024</c:v>
                </c:pt>
                <c:pt idx="10">
                  <c:v>2025</c:v>
                </c:pt>
                <c:pt idx="11">
                  <c:v>2026</c:v>
                </c:pt>
              </c:numCache>
            </c:numRef>
          </c:cat>
          <c:val>
            <c:numRef>
              <c:f>'G1-SR-příjmy-příspěvky'!$L$40:$W$40</c:f>
              <c:numCache>
                <c:formatCode>0.0</c:formatCode>
                <c:ptCount val="12"/>
                <c:pt idx="0">
                  <c:v>-6.1841348917417109</c:v>
                </c:pt>
                <c:pt idx="1">
                  <c:v>1.4590287498653987</c:v>
                </c:pt>
                <c:pt idx="2">
                  <c:v>0.42016806722689187</c:v>
                </c:pt>
                <c:pt idx="3">
                  <c:v>0.58055826482745765</c:v>
                </c:pt>
                <c:pt idx="4">
                  <c:v>-0.62130303417166777</c:v>
                </c:pt>
                <c:pt idx="5">
                  <c:v>1.0735727426060964</c:v>
                </c:pt>
                <c:pt idx="6">
                  <c:v>-2.9470384104736076</c:v>
                </c:pt>
                <c:pt idx="7">
                  <c:v>2.0334594164576827</c:v>
                </c:pt>
                <c:pt idx="8">
                  <c:v>-0.53984991589800368</c:v>
                </c:pt>
                <c:pt idx="9">
                  <c:v>1.4072160183913973</c:v>
                </c:pt>
                <c:pt idx="10">
                  <c:v>1.3732210021369924</c:v>
                </c:pt>
                <c:pt idx="11">
                  <c:v>-9.6610197168562978E-2</c:v>
                </c:pt>
              </c:numCache>
            </c:numRef>
          </c:val>
          <c:extLst>
            <c:ext xmlns:c16="http://schemas.microsoft.com/office/drawing/2014/chart" uri="{C3380CC4-5D6E-409C-BE32-E72D297353CC}">
              <c16:uniqueId val="{00000004-8194-4D38-A9C3-0EAC3A5B1C1E}"/>
            </c:ext>
          </c:extLst>
        </c:ser>
        <c:ser>
          <c:idx val="6"/>
          <c:order val="6"/>
          <c:tx>
            <c:strRef>
              <c:f>'G1-SR-příjmy-příspěvky'!$A$41</c:f>
              <c:strCache>
                <c:ptCount val="1"/>
                <c:pt idx="0">
                  <c:v>DPH</c:v>
                </c:pt>
              </c:strCache>
            </c:strRef>
          </c:tx>
          <c:spPr>
            <a:solidFill>
              <a:srgbClr val="9FC9D7"/>
            </a:solidFill>
            <a:ln w="19050">
              <a:noFill/>
            </a:ln>
          </c:spPr>
          <c:invertIfNegative val="0"/>
          <c:cat>
            <c:numRef>
              <c:f>'G1-SR-příjmy-příspěvky'!$L$34:$W$34</c:f>
              <c:numCache>
                <c:formatCode>General</c:formatCode>
                <c:ptCount val="12"/>
                <c:pt idx="0">
                  <c:v>2015</c:v>
                </c:pt>
                <c:pt idx="1">
                  <c:v>2016</c:v>
                </c:pt>
                <c:pt idx="2">
                  <c:v>2017</c:v>
                </c:pt>
                <c:pt idx="3">
                  <c:v>2018</c:v>
                </c:pt>
                <c:pt idx="4">
                  <c:v>2019</c:v>
                </c:pt>
                <c:pt idx="5">
                  <c:v>2020</c:v>
                </c:pt>
                <c:pt idx="6">
                  <c:v>2021</c:v>
                </c:pt>
                <c:pt idx="7">
                  <c:v>2022</c:v>
                </c:pt>
                <c:pt idx="8">
                  <c:v>2023</c:v>
                </c:pt>
                <c:pt idx="9">
                  <c:v>2024</c:v>
                </c:pt>
                <c:pt idx="10">
                  <c:v>2025</c:v>
                </c:pt>
                <c:pt idx="11">
                  <c:v>2026</c:v>
                </c:pt>
              </c:numCache>
            </c:numRef>
          </c:cat>
          <c:val>
            <c:numRef>
              <c:f>'G1-SR-příjmy-příspěvky'!$L$41:$W$41</c:f>
              <c:numCache>
                <c:formatCode>0.0</c:formatCode>
                <c:ptCount val="12"/>
                <c:pt idx="0">
                  <c:v>-5.78654914734624</c:v>
                </c:pt>
                <c:pt idx="1">
                  <c:v>1.6313125874878858</c:v>
                </c:pt>
                <c:pt idx="2">
                  <c:v>3.2513005202080785</c:v>
                </c:pt>
                <c:pt idx="3">
                  <c:v>4.9974455436347585</c:v>
                </c:pt>
                <c:pt idx="4">
                  <c:v>-6.3832503510790173E-2</c:v>
                </c:pt>
                <c:pt idx="5">
                  <c:v>2.1661942638579434</c:v>
                </c:pt>
                <c:pt idx="6">
                  <c:v>-2.6237556934223591</c:v>
                </c:pt>
                <c:pt idx="7">
                  <c:v>9.6005596283267742</c:v>
                </c:pt>
                <c:pt idx="8">
                  <c:v>4.340978588922372</c:v>
                </c:pt>
                <c:pt idx="9">
                  <c:v>2.9004197803465526</c:v>
                </c:pt>
                <c:pt idx="10">
                  <c:v>2.2615371073850015</c:v>
                </c:pt>
                <c:pt idx="11">
                  <c:v>2.6895177541469444</c:v>
                </c:pt>
              </c:numCache>
            </c:numRef>
          </c:val>
          <c:extLst>
            <c:ext xmlns:c16="http://schemas.microsoft.com/office/drawing/2014/chart" uri="{C3380CC4-5D6E-409C-BE32-E72D297353CC}">
              <c16:uniqueId val="{00000005-8194-4D38-A9C3-0EAC3A5B1C1E}"/>
            </c:ext>
          </c:extLst>
        </c:ser>
        <c:dLbls>
          <c:showLegendKey val="0"/>
          <c:showVal val="0"/>
          <c:showCatName val="0"/>
          <c:showSerName val="0"/>
          <c:showPercent val="0"/>
          <c:showBubbleSize val="0"/>
        </c:dLbls>
        <c:gapWidth val="59"/>
        <c:overlap val="100"/>
        <c:axId val="194467712"/>
        <c:axId val="194473984"/>
      </c:barChart>
      <c:lineChart>
        <c:grouping val="standard"/>
        <c:varyColors val="0"/>
        <c:ser>
          <c:idx val="0"/>
          <c:order val="0"/>
          <c:tx>
            <c:strRef>
              <c:f>'G1-SR-příjmy-příspěvky'!$A$35</c:f>
              <c:strCache>
                <c:ptCount val="1"/>
                <c:pt idx="0">
                  <c:v>Celk. daňové příjmy (bez pojistného na SZ)</c:v>
                </c:pt>
              </c:strCache>
            </c:strRef>
          </c:tx>
          <c:spPr>
            <a:ln w="19050">
              <a:noFill/>
            </a:ln>
          </c:spPr>
          <c:marker>
            <c:symbol val="circle"/>
            <c:size val="7"/>
            <c:spPr>
              <a:solidFill>
                <a:schemeClr val="bg1"/>
              </a:solidFill>
              <a:ln>
                <a:solidFill>
                  <a:schemeClr val="tx1">
                    <a:lumMod val="95000"/>
                    <a:lumOff val="5000"/>
                  </a:schemeClr>
                </a:solidFill>
              </a:ln>
            </c:spPr>
          </c:marker>
          <c:cat>
            <c:numRef>
              <c:f>'G1-SR-příjmy-příspěvky'!$L$34:$W$34</c:f>
              <c:numCache>
                <c:formatCode>General</c:formatCode>
                <c:ptCount val="12"/>
                <c:pt idx="0">
                  <c:v>2015</c:v>
                </c:pt>
                <c:pt idx="1">
                  <c:v>2016</c:v>
                </c:pt>
                <c:pt idx="2">
                  <c:v>2017</c:v>
                </c:pt>
                <c:pt idx="3">
                  <c:v>2018</c:v>
                </c:pt>
                <c:pt idx="4">
                  <c:v>2019</c:v>
                </c:pt>
                <c:pt idx="5">
                  <c:v>2020</c:v>
                </c:pt>
                <c:pt idx="6">
                  <c:v>2021</c:v>
                </c:pt>
                <c:pt idx="7">
                  <c:v>2022</c:v>
                </c:pt>
                <c:pt idx="8">
                  <c:v>2023</c:v>
                </c:pt>
                <c:pt idx="9">
                  <c:v>2024</c:v>
                </c:pt>
                <c:pt idx="10">
                  <c:v>2025</c:v>
                </c:pt>
                <c:pt idx="11">
                  <c:v>2026</c:v>
                </c:pt>
              </c:numCache>
            </c:numRef>
          </c:cat>
          <c:val>
            <c:numRef>
              <c:f>'G1-SR-příjmy-příspěvky'!$L$35:$W$35</c:f>
              <c:numCache>
                <c:formatCode>0.0</c:formatCode>
                <c:ptCount val="12"/>
                <c:pt idx="0">
                  <c:v>-11.027016669860117</c:v>
                </c:pt>
                <c:pt idx="1">
                  <c:v>7.6343275546462621</c:v>
                </c:pt>
                <c:pt idx="2">
                  <c:v>7.6980792316926738</c:v>
                </c:pt>
                <c:pt idx="3">
                  <c:v>9.1403093214434961</c:v>
                </c:pt>
                <c:pt idx="4">
                  <c:v>3.8852717136899457</c:v>
                </c:pt>
                <c:pt idx="5">
                  <c:v>5.5112387756759631</c:v>
                </c:pt>
                <c:pt idx="6">
                  <c:v>-14.706462084712683</c:v>
                </c:pt>
                <c:pt idx="7">
                  <c:v>13.872116425948548</c:v>
                </c:pt>
                <c:pt idx="8">
                  <c:v>15.441268062746971</c:v>
                </c:pt>
                <c:pt idx="9">
                  <c:v>11.543799256424563</c:v>
                </c:pt>
                <c:pt idx="10">
                  <c:v>5.3856874361136136</c:v>
                </c:pt>
                <c:pt idx="11">
                  <c:v>6.2190685501872593</c:v>
                </c:pt>
              </c:numCache>
            </c:numRef>
          </c:val>
          <c:smooth val="0"/>
          <c:extLst>
            <c:ext xmlns:c16="http://schemas.microsoft.com/office/drawing/2014/chart" uri="{C3380CC4-5D6E-409C-BE32-E72D297353CC}">
              <c16:uniqueId val="{00000006-8194-4D38-A9C3-0EAC3A5B1C1E}"/>
            </c:ext>
          </c:extLst>
        </c:ser>
        <c:ser>
          <c:idx val="7"/>
          <c:order val="7"/>
          <c:tx>
            <c:strRef>
              <c:f>'G1-SR-příjmy-příspěvky'!$A$42</c:f>
              <c:strCache>
                <c:ptCount val="1"/>
                <c:pt idx="0">
                  <c:v>Příjmy z pojistného na soc. zabezpečení*</c:v>
                </c:pt>
              </c:strCache>
            </c:strRef>
          </c:tx>
          <c:spPr>
            <a:ln w="6350">
              <a:noFill/>
              <a:prstDash val="dash"/>
            </a:ln>
          </c:spPr>
          <c:marker>
            <c:symbol val="triangle"/>
            <c:size val="5"/>
            <c:spPr>
              <a:solidFill>
                <a:schemeClr val="tx1">
                  <a:lumMod val="85000"/>
                  <a:lumOff val="15000"/>
                </a:schemeClr>
              </a:solidFill>
              <a:ln>
                <a:solidFill>
                  <a:schemeClr val="tx1">
                    <a:lumMod val="95000"/>
                    <a:lumOff val="5000"/>
                  </a:schemeClr>
                </a:solidFill>
              </a:ln>
            </c:spPr>
          </c:marker>
          <c:cat>
            <c:numRef>
              <c:f>'G1-SR-příjmy-příspěvky'!$L$34:$W$34</c:f>
              <c:numCache>
                <c:formatCode>General</c:formatCode>
                <c:ptCount val="12"/>
                <c:pt idx="0">
                  <c:v>2015</c:v>
                </c:pt>
                <c:pt idx="1">
                  <c:v>2016</c:v>
                </c:pt>
                <c:pt idx="2">
                  <c:v>2017</c:v>
                </c:pt>
                <c:pt idx="3">
                  <c:v>2018</c:v>
                </c:pt>
                <c:pt idx="4">
                  <c:v>2019</c:v>
                </c:pt>
                <c:pt idx="5">
                  <c:v>2020</c:v>
                </c:pt>
                <c:pt idx="6">
                  <c:v>2021</c:v>
                </c:pt>
                <c:pt idx="7">
                  <c:v>2022</c:v>
                </c:pt>
                <c:pt idx="8">
                  <c:v>2023</c:v>
                </c:pt>
                <c:pt idx="9">
                  <c:v>2024</c:v>
                </c:pt>
                <c:pt idx="10">
                  <c:v>2025</c:v>
                </c:pt>
                <c:pt idx="11">
                  <c:v>2026</c:v>
                </c:pt>
              </c:numCache>
            </c:numRef>
          </c:cat>
          <c:val>
            <c:numRef>
              <c:f>'G1-SR-příjmy-příspěvky'!$L$42:$W$42</c:f>
              <c:numCache>
                <c:formatCode>0.0</c:formatCode>
                <c:ptCount val="12"/>
                <c:pt idx="0">
                  <c:v>4.8070686526797743</c:v>
                </c:pt>
                <c:pt idx="1">
                  <c:v>5.4941518644093605</c:v>
                </c:pt>
                <c:pt idx="2">
                  <c:v>7.4975657254138213</c:v>
                </c:pt>
                <c:pt idx="3">
                  <c:v>10.144927536231862</c:v>
                </c:pt>
                <c:pt idx="4">
                  <c:v>8.1414473684210691</c:v>
                </c:pt>
                <c:pt idx="5">
                  <c:v>4.6387832699619622</c:v>
                </c:pt>
                <c:pt idx="6">
                  <c:v>2.543604651162795</c:v>
                </c:pt>
                <c:pt idx="7">
                  <c:v>4.8953928497165151</c:v>
                </c:pt>
                <c:pt idx="8">
                  <c:v>10.800511751899535</c:v>
                </c:pt>
                <c:pt idx="9">
                  <c:v>8.2561897759519667</c:v>
                </c:pt>
                <c:pt idx="10">
                  <c:v>7.7730416728329033</c:v>
                </c:pt>
                <c:pt idx="11">
                  <c:v>6.6273607043869163</c:v>
                </c:pt>
              </c:numCache>
            </c:numRef>
          </c:val>
          <c:smooth val="0"/>
          <c:extLst>
            <c:ext xmlns:c16="http://schemas.microsoft.com/office/drawing/2014/chart" uri="{C3380CC4-5D6E-409C-BE32-E72D297353CC}">
              <c16:uniqueId val="{00000007-8194-4D38-A9C3-0EAC3A5B1C1E}"/>
            </c:ext>
          </c:extLst>
        </c:ser>
        <c:dLbls>
          <c:showLegendKey val="0"/>
          <c:showVal val="0"/>
          <c:showCatName val="0"/>
          <c:showSerName val="0"/>
          <c:showPercent val="0"/>
          <c:showBubbleSize val="0"/>
        </c:dLbls>
        <c:marker val="1"/>
        <c:smooth val="0"/>
        <c:axId val="194467712"/>
        <c:axId val="194473984"/>
      </c:lineChart>
      <c:lineChart>
        <c:grouping val="standard"/>
        <c:varyColors val="0"/>
        <c:ser>
          <c:idx val="8"/>
          <c:order val="8"/>
          <c:tx>
            <c:strRef>
              <c:f>'G1-SR-příjmy-příspěvky'!$A$43</c:f>
              <c:strCache>
                <c:ptCount val="1"/>
                <c:pt idx="0">
                  <c:v>Saldo státního rozpočtu (pravá osa)</c:v>
                </c:pt>
              </c:strCache>
            </c:strRef>
          </c:tx>
          <c:spPr>
            <a:ln w="15875">
              <a:solidFill>
                <a:schemeClr val="tx1">
                  <a:lumMod val="95000"/>
                  <a:lumOff val="5000"/>
                </a:schemeClr>
              </a:solidFill>
            </a:ln>
          </c:spPr>
          <c:marker>
            <c:symbol val="none"/>
          </c:marker>
          <c:cat>
            <c:numRef>
              <c:f>'G1-SR-příjmy-příspěvky'!$L$34:$W$34</c:f>
              <c:numCache>
                <c:formatCode>General</c:formatCode>
                <c:ptCount val="12"/>
                <c:pt idx="0">
                  <c:v>2015</c:v>
                </c:pt>
                <c:pt idx="1">
                  <c:v>2016</c:v>
                </c:pt>
                <c:pt idx="2">
                  <c:v>2017</c:v>
                </c:pt>
                <c:pt idx="3">
                  <c:v>2018</c:v>
                </c:pt>
                <c:pt idx="4">
                  <c:v>2019</c:v>
                </c:pt>
                <c:pt idx="5">
                  <c:v>2020</c:v>
                </c:pt>
                <c:pt idx="6">
                  <c:v>2021</c:v>
                </c:pt>
                <c:pt idx="7">
                  <c:v>2022</c:v>
                </c:pt>
                <c:pt idx="8">
                  <c:v>2023</c:v>
                </c:pt>
                <c:pt idx="9">
                  <c:v>2024</c:v>
                </c:pt>
                <c:pt idx="10">
                  <c:v>2025</c:v>
                </c:pt>
                <c:pt idx="11">
                  <c:v>2026</c:v>
                </c:pt>
              </c:numCache>
            </c:numRef>
          </c:cat>
          <c:val>
            <c:numRef>
              <c:f>'G1-SR-příjmy-příspěvky'!$L$43:$W$43</c:f>
              <c:numCache>
                <c:formatCode>#\ ##0.0</c:formatCode>
                <c:ptCount val="12"/>
                <c:pt idx="0">
                  <c:v>19.91</c:v>
                </c:pt>
                <c:pt idx="1">
                  <c:v>43.6</c:v>
                </c:pt>
                <c:pt idx="2">
                  <c:v>4.68</c:v>
                </c:pt>
                <c:pt idx="3">
                  <c:v>16.260000000000002</c:v>
                </c:pt>
                <c:pt idx="4">
                  <c:v>-9.24</c:v>
                </c:pt>
                <c:pt idx="5">
                  <c:v>-44.70771591839997</c:v>
                </c:pt>
                <c:pt idx="6">
                  <c:v>-125.1977047449202</c:v>
                </c:pt>
                <c:pt idx="7">
                  <c:v>-59.140376242370223</c:v>
                </c:pt>
                <c:pt idx="8">
                  <c:v>-166.18531283895993</c:v>
                </c:pt>
                <c:pt idx="9">
                  <c:v>-104.97373262855001</c:v>
                </c:pt>
                <c:pt idx="10">
                  <c:v>-91.179991613939706</c:v>
                </c:pt>
                <c:pt idx="11">
                  <c:v>-27.609731501449971</c:v>
                </c:pt>
              </c:numCache>
            </c:numRef>
          </c:val>
          <c:smooth val="0"/>
          <c:extLst>
            <c:ext xmlns:c16="http://schemas.microsoft.com/office/drawing/2014/chart" uri="{C3380CC4-5D6E-409C-BE32-E72D297353CC}">
              <c16:uniqueId val="{00000008-8194-4D38-A9C3-0EAC3A5B1C1E}"/>
            </c:ext>
          </c:extLst>
        </c:ser>
        <c:ser>
          <c:idx val="9"/>
          <c:order val="9"/>
          <c:tx>
            <c:strRef>
              <c:f>'G1-SR-příjmy-příspěvky'!$A$44</c:f>
              <c:strCache>
                <c:ptCount val="1"/>
                <c:pt idx="0">
                  <c:v>Saldo SR očištěné o vliv EU a FM** (pr. osa)</c:v>
                </c:pt>
              </c:strCache>
            </c:strRef>
          </c:tx>
          <c:spPr>
            <a:ln w="15875">
              <a:solidFill>
                <a:schemeClr val="tx1">
                  <a:lumMod val="50000"/>
                  <a:lumOff val="50000"/>
                </a:schemeClr>
              </a:solidFill>
              <a:prstDash val="sysDash"/>
            </a:ln>
          </c:spPr>
          <c:marker>
            <c:symbol val="none"/>
          </c:marker>
          <c:cat>
            <c:numRef>
              <c:f>'G1-SR-příjmy-příspěvky'!$L$34:$W$34</c:f>
              <c:numCache>
                <c:formatCode>General</c:formatCode>
                <c:ptCount val="12"/>
                <c:pt idx="0">
                  <c:v>2015</c:v>
                </c:pt>
                <c:pt idx="1">
                  <c:v>2016</c:v>
                </c:pt>
                <c:pt idx="2">
                  <c:v>2017</c:v>
                </c:pt>
                <c:pt idx="3">
                  <c:v>2018</c:v>
                </c:pt>
                <c:pt idx="4">
                  <c:v>2019</c:v>
                </c:pt>
                <c:pt idx="5">
                  <c:v>2020</c:v>
                </c:pt>
                <c:pt idx="6">
                  <c:v>2021</c:v>
                </c:pt>
                <c:pt idx="7">
                  <c:v>2022</c:v>
                </c:pt>
                <c:pt idx="8">
                  <c:v>2023</c:v>
                </c:pt>
                <c:pt idx="9">
                  <c:v>2024</c:v>
                </c:pt>
                <c:pt idx="10">
                  <c:v>2025</c:v>
                </c:pt>
                <c:pt idx="11">
                  <c:v>2026</c:v>
                </c:pt>
              </c:numCache>
            </c:numRef>
          </c:cat>
          <c:val>
            <c:numRef>
              <c:f>'G1-SR-příjmy-příspěvky'!$L$44:$W$44</c:f>
              <c:numCache>
                <c:formatCode>#\ ##0.0</c:formatCode>
                <c:ptCount val="12"/>
                <c:pt idx="0">
                  <c:v>-18.100000000000001</c:v>
                </c:pt>
                <c:pt idx="1">
                  <c:v>-11.9</c:v>
                </c:pt>
                <c:pt idx="2">
                  <c:v>-4.5599999999999996</c:v>
                </c:pt>
                <c:pt idx="3">
                  <c:v>-5.26</c:v>
                </c:pt>
                <c:pt idx="4">
                  <c:v>-6.1961843930897658</c:v>
                </c:pt>
                <c:pt idx="5">
                  <c:v>-41.582504753719945</c:v>
                </c:pt>
                <c:pt idx="6">
                  <c:v>-123.9</c:v>
                </c:pt>
                <c:pt idx="7">
                  <c:v>-55.306921067390192</c:v>
                </c:pt>
                <c:pt idx="8">
                  <c:v>-156.83966401531995</c:v>
                </c:pt>
                <c:pt idx="9">
                  <c:v>-99.064572721260049</c:v>
                </c:pt>
                <c:pt idx="10">
                  <c:v>-89.770855264179659</c:v>
                </c:pt>
                <c:pt idx="11">
                  <c:v>-39.012172330010003</c:v>
                </c:pt>
              </c:numCache>
            </c:numRef>
          </c:val>
          <c:smooth val="0"/>
          <c:extLst>
            <c:ext xmlns:c16="http://schemas.microsoft.com/office/drawing/2014/chart" uri="{C3380CC4-5D6E-409C-BE32-E72D297353CC}">
              <c16:uniqueId val="{00000009-8194-4D38-A9C3-0EAC3A5B1C1E}"/>
            </c:ext>
          </c:extLst>
        </c:ser>
        <c:dLbls>
          <c:showLegendKey val="0"/>
          <c:showVal val="0"/>
          <c:showCatName val="0"/>
          <c:showSerName val="0"/>
          <c:showPercent val="0"/>
          <c:showBubbleSize val="0"/>
        </c:dLbls>
        <c:marker val="1"/>
        <c:smooth val="0"/>
        <c:axId val="539204576"/>
        <c:axId val="556140592"/>
      </c:lineChart>
      <c:catAx>
        <c:axId val="194467712"/>
        <c:scaling>
          <c:orientation val="minMax"/>
        </c:scaling>
        <c:delete val="0"/>
        <c:axPos val="b"/>
        <c:numFmt formatCode="General" sourceLinked="1"/>
        <c:majorTickMark val="out"/>
        <c:minorTickMark val="none"/>
        <c:tickLblPos val="low"/>
        <c:spPr>
          <a:ln w="6350">
            <a:solidFill>
              <a:schemeClr val="tx1"/>
            </a:solidFill>
          </a:ln>
        </c:spPr>
        <c:txPr>
          <a:bodyPr rot="0"/>
          <a:lstStyle/>
          <a:p>
            <a:pPr>
              <a:defRPr sz="800" b="0" i="0"/>
            </a:pPr>
            <a:endParaRPr lang="cs-CZ"/>
          </a:p>
        </c:txPr>
        <c:crossAx val="194473984"/>
        <c:crosses val="autoZero"/>
        <c:auto val="1"/>
        <c:lblAlgn val="ctr"/>
        <c:lblOffset val="0"/>
        <c:noMultiLvlLbl val="0"/>
      </c:catAx>
      <c:valAx>
        <c:axId val="194473984"/>
        <c:scaling>
          <c:orientation val="minMax"/>
          <c:max val="18"/>
          <c:min val="-27"/>
        </c:scaling>
        <c:delete val="0"/>
        <c:axPos val="l"/>
        <c:majorGridlines>
          <c:spPr>
            <a:ln w="6350">
              <a:solidFill>
                <a:schemeClr val="bg1">
                  <a:lumMod val="75000"/>
                </a:schemeClr>
              </a:solidFill>
            </a:ln>
          </c:spPr>
        </c:majorGridlines>
        <c:title>
          <c:tx>
            <c:rich>
              <a:bodyPr/>
              <a:lstStyle/>
              <a:p>
                <a:pPr>
                  <a:defRPr b="0"/>
                </a:pPr>
                <a:r>
                  <a:rPr lang="cs-CZ" b="0"/>
                  <a:t>Růst příjmů z pojistného, příspěvek k růstu daň. příjmů</a:t>
                </a:r>
              </a:p>
            </c:rich>
          </c:tx>
          <c:overlay val="0"/>
        </c:title>
        <c:numFmt formatCode="0" sourceLinked="0"/>
        <c:majorTickMark val="out"/>
        <c:minorTickMark val="none"/>
        <c:tickLblPos val="nextTo"/>
        <c:spPr>
          <a:ln w="6350">
            <a:solidFill>
              <a:schemeClr val="tx1"/>
            </a:solidFill>
          </a:ln>
        </c:spPr>
        <c:txPr>
          <a:bodyPr/>
          <a:lstStyle/>
          <a:p>
            <a:pPr>
              <a:defRPr sz="800" b="0" i="0"/>
            </a:pPr>
            <a:endParaRPr lang="cs-CZ"/>
          </a:p>
        </c:txPr>
        <c:crossAx val="194467712"/>
        <c:crosses val="autoZero"/>
        <c:crossBetween val="between"/>
        <c:majorUnit val="3"/>
      </c:valAx>
      <c:valAx>
        <c:axId val="556140592"/>
        <c:scaling>
          <c:orientation val="minMax"/>
          <c:max val="120"/>
          <c:min val="-180"/>
        </c:scaling>
        <c:delete val="0"/>
        <c:axPos val="r"/>
        <c:title>
          <c:tx>
            <c:rich>
              <a:bodyPr/>
              <a:lstStyle/>
              <a:p>
                <a:pPr>
                  <a:defRPr b="0"/>
                </a:pPr>
                <a:r>
                  <a:rPr lang="cs-CZ" b="0"/>
                  <a:t>Saldo státního rozpočtu</a:t>
                </a:r>
              </a:p>
            </c:rich>
          </c:tx>
          <c:layout>
            <c:manualLayout>
              <c:xMode val="edge"/>
              <c:yMode val="edge"/>
              <c:x val="0.97036646544776606"/>
              <c:y val="0.20963215506367217"/>
            </c:manualLayout>
          </c:layout>
          <c:overlay val="0"/>
        </c:title>
        <c:numFmt formatCode="#,##0" sourceLinked="0"/>
        <c:majorTickMark val="out"/>
        <c:minorTickMark val="none"/>
        <c:tickLblPos val="nextTo"/>
        <c:txPr>
          <a:bodyPr/>
          <a:lstStyle/>
          <a:p>
            <a:pPr>
              <a:defRPr sz="800" b="0" i="0"/>
            </a:pPr>
            <a:endParaRPr lang="cs-CZ"/>
          </a:p>
        </c:txPr>
        <c:crossAx val="539204576"/>
        <c:crosses val="max"/>
        <c:crossBetween val="between"/>
        <c:majorUnit val="20"/>
      </c:valAx>
      <c:catAx>
        <c:axId val="539204576"/>
        <c:scaling>
          <c:orientation val="minMax"/>
        </c:scaling>
        <c:delete val="1"/>
        <c:axPos val="b"/>
        <c:numFmt formatCode="General" sourceLinked="1"/>
        <c:majorTickMark val="out"/>
        <c:minorTickMark val="none"/>
        <c:tickLblPos val="nextTo"/>
        <c:crossAx val="556140592"/>
        <c:crosses val="autoZero"/>
        <c:auto val="1"/>
        <c:lblAlgn val="ctr"/>
        <c:lblOffset val="100"/>
        <c:noMultiLvlLbl val="0"/>
      </c:catAx>
      <c:spPr>
        <a:ln w="6350">
          <a:noFill/>
        </a:ln>
      </c:spPr>
    </c:plotArea>
    <c:legend>
      <c:legendPos val="b"/>
      <c:layout>
        <c:manualLayout>
          <c:xMode val="edge"/>
          <c:yMode val="edge"/>
          <c:x val="4.4664963236991416E-3"/>
          <c:y val="0.83886939230239155"/>
          <c:w val="0.98459851388022546"/>
          <c:h val="0.1536733294810981"/>
        </c:manualLayout>
      </c:layout>
      <c:overlay val="0"/>
      <c:spPr>
        <a:ln w="6350">
          <a:solidFill>
            <a:schemeClr val="tx1"/>
          </a:solidFill>
        </a:ln>
      </c:spPr>
      <c:txPr>
        <a:bodyPr/>
        <a:lstStyle/>
        <a:p>
          <a:pPr>
            <a:defRPr sz="750" b="0" i="0"/>
          </a:pPr>
          <a:endParaRPr lang="cs-CZ"/>
        </a:p>
      </c:txPr>
    </c:legend>
    <c:plotVisOnly val="1"/>
    <c:dispBlanksAs val="gap"/>
    <c:showDLblsOverMax val="0"/>
  </c:chart>
  <c:spPr>
    <a:ln>
      <a:noFill/>
    </a:ln>
  </c:spPr>
  <c:txPr>
    <a:bodyPr/>
    <a:lstStyle/>
    <a:p>
      <a:pPr>
        <a:defRPr sz="700" b="1" i="1">
          <a:latin typeface="Arial" panose="020B0604020202020204" pitchFamily="34" charset="0"/>
          <a:cs typeface="Arial" panose="020B0604020202020204" pitchFamily="34" charset="0"/>
        </a:defRPr>
      </a:pPr>
      <a:endParaRPr lang="cs-CZ"/>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9305023807047154E-2"/>
          <c:y val="1.7698869595214196E-2"/>
          <c:w val="0.84011927850721924"/>
          <c:h val="0.73828670550826037"/>
        </c:manualLayout>
      </c:layout>
      <c:barChart>
        <c:barDir val="col"/>
        <c:grouping val="clustered"/>
        <c:varyColors val="0"/>
        <c:ser>
          <c:idx val="0"/>
          <c:order val="0"/>
          <c:tx>
            <c:strRef>
              <c:f>'G2-St.rozpočet-výdaje-2024'!$B$31</c:f>
              <c:strCache>
                <c:ptCount val="1"/>
                <c:pt idx="0">
                  <c:v>Běžné výdaje (pravá osa)</c:v>
                </c:pt>
              </c:strCache>
            </c:strRef>
          </c:tx>
          <c:spPr>
            <a:solidFill>
              <a:schemeClr val="bg1">
                <a:lumMod val="95000"/>
              </a:schemeClr>
            </a:solidFill>
            <a:ln w="6350">
              <a:solidFill>
                <a:schemeClr val="bg1">
                  <a:lumMod val="65000"/>
                </a:schemeClr>
              </a:solidFill>
            </a:ln>
          </c:spPr>
          <c:invertIfNegative val="0"/>
          <c:cat>
            <c:numRef>
              <c:f>'G2-St.rozpočet-výdaje-2024'!$A$42:$A$53</c:f>
              <c:numCache>
                <c:formatCode>General</c:formatCode>
                <c:ptCount val="12"/>
                <c:pt idx="0">
                  <c:v>2015</c:v>
                </c:pt>
                <c:pt idx="1">
                  <c:v>2016</c:v>
                </c:pt>
                <c:pt idx="2">
                  <c:v>2017</c:v>
                </c:pt>
                <c:pt idx="3">
                  <c:v>2018</c:v>
                </c:pt>
                <c:pt idx="4">
                  <c:v>2019</c:v>
                </c:pt>
                <c:pt idx="5">
                  <c:v>2020</c:v>
                </c:pt>
                <c:pt idx="6">
                  <c:v>2021</c:v>
                </c:pt>
                <c:pt idx="7">
                  <c:v>2022</c:v>
                </c:pt>
                <c:pt idx="8">
                  <c:v>2023</c:v>
                </c:pt>
                <c:pt idx="9">
                  <c:v>2024</c:v>
                </c:pt>
                <c:pt idx="10">
                  <c:v>2025</c:v>
                </c:pt>
                <c:pt idx="11">
                  <c:v>2026</c:v>
                </c:pt>
              </c:numCache>
            </c:numRef>
          </c:cat>
          <c:val>
            <c:numRef>
              <c:f>'G2-St.rozpočet-výdaje-2024'!$B$42:$B$53</c:f>
              <c:numCache>
                <c:formatCode>0.0</c:formatCode>
                <c:ptCount val="12"/>
                <c:pt idx="0">
                  <c:v>274.76</c:v>
                </c:pt>
                <c:pt idx="1">
                  <c:v>278.33</c:v>
                </c:pt>
                <c:pt idx="2">
                  <c:v>296.72000000000003</c:v>
                </c:pt>
                <c:pt idx="3">
                  <c:v>317.70999999999998</c:v>
                </c:pt>
                <c:pt idx="4">
                  <c:v>357.12</c:v>
                </c:pt>
                <c:pt idx="5">
                  <c:v>398.64712341415998</c:v>
                </c:pt>
                <c:pt idx="6">
                  <c:v>441.4270080969801</c:v>
                </c:pt>
                <c:pt idx="7">
                  <c:v>399.41500922346</c:v>
                </c:pt>
                <c:pt idx="8">
                  <c:v>532.53804444666014</c:v>
                </c:pt>
                <c:pt idx="9">
                  <c:v>520.45979032463003</c:v>
                </c:pt>
                <c:pt idx="10">
                  <c:v>535.4428786873998</c:v>
                </c:pt>
                <c:pt idx="11">
                  <c:v>487.57403535968996</c:v>
                </c:pt>
              </c:numCache>
            </c:numRef>
          </c:val>
          <c:extLst>
            <c:ext xmlns:c16="http://schemas.microsoft.com/office/drawing/2014/chart" uri="{C3380CC4-5D6E-409C-BE32-E72D297353CC}">
              <c16:uniqueId val="{00000000-3A4E-4155-929C-33EAAE2926B5}"/>
            </c:ext>
          </c:extLst>
        </c:ser>
        <c:ser>
          <c:idx val="1"/>
          <c:order val="1"/>
          <c:tx>
            <c:strRef>
              <c:f>'G2-St.rozpočet-výdaje-2024'!$C$31</c:f>
              <c:strCache>
                <c:ptCount val="1"/>
                <c:pt idx="0">
                  <c:v>z toho výdaje na důchody (pr. osa)</c:v>
                </c:pt>
              </c:strCache>
            </c:strRef>
          </c:tx>
          <c:spPr>
            <a:solidFill>
              <a:srgbClr val="D1D1D1"/>
            </a:solidFill>
            <a:ln w="6350">
              <a:solidFill>
                <a:schemeClr val="bg1">
                  <a:lumMod val="75000"/>
                </a:schemeClr>
              </a:solidFill>
            </a:ln>
          </c:spPr>
          <c:invertIfNegative val="0"/>
          <c:cat>
            <c:numRef>
              <c:f>'G2-St.rozpočet-výdaje-2024'!$A$42:$A$53</c:f>
              <c:numCache>
                <c:formatCode>General</c:formatCode>
                <c:ptCount val="12"/>
                <c:pt idx="0">
                  <c:v>2015</c:v>
                </c:pt>
                <c:pt idx="1">
                  <c:v>2016</c:v>
                </c:pt>
                <c:pt idx="2">
                  <c:v>2017</c:v>
                </c:pt>
                <c:pt idx="3">
                  <c:v>2018</c:v>
                </c:pt>
                <c:pt idx="4">
                  <c:v>2019</c:v>
                </c:pt>
                <c:pt idx="5">
                  <c:v>2020</c:v>
                </c:pt>
                <c:pt idx="6">
                  <c:v>2021</c:v>
                </c:pt>
                <c:pt idx="7">
                  <c:v>2022</c:v>
                </c:pt>
                <c:pt idx="8">
                  <c:v>2023</c:v>
                </c:pt>
                <c:pt idx="9">
                  <c:v>2024</c:v>
                </c:pt>
                <c:pt idx="10">
                  <c:v>2025</c:v>
                </c:pt>
                <c:pt idx="11">
                  <c:v>2026</c:v>
                </c:pt>
              </c:numCache>
            </c:numRef>
          </c:cat>
          <c:val>
            <c:numRef>
              <c:f>'G2-St.rozpočet-výdaje-2024'!$C$42:$C$53</c:f>
              <c:numCache>
                <c:formatCode>0.0</c:formatCode>
                <c:ptCount val="12"/>
                <c:pt idx="0">
                  <c:v>90.59</c:v>
                </c:pt>
                <c:pt idx="1">
                  <c:v>97.1</c:v>
                </c:pt>
                <c:pt idx="2">
                  <c:v>102.39</c:v>
                </c:pt>
                <c:pt idx="3">
                  <c:v>107.5</c:v>
                </c:pt>
                <c:pt idx="4">
                  <c:v>116.5</c:v>
                </c:pt>
                <c:pt idx="5">
                  <c:v>126.1</c:v>
                </c:pt>
                <c:pt idx="6">
                  <c:v>134.60955542761999</c:v>
                </c:pt>
                <c:pt idx="7">
                  <c:v>141.89044829648998</c:v>
                </c:pt>
                <c:pt idx="8">
                  <c:v>171.36544377852999</c:v>
                </c:pt>
                <c:pt idx="9">
                  <c:v>180.52654343703</c:v>
                </c:pt>
                <c:pt idx="10">
                  <c:v>179.05121915452</c:v>
                </c:pt>
                <c:pt idx="11">
                  <c:v>188.22303287796998</c:v>
                </c:pt>
              </c:numCache>
            </c:numRef>
          </c:val>
          <c:extLst>
            <c:ext xmlns:c16="http://schemas.microsoft.com/office/drawing/2014/chart" uri="{C3380CC4-5D6E-409C-BE32-E72D297353CC}">
              <c16:uniqueId val="{00000001-3A4E-4155-929C-33EAAE2926B5}"/>
            </c:ext>
          </c:extLst>
        </c:ser>
        <c:dLbls>
          <c:showLegendKey val="0"/>
          <c:showVal val="0"/>
          <c:showCatName val="0"/>
          <c:showSerName val="0"/>
          <c:showPercent val="0"/>
          <c:showBubbleSize val="0"/>
        </c:dLbls>
        <c:gapWidth val="97"/>
        <c:overlap val="41"/>
        <c:axId val="72836608"/>
        <c:axId val="72835072"/>
      </c:barChart>
      <c:lineChart>
        <c:grouping val="standard"/>
        <c:varyColors val="0"/>
        <c:ser>
          <c:idx val="6"/>
          <c:order val="2"/>
          <c:tx>
            <c:strRef>
              <c:f>'G2-St.rozpočet-výdaje-2024'!$D$31</c:f>
              <c:strCache>
                <c:ptCount val="1"/>
                <c:pt idx="0">
                  <c:v>Platy a související výdaje*</c:v>
                </c:pt>
              </c:strCache>
            </c:strRef>
          </c:tx>
          <c:spPr>
            <a:ln w="15875">
              <a:solidFill>
                <a:srgbClr val="E6C483"/>
              </a:solidFill>
            </a:ln>
          </c:spPr>
          <c:marker>
            <c:symbol val="none"/>
          </c:marker>
          <c:cat>
            <c:numRef>
              <c:f>'G2-St.rozpočet-výdaje-2024'!$A$42:$A$53</c:f>
              <c:numCache>
                <c:formatCode>General</c:formatCode>
                <c:ptCount val="12"/>
                <c:pt idx="0">
                  <c:v>2015</c:v>
                </c:pt>
                <c:pt idx="1">
                  <c:v>2016</c:v>
                </c:pt>
                <c:pt idx="2">
                  <c:v>2017</c:v>
                </c:pt>
                <c:pt idx="3">
                  <c:v>2018</c:v>
                </c:pt>
                <c:pt idx="4">
                  <c:v>2019</c:v>
                </c:pt>
                <c:pt idx="5">
                  <c:v>2020</c:v>
                </c:pt>
                <c:pt idx="6">
                  <c:v>2021</c:v>
                </c:pt>
                <c:pt idx="7">
                  <c:v>2022</c:v>
                </c:pt>
                <c:pt idx="8">
                  <c:v>2023</c:v>
                </c:pt>
                <c:pt idx="9">
                  <c:v>2024</c:v>
                </c:pt>
                <c:pt idx="10">
                  <c:v>2025</c:v>
                </c:pt>
                <c:pt idx="11">
                  <c:v>2026</c:v>
                </c:pt>
              </c:numCache>
            </c:numRef>
          </c:cat>
          <c:val>
            <c:numRef>
              <c:f>'G2-St.rozpočet-výdaje-2024'!$D$42:$D$53</c:f>
              <c:numCache>
                <c:formatCode>0.0</c:formatCode>
                <c:ptCount val="12"/>
                <c:pt idx="0">
                  <c:v>15.8</c:v>
                </c:pt>
                <c:pt idx="1">
                  <c:v>16.75</c:v>
                </c:pt>
                <c:pt idx="2">
                  <c:v>17.75</c:v>
                </c:pt>
                <c:pt idx="3">
                  <c:v>20.47</c:v>
                </c:pt>
                <c:pt idx="4">
                  <c:v>22.19</c:v>
                </c:pt>
                <c:pt idx="5">
                  <c:v>23.368913903229998</c:v>
                </c:pt>
                <c:pt idx="6">
                  <c:v>23.533468726859997</c:v>
                </c:pt>
                <c:pt idx="7">
                  <c:v>23.433169218610001</c:v>
                </c:pt>
                <c:pt idx="8">
                  <c:v>26.224629488409995</c:v>
                </c:pt>
                <c:pt idx="9">
                  <c:v>26.439389476379997</c:v>
                </c:pt>
                <c:pt idx="10">
                  <c:v>27.871277612769994</c:v>
                </c:pt>
                <c:pt idx="11">
                  <c:v>29.93852036861</c:v>
                </c:pt>
              </c:numCache>
            </c:numRef>
          </c:val>
          <c:smooth val="0"/>
          <c:extLst>
            <c:ext xmlns:c16="http://schemas.microsoft.com/office/drawing/2014/chart" uri="{C3380CC4-5D6E-409C-BE32-E72D297353CC}">
              <c16:uniqueId val="{00000002-3A4E-4155-929C-33EAAE2926B5}"/>
            </c:ext>
          </c:extLst>
        </c:ser>
        <c:ser>
          <c:idx val="7"/>
          <c:order val="3"/>
          <c:tx>
            <c:strRef>
              <c:f>'G2-St.rozpočet-výdaje-2024'!$E$31</c:f>
              <c:strCache>
                <c:ptCount val="1"/>
                <c:pt idx="0">
                  <c:v>Podpora v nezaměstnanosti</c:v>
                </c:pt>
              </c:strCache>
            </c:strRef>
          </c:tx>
          <c:spPr>
            <a:ln w="15875">
              <a:solidFill>
                <a:schemeClr val="bg2">
                  <a:lumMod val="75000"/>
                </a:schemeClr>
              </a:solidFill>
            </a:ln>
          </c:spPr>
          <c:marker>
            <c:symbol val="none"/>
          </c:marker>
          <c:cat>
            <c:numRef>
              <c:f>'G2-St.rozpočet-výdaje-2024'!$A$42:$A$53</c:f>
              <c:numCache>
                <c:formatCode>General</c:formatCode>
                <c:ptCount val="12"/>
                <c:pt idx="0">
                  <c:v>2015</c:v>
                </c:pt>
                <c:pt idx="1">
                  <c:v>2016</c:v>
                </c:pt>
                <c:pt idx="2">
                  <c:v>2017</c:v>
                </c:pt>
                <c:pt idx="3">
                  <c:v>2018</c:v>
                </c:pt>
                <c:pt idx="4">
                  <c:v>2019</c:v>
                </c:pt>
                <c:pt idx="5">
                  <c:v>2020</c:v>
                </c:pt>
                <c:pt idx="6">
                  <c:v>2021</c:v>
                </c:pt>
                <c:pt idx="7">
                  <c:v>2022</c:v>
                </c:pt>
                <c:pt idx="8">
                  <c:v>2023</c:v>
                </c:pt>
                <c:pt idx="9">
                  <c:v>2024</c:v>
                </c:pt>
                <c:pt idx="10">
                  <c:v>2025</c:v>
                </c:pt>
                <c:pt idx="11">
                  <c:v>2026</c:v>
                </c:pt>
              </c:numCache>
            </c:numRef>
          </c:cat>
          <c:val>
            <c:numRef>
              <c:f>'G2-St.rozpočet-výdaje-2024'!$E$42:$E$53</c:f>
              <c:numCache>
                <c:formatCode>0.0</c:formatCode>
                <c:ptCount val="12"/>
                <c:pt idx="0">
                  <c:v>2.56</c:v>
                </c:pt>
                <c:pt idx="1">
                  <c:v>2.4500000000000002</c:v>
                </c:pt>
                <c:pt idx="2">
                  <c:v>2.42</c:v>
                </c:pt>
                <c:pt idx="3">
                  <c:v>2.21</c:v>
                </c:pt>
                <c:pt idx="4">
                  <c:v>2.30140118962</c:v>
                </c:pt>
                <c:pt idx="5">
                  <c:v>2.4618649264500001</c:v>
                </c:pt>
                <c:pt idx="6">
                  <c:v>2.9688356739000001</c:v>
                </c:pt>
                <c:pt idx="7">
                  <c:v>2.7006655894699998</c:v>
                </c:pt>
                <c:pt idx="8">
                  <c:v>2.9152491361499999</c:v>
                </c:pt>
                <c:pt idx="9">
                  <c:v>3.3844962595500001</c:v>
                </c:pt>
                <c:pt idx="10">
                  <c:v>3.8394659911600004</c:v>
                </c:pt>
                <c:pt idx="11">
                  <c:v>5.06012978498</c:v>
                </c:pt>
              </c:numCache>
            </c:numRef>
          </c:val>
          <c:smooth val="0"/>
          <c:extLst>
            <c:ext xmlns:c16="http://schemas.microsoft.com/office/drawing/2014/chart" uri="{C3380CC4-5D6E-409C-BE32-E72D297353CC}">
              <c16:uniqueId val="{00000003-3A4E-4155-929C-33EAAE2926B5}"/>
            </c:ext>
          </c:extLst>
        </c:ser>
        <c:ser>
          <c:idx val="2"/>
          <c:order val="4"/>
          <c:tx>
            <c:strRef>
              <c:f>'G2-St.rozpočet-výdaje-2024'!$F$31</c:f>
              <c:strCache>
                <c:ptCount val="1"/>
                <c:pt idx="0">
                  <c:v>Státní sociální podpora**</c:v>
                </c:pt>
              </c:strCache>
            </c:strRef>
          </c:tx>
          <c:spPr>
            <a:ln w="15875">
              <a:solidFill>
                <a:srgbClr val="BC5B80"/>
              </a:solidFill>
            </a:ln>
          </c:spPr>
          <c:marker>
            <c:symbol val="none"/>
          </c:marker>
          <c:cat>
            <c:numRef>
              <c:f>'G2-St.rozpočet-výdaje-2024'!$A$42:$A$53</c:f>
              <c:numCache>
                <c:formatCode>General</c:formatCode>
                <c:ptCount val="12"/>
                <c:pt idx="0">
                  <c:v>2015</c:v>
                </c:pt>
                <c:pt idx="1">
                  <c:v>2016</c:v>
                </c:pt>
                <c:pt idx="2">
                  <c:v>2017</c:v>
                </c:pt>
                <c:pt idx="3">
                  <c:v>2018</c:v>
                </c:pt>
                <c:pt idx="4">
                  <c:v>2019</c:v>
                </c:pt>
                <c:pt idx="5">
                  <c:v>2020</c:v>
                </c:pt>
                <c:pt idx="6">
                  <c:v>2021</c:v>
                </c:pt>
                <c:pt idx="7">
                  <c:v>2022</c:v>
                </c:pt>
                <c:pt idx="8">
                  <c:v>2023</c:v>
                </c:pt>
                <c:pt idx="9">
                  <c:v>2024</c:v>
                </c:pt>
                <c:pt idx="10">
                  <c:v>2025</c:v>
                </c:pt>
                <c:pt idx="11">
                  <c:v>2026</c:v>
                </c:pt>
              </c:numCache>
            </c:numRef>
          </c:cat>
          <c:val>
            <c:numRef>
              <c:f>'G2-St.rozpočet-výdaje-2024'!$F$42:$F$53</c:f>
              <c:numCache>
                <c:formatCode>General</c:formatCode>
                <c:ptCount val="12"/>
                <c:pt idx="0">
                  <c:v>9.33</c:v>
                </c:pt>
                <c:pt idx="1">
                  <c:v>9.3800000000000008</c:v>
                </c:pt>
                <c:pt idx="2">
                  <c:v>9.2899999999999991</c:v>
                </c:pt>
                <c:pt idx="3">
                  <c:v>9.48</c:v>
                </c:pt>
                <c:pt idx="4" formatCode="0.00">
                  <c:v>9.5169305102399999</c:v>
                </c:pt>
                <c:pt idx="5">
                  <c:v>11.83410995721</c:v>
                </c:pt>
                <c:pt idx="6" formatCode="0.00">
                  <c:v>12.157197793090001</c:v>
                </c:pt>
                <c:pt idx="7" formatCode="0.00">
                  <c:v>11.86611055124</c:v>
                </c:pt>
                <c:pt idx="8" formatCode="0.00">
                  <c:v>14.5934024789</c:v>
                </c:pt>
                <c:pt idx="9" formatCode="0.00">
                  <c:v>15.149787643109999</c:v>
                </c:pt>
                <c:pt idx="10" formatCode="0.00">
                  <c:v>15.35176100366</c:v>
                </c:pt>
                <c:pt idx="11" formatCode="0.00">
                  <c:v>15.171413189279999</c:v>
                </c:pt>
              </c:numCache>
            </c:numRef>
          </c:val>
          <c:smooth val="0"/>
          <c:extLst>
            <c:ext xmlns:c16="http://schemas.microsoft.com/office/drawing/2014/chart" uri="{C3380CC4-5D6E-409C-BE32-E72D297353CC}">
              <c16:uniqueId val="{00000004-3A4E-4155-929C-33EAAE2926B5}"/>
            </c:ext>
          </c:extLst>
        </c:ser>
        <c:ser>
          <c:idx val="3"/>
          <c:order val="5"/>
          <c:tx>
            <c:strRef>
              <c:f>'G2-St.rozpočet-výdaje-2024'!$G$31</c:f>
              <c:strCache>
                <c:ptCount val="1"/>
                <c:pt idx="0">
                  <c:v>Dávky nemocenského pojištění</c:v>
                </c:pt>
              </c:strCache>
            </c:strRef>
          </c:tx>
          <c:spPr>
            <a:ln w="15875">
              <a:solidFill>
                <a:srgbClr val="009CB5"/>
              </a:solidFill>
            </a:ln>
          </c:spPr>
          <c:marker>
            <c:symbol val="none"/>
          </c:marker>
          <c:cat>
            <c:numRef>
              <c:f>'G2-St.rozpočet-výdaje-2024'!$A$42:$A$53</c:f>
              <c:numCache>
                <c:formatCode>General</c:formatCode>
                <c:ptCount val="12"/>
                <c:pt idx="0">
                  <c:v>2015</c:v>
                </c:pt>
                <c:pt idx="1">
                  <c:v>2016</c:v>
                </c:pt>
                <c:pt idx="2">
                  <c:v>2017</c:v>
                </c:pt>
                <c:pt idx="3">
                  <c:v>2018</c:v>
                </c:pt>
                <c:pt idx="4">
                  <c:v>2019</c:v>
                </c:pt>
                <c:pt idx="5">
                  <c:v>2020</c:v>
                </c:pt>
                <c:pt idx="6">
                  <c:v>2021</c:v>
                </c:pt>
                <c:pt idx="7">
                  <c:v>2022</c:v>
                </c:pt>
                <c:pt idx="8">
                  <c:v>2023</c:v>
                </c:pt>
                <c:pt idx="9">
                  <c:v>2024</c:v>
                </c:pt>
                <c:pt idx="10">
                  <c:v>2025</c:v>
                </c:pt>
                <c:pt idx="11">
                  <c:v>2026</c:v>
                </c:pt>
              </c:numCache>
            </c:numRef>
          </c:cat>
          <c:val>
            <c:numRef>
              <c:f>'G2-St.rozpočet-výdaje-2024'!$G$42:$G$53</c:f>
              <c:numCache>
                <c:formatCode>0.00</c:formatCode>
                <c:ptCount val="12"/>
                <c:pt idx="0">
                  <c:v>6.21</c:v>
                </c:pt>
                <c:pt idx="1">
                  <c:v>6.67</c:v>
                </c:pt>
                <c:pt idx="2">
                  <c:v>7.47</c:v>
                </c:pt>
                <c:pt idx="3">
                  <c:v>8.2899999999999991</c:v>
                </c:pt>
                <c:pt idx="4">
                  <c:v>9.92</c:v>
                </c:pt>
                <c:pt idx="5">
                  <c:v>10.97</c:v>
                </c:pt>
                <c:pt idx="6">
                  <c:v>13.3</c:v>
                </c:pt>
                <c:pt idx="7">
                  <c:v>13.36</c:v>
                </c:pt>
                <c:pt idx="8">
                  <c:v>12.6</c:v>
                </c:pt>
                <c:pt idx="9">
                  <c:v>12.8</c:v>
                </c:pt>
                <c:pt idx="10">
                  <c:v>13.25</c:v>
                </c:pt>
                <c:pt idx="11">
                  <c:v>14.164249999999999</c:v>
                </c:pt>
              </c:numCache>
            </c:numRef>
          </c:val>
          <c:smooth val="0"/>
          <c:extLst>
            <c:ext xmlns:c16="http://schemas.microsoft.com/office/drawing/2014/chart" uri="{C3380CC4-5D6E-409C-BE32-E72D297353CC}">
              <c16:uniqueId val="{00000005-3A4E-4155-929C-33EAAE2926B5}"/>
            </c:ext>
          </c:extLst>
        </c:ser>
        <c:ser>
          <c:idx val="4"/>
          <c:order val="6"/>
          <c:tx>
            <c:strRef>
              <c:f>'G2-St.rozpočet-výdaje-2024'!$H$31</c:f>
              <c:strCache>
                <c:ptCount val="1"/>
                <c:pt idx="0">
                  <c:v>Dávky sociální péče***</c:v>
                </c:pt>
              </c:strCache>
            </c:strRef>
          </c:tx>
          <c:spPr>
            <a:ln w="15875">
              <a:solidFill>
                <a:srgbClr val="86BF04"/>
              </a:solidFill>
              <a:prstDash val="solid"/>
            </a:ln>
          </c:spPr>
          <c:marker>
            <c:symbol val="none"/>
          </c:marker>
          <c:cat>
            <c:numRef>
              <c:f>'G2-St.rozpočet-výdaje-2024'!$A$42:$A$53</c:f>
              <c:numCache>
                <c:formatCode>General</c:formatCode>
                <c:ptCount val="12"/>
                <c:pt idx="0">
                  <c:v>2015</c:v>
                </c:pt>
                <c:pt idx="1">
                  <c:v>2016</c:v>
                </c:pt>
                <c:pt idx="2">
                  <c:v>2017</c:v>
                </c:pt>
                <c:pt idx="3">
                  <c:v>2018</c:v>
                </c:pt>
                <c:pt idx="4">
                  <c:v>2019</c:v>
                </c:pt>
                <c:pt idx="5">
                  <c:v>2020</c:v>
                </c:pt>
                <c:pt idx="6">
                  <c:v>2021</c:v>
                </c:pt>
                <c:pt idx="7">
                  <c:v>2022</c:v>
                </c:pt>
                <c:pt idx="8">
                  <c:v>2023</c:v>
                </c:pt>
                <c:pt idx="9">
                  <c:v>2024</c:v>
                </c:pt>
                <c:pt idx="10">
                  <c:v>2025</c:v>
                </c:pt>
                <c:pt idx="11">
                  <c:v>2026</c:v>
                </c:pt>
              </c:numCache>
            </c:numRef>
          </c:cat>
          <c:val>
            <c:numRef>
              <c:f>'G2-St.rozpočet-výdaje-2024'!$H$42:$H$53</c:f>
              <c:numCache>
                <c:formatCode>0.00</c:formatCode>
                <c:ptCount val="12"/>
                <c:pt idx="0">
                  <c:v>8.44</c:v>
                </c:pt>
                <c:pt idx="1">
                  <c:v>8.34</c:v>
                </c:pt>
                <c:pt idx="2">
                  <c:v>8.85</c:v>
                </c:pt>
                <c:pt idx="3">
                  <c:v>8.48</c:v>
                </c:pt>
                <c:pt idx="4">
                  <c:v>8.3800000000000008</c:v>
                </c:pt>
                <c:pt idx="5">
                  <c:v>9.91</c:v>
                </c:pt>
                <c:pt idx="6">
                  <c:v>10.199999999999999</c:v>
                </c:pt>
                <c:pt idx="7">
                  <c:v>11.6</c:v>
                </c:pt>
                <c:pt idx="8">
                  <c:v>13.9</c:v>
                </c:pt>
                <c:pt idx="9">
                  <c:v>13.5</c:v>
                </c:pt>
                <c:pt idx="10">
                  <c:v>16.329999999999998</c:v>
                </c:pt>
                <c:pt idx="11">
                  <c:v>16.5</c:v>
                </c:pt>
              </c:numCache>
            </c:numRef>
          </c:val>
          <c:smooth val="0"/>
          <c:extLst>
            <c:ext xmlns:c16="http://schemas.microsoft.com/office/drawing/2014/chart" uri="{C3380CC4-5D6E-409C-BE32-E72D297353CC}">
              <c16:uniqueId val="{00000006-3A4E-4155-929C-33EAAE2926B5}"/>
            </c:ext>
          </c:extLst>
        </c:ser>
        <c:ser>
          <c:idx val="5"/>
          <c:order val="7"/>
          <c:tx>
            <c:strRef>
              <c:f>'G2-St.rozpočet-výdaje-2024'!$I$31</c:f>
              <c:strCache>
                <c:ptCount val="1"/>
                <c:pt idx="0">
                  <c:v>Neinv. nákupy a souvis.výdaje****</c:v>
                </c:pt>
              </c:strCache>
            </c:strRef>
          </c:tx>
          <c:spPr>
            <a:ln w="15875">
              <a:solidFill>
                <a:srgbClr val="D8A7B7"/>
              </a:solidFill>
              <a:prstDash val="sysDash"/>
            </a:ln>
          </c:spPr>
          <c:marker>
            <c:symbol val="none"/>
          </c:marker>
          <c:cat>
            <c:numRef>
              <c:f>'G2-St.rozpočet-výdaje-2024'!$A$42:$A$53</c:f>
              <c:numCache>
                <c:formatCode>General</c:formatCode>
                <c:ptCount val="12"/>
                <c:pt idx="0">
                  <c:v>2015</c:v>
                </c:pt>
                <c:pt idx="1">
                  <c:v>2016</c:v>
                </c:pt>
                <c:pt idx="2">
                  <c:v>2017</c:v>
                </c:pt>
                <c:pt idx="3">
                  <c:v>2018</c:v>
                </c:pt>
                <c:pt idx="4">
                  <c:v>2019</c:v>
                </c:pt>
                <c:pt idx="5">
                  <c:v>2020</c:v>
                </c:pt>
                <c:pt idx="6">
                  <c:v>2021</c:v>
                </c:pt>
                <c:pt idx="7">
                  <c:v>2022</c:v>
                </c:pt>
                <c:pt idx="8">
                  <c:v>2023</c:v>
                </c:pt>
                <c:pt idx="9">
                  <c:v>2024</c:v>
                </c:pt>
                <c:pt idx="10">
                  <c:v>2025</c:v>
                </c:pt>
                <c:pt idx="11">
                  <c:v>2026</c:v>
                </c:pt>
              </c:numCache>
            </c:numRef>
          </c:cat>
          <c:val>
            <c:numRef>
              <c:f>'G2-St.rozpočet-výdaje-2024'!$I$42:$I$53</c:f>
              <c:numCache>
                <c:formatCode>0.0</c:formatCode>
                <c:ptCount val="12"/>
                <c:pt idx="0">
                  <c:v>12.43</c:v>
                </c:pt>
                <c:pt idx="1">
                  <c:v>11.780000000000001</c:v>
                </c:pt>
                <c:pt idx="2">
                  <c:v>14.34</c:v>
                </c:pt>
                <c:pt idx="3">
                  <c:v>15.51</c:v>
                </c:pt>
                <c:pt idx="4">
                  <c:v>13.6</c:v>
                </c:pt>
                <c:pt idx="5">
                  <c:v>18.412898374919997</c:v>
                </c:pt>
                <c:pt idx="6">
                  <c:v>13.877945219839999</c:v>
                </c:pt>
                <c:pt idx="7">
                  <c:v>15.432360398750003</c:v>
                </c:pt>
                <c:pt idx="8">
                  <c:v>15.294108232550006</c:v>
                </c:pt>
                <c:pt idx="9">
                  <c:v>19.122036378900006</c:v>
                </c:pt>
                <c:pt idx="10">
                  <c:v>19.957883953010001</c:v>
                </c:pt>
                <c:pt idx="11">
                  <c:v>16.031558207710003</c:v>
                </c:pt>
              </c:numCache>
            </c:numRef>
          </c:val>
          <c:smooth val="0"/>
          <c:extLst>
            <c:ext xmlns:c16="http://schemas.microsoft.com/office/drawing/2014/chart" uri="{C3380CC4-5D6E-409C-BE32-E72D297353CC}">
              <c16:uniqueId val="{00000007-3A4E-4155-929C-33EAAE2926B5}"/>
            </c:ext>
          </c:extLst>
        </c:ser>
        <c:ser>
          <c:idx val="9"/>
          <c:order val="8"/>
          <c:tx>
            <c:strRef>
              <c:f>'G2-St.rozpočet-výdaje-2024'!$J$31</c:f>
              <c:strCache>
                <c:ptCount val="1"/>
                <c:pt idx="0">
                  <c:v>Neinvestič. transfery podnikatelům</c:v>
                </c:pt>
              </c:strCache>
            </c:strRef>
          </c:tx>
          <c:spPr>
            <a:ln w="15875">
              <a:solidFill>
                <a:srgbClr val="8390A7"/>
              </a:solidFill>
              <a:prstDash val="sysDash"/>
            </a:ln>
          </c:spPr>
          <c:marker>
            <c:symbol val="none"/>
          </c:marker>
          <c:dPt>
            <c:idx val="4"/>
            <c:bubble3D val="0"/>
            <c:extLst>
              <c:ext xmlns:c16="http://schemas.microsoft.com/office/drawing/2014/chart" uri="{C3380CC4-5D6E-409C-BE32-E72D297353CC}">
                <c16:uniqueId val="{00000008-3A4E-4155-929C-33EAAE2926B5}"/>
              </c:ext>
            </c:extLst>
          </c:dPt>
          <c:cat>
            <c:numRef>
              <c:f>'G2-St.rozpočet-výdaje-2024'!$A$42:$A$53</c:f>
              <c:numCache>
                <c:formatCode>General</c:formatCode>
                <c:ptCount val="12"/>
                <c:pt idx="0">
                  <c:v>2015</c:v>
                </c:pt>
                <c:pt idx="1">
                  <c:v>2016</c:v>
                </c:pt>
                <c:pt idx="2">
                  <c:v>2017</c:v>
                </c:pt>
                <c:pt idx="3">
                  <c:v>2018</c:v>
                </c:pt>
                <c:pt idx="4">
                  <c:v>2019</c:v>
                </c:pt>
                <c:pt idx="5">
                  <c:v>2020</c:v>
                </c:pt>
                <c:pt idx="6">
                  <c:v>2021</c:v>
                </c:pt>
                <c:pt idx="7">
                  <c:v>2022</c:v>
                </c:pt>
                <c:pt idx="8">
                  <c:v>2023</c:v>
                </c:pt>
                <c:pt idx="9">
                  <c:v>2024</c:v>
                </c:pt>
                <c:pt idx="10">
                  <c:v>2025</c:v>
                </c:pt>
                <c:pt idx="11">
                  <c:v>2026</c:v>
                </c:pt>
              </c:numCache>
            </c:numRef>
          </c:cat>
          <c:val>
            <c:numRef>
              <c:f>'G2-St.rozpočet-výdaje-2024'!$J$42:$J$53</c:f>
              <c:numCache>
                <c:formatCode>0.0</c:formatCode>
                <c:ptCount val="12"/>
                <c:pt idx="0">
                  <c:v>10.44</c:v>
                </c:pt>
                <c:pt idx="1">
                  <c:v>9.8800000000000008</c:v>
                </c:pt>
                <c:pt idx="2">
                  <c:v>13.31</c:v>
                </c:pt>
                <c:pt idx="3">
                  <c:v>11.74</c:v>
                </c:pt>
                <c:pt idx="4">
                  <c:v>15.29</c:v>
                </c:pt>
                <c:pt idx="5">
                  <c:v>15.09</c:v>
                </c:pt>
                <c:pt idx="6">
                  <c:v>38.603799745229999</c:v>
                </c:pt>
                <c:pt idx="7">
                  <c:v>13.316887891789998</c:v>
                </c:pt>
                <c:pt idx="8">
                  <c:v>44.217813779380002</c:v>
                </c:pt>
                <c:pt idx="9">
                  <c:v>28.32791854501</c:v>
                </c:pt>
                <c:pt idx="10">
                  <c:v>17.2</c:v>
                </c:pt>
                <c:pt idx="11">
                  <c:v>16.841011375540003</c:v>
                </c:pt>
              </c:numCache>
            </c:numRef>
          </c:val>
          <c:smooth val="0"/>
          <c:extLst>
            <c:ext xmlns:c16="http://schemas.microsoft.com/office/drawing/2014/chart" uri="{C3380CC4-5D6E-409C-BE32-E72D297353CC}">
              <c16:uniqueId val="{00000009-3A4E-4155-929C-33EAAE2926B5}"/>
            </c:ext>
          </c:extLst>
        </c:ser>
        <c:ser>
          <c:idx val="8"/>
          <c:order val="9"/>
          <c:tx>
            <c:strRef>
              <c:f>'G2-St.rozpočet-výdaje-2024'!$K$31</c:f>
              <c:strCache>
                <c:ptCount val="1"/>
                <c:pt idx="0">
                  <c:v>Státní dluh (čisté výdaje)*****</c:v>
                </c:pt>
              </c:strCache>
            </c:strRef>
          </c:tx>
          <c:spPr>
            <a:ln w="6350">
              <a:solidFill>
                <a:srgbClr val="BC5B80"/>
              </a:solidFill>
              <a:prstDash val="sysDot"/>
            </a:ln>
          </c:spPr>
          <c:marker>
            <c:symbol val="diamond"/>
            <c:size val="5"/>
            <c:spPr>
              <a:solidFill>
                <a:srgbClr val="BC5B80"/>
              </a:solidFill>
              <a:ln>
                <a:noFill/>
              </a:ln>
            </c:spPr>
          </c:marker>
          <c:cat>
            <c:numRef>
              <c:f>'G2-St.rozpočet-výdaje-2024'!$A$42:$A$53</c:f>
              <c:numCache>
                <c:formatCode>General</c:formatCode>
                <c:ptCount val="12"/>
                <c:pt idx="0">
                  <c:v>2015</c:v>
                </c:pt>
                <c:pt idx="1">
                  <c:v>2016</c:v>
                </c:pt>
                <c:pt idx="2">
                  <c:v>2017</c:v>
                </c:pt>
                <c:pt idx="3">
                  <c:v>2018</c:v>
                </c:pt>
                <c:pt idx="4">
                  <c:v>2019</c:v>
                </c:pt>
                <c:pt idx="5">
                  <c:v>2020</c:v>
                </c:pt>
                <c:pt idx="6">
                  <c:v>2021</c:v>
                </c:pt>
                <c:pt idx="7">
                  <c:v>2022</c:v>
                </c:pt>
                <c:pt idx="8">
                  <c:v>2023</c:v>
                </c:pt>
                <c:pt idx="9">
                  <c:v>2024</c:v>
                </c:pt>
                <c:pt idx="10">
                  <c:v>2025</c:v>
                </c:pt>
                <c:pt idx="11">
                  <c:v>2026</c:v>
                </c:pt>
              </c:numCache>
            </c:numRef>
          </c:cat>
          <c:val>
            <c:numRef>
              <c:f>'G2-St.rozpočet-výdaje-2024'!$K$42:$K$53</c:f>
              <c:numCache>
                <c:formatCode>0.0</c:formatCode>
                <c:ptCount val="12"/>
                <c:pt idx="0">
                  <c:v>0.96999999999999975</c:v>
                </c:pt>
                <c:pt idx="1">
                  <c:v>3.13</c:v>
                </c:pt>
                <c:pt idx="2">
                  <c:v>-0.31</c:v>
                </c:pt>
                <c:pt idx="3">
                  <c:v>2.06</c:v>
                </c:pt>
                <c:pt idx="4">
                  <c:v>1.3502602605999998</c:v>
                </c:pt>
                <c:pt idx="5">
                  <c:v>3.4313927868200005</c:v>
                </c:pt>
                <c:pt idx="6">
                  <c:v>4.2</c:v>
                </c:pt>
                <c:pt idx="7">
                  <c:v>7.9</c:v>
                </c:pt>
                <c:pt idx="8">
                  <c:v>16.365433997490001</c:v>
                </c:pt>
                <c:pt idx="9">
                  <c:v>11.329492006200001</c:v>
                </c:pt>
                <c:pt idx="10">
                  <c:v>16.390006008419999</c:v>
                </c:pt>
                <c:pt idx="11">
                  <c:v>15.741312782719998</c:v>
                </c:pt>
              </c:numCache>
            </c:numRef>
          </c:val>
          <c:smooth val="0"/>
          <c:extLst>
            <c:ext xmlns:c16="http://schemas.microsoft.com/office/drawing/2014/chart" uri="{C3380CC4-5D6E-409C-BE32-E72D297353CC}">
              <c16:uniqueId val="{0000000A-3A4E-4155-929C-33EAAE2926B5}"/>
            </c:ext>
          </c:extLst>
        </c:ser>
        <c:ser>
          <c:idx val="10"/>
          <c:order val="10"/>
          <c:tx>
            <c:strRef>
              <c:f>'G2-St.rozpočet-výdaje-2024'!$L$31</c:f>
              <c:strCache>
                <c:ptCount val="1"/>
                <c:pt idx="0">
                  <c:v>Kapitálové výdaje</c:v>
                </c:pt>
              </c:strCache>
            </c:strRef>
          </c:tx>
          <c:spPr>
            <a:ln w="15875">
              <a:solidFill>
                <a:srgbClr val="8390A7"/>
              </a:solidFill>
              <a:prstDash val="solid"/>
            </a:ln>
          </c:spPr>
          <c:marker>
            <c:symbol val="none"/>
          </c:marker>
          <c:cat>
            <c:numRef>
              <c:f>'G2-St.rozpočet-výdaje-2024'!$A$42:$A$53</c:f>
              <c:numCache>
                <c:formatCode>General</c:formatCode>
                <c:ptCount val="12"/>
                <c:pt idx="0">
                  <c:v>2015</c:v>
                </c:pt>
                <c:pt idx="1">
                  <c:v>2016</c:v>
                </c:pt>
                <c:pt idx="2">
                  <c:v>2017</c:v>
                </c:pt>
                <c:pt idx="3">
                  <c:v>2018</c:v>
                </c:pt>
                <c:pt idx="4">
                  <c:v>2019</c:v>
                </c:pt>
                <c:pt idx="5">
                  <c:v>2020</c:v>
                </c:pt>
                <c:pt idx="6">
                  <c:v>2021</c:v>
                </c:pt>
                <c:pt idx="7">
                  <c:v>2022</c:v>
                </c:pt>
                <c:pt idx="8">
                  <c:v>2023</c:v>
                </c:pt>
                <c:pt idx="9">
                  <c:v>2024</c:v>
                </c:pt>
                <c:pt idx="10">
                  <c:v>2025</c:v>
                </c:pt>
                <c:pt idx="11">
                  <c:v>2026</c:v>
                </c:pt>
              </c:numCache>
            </c:numRef>
          </c:cat>
          <c:val>
            <c:numRef>
              <c:f>'G2-St.rozpočet-výdaje-2024'!$L$42:$L$53</c:f>
              <c:numCache>
                <c:formatCode>0.0</c:formatCode>
                <c:ptCount val="12"/>
                <c:pt idx="0">
                  <c:v>19.78</c:v>
                </c:pt>
                <c:pt idx="1">
                  <c:v>20.02</c:v>
                </c:pt>
                <c:pt idx="2">
                  <c:v>6.27</c:v>
                </c:pt>
                <c:pt idx="3">
                  <c:v>11.73</c:v>
                </c:pt>
                <c:pt idx="4">
                  <c:v>16.43</c:v>
                </c:pt>
                <c:pt idx="5">
                  <c:v>23.367157547710001</c:v>
                </c:pt>
                <c:pt idx="6">
                  <c:v>23.477695399889999</c:v>
                </c:pt>
                <c:pt idx="7">
                  <c:v>15.96759917888</c:v>
                </c:pt>
                <c:pt idx="8">
                  <c:v>36.131603101170001</c:v>
                </c:pt>
                <c:pt idx="9">
                  <c:v>33.585090469280004</c:v>
                </c:pt>
                <c:pt idx="10">
                  <c:v>32.17373984788</c:v>
                </c:pt>
                <c:pt idx="11">
                  <c:v>34.98829343856</c:v>
                </c:pt>
              </c:numCache>
            </c:numRef>
          </c:val>
          <c:smooth val="0"/>
          <c:extLst>
            <c:ext xmlns:c16="http://schemas.microsoft.com/office/drawing/2014/chart" uri="{C3380CC4-5D6E-409C-BE32-E72D297353CC}">
              <c16:uniqueId val="{0000000B-3A4E-4155-929C-33EAAE2926B5}"/>
            </c:ext>
          </c:extLst>
        </c:ser>
        <c:dLbls>
          <c:showLegendKey val="0"/>
          <c:showVal val="0"/>
          <c:showCatName val="0"/>
          <c:showSerName val="0"/>
          <c:showPercent val="0"/>
          <c:showBubbleSize val="0"/>
        </c:dLbls>
        <c:marker val="1"/>
        <c:smooth val="0"/>
        <c:axId val="72827648"/>
        <c:axId val="72829184"/>
      </c:lineChart>
      <c:catAx>
        <c:axId val="72827648"/>
        <c:scaling>
          <c:orientation val="minMax"/>
        </c:scaling>
        <c:delete val="0"/>
        <c:axPos val="b"/>
        <c:numFmt formatCode="General" sourceLinked="1"/>
        <c:majorTickMark val="out"/>
        <c:minorTickMark val="none"/>
        <c:tickLblPos val="low"/>
        <c:spPr>
          <a:ln w="6350">
            <a:solidFill>
              <a:schemeClr val="bg1">
                <a:lumMod val="50000"/>
              </a:schemeClr>
            </a:solidFill>
          </a:ln>
        </c:spPr>
        <c:txPr>
          <a:bodyPr rot="0"/>
          <a:lstStyle/>
          <a:p>
            <a:pPr>
              <a:defRPr sz="800"/>
            </a:pPr>
            <a:endParaRPr lang="cs-CZ"/>
          </a:p>
        </c:txPr>
        <c:crossAx val="72829184"/>
        <c:crosses val="autoZero"/>
        <c:auto val="1"/>
        <c:lblAlgn val="ctr"/>
        <c:lblOffset val="0"/>
        <c:noMultiLvlLbl val="0"/>
      </c:catAx>
      <c:valAx>
        <c:axId val="72829184"/>
        <c:scaling>
          <c:orientation val="minMax"/>
          <c:max val="55"/>
          <c:min val="0"/>
        </c:scaling>
        <c:delete val="0"/>
        <c:axPos val="l"/>
        <c:majorGridlines>
          <c:spPr>
            <a:ln w="6350">
              <a:solidFill>
                <a:schemeClr val="bg1">
                  <a:lumMod val="75000"/>
                </a:schemeClr>
              </a:solidFill>
            </a:ln>
          </c:spPr>
        </c:majorGridlines>
        <c:title>
          <c:tx>
            <c:rich>
              <a:bodyPr/>
              <a:lstStyle/>
              <a:p>
                <a:pPr>
                  <a:defRPr sz="700" b="0" i="1"/>
                </a:pPr>
                <a:r>
                  <a:rPr lang="cs-CZ" sz="700" b="0" i="1"/>
                  <a:t>Vybrané</a:t>
                </a:r>
                <a:r>
                  <a:rPr lang="cs-CZ" sz="700" b="0" i="1" baseline="0"/>
                  <a:t> </a:t>
                </a:r>
                <a:r>
                  <a:rPr lang="cs-CZ" sz="700" b="0" i="1"/>
                  <a:t>výdaje</a:t>
                </a:r>
              </a:p>
            </c:rich>
          </c:tx>
          <c:layout>
            <c:manualLayout>
              <c:xMode val="edge"/>
              <c:yMode val="edge"/>
              <c:x val="1.2260306060608514E-3"/>
              <c:y val="0.26858049252640298"/>
            </c:manualLayout>
          </c:layout>
          <c:overlay val="0"/>
        </c:title>
        <c:numFmt formatCode="0" sourceLinked="0"/>
        <c:majorTickMark val="out"/>
        <c:minorTickMark val="none"/>
        <c:tickLblPos val="nextTo"/>
        <c:spPr>
          <a:ln w="6350">
            <a:solidFill>
              <a:schemeClr val="tx1"/>
            </a:solidFill>
          </a:ln>
        </c:spPr>
        <c:crossAx val="72827648"/>
        <c:crosses val="autoZero"/>
        <c:crossBetween val="between"/>
        <c:majorUnit val="5"/>
      </c:valAx>
      <c:valAx>
        <c:axId val="72835072"/>
        <c:scaling>
          <c:orientation val="minMax"/>
          <c:max val="550"/>
          <c:min val="0"/>
        </c:scaling>
        <c:delete val="0"/>
        <c:axPos val="r"/>
        <c:title>
          <c:tx>
            <c:rich>
              <a:bodyPr/>
              <a:lstStyle/>
              <a:p>
                <a:pPr>
                  <a:defRPr sz="700" b="0" i="1"/>
                </a:pPr>
                <a:r>
                  <a:rPr lang="cs-CZ" sz="700" b="0" i="1"/>
                  <a:t>Běžné výdaje celkem, důchody</a:t>
                </a:r>
              </a:p>
            </c:rich>
          </c:tx>
          <c:layout>
            <c:manualLayout>
              <c:xMode val="edge"/>
              <c:yMode val="edge"/>
              <c:x val="0.96904909706663278"/>
              <c:y val="0.16648817731466736"/>
            </c:manualLayout>
          </c:layout>
          <c:overlay val="0"/>
        </c:title>
        <c:numFmt formatCode="0" sourceLinked="0"/>
        <c:majorTickMark val="out"/>
        <c:minorTickMark val="none"/>
        <c:tickLblPos val="nextTo"/>
        <c:spPr>
          <a:ln w="6350">
            <a:solidFill>
              <a:schemeClr val="tx1"/>
            </a:solidFill>
          </a:ln>
        </c:spPr>
        <c:txPr>
          <a:bodyPr rot="0" vert="horz"/>
          <a:lstStyle/>
          <a:p>
            <a:pPr>
              <a:defRPr/>
            </a:pPr>
            <a:endParaRPr lang="cs-CZ"/>
          </a:p>
        </c:txPr>
        <c:crossAx val="72836608"/>
        <c:crosses val="max"/>
        <c:crossBetween val="between"/>
        <c:majorUnit val="50"/>
        <c:minorUnit val="10"/>
      </c:valAx>
      <c:catAx>
        <c:axId val="72836608"/>
        <c:scaling>
          <c:orientation val="minMax"/>
        </c:scaling>
        <c:delete val="1"/>
        <c:axPos val="b"/>
        <c:numFmt formatCode="General" sourceLinked="1"/>
        <c:majorTickMark val="out"/>
        <c:minorTickMark val="none"/>
        <c:tickLblPos val="none"/>
        <c:crossAx val="72835072"/>
        <c:crosses val="autoZero"/>
        <c:auto val="1"/>
        <c:lblAlgn val="ctr"/>
        <c:lblOffset val="100"/>
        <c:noMultiLvlLbl val="0"/>
      </c:catAx>
      <c:spPr>
        <a:ln w="6350">
          <a:solidFill>
            <a:schemeClr val="tx1"/>
          </a:solidFill>
        </a:ln>
      </c:spPr>
    </c:plotArea>
    <c:legend>
      <c:legendPos val="b"/>
      <c:layout>
        <c:manualLayout>
          <c:xMode val="edge"/>
          <c:yMode val="edge"/>
          <c:x val="6.4833749442982813E-2"/>
          <c:y val="0.81180120948849488"/>
          <c:w val="0.88997713248395249"/>
          <c:h val="0.18112677235287147"/>
        </c:manualLayout>
      </c:layout>
      <c:overlay val="0"/>
      <c:spPr>
        <a:ln w="6350">
          <a:solidFill>
            <a:schemeClr val="tx1"/>
          </a:solidFill>
        </a:ln>
      </c:sp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83CEA5EB905EA4A80C471566B3EA34E" ma:contentTypeVersion="4" ma:contentTypeDescription="Vytvoří nový dokument" ma:contentTypeScope="" ma:versionID="665595f58a29ebd0fb50f52fd1a3fb16">
  <xsd:schema xmlns:xsd="http://www.w3.org/2001/XMLSchema" xmlns:xs="http://www.w3.org/2001/XMLSchema" xmlns:p="http://schemas.microsoft.com/office/2006/metadata/properties" xmlns:ns2="7af72279-59da-4f02-a702-8316938752d7" targetNamespace="http://schemas.microsoft.com/office/2006/metadata/properties" ma:root="true" ma:fieldsID="8b23c26673a00a9a43ab51476a2e445e" ns2:_="">
    <xsd:import namespace="7af72279-59da-4f02-a702-8316938752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72279-59da-4f02-a702-831693875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CC6C72-FE0A-4006-8736-F1547CB67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72279-59da-4f02-a702-831693875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508513-78FC-4939-82F8-E0A4971F101B}">
  <ds:schemaRefs>
    <ds:schemaRef ds:uri="http://schemas.openxmlformats.org/officeDocument/2006/bibliography"/>
  </ds:schemaRefs>
</ds:datastoreItem>
</file>

<file path=customXml/itemProps3.xml><?xml version="1.0" encoding="utf-8"?>
<ds:datastoreItem xmlns:ds="http://schemas.openxmlformats.org/officeDocument/2006/customXml" ds:itemID="{1E7681AD-41B0-431A-9D34-CF6700A12F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A8A1E1-1E99-4B4F-B9B5-70567730AA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7</Pages>
  <Words>3531</Words>
  <Characters>20838</Characters>
  <Application>Microsoft Office Word</Application>
  <DocSecurity>0</DocSecurity>
  <Lines>173</Lines>
  <Paragraphs>48</Paragraphs>
  <ScaleCrop>false</ScaleCrop>
  <Company>CSU</Company>
  <LinksUpToDate>false</LinksUpToDate>
  <CharactersWithSpaces>24321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Kučerová Jana</dc:creator>
  <cp:keywords/>
  <cp:lastModifiedBy>Zábojníková Karolína</cp:lastModifiedBy>
  <cp:revision>25</cp:revision>
  <cp:lastPrinted>2014-07-17T14:07:00Z</cp:lastPrinted>
  <dcterms:created xsi:type="dcterms:W3CDTF">2026-06-16T07:48:00Z</dcterms:created>
  <dcterms:modified xsi:type="dcterms:W3CDTF">2026-06-16T10:13:00Z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0x010100A83CEA5EB905EA4A80C471566B3EA34E</vt:lpwstr>
  </property>
  <property fmtid="{D5CDD505-2E9C-101B-9397-08002B2CF9AE}" pid="3" name="Názevformuláře">
    <vt:lpwstr>Publikace CZ barevné - vícetematické analýzy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2018-04-17T07:00:00Z</vt:filetime>
  </property>
  <property fmtid="{D5CDD505-2E9C-101B-9397-08002B2CF9AE}" pid="8" name="Označení">
    <vt:lpwstr>Form_c444</vt:lpwstr>
  </property>
  <property fmtid="{D5CDD505-2E9C-101B-9397-08002B2CF9AE}" pid="9" name="MediaServiceImageTags">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ies>
</file>