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E4" w:rsidRDefault="005937E4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1C3C89">
        <w:rPr>
          <w:rFonts w:ascii="Arial" w:hAnsi="Arial"/>
          <w:sz w:val="32"/>
        </w:rPr>
        <w:t>dubnu</w:t>
      </w:r>
      <w:r>
        <w:rPr>
          <w:rFonts w:ascii="Arial" w:hAnsi="Arial"/>
          <w:sz w:val="32"/>
        </w:rPr>
        <w:t xml:space="preserve"> 201</w:t>
      </w:r>
      <w:r w:rsidR="00E12FED">
        <w:rPr>
          <w:rFonts w:ascii="Arial" w:hAnsi="Arial"/>
          <w:sz w:val="32"/>
        </w:rPr>
        <w:t>5</w:t>
      </w:r>
    </w:p>
    <w:p w:rsidR="005414FF" w:rsidRPr="005414FF" w:rsidRDefault="005414FF" w:rsidP="005414FF">
      <w:pPr>
        <w:tabs>
          <w:tab w:val="left" w:pos="851"/>
          <w:tab w:val="left" w:pos="993"/>
        </w:tabs>
        <w:rPr>
          <w:rFonts w:ascii="Arial" w:hAnsi="Arial" w:cs="Arial"/>
          <w:sz w:val="20"/>
          <w:szCs w:val="20"/>
        </w:rPr>
      </w:pPr>
    </w:p>
    <w:p w:rsidR="005414FF" w:rsidRPr="005414FF" w:rsidRDefault="005414FF" w:rsidP="005414FF">
      <w:pPr>
        <w:tabs>
          <w:tab w:val="left" w:pos="851"/>
          <w:tab w:val="left" w:pos="993"/>
        </w:tabs>
        <w:rPr>
          <w:rFonts w:ascii="Arial" w:hAnsi="Arial" w:cs="Arial"/>
          <w:b/>
          <w:sz w:val="20"/>
          <w:szCs w:val="20"/>
          <w:u w:val="single"/>
        </w:rPr>
      </w:pPr>
      <w:r w:rsidRPr="005414FF">
        <w:rPr>
          <w:rFonts w:ascii="Arial" w:hAnsi="Arial" w:cs="Arial"/>
          <w:b/>
          <w:sz w:val="20"/>
          <w:szCs w:val="20"/>
          <w:u w:val="single"/>
        </w:rPr>
        <w:t>Meziměsíční srovnání:</w:t>
      </w:r>
    </w:p>
    <w:p w:rsidR="001C3C89" w:rsidRPr="005414FF" w:rsidRDefault="001C3C89" w:rsidP="00774F2D">
      <w:pPr>
        <w:tabs>
          <w:tab w:val="left" w:pos="851"/>
          <w:tab w:val="left" w:pos="993"/>
        </w:tabs>
        <w:jc w:val="center"/>
        <w:rPr>
          <w:rFonts w:ascii="Arial" w:hAnsi="Arial" w:cs="Arial"/>
          <w:sz w:val="20"/>
          <w:szCs w:val="20"/>
        </w:rPr>
      </w:pPr>
    </w:p>
    <w:p w:rsidR="005414FF" w:rsidRDefault="001C3C89" w:rsidP="001C3C89">
      <w:pPr>
        <w:rPr>
          <w:rFonts w:ascii="Arial" w:hAnsi="Arial" w:cs="Arial"/>
          <w:sz w:val="20"/>
          <w:szCs w:val="20"/>
        </w:rPr>
      </w:pPr>
      <w:r w:rsidRPr="005414FF">
        <w:rPr>
          <w:rFonts w:ascii="Arial" w:hAnsi="Arial" w:cs="Arial"/>
          <w:sz w:val="20"/>
          <w:szCs w:val="20"/>
        </w:rPr>
        <w:t xml:space="preserve">Meziměsíčně ceny </w:t>
      </w:r>
      <w:r w:rsidRPr="005414FF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5414FF">
        <w:rPr>
          <w:rFonts w:ascii="Arial" w:hAnsi="Arial" w:cs="Arial"/>
          <w:sz w:val="20"/>
          <w:szCs w:val="20"/>
        </w:rPr>
        <w:t xml:space="preserve"> vzrostly o 0,4 %.</w:t>
      </w:r>
    </w:p>
    <w:p w:rsidR="005414FF" w:rsidRDefault="005414FF" w:rsidP="001C3C89">
      <w:pPr>
        <w:rPr>
          <w:rFonts w:ascii="Arial" w:hAnsi="Arial" w:cs="Arial"/>
          <w:sz w:val="20"/>
          <w:szCs w:val="20"/>
        </w:rPr>
      </w:pPr>
    </w:p>
    <w:p w:rsidR="005414FF" w:rsidRDefault="005414FF" w:rsidP="001C3C89">
      <w:pPr>
        <w:rPr>
          <w:rFonts w:ascii="Arial" w:hAnsi="Arial" w:cs="Arial"/>
          <w:sz w:val="20"/>
          <w:szCs w:val="20"/>
        </w:rPr>
      </w:pPr>
      <w:r w:rsidRPr="005414FF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pt;height:4in">
            <v:imagedata r:id="rId5" o:title=""/>
          </v:shape>
        </w:pict>
      </w:r>
    </w:p>
    <w:p w:rsidR="005414FF" w:rsidRDefault="005414FF" w:rsidP="001C3C89">
      <w:pPr>
        <w:rPr>
          <w:rFonts w:ascii="Arial" w:hAnsi="Arial" w:cs="Arial"/>
          <w:sz w:val="20"/>
          <w:szCs w:val="20"/>
        </w:rPr>
      </w:pPr>
    </w:p>
    <w:p w:rsidR="005414FF" w:rsidRDefault="005414FF" w:rsidP="001C3C89">
      <w:pPr>
        <w:rPr>
          <w:rFonts w:ascii="Arial" w:hAnsi="Arial" w:cs="Arial"/>
          <w:sz w:val="20"/>
          <w:szCs w:val="20"/>
        </w:rPr>
      </w:pPr>
    </w:p>
    <w:p w:rsidR="005414FF" w:rsidRDefault="001C3C89" w:rsidP="001C3C89">
      <w:pPr>
        <w:rPr>
          <w:rFonts w:ascii="Arial" w:hAnsi="Arial" w:cs="Arial"/>
          <w:sz w:val="20"/>
          <w:szCs w:val="20"/>
        </w:rPr>
      </w:pPr>
      <w:r w:rsidRPr="005414FF">
        <w:rPr>
          <w:rFonts w:ascii="Arial" w:hAnsi="Arial" w:cs="Arial"/>
          <w:sz w:val="20"/>
          <w:szCs w:val="20"/>
        </w:rPr>
        <w:t>Zvýšily se ceny v oddílu chemických látek a výrobků o 6,2 % a v oddílu koksu a rafinovaných ropných produktů o 2,3 %. Ceny potravinářských výrobků, nápojů a tabáku byly vyšší o 0,3 %.</w:t>
      </w:r>
    </w:p>
    <w:p w:rsidR="005414FF" w:rsidRDefault="005414FF" w:rsidP="001C3C89">
      <w:pPr>
        <w:rPr>
          <w:rFonts w:ascii="Arial" w:hAnsi="Arial" w:cs="Arial"/>
          <w:sz w:val="20"/>
          <w:szCs w:val="20"/>
        </w:rPr>
      </w:pPr>
    </w:p>
    <w:p w:rsidR="001C3C89" w:rsidRPr="005414FF" w:rsidRDefault="001C3C89" w:rsidP="001C3C89">
      <w:pPr>
        <w:rPr>
          <w:rFonts w:ascii="Arial" w:hAnsi="Arial" w:cs="Arial"/>
          <w:strike/>
          <w:sz w:val="20"/>
          <w:szCs w:val="20"/>
        </w:rPr>
      </w:pPr>
      <w:r w:rsidRPr="005414FF">
        <w:rPr>
          <w:rFonts w:ascii="Arial" w:hAnsi="Arial" w:cs="Arial"/>
          <w:sz w:val="20"/>
          <w:szCs w:val="20"/>
        </w:rPr>
        <w:t xml:space="preserve">Významněji klesly ceny pryžových, plastových a ostatních nekovových minerálních výrobků o 0,4 %. </w:t>
      </w:r>
    </w:p>
    <w:p w:rsidR="00513D80" w:rsidRPr="005414FF" w:rsidRDefault="00AA0CC0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5414FF">
        <w:rPr>
          <w:rFonts w:ascii="Arial" w:hAnsi="Arial" w:cs="Arial"/>
          <w:sz w:val="20"/>
          <w:szCs w:val="20"/>
        </w:rPr>
        <w:t xml:space="preserve">              </w:t>
      </w:r>
      <w:r w:rsidR="00774F2D" w:rsidRPr="005414FF">
        <w:rPr>
          <w:rFonts w:ascii="Arial" w:hAnsi="Arial" w:cs="Arial"/>
          <w:sz w:val="20"/>
          <w:szCs w:val="20"/>
        </w:rPr>
        <w:tab/>
      </w:r>
      <w:r w:rsidR="00774F2D" w:rsidRPr="005414FF">
        <w:rPr>
          <w:rFonts w:ascii="Arial" w:hAnsi="Arial" w:cs="Arial"/>
          <w:sz w:val="20"/>
          <w:szCs w:val="20"/>
        </w:rPr>
        <w:tab/>
      </w:r>
    </w:p>
    <w:p w:rsidR="005414FF" w:rsidRDefault="005414FF" w:rsidP="005414FF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5414FF" w:rsidRDefault="005414FF" w:rsidP="005414FF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5937E4" w:rsidRPr="005414FF" w:rsidRDefault="005937E4" w:rsidP="005414FF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5414FF">
        <w:rPr>
          <w:rFonts w:ascii="Arial" w:hAnsi="Arial" w:cs="Arial"/>
          <w:sz w:val="20"/>
          <w:szCs w:val="20"/>
        </w:rPr>
        <w:t>Vybraná odvětví, která nejvíce ovlivnila výši celkového meziměsíčního indexu:</w:t>
      </w:r>
    </w:p>
    <w:p w:rsidR="005937E4" w:rsidRPr="005414FF" w:rsidRDefault="005937E4">
      <w:pPr>
        <w:rPr>
          <w:rFonts w:ascii="Arial" w:hAnsi="Arial" w:cs="Arial"/>
          <w:sz w:val="20"/>
          <w:szCs w:val="20"/>
        </w:rPr>
      </w:pPr>
    </w:p>
    <w:p w:rsidR="005617F2" w:rsidRPr="005414FF" w:rsidRDefault="005414FF">
      <w:pPr>
        <w:jc w:val="both"/>
        <w:rPr>
          <w:rFonts w:ascii="Arial" w:hAnsi="Arial" w:cs="Arial"/>
          <w:sz w:val="20"/>
          <w:szCs w:val="20"/>
        </w:rPr>
      </w:pPr>
      <w:r w:rsidRPr="005414FF">
        <w:rPr>
          <w:rFonts w:ascii="Arial" w:hAnsi="Arial" w:cs="Arial"/>
          <w:sz w:val="20"/>
          <w:szCs w:val="20"/>
        </w:rPr>
        <w:pict>
          <v:shape id="_x0000_i1025" type="#_x0000_t75" style="width:365.25pt;height:72.75pt">
            <v:imagedata r:id="rId6" o:title=""/>
          </v:shape>
        </w:pict>
      </w:r>
      <w:r w:rsidR="00D72030" w:rsidRPr="005414FF">
        <w:rPr>
          <w:rFonts w:ascii="Arial" w:hAnsi="Arial" w:cs="Arial"/>
          <w:sz w:val="20"/>
          <w:szCs w:val="20"/>
        </w:rPr>
        <w:t xml:space="preserve">      </w:t>
      </w:r>
      <w:r w:rsidR="00E12FED" w:rsidRPr="005414FF">
        <w:rPr>
          <w:rFonts w:ascii="Arial" w:hAnsi="Arial" w:cs="Arial"/>
          <w:sz w:val="20"/>
          <w:szCs w:val="20"/>
        </w:rPr>
        <w:t xml:space="preserve">   </w:t>
      </w:r>
      <w:r w:rsidR="00D72030" w:rsidRPr="005414FF">
        <w:rPr>
          <w:rFonts w:ascii="Arial" w:hAnsi="Arial" w:cs="Arial"/>
          <w:sz w:val="20"/>
          <w:szCs w:val="20"/>
        </w:rPr>
        <w:t xml:space="preserve">             </w:t>
      </w:r>
    </w:p>
    <w:p w:rsidR="00122A60" w:rsidRPr="005414FF" w:rsidRDefault="00122A60">
      <w:pPr>
        <w:jc w:val="both"/>
        <w:rPr>
          <w:rFonts w:ascii="Arial" w:hAnsi="Arial" w:cs="Arial"/>
          <w:sz w:val="20"/>
          <w:szCs w:val="20"/>
        </w:rPr>
      </w:pPr>
    </w:p>
    <w:p w:rsidR="001C3C89" w:rsidRPr="005414FF" w:rsidRDefault="001C3C89">
      <w:pPr>
        <w:jc w:val="both"/>
        <w:rPr>
          <w:rFonts w:ascii="Arial" w:hAnsi="Arial" w:cs="Arial"/>
          <w:sz w:val="20"/>
          <w:szCs w:val="20"/>
        </w:rPr>
      </w:pPr>
    </w:p>
    <w:p w:rsidR="001C3C89" w:rsidRPr="005414FF" w:rsidRDefault="001C3C89" w:rsidP="009D38FD">
      <w:pPr>
        <w:rPr>
          <w:rFonts w:ascii="Arial" w:hAnsi="Arial" w:cs="Arial"/>
          <w:sz w:val="20"/>
          <w:szCs w:val="20"/>
        </w:rPr>
      </w:pPr>
    </w:p>
    <w:p w:rsidR="005414FF" w:rsidRDefault="005414FF" w:rsidP="009D38FD">
      <w:pPr>
        <w:rPr>
          <w:rFonts w:ascii="Arial" w:hAnsi="Arial" w:cs="Arial"/>
          <w:b/>
          <w:sz w:val="20"/>
          <w:szCs w:val="20"/>
          <w:u w:val="single"/>
        </w:rPr>
      </w:pPr>
    </w:p>
    <w:p w:rsidR="005414FF" w:rsidRDefault="005414FF" w:rsidP="009D38FD">
      <w:pPr>
        <w:rPr>
          <w:rFonts w:ascii="Arial" w:hAnsi="Arial" w:cs="Arial"/>
          <w:b/>
          <w:sz w:val="20"/>
          <w:szCs w:val="20"/>
          <w:u w:val="single"/>
        </w:rPr>
      </w:pPr>
    </w:p>
    <w:p w:rsidR="005414FF" w:rsidRDefault="005414FF" w:rsidP="009D38FD">
      <w:pPr>
        <w:rPr>
          <w:rFonts w:ascii="Arial" w:hAnsi="Arial" w:cs="Arial"/>
          <w:b/>
          <w:sz w:val="20"/>
          <w:szCs w:val="20"/>
          <w:u w:val="single"/>
        </w:rPr>
      </w:pPr>
    </w:p>
    <w:p w:rsidR="005414FF" w:rsidRDefault="005414FF" w:rsidP="009D38FD">
      <w:pPr>
        <w:rPr>
          <w:rFonts w:ascii="Arial" w:hAnsi="Arial" w:cs="Arial"/>
          <w:b/>
          <w:sz w:val="20"/>
          <w:szCs w:val="20"/>
          <w:u w:val="single"/>
        </w:rPr>
      </w:pPr>
    </w:p>
    <w:p w:rsidR="005414FF" w:rsidRDefault="005414FF" w:rsidP="009D38FD">
      <w:pPr>
        <w:rPr>
          <w:rFonts w:ascii="Arial" w:hAnsi="Arial" w:cs="Arial"/>
          <w:b/>
          <w:sz w:val="20"/>
          <w:szCs w:val="20"/>
          <w:u w:val="single"/>
        </w:rPr>
      </w:pPr>
    </w:p>
    <w:p w:rsidR="005414FF" w:rsidRDefault="005414FF" w:rsidP="009D38FD">
      <w:pPr>
        <w:rPr>
          <w:rFonts w:ascii="Arial" w:hAnsi="Arial" w:cs="Arial"/>
          <w:b/>
          <w:sz w:val="20"/>
          <w:szCs w:val="20"/>
          <w:u w:val="single"/>
        </w:rPr>
      </w:pPr>
    </w:p>
    <w:p w:rsidR="005414FF" w:rsidRDefault="005414FF" w:rsidP="009D38FD">
      <w:pPr>
        <w:rPr>
          <w:rFonts w:ascii="Arial" w:hAnsi="Arial" w:cs="Arial"/>
          <w:b/>
          <w:sz w:val="20"/>
          <w:szCs w:val="20"/>
          <w:u w:val="single"/>
        </w:rPr>
      </w:pPr>
    </w:p>
    <w:p w:rsidR="005414FF" w:rsidRDefault="005414FF" w:rsidP="009D38FD">
      <w:pPr>
        <w:rPr>
          <w:rFonts w:ascii="Arial" w:hAnsi="Arial" w:cs="Arial"/>
          <w:b/>
          <w:sz w:val="20"/>
          <w:szCs w:val="20"/>
          <w:u w:val="single"/>
        </w:rPr>
      </w:pPr>
    </w:p>
    <w:p w:rsidR="005414FF" w:rsidRPr="005414FF" w:rsidRDefault="005414FF" w:rsidP="009D38FD">
      <w:pPr>
        <w:rPr>
          <w:rFonts w:ascii="Arial" w:hAnsi="Arial" w:cs="Arial"/>
          <w:b/>
          <w:sz w:val="20"/>
          <w:szCs w:val="20"/>
          <w:u w:val="single"/>
        </w:rPr>
      </w:pPr>
      <w:r w:rsidRPr="005414FF">
        <w:rPr>
          <w:rFonts w:ascii="Arial" w:hAnsi="Arial" w:cs="Arial"/>
          <w:b/>
          <w:sz w:val="20"/>
          <w:szCs w:val="20"/>
          <w:u w:val="single"/>
        </w:rPr>
        <w:lastRenderedPageBreak/>
        <w:t>Meziroční srovnání:</w:t>
      </w:r>
    </w:p>
    <w:p w:rsidR="005414FF" w:rsidRPr="005414FF" w:rsidRDefault="005414FF" w:rsidP="009D38FD">
      <w:pPr>
        <w:rPr>
          <w:rFonts w:ascii="Arial" w:hAnsi="Arial" w:cs="Arial"/>
          <w:b/>
          <w:sz w:val="20"/>
          <w:szCs w:val="20"/>
          <w:u w:val="single"/>
        </w:rPr>
      </w:pPr>
    </w:p>
    <w:p w:rsidR="005414FF" w:rsidRDefault="001C3C89" w:rsidP="009D38FD">
      <w:pPr>
        <w:rPr>
          <w:rFonts w:ascii="Arial" w:hAnsi="Arial" w:cs="Arial"/>
          <w:sz w:val="20"/>
          <w:szCs w:val="20"/>
        </w:rPr>
      </w:pPr>
      <w:r w:rsidRPr="005414FF">
        <w:rPr>
          <w:rFonts w:ascii="Arial" w:hAnsi="Arial" w:cs="Arial"/>
          <w:sz w:val="20"/>
          <w:szCs w:val="20"/>
        </w:rPr>
        <w:t xml:space="preserve">Ceny </w:t>
      </w:r>
      <w:r w:rsidRPr="005414FF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5414FF">
        <w:rPr>
          <w:rFonts w:ascii="Arial" w:hAnsi="Arial" w:cs="Arial"/>
          <w:sz w:val="20"/>
          <w:szCs w:val="20"/>
        </w:rPr>
        <w:t xml:space="preserve"> se meziročně snížily o 2,6 % (v březnu o 2,9 %).</w:t>
      </w:r>
    </w:p>
    <w:p w:rsidR="005414FF" w:rsidRDefault="005414FF" w:rsidP="009D38FD">
      <w:pPr>
        <w:rPr>
          <w:rFonts w:ascii="Arial" w:hAnsi="Arial" w:cs="Arial"/>
          <w:sz w:val="20"/>
          <w:szCs w:val="20"/>
        </w:rPr>
      </w:pPr>
    </w:p>
    <w:p w:rsidR="005414FF" w:rsidRDefault="005414FF" w:rsidP="009D38FD">
      <w:pPr>
        <w:rPr>
          <w:rFonts w:ascii="Arial" w:hAnsi="Arial" w:cs="Arial"/>
          <w:sz w:val="20"/>
          <w:szCs w:val="20"/>
        </w:rPr>
      </w:pPr>
      <w:r w:rsidRPr="005414FF">
        <w:rPr>
          <w:szCs w:val="20"/>
        </w:rPr>
        <w:pict>
          <v:shape id="_x0000_i1028" type="#_x0000_t75" style="width:453.75pt;height:185.25pt">
            <v:imagedata r:id="rId7" o:title=""/>
          </v:shape>
        </w:pict>
      </w:r>
    </w:p>
    <w:p w:rsidR="005414FF" w:rsidRDefault="005414FF" w:rsidP="009D38FD">
      <w:pPr>
        <w:rPr>
          <w:rFonts w:ascii="Arial" w:hAnsi="Arial" w:cs="Arial"/>
          <w:sz w:val="20"/>
          <w:szCs w:val="20"/>
        </w:rPr>
      </w:pPr>
    </w:p>
    <w:p w:rsidR="005414FF" w:rsidRDefault="005414FF" w:rsidP="009D38FD">
      <w:pPr>
        <w:rPr>
          <w:rFonts w:ascii="Arial" w:hAnsi="Arial" w:cs="Arial"/>
          <w:sz w:val="20"/>
          <w:szCs w:val="20"/>
        </w:rPr>
      </w:pPr>
    </w:p>
    <w:p w:rsidR="005414FF" w:rsidRDefault="005414FF" w:rsidP="009D38FD">
      <w:pPr>
        <w:rPr>
          <w:szCs w:val="20"/>
        </w:rPr>
      </w:pPr>
      <w:r w:rsidRPr="005414FF">
        <w:rPr>
          <w:szCs w:val="20"/>
        </w:rPr>
        <w:pict>
          <v:shape id="_x0000_i1029" type="#_x0000_t75" style="width:453pt;height:277.5pt">
            <v:imagedata r:id="rId8" o:title=""/>
          </v:shape>
        </w:pict>
      </w:r>
    </w:p>
    <w:p w:rsidR="005414FF" w:rsidRDefault="005414FF" w:rsidP="009D38FD">
      <w:pPr>
        <w:rPr>
          <w:rFonts w:ascii="Arial" w:hAnsi="Arial" w:cs="Arial"/>
          <w:sz w:val="20"/>
          <w:szCs w:val="20"/>
        </w:rPr>
      </w:pPr>
    </w:p>
    <w:p w:rsidR="005414FF" w:rsidRDefault="001C3C89" w:rsidP="009D38FD">
      <w:pPr>
        <w:rPr>
          <w:rFonts w:ascii="Arial" w:hAnsi="Arial" w:cs="Arial"/>
          <w:sz w:val="20"/>
          <w:szCs w:val="20"/>
        </w:rPr>
      </w:pPr>
      <w:r w:rsidRPr="005414FF">
        <w:rPr>
          <w:rFonts w:ascii="Arial" w:hAnsi="Arial" w:cs="Arial"/>
          <w:sz w:val="20"/>
          <w:szCs w:val="20"/>
        </w:rPr>
        <w:t>V oddílu koksu a rafinovaných ropných produktů klesly ceny o 22,2 % a  v oddílu chemických látek a výrobků o 9,6 %.</w:t>
      </w:r>
    </w:p>
    <w:p w:rsidR="005414FF" w:rsidRDefault="005414FF" w:rsidP="009D38FD">
      <w:pPr>
        <w:rPr>
          <w:rFonts w:ascii="Arial" w:hAnsi="Arial" w:cs="Arial"/>
          <w:sz w:val="20"/>
          <w:szCs w:val="20"/>
        </w:rPr>
      </w:pPr>
    </w:p>
    <w:p w:rsidR="005414FF" w:rsidRDefault="001C3C89" w:rsidP="009D38FD">
      <w:pPr>
        <w:rPr>
          <w:rFonts w:ascii="Arial" w:hAnsi="Arial" w:cs="Arial"/>
          <w:sz w:val="20"/>
          <w:szCs w:val="20"/>
        </w:rPr>
      </w:pPr>
      <w:r w:rsidRPr="005414FF">
        <w:rPr>
          <w:rFonts w:ascii="Arial" w:hAnsi="Arial" w:cs="Arial"/>
          <w:sz w:val="20"/>
          <w:szCs w:val="20"/>
        </w:rPr>
        <w:t>Ceny potravinářských výrobků, nápojů a tabáku byly nižší o 2,5 %, z toho ceny mléčných výrobků o 8,5 %, ostatních potravinářských výrobků o 5,4 % a masa a masných výrobků o 2,5 %.</w:t>
      </w:r>
    </w:p>
    <w:p w:rsidR="005414FF" w:rsidRDefault="005414FF" w:rsidP="009D38FD">
      <w:pPr>
        <w:rPr>
          <w:rFonts w:ascii="Arial" w:hAnsi="Arial" w:cs="Arial"/>
          <w:sz w:val="20"/>
          <w:szCs w:val="20"/>
        </w:rPr>
      </w:pPr>
    </w:p>
    <w:p w:rsidR="005414FF" w:rsidRDefault="001C3C89" w:rsidP="009D38FD">
      <w:pPr>
        <w:rPr>
          <w:rFonts w:ascii="Arial" w:hAnsi="Arial" w:cs="Arial"/>
          <w:sz w:val="20"/>
          <w:szCs w:val="20"/>
        </w:rPr>
      </w:pPr>
      <w:r w:rsidRPr="005414FF">
        <w:rPr>
          <w:rFonts w:ascii="Arial" w:hAnsi="Arial" w:cs="Arial"/>
          <w:sz w:val="20"/>
          <w:szCs w:val="20"/>
        </w:rPr>
        <w:t>Klesly ceny pryžových, plastových a ostatních nekovových minerálních výrobků o 1,0 % a elektřiny, plynu, páry</w:t>
      </w:r>
      <w:r w:rsidR="000D7CFF" w:rsidRPr="005414FF">
        <w:rPr>
          <w:rFonts w:ascii="Arial" w:hAnsi="Arial" w:cs="Arial"/>
          <w:sz w:val="20"/>
          <w:szCs w:val="20"/>
        </w:rPr>
        <w:t xml:space="preserve"> a </w:t>
      </w:r>
      <w:r w:rsidRPr="005414FF">
        <w:rPr>
          <w:rFonts w:ascii="Arial" w:hAnsi="Arial" w:cs="Arial"/>
          <w:sz w:val="20"/>
          <w:szCs w:val="20"/>
        </w:rPr>
        <w:t>klimatizovaného vzduchu o 0,7 %.</w:t>
      </w:r>
    </w:p>
    <w:p w:rsidR="005414FF" w:rsidRDefault="005414FF" w:rsidP="009D38FD">
      <w:pPr>
        <w:rPr>
          <w:rFonts w:ascii="Arial" w:hAnsi="Arial" w:cs="Arial"/>
          <w:sz w:val="20"/>
          <w:szCs w:val="20"/>
        </w:rPr>
      </w:pPr>
    </w:p>
    <w:p w:rsidR="009D38FD" w:rsidRPr="005414FF" w:rsidRDefault="001C3C89" w:rsidP="009D38FD">
      <w:pPr>
        <w:rPr>
          <w:rFonts w:ascii="Arial" w:hAnsi="Arial" w:cs="Arial"/>
          <w:sz w:val="20"/>
          <w:szCs w:val="20"/>
        </w:rPr>
      </w:pPr>
      <w:r w:rsidRPr="005414FF">
        <w:rPr>
          <w:rFonts w:ascii="Arial" w:hAnsi="Arial" w:cs="Arial"/>
          <w:sz w:val="20"/>
          <w:szCs w:val="20"/>
        </w:rPr>
        <w:t xml:space="preserve"> Vzrostly ceny vody, její úpravy a rozvodu o 3,4 %, nábytku a ostatních výrobků zpracovatelského průmyslu o 1,8 % a elektrických zařízení o</w:t>
      </w:r>
      <w:r w:rsidR="000D7CFF" w:rsidRPr="005414FF">
        <w:rPr>
          <w:rFonts w:ascii="Arial" w:hAnsi="Arial" w:cs="Arial"/>
          <w:sz w:val="20"/>
          <w:szCs w:val="20"/>
        </w:rPr>
        <w:t> 0,6 %</w:t>
      </w:r>
      <w:r w:rsidRPr="005414FF">
        <w:rPr>
          <w:rFonts w:ascii="Arial" w:hAnsi="Arial" w:cs="Arial"/>
          <w:sz w:val="20"/>
          <w:szCs w:val="20"/>
        </w:rPr>
        <w:t>.</w:t>
      </w:r>
    </w:p>
    <w:p w:rsidR="006F2662" w:rsidRPr="005414FF" w:rsidRDefault="006F2662" w:rsidP="006F2662">
      <w:pPr>
        <w:rPr>
          <w:rFonts w:ascii="Arial" w:hAnsi="Arial" w:cs="Arial"/>
          <w:sz w:val="20"/>
          <w:szCs w:val="20"/>
        </w:rPr>
      </w:pPr>
    </w:p>
    <w:p w:rsidR="00774F2D" w:rsidRPr="005414FF" w:rsidRDefault="00AA0CC0" w:rsidP="006E6DEF">
      <w:pPr>
        <w:rPr>
          <w:rFonts w:ascii="Arial" w:hAnsi="Arial" w:cs="Arial"/>
          <w:sz w:val="20"/>
          <w:szCs w:val="20"/>
        </w:rPr>
      </w:pPr>
      <w:r w:rsidRPr="005414FF">
        <w:rPr>
          <w:rFonts w:ascii="Arial" w:hAnsi="Arial" w:cs="Arial"/>
          <w:sz w:val="20"/>
          <w:szCs w:val="20"/>
        </w:rPr>
        <w:t xml:space="preserve">                </w:t>
      </w:r>
    </w:p>
    <w:p w:rsidR="005937E4" w:rsidRDefault="005937E4" w:rsidP="005414FF">
      <w:pPr>
        <w:rPr>
          <w:rFonts w:ascii="Arial" w:hAnsi="Arial" w:cs="Arial"/>
          <w:sz w:val="20"/>
          <w:szCs w:val="20"/>
        </w:rPr>
      </w:pPr>
      <w:r w:rsidRPr="005414FF">
        <w:rPr>
          <w:rFonts w:ascii="Arial" w:hAnsi="Arial" w:cs="Arial"/>
          <w:sz w:val="20"/>
          <w:szCs w:val="20"/>
        </w:rPr>
        <w:lastRenderedPageBreak/>
        <w:t>Vybraná odvětví, která nejvíce ovlivnila výši celkového meziročního indexu:</w:t>
      </w:r>
    </w:p>
    <w:p w:rsidR="005414FF" w:rsidRPr="005414FF" w:rsidRDefault="005414FF" w:rsidP="005414FF">
      <w:pPr>
        <w:rPr>
          <w:rFonts w:ascii="Arial" w:hAnsi="Arial" w:cs="Arial"/>
          <w:sz w:val="20"/>
          <w:szCs w:val="20"/>
        </w:rPr>
      </w:pPr>
    </w:p>
    <w:p w:rsidR="004D7DFF" w:rsidRPr="005414FF" w:rsidRDefault="005414FF">
      <w:pPr>
        <w:rPr>
          <w:rFonts w:ascii="Arial" w:hAnsi="Arial" w:cs="Arial"/>
          <w:sz w:val="20"/>
          <w:szCs w:val="20"/>
        </w:rPr>
      </w:pPr>
      <w:r w:rsidRPr="005414FF">
        <w:rPr>
          <w:rFonts w:ascii="Arial" w:hAnsi="Arial" w:cs="Arial"/>
          <w:sz w:val="20"/>
          <w:szCs w:val="20"/>
        </w:rPr>
        <w:pict>
          <v:shape id="_x0000_i1026" type="#_x0000_t75" style="width:365.25pt;height:120.75pt">
            <v:imagedata r:id="rId9" o:title=""/>
          </v:shape>
        </w:pict>
      </w:r>
      <w:r w:rsidR="008E7C34" w:rsidRPr="005414FF">
        <w:rPr>
          <w:rFonts w:ascii="Arial" w:hAnsi="Arial" w:cs="Arial"/>
          <w:sz w:val="20"/>
          <w:szCs w:val="20"/>
        </w:rPr>
        <w:t xml:space="preserve">   </w:t>
      </w:r>
      <w:r w:rsidR="00AA0CC0" w:rsidRPr="005414FF">
        <w:rPr>
          <w:rFonts w:ascii="Arial" w:hAnsi="Arial" w:cs="Arial"/>
          <w:sz w:val="20"/>
          <w:szCs w:val="20"/>
        </w:rPr>
        <w:t xml:space="preserve">    </w:t>
      </w:r>
      <w:r w:rsidR="008E7C34" w:rsidRPr="005414FF">
        <w:rPr>
          <w:rFonts w:ascii="Arial" w:hAnsi="Arial" w:cs="Arial"/>
          <w:sz w:val="20"/>
          <w:szCs w:val="20"/>
        </w:rPr>
        <w:t xml:space="preserve">          </w:t>
      </w:r>
      <w:r w:rsidR="004508AD" w:rsidRPr="005414FF">
        <w:rPr>
          <w:rFonts w:ascii="Arial" w:hAnsi="Arial" w:cs="Arial"/>
          <w:sz w:val="20"/>
          <w:szCs w:val="20"/>
        </w:rPr>
        <w:t xml:space="preserve">  </w:t>
      </w:r>
    </w:p>
    <w:p w:rsidR="008E7C34" w:rsidRPr="005414FF" w:rsidRDefault="002E4D62">
      <w:pPr>
        <w:rPr>
          <w:rFonts w:ascii="Arial" w:hAnsi="Arial" w:cs="Arial"/>
          <w:sz w:val="20"/>
          <w:szCs w:val="20"/>
        </w:rPr>
      </w:pPr>
      <w:r w:rsidRPr="005414FF">
        <w:rPr>
          <w:rFonts w:ascii="Arial" w:hAnsi="Arial" w:cs="Arial"/>
          <w:sz w:val="20"/>
          <w:szCs w:val="20"/>
        </w:rPr>
        <w:t xml:space="preserve">       </w:t>
      </w:r>
      <w:r w:rsidR="00B2180D" w:rsidRPr="005414FF">
        <w:rPr>
          <w:rFonts w:ascii="Arial" w:hAnsi="Arial" w:cs="Arial"/>
          <w:sz w:val="20"/>
          <w:szCs w:val="20"/>
        </w:rPr>
        <w:t xml:space="preserve">    </w:t>
      </w:r>
      <w:r w:rsidRPr="005414FF">
        <w:rPr>
          <w:rFonts w:ascii="Arial" w:hAnsi="Arial" w:cs="Arial"/>
          <w:sz w:val="20"/>
          <w:szCs w:val="20"/>
        </w:rPr>
        <w:t xml:space="preserve">           </w:t>
      </w:r>
    </w:p>
    <w:p w:rsidR="000D7CFF" w:rsidRPr="005414FF" w:rsidRDefault="000D7CFF">
      <w:pPr>
        <w:rPr>
          <w:rFonts w:ascii="Arial" w:hAnsi="Arial" w:cs="Arial"/>
          <w:sz w:val="20"/>
          <w:szCs w:val="20"/>
        </w:rPr>
      </w:pPr>
    </w:p>
    <w:p w:rsidR="00F92903" w:rsidRPr="005414FF" w:rsidRDefault="00F92903" w:rsidP="00DD6369">
      <w:pPr>
        <w:spacing w:line="276" w:lineRule="auto"/>
        <w:rPr>
          <w:rFonts w:ascii="Arial" w:hAnsi="Arial" w:cs="Arial"/>
          <w:sz w:val="20"/>
          <w:szCs w:val="20"/>
        </w:rPr>
      </w:pPr>
    </w:p>
    <w:p w:rsidR="005C6C3B" w:rsidRPr="005414FF" w:rsidRDefault="005C6C3B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5414FF">
        <w:rPr>
          <w:rFonts w:ascii="Arial" w:hAnsi="Arial" w:cs="Arial"/>
          <w:sz w:val="20"/>
          <w:szCs w:val="20"/>
        </w:rPr>
        <w:t>Při hodnocení podle hlavních průmyslových skupin se meziročně nejvíce snížily ceny energií o </w:t>
      </w:r>
      <w:r w:rsidR="009D38FD" w:rsidRPr="005414FF">
        <w:rPr>
          <w:rFonts w:ascii="Arial" w:hAnsi="Arial" w:cs="Arial"/>
          <w:sz w:val="20"/>
          <w:szCs w:val="20"/>
        </w:rPr>
        <w:t>6</w:t>
      </w:r>
      <w:r w:rsidR="008620AC" w:rsidRPr="005414FF">
        <w:rPr>
          <w:rFonts w:ascii="Arial" w:hAnsi="Arial" w:cs="Arial"/>
          <w:sz w:val="20"/>
          <w:szCs w:val="20"/>
        </w:rPr>
        <w:t>,</w:t>
      </w:r>
      <w:r w:rsidR="000D7CFF" w:rsidRPr="005414FF">
        <w:rPr>
          <w:rFonts w:ascii="Arial" w:hAnsi="Arial" w:cs="Arial"/>
          <w:sz w:val="20"/>
          <w:szCs w:val="20"/>
        </w:rPr>
        <w:t>3</w:t>
      </w:r>
      <w:r w:rsidRPr="005414FF">
        <w:rPr>
          <w:rFonts w:ascii="Arial" w:hAnsi="Arial" w:cs="Arial"/>
          <w:sz w:val="20"/>
          <w:szCs w:val="20"/>
        </w:rPr>
        <w:t> %.</w:t>
      </w:r>
    </w:p>
    <w:p w:rsidR="00122A60" w:rsidRPr="005414FF" w:rsidRDefault="00122A60" w:rsidP="00DD636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51E1F" w:rsidRPr="005414FF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5414FF">
        <w:rPr>
          <w:rFonts w:ascii="Arial" w:hAnsi="Arial" w:cs="Arial"/>
          <w:b/>
          <w:sz w:val="20"/>
          <w:szCs w:val="20"/>
        </w:rPr>
        <w:t xml:space="preserve">Klouzavý průměr </w:t>
      </w:r>
      <w:r w:rsidRPr="005414FF">
        <w:rPr>
          <w:rFonts w:ascii="Arial" w:hAnsi="Arial" w:cs="Arial"/>
          <w:sz w:val="20"/>
          <w:szCs w:val="20"/>
        </w:rPr>
        <w:t>úhrnného indexu cen průmyslových výrobců (tj.</w:t>
      </w:r>
      <w:r w:rsidR="00B3603E" w:rsidRPr="005414FF">
        <w:rPr>
          <w:rFonts w:ascii="Arial" w:hAnsi="Arial" w:cs="Arial"/>
          <w:sz w:val="20"/>
          <w:szCs w:val="20"/>
        </w:rPr>
        <w:t xml:space="preserve"> </w:t>
      </w:r>
      <w:r w:rsidRPr="005414FF">
        <w:rPr>
          <w:rFonts w:ascii="Arial" w:hAnsi="Arial" w:cs="Arial"/>
          <w:sz w:val="20"/>
          <w:szCs w:val="20"/>
        </w:rPr>
        <w:t xml:space="preserve">podíl průměru bazických indexů za posledních 12 měsíců k předchozím 12 měsícům) byl </w:t>
      </w:r>
      <w:r w:rsidR="008B24A9" w:rsidRPr="005414FF">
        <w:rPr>
          <w:rFonts w:ascii="Arial" w:hAnsi="Arial" w:cs="Arial"/>
          <w:sz w:val="20"/>
          <w:szCs w:val="20"/>
        </w:rPr>
        <w:t>9</w:t>
      </w:r>
      <w:r w:rsidR="001D3179" w:rsidRPr="005414FF">
        <w:rPr>
          <w:rFonts w:ascii="Arial" w:hAnsi="Arial" w:cs="Arial"/>
          <w:sz w:val="20"/>
          <w:szCs w:val="20"/>
        </w:rPr>
        <w:t>8</w:t>
      </w:r>
      <w:r w:rsidRPr="005414FF">
        <w:rPr>
          <w:rFonts w:ascii="Arial" w:hAnsi="Arial" w:cs="Arial"/>
          <w:sz w:val="20"/>
          <w:szCs w:val="20"/>
        </w:rPr>
        <w:t>,</w:t>
      </w:r>
      <w:r w:rsidR="000D7CFF" w:rsidRPr="005414FF">
        <w:rPr>
          <w:rFonts w:ascii="Arial" w:hAnsi="Arial" w:cs="Arial"/>
          <w:sz w:val="20"/>
          <w:szCs w:val="20"/>
        </w:rPr>
        <w:t>4</w:t>
      </w:r>
      <w:r w:rsidR="001024B5" w:rsidRPr="005414FF">
        <w:rPr>
          <w:rFonts w:ascii="Arial" w:hAnsi="Arial" w:cs="Arial"/>
          <w:sz w:val="20"/>
          <w:szCs w:val="20"/>
        </w:rPr>
        <w:t xml:space="preserve"> </w:t>
      </w:r>
      <w:r w:rsidRPr="005414FF">
        <w:rPr>
          <w:rFonts w:ascii="Arial" w:hAnsi="Arial" w:cs="Arial"/>
          <w:sz w:val="20"/>
          <w:szCs w:val="20"/>
        </w:rPr>
        <w:t>%.</w:t>
      </w:r>
    </w:p>
    <w:sectPr w:rsidR="00E51E1F" w:rsidRPr="005414FF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90E"/>
    <w:rsid w:val="000022D7"/>
    <w:rsid w:val="00032AB0"/>
    <w:rsid w:val="00033058"/>
    <w:rsid w:val="00035BE7"/>
    <w:rsid w:val="00046747"/>
    <w:rsid w:val="00055F1C"/>
    <w:rsid w:val="0007002B"/>
    <w:rsid w:val="0007353A"/>
    <w:rsid w:val="00074098"/>
    <w:rsid w:val="00075487"/>
    <w:rsid w:val="00086E5E"/>
    <w:rsid w:val="000A3B03"/>
    <w:rsid w:val="000B0045"/>
    <w:rsid w:val="000B2012"/>
    <w:rsid w:val="000B40B5"/>
    <w:rsid w:val="000C08CA"/>
    <w:rsid w:val="000D28E7"/>
    <w:rsid w:val="000D380B"/>
    <w:rsid w:val="000D7CFF"/>
    <w:rsid w:val="000E66A8"/>
    <w:rsid w:val="001024B5"/>
    <w:rsid w:val="0010409B"/>
    <w:rsid w:val="00105D75"/>
    <w:rsid w:val="001178ED"/>
    <w:rsid w:val="00117E2E"/>
    <w:rsid w:val="0012169E"/>
    <w:rsid w:val="00122A60"/>
    <w:rsid w:val="00136357"/>
    <w:rsid w:val="0015155D"/>
    <w:rsid w:val="001602F6"/>
    <w:rsid w:val="00175755"/>
    <w:rsid w:val="00176980"/>
    <w:rsid w:val="001B5D34"/>
    <w:rsid w:val="001B6EE4"/>
    <w:rsid w:val="001C097E"/>
    <w:rsid w:val="001C3C89"/>
    <w:rsid w:val="001D3179"/>
    <w:rsid w:val="001F102A"/>
    <w:rsid w:val="001F12D2"/>
    <w:rsid w:val="001F5A1A"/>
    <w:rsid w:val="0020233F"/>
    <w:rsid w:val="002033EA"/>
    <w:rsid w:val="002227CA"/>
    <w:rsid w:val="002231D6"/>
    <w:rsid w:val="002234D6"/>
    <w:rsid w:val="002442A3"/>
    <w:rsid w:val="00262C3B"/>
    <w:rsid w:val="00277979"/>
    <w:rsid w:val="002A1B44"/>
    <w:rsid w:val="002A6B83"/>
    <w:rsid w:val="002B1A4A"/>
    <w:rsid w:val="002B34C4"/>
    <w:rsid w:val="002C0A0E"/>
    <w:rsid w:val="002C52BA"/>
    <w:rsid w:val="002E4D62"/>
    <w:rsid w:val="002E5AF7"/>
    <w:rsid w:val="002F52EA"/>
    <w:rsid w:val="0030021B"/>
    <w:rsid w:val="003118A9"/>
    <w:rsid w:val="003178D3"/>
    <w:rsid w:val="0032638E"/>
    <w:rsid w:val="0033347F"/>
    <w:rsid w:val="00335CBC"/>
    <w:rsid w:val="00375C47"/>
    <w:rsid w:val="0038697C"/>
    <w:rsid w:val="00396D4D"/>
    <w:rsid w:val="003E6128"/>
    <w:rsid w:val="003F090B"/>
    <w:rsid w:val="003F5EA5"/>
    <w:rsid w:val="00411AE0"/>
    <w:rsid w:val="00412275"/>
    <w:rsid w:val="004159F2"/>
    <w:rsid w:val="004175FF"/>
    <w:rsid w:val="004260D7"/>
    <w:rsid w:val="00434D42"/>
    <w:rsid w:val="00436FA9"/>
    <w:rsid w:val="00444463"/>
    <w:rsid w:val="00445652"/>
    <w:rsid w:val="00447BA3"/>
    <w:rsid w:val="004508AD"/>
    <w:rsid w:val="004704DD"/>
    <w:rsid w:val="0047091B"/>
    <w:rsid w:val="00497183"/>
    <w:rsid w:val="004A0AE2"/>
    <w:rsid w:val="004B5F23"/>
    <w:rsid w:val="004D7DFF"/>
    <w:rsid w:val="004E74E7"/>
    <w:rsid w:val="00513D80"/>
    <w:rsid w:val="005161D6"/>
    <w:rsid w:val="00535B4A"/>
    <w:rsid w:val="005414FF"/>
    <w:rsid w:val="005566DB"/>
    <w:rsid w:val="00557407"/>
    <w:rsid w:val="00560F0A"/>
    <w:rsid w:val="005617F2"/>
    <w:rsid w:val="005745D1"/>
    <w:rsid w:val="00585E7D"/>
    <w:rsid w:val="005937E4"/>
    <w:rsid w:val="005A29CC"/>
    <w:rsid w:val="005A78DB"/>
    <w:rsid w:val="005C6C3B"/>
    <w:rsid w:val="005E5135"/>
    <w:rsid w:val="005F56CE"/>
    <w:rsid w:val="00602E58"/>
    <w:rsid w:val="006164FB"/>
    <w:rsid w:val="0062686C"/>
    <w:rsid w:val="00635BF4"/>
    <w:rsid w:val="00636F9A"/>
    <w:rsid w:val="00646F2B"/>
    <w:rsid w:val="00666FF6"/>
    <w:rsid w:val="00693E11"/>
    <w:rsid w:val="006A48C6"/>
    <w:rsid w:val="006B1973"/>
    <w:rsid w:val="006B6B00"/>
    <w:rsid w:val="006C155A"/>
    <w:rsid w:val="006C1DCC"/>
    <w:rsid w:val="006C759F"/>
    <w:rsid w:val="006D0389"/>
    <w:rsid w:val="006E0F86"/>
    <w:rsid w:val="006E3CE5"/>
    <w:rsid w:val="006E6DEF"/>
    <w:rsid w:val="006F2662"/>
    <w:rsid w:val="00700E93"/>
    <w:rsid w:val="00714746"/>
    <w:rsid w:val="00722138"/>
    <w:rsid w:val="00737FA4"/>
    <w:rsid w:val="00747CC6"/>
    <w:rsid w:val="00771866"/>
    <w:rsid w:val="0077335E"/>
    <w:rsid w:val="00773693"/>
    <w:rsid w:val="00774F2D"/>
    <w:rsid w:val="007A484F"/>
    <w:rsid w:val="007B13E2"/>
    <w:rsid w:val="007B65F1"/>
    <w:rsid w:val="007B78FC"/>
    <w:rsid w:val="007D4D1C"/>
    <w:rsid w:val="007E2421"/>
    <w:rsid w:val="007E351E"/>
    <w:rsid w:val="007E49A7"/>
    <w:rsid w:val="00823A8F"/>
    <w:rsid w:val="00836A4B"/>
    <w:rsid w:val="008620AC"/>
    <w:rsid w:val="00875BF6"/>
    <w:rsid w:val="008B24A9"/>
    <w:rsid w:val="008C4046"/>
    <w:rsid w:val="008C48ED"/>
    <w:rsid w:val="008C751B"/>
    <w:rsid w:val="008D76EA"/>
    <w:rsid w:val="008E01DA"/>
    <w:rsid w:val="008E294B"/>
    <w:rsid w:val="008E488A"/>
    <w:rsid w:val="008E7298"/>
    <w:rsid w:val="008E7C34"/>
    <w:rsid w:val="008F03D0"/>
    <w:rsid w:val="008F0728"/>
    <w:rsid w:val="00901376"/>
    <w:rsid w:val="00911F43"/>
    <w:rsid w:val="00917AE3"/>
    <w:rsid w:val="00931BB1"/>
    <w:rsid w:val="009472DD"/>
    <w:rsid w:val="00955638"/>
    <w:rsid w:val="00973751"/>
    <w:rsid w:val="009A6510"/>
    <w:rsid w:val="009B2F28"/>
    <w:rsid w:val="009D38FD"/>
    <w:rsid w:val="009F5717"/>
    <w:rsid w:val="00A13216"/>
    <w:rsid w:val="00A42158"/>
    <w:rsid w:val="00A42F43"/>
    <w:rsid w:val="00A44295"/>
    <w:rsid w:val="00A611E1"/>
    <w:rsid w:val="00A6363C"/>
    <w:rsid w:val="00A70637"/>
    <w:rsid w:val="00A70E0C"/>
    <w:rsid w:val="00A76FFE"/>
    <w:rsid w:val="00A80423"/>
    <w:rsid w:val="00A97E8A"/>
    <w:rsid w:val="00AA0CC0"/>
    <w:rsid w:val="00AB3D5B"/>
    <w:rsid w:val="00AD0D15"/>
    <w:rsid w:val="00AD5145"/>
    <w:rsid w:val="00AF208D"/>
    <w:rsid w:val="00B074D1"/>
    <w:rsid w:val="00B13906"/>
    <w:rsid w:val="00B2180D"/>
    <w:rsid w:val="00B32C37"/>
    <w:rsid w:val="00B3603E"/>
    <w:rsid w:val="00B545A0"/>
    <w:rsid w:val="00B55175"/>
    <w:rsid w:val="00B625C7"/>
    <w:rsid w:val="00B77F7D"/>
    <w:rsid w:val="00B83258"/>
    <w:rsid w:val="00B9071F"/>
    <w:rsid w:val="00B934B4"/>
    <w:rsid w:val="00B95718"/>
    <w:rsid w:val="00BA4875"/>
    <w:rsid w:val="00BB5E90"/>
    <w:rsid w:val="00BC1C9D"/>
    <w:rsid w:val="00BD74E2"/>
    <w:rsid w:val="00BE6CD3"/>
    <w:rsid w:val="00C12D15"/>
    <w:rsid w:val="00C26498"/>
    <w:rsid w:val="00C31D50"/>
    <w:rsid w:val="00C5587C"/>
    <w:rsid w:val="00C959FD"/>
    <w:rsid w:val="00C969A6"/>
    <w:rsid w:val="00CA4712"/>
    <w:rsid w:val="00CB1C2D"/>
    <w:rsid w:val="00CD5037"/>
    <w:rsid w:val="00CE4FC6"/>
    <w:rsid w:val="00CE606A"/>
    <w:rsid w:val="00CE690E"/>
    <w:rsid w:val="00CF43B4"/>
    <w:rsid w:val="00D04096"/>
    <w:rsid w:val="00D1395E"/>
    <w:rsid w:val="00D2319B"/>
    <w:rsid w:val="00D327C5"/>
    <w:rsid w:val="00D44441"/>
    <w:rsid w:val="00D47C05"/>
    <w:rsid w:val="00D50F55"/>
    <w:rsid w:val="00D51BB8"/>
    <w:rsid w:val="00D525D0"/>
    <w:rsid w:val="00D72030"/>
    <w:rsid w:val="00DD6369"/>
    <w:rsid w:val="00DE24F0"/>
    <w:rsid w:val="00DE3721"/>
    <w:rsid w:val="00DE5C41"/>
    <w:rsid w:val="00E01B84"/>
    <w:rsid w:val="00E12FED"/>
    <w:rsid w:val="00E21485"/>
    <w:rsid w:val="00E25741"/>
    <w:rsid w:val="00E351D4"/>
    <w:rsid w:val="00E35289"/>
    <w:rsid w:val="00E43A05"/>
    <w:rsid w:val="00E50CD7"/>
    <w:rsid w:val="00E51712"/>
    <w:rsid w:val="00E51E1F"/>
    <w:rsid w:val="00E54FFA"/>
    <w:rsid w:val="00E85E0D"/>
    <w:rsid w:val="00EB6293"/>
    <w:rsid w:val="00ED1B7F"/>
    <w:rsid w:val="00ED55D0"/>
    <w:rsid w:val="00EE1D7C"/>
    <w:rsid w:val="00F11DB8"/>
    <w:rsid w:val="00F5102E"/>
    <w:rsid w:val="00F533B8"/>
    <w:rsid w:val="00F57858"/>
    <w:rsid w:val="00F92903"/>
    <w:rsid w:val="00FA1424"/>
    <w:rsid w:val="00FC60A0"/>
    <w:rsid w:val="00FD6627"/>
    <w:rsid w:val="00FE089C"/>
    <w:rsid w:val="00FE412E"/>
    <w:rsid w:val="00FF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D307-A88F-40F6-9708-5B51F0C4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69</cp:revision>
  <cp:lastPrinted>2011-06-10T07:57:00Z</cp:lastPrinted>
  <dcterms:created xsi:type="dcterms:W3CDTF">2013-12-13T13:26:00Z</dcterms:created>
  <dcterms:modified xsi:type="dcterms:W3CDTF">2015-05-14T12:43:00Z</dcterms:modified>
</cp:coreProperties>
</file>