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EB8E" w14:textId="71E8942D" w:rsidR="00FD66F9" w:rsidRDefault="00FD66F9" w:rsidP="00FD66F9">
      <w:pPr>
        <w:pStyle w:val="Nadpis1"/>
      </w:pPr>
      <w:bookmarkStart w:id="0" w:name="_Toc137233031"/>
      <w:bookmarkStart w:id="1" w:name="_Toc176767107"/>
      <w:bookmarkStart w:id="2" w:name="_Toc161914427"/>
      <w:bookmarkStart w:id="3" w:name="_Toc185241005"/>
      <w:r>
        <w:t>5. Ceny</w:t>
      </w:r>
      <w:bookmarkEnd w:id="1"/>
      <w:bookmarkEnd w:id="3"/>
      <w:r>
        <w:t xml:space="preserve"> </w:t>
      </w:r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1"/>
        <w:gridCol w:w="223"/>
        <w:gridCol w:w="7625"/>
      </w:tblGrid>
      <w:tr w:rsidR="00FD66F9" w14:paraId="60D6BA9B" w14:textId="77777777" w:rsidTr="00102C41">
        <w:trPr>
          <w:trHeight w:val="145"/>
        </w:trPr>
        <w:tc>
          <w:tcPr>
            <w:tcW w:w="1791" w:type="dxa"/>
            <w:hideMark/>
          </w:tcPr>
          <w:p w14:paraId="249A9050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Růst celkové cenové hladiny ve 3. čtvrtletí zpomalil.</w:t>
            </w:r>
          </w:p>
        </w:tc>
        <w:tc>
          <w:tcPr>
            <w:tcW w:w="223" w:type="dxa"/>
          </w:tcPr>
          <w:p w14:paraId="589F0BED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68996C25" w14:textId="77777777" w:rsidR="00FD66F9" w:rsidRDefault="00FD66F9" w:rsidP="00102C41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Celkový meziroční růst cenové hladiny (podle deflátoru HDP) ve 3. čtvrtletí zpomalil na 3,9 %. Mírně zrychlil meziroční přírůstek cen spotřeby (3,3 %), za čímž stály zejména ceny vládní spotřeby (4,1 %), zatímco cenová hladina spotřeby domácností rostla mírněji než v předchozím kvartálu (2,9 %). Mírnější byl meziroční přírůstek cen kapitálových statků (2,6 %), ačkoli dynamika samotných cen investic posílila na 1,9 %. Meziroční směnné relace zahraničního obchodu se zbožím a službami oslabily ve 3. čtvrtletí na 101,1 %. Směnné relace obchodu se zbožím dosáhly 100,9 %, zatímco u obchodu se službami to bylo 102,2 %. Mezičtvrtletně se celková cenová hladina zvýšila o 0,4 %. Cenová hladina u spotřeby byla vyšší o 1,0 %, u kapitálových výdajů o 0,5 % a mezičtvrtletní směnné relace dosáhly 99,4 %.</w:t>
            </w:r>
          </w:p>
        </w:tc>
      </w:tr>
      <w:tr w:rsidR="00FD66F9" w14:paraId="57CE4D33" w14:textId="77777777" w:rsidTr="00102C41">
        <w:trPr>
          <w:trHeight w:val="145"/>
        </w:trPr>
        <w:tc>
          <w:tcPr>
            <w:tcW w:w="1791" w:type="dxa"/>
            <w:hideMark/>
          </w:tcPr>
          <w:p w14:paraId="28C1AD1E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růst spotřebitelských cen mírně zpomalil.</w:t>
            </w:r>
          </w:p>
        </w:tc>
        <w:tc>
          <w:tcPr>
            <w:tcW w:w="223" w:type="dxa"/>
          </w:tcPr>
          <w:p w14:paraId="291B2573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178868B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Meziroční přírůstek spotřebitelských cen ve 3. čtvrtletí 2024 mírně zpomalil oproti 2. kvartálu (2,5 %) a dosáhl 2,3 %. Nejvíce se na celkovém zmírnění přírůstku projevil nižší růst cen dopravy. Mírnější meziroční dynamiku ve srovnání se 2. čtvrtletím měly i ceny alkoholických nápojů a tabáku a odívání a obuvi. Naopak u cen potravin a nealkoholických nápojů se meziroční pokles výrazně zmírnil, což následně působilo proti zpomalení celkového růstu spotřebitelských cen. Celkově nejvíce k růstu cen přispíval vývoj v oddíle bydlení, voda, energie a paliva, kde zůstává dynamika stabilní, a dále ceny stravování a ubytování a alkoholických nápojů a tabáku. Jediný oddíl spotřebního koše, kde ceny meziročně klesaly, byly potraviny a nealkoholické nápoje. Mezičtvrtletně se index spotřebitelských cen ve 3. čtvrtletí zvýšil o 0,5 %, což je mírnější přírůstek než v předchozím kvartálu.</w:t>
            </w:r>
          </w:p>
        </w:tc>
      </w:tr>
      <w:tr w:rsidR="00FD66F9" w14:paraId="61CA5A5F" w14:textId="77777777" w:rsidTr="00102C41">
        <w:trPr>
          <w:trHeight w:val="145"/>
        </w:trPr>
        <w:tc>
          <w:tcPr>
            <w:tcW w:w="1791" w:type="dxa"/>
          </w:tcPr>
          <w:p w14:paraId="20747B0A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2FA0FC7C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4E02F052" w14:textId="77777777" w:rsidR="00FD66F9" w:rsidRDefault="00FD66F9" w:rsidP="00102C41">
            <w:pPr>
              <w:spacing w:after="0"/>
              <w:rPr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Graf č. 10 Ceny ve vybraných oddílech indexu spotřebitelských cen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(meziročně v %)</w:t>
            </w:r>
          </w:p>
        </w:tc>
      </w:tr>
      <w:tr w:rsidR="00FD66F9" w14:paraId="0F54135A" w14:textId="77777777" w:rsidTr="00102C41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91" w:type="dxa"/>
          </w:tcPr>
          <w:p w14:paraId="2AF9CD86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4C4E4D71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72FDD7FE" w14:textId="77777777" w:rsidR="00FD66F9" w:rsidRDefault="00FD66F9" w:rsidP="00102C41">
            <w:pPr>
              <w:spacing w:after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9E15E8" wp14:editId="29BB6662">
                  <wp:extent cx="4752000" cy="3553200"/>
                  <wp:effectExtent l="0" t="0" r="0" b="0"/>
                  <wp:docPr id="32" name="Graf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D66F9" w14:paraId="4AC74EAF" w14:textId="77777777" w:rsidTr="00102C41">
        <w:trPr>
          <w:trHeight w:val="145"/>
        </w:trPr>
        <w:tc>
          <w:tcPr>
            <w:tcW w:w="1791" w:type="dxa"/>
          </w:tcPr>
          <w:p w14:paraId="277722B6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207B70BE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AA0ED95" w14:textId="77777777" w:rsidR="00FD66F9" w:rsidRDefault="00FD66F9" w:rsidP="00102C41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tr w:rsidR="00FD66F9" w14:paraId="2049AE2D" w14:textId="77777777" w:rsidTr="00102C41">
        <w:trPr>
          <w:trHeight w:val="145"/>
        </w:trPr>
        <w:tc>
          <w:tcPr>
            <w:tcW w:w="1791" w:type="dxa"/>
            <w:hideMark/>
          </w:tcPr>
          <w:p w14:paraId="5B227C72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K meziročnímu růstu nejvíce přispívaly ceny bydlení a energií.</w:t>
            </w:r>
          </w:p>
        </w:tc>
        <w:tc>
          <w:tcPr>
            <w:tcW w:w="223" w:type="dxa"/>
          </w:tcPr>
          <w:p w14:paraId="550CF854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6D9FA354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Vývoj cen bydlení a energií zůstává letos stabilní stejně jako jejich příspěvek k celkovému meziročnímu růstu spotřebitelských cen. Ve 3. čtvrtletí zde ceny meziročně vzrostly o 3,2 % a mezičtvrtletně se zvýšily o 0,5 %. V rámci oddílu zůstal největší meziroční přírůstek cen ostatních služeb souvisejících s bydlením (8,8 %), zatímco růst cen nájemného z bytu (6,6 %), běžné údržby a drobných oprav (4,4 %) </w:t>
            </w:r>
            <w:r>
              <w:rPr>
                <w:lang w:eastAsia="en-US"/>
              </w:rPr>
              <w:lastRenderedPageBreak/>
              <w:t>i elektrické a tepelné energie (3,5 %) mírně oslaboval. Imputované nájemné</w:t>
            </w:r>
            <w:r>
              <w:rPr>
                <w:rStyle w:val="Znakapoznpodarou"/>
                <w:lang w:eastAsia="en-US"/>
              </w:rPr>
              <w:footnoteReference w:id="1"/>
            </w:r>
            <w:r>
              <w:rPr>
                <w:lang w:eastAsia="en-US"/>
              </w:rPr>
              <w:t xml:space="preserve"> se ve 3. čtvrtletí meziročně zvýšilo o 1,2 % a růst tak mírně posílil.</w:t>
            </w:r>
          </w:p>
        </w:tc>
      </w:tr>
      <w:tr w:rsidR="00FD66F9" w14:paraId="2170BBFA" w14:textId="77777777" w:rsidTr="00102C41">
        <w:trPr>
          <w:trHeight w:val="145"/>
        </w:trPr>
        <w:tc>
          <w:tcPr>
            <w:tcW w:w="1791" w:type="dxa"/>
          </w:tcPr>
          <w:p w14:paraId="45ABB41D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Ceny dopravy nejvíce ovlivňovaly celkové zpomalení meziročního přírůstku spotřebitelských cen.</w:t>
            </w:r>
          </w:p>
        </w:tc>
        <w:tc>
          <w:tcPr>
            <w:tcW w:w="223" w:type="dxa"/>
          </w:tcPr>
          <w:p w14:paraId="6729861D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F0AEE9C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Meziroční růst cen dopravy ve 3. čtvrtletí oslabil na 0,9 % (ze 4,6 % ve 2. kvartálu), což nejvíce ovlivnilo zpomalení celkového meziročního růstu spotřebitelských cen. Ceny dopravy mezičtvrtletně klesly o 1,6 %. Oslabení meziročního růstu cen dopravy souviselo především s vývojem cen pohonných hmot a olejů, které se propadly o 3,5 %. Výrazně méně tak rostly celkové náklady na provoz dopravních prostředků (2,2 %). Ceny dopravních služeb meziročně vzrostly o 4,3 %, zatímco ceny nákupů automobilů, motocyklů a jízdních kol meziročně klesly o 1,5 %.  </w:t>
            </w:r>
          </w:p>
        </w:tc>
      </w:tr>
      <w:tr w:rsidR="00FD66F9" w14:paraId="545F95EB" w14:textId="77777777" w:rsidTr="00102C41">
        <w:trPr>
          <w:trHeight w:val="145"/>
        </w:trPr>
        <w:tc>
          <w:tcPr>
            <w:tcW w:w="1791" w:type="dxa"/>
          </w:tcPr>
          <w:p w14:paraId="7CE82F79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pokles cen potravin se zmírnil.</w:t>
            </w:r>
          </w:p>
        </w:tc>
        <w:tc>
          <w:tcPr>
            <w:tcW w:w="223" w:type="dxa"/>
          </w:tcPr>
          <w:p w14:paraId="727223FF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FDBF556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 potravin a nealkoholických nápojů došlo ve 3. čtvrtletí k výraznému zmírnění meziročního poklesu cen na 1,4 %. Šlo zčásti o srovnání se slabší základnou loňského roku. Mezičtvrtletně se ceny potravin a nealkoholických nápojů zvýšily o 0,5 %, což je slabší přírůstek než ve 2. kvartálu. Zmírnil se pokles cen u mléka, sýrů a vajec (−3,4 %), pekárenských výrobků a obilovin (−3,3 %), masa (−2,8 %) nebo ovoce (−1,3 %) a výrazněji rostly ceny olejů a tuků (7,3 %, zdražovalo máslo) i cukru a příbuzných výrobků (1,9 %). Z meziročního růstu do poklesu se ve 3. čtvrtletí dostaly ceny zeleniny (−1,4 %). </w:t>
            </w:r>
          </w:p>
        </w:tc>
      </w:tr>
      <w:tr w:rsidR="00FD66F9" w14:paraId="6C58E2EE" w14:textId="77777777" w:rsidTr="00102C41">
        <w:trPr>
          <w:trHeight w:val="145"/>
        </w:trPr>
        <w:tc>
          <w:tcPr>
            <w:tcW w:w="1791" w:type="dxa"/>
          </w:tcPr>
          <w:p w14:paraId="7207429E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Ve směru posílení růstu cen působily ceny vzdělávání.</w:t>
            </w:r>
          </w:p>
        </w:tc>
        <w:tc>
          <w:tcPr>
            <w:tcW w:w="223" w:type="dxa"/>
          </w:tcPr>
          <w:p w14:paraId="1B9396F8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08136D68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Spolu s nástupem nového školního roku došlo k úpravě ceníků školného, což se projevilo na posílení meziročního nárůstu cen vzdělávání na 8,2 %. Mezičtvrtletně se zde ceny navýšily o 3,5 %. Za tímto posílením stojí téměř výhradně zářijový skokový nárůst cen (meziměsíčně o 10,5 %). Mírně posílila také meziroční dynamika cen ostatního zboží a služeb</w:t>
            </w:r>
            <w:r>
              <w:rPr>
                <w:rStyle w:val="Znakapoznpodarou"/>
                <w:lang w:eastAsia="en-US"/>
              </w:rPr>
              <w:footnoteReference w:id="2"/>
            </w:r>
            <w:r>
              <w:rPr>
                <w:lang w:eastAsia="en-US"/>
              </w:rPr>
              <w:t xml:space="preserve"> (3,6 %, mezičtvrtletně narostly ceny o 0,5 %) a z poklesu do mírného meziročního nárůstu se dostaly ceny bytového vybavení, zařízení domácnosti a oprav (0,6 %, mezičtvrtletně se zde ceny snížily o 0,2 %).  </w:t>
            </w:r>
          </w:p>
        </w:tc>
      </w:tr>
      <w:tr w:rsidR="00FD66F9" w14:paraId="1B1B90CC" w14:textId="77777777" w:rsidTr="00102C41">
        <w:trPr>
          <w:trHeight w:val="145"/>
        </w:trPr>
        <w:tc>
          <w:tcPr>
            <w:tcW w:w="1791" w:type="dxa"/>
          </w:tcPr>
          <w:p w14:paraId="2906AE7C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Dál výrazně rostly ceny některých služeb.</w:t>
            </w:r>
          </w:p>
        </w:tc>
        <w:tc>
          <w:tcPr>
            <w:tcW w:w="223" w:type="dxa"/>
          </w:tcPr>
          <w:p w14:paraId="0060A5CA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6C4E896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Výrazný meziroční růst panoval ve 3. čtvrtletí stále u cen stravování a ubytování (mírné oslabení na 7,2 %), kde došlo také k mezičtvrtletnímu navýšení o 1,2 %. Na celkový meziroční růst spotřebitelských cen měly přes oslabení dynamiky nadále výrazný vliv také ceny alkoholických nápojů a tabáku (4,6 %, mezičtvrtletně ceny rostly mírně – o 0,3 %). Ceny rekreací a kultury meziročně rostly o 3,4 %, přičemž za zvolněním tempa stály ceny dovolených s komplexními službami. Mezičtvrtletně se ale právě pod vlivem cen dovolených ceny rekreací a kultury zvýšily o 4,7 %. Meziroční růst cen odívání a obuvi dál zpomalil na 1,7 % a mezičtvrtletně zde došlo k poklesu o 1,2 %. Oproti službám (stravování a ubytování nebo dovolené s komplexními službami) je zde více patrný vliv zpomalené domácí poptávky po zboží. I v rámci oddílu rekreace a kultura je růst cen fyzického vybavení oproti službám utlumen. Ceny zdraví meziročně rostly o 3,9 % a mezičtvrtletně o 0,9 %. Ceny pošt a telekomunikací byly ve 3. čtvrtletí meziročně vyšší o 0,8 % (mezičtvrtletně stagnovaly).</w:t>
            </w:r>
          </w:p>
        </w:tc>
      </w:tr>
      <w:tr w:rsidR="00FD66F9" w14:paraId="021E41B3" w14:textId="77777777" w:rsidTr="00102C41">
        <w:trPr>
          <w:trHeight w:val="145"/>
        </w:trPr>
        <w:tc>
          <w:tcPr>
            <w:tcW w:w="1791" w:type="dxa"/>
            <w:hideMark/>
          </w:tcPr>
          <w:p w14:paraId="0B8E9CD7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 xml:space="preserve">Meziroční růst spotřebitelských cen v EU zpomalil. </w:t>
            </w:r>
          </w:p>
        </w:tc>
        <w:tc>
          <w:tcPr>
            <w:tcW w:w="223" w:type="dxa"/>
          </w:tcPr>
          <w:p w14:paraId="792388AB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633EFA89" w14:textId="6B5D5356" w:rsidR="00FD66F9" w:rsidRDefault="00FD66F9" w:rsidP="00EB3D8F">
            <w:pPr>
              <w:rPr>
                <w:lang w:eastAsia="en-US"/>
              </w:rPr>
            </w:pPr>
            <w:r>
              <w:rPr>
                <w:lang w:eastAsia="en-US"/>
              </w:rPr>
              <w:t>Harmonizovaný index spotřebitelských cen (HICP)</w:t>
            </w:r>
            <w:r>
              <w:rPr>
                <w:rStyle w:val="Znakapoznpodarou"/>
                <w:lang w:eastAsia="en-US"/>
              </w:rPr>
              <w:footnoteReference w:id="3"/>
            </w:r>
            <w:r>
              <w:rPr>
                <w:lang w:eastAsia="en-US"/>
              </w:rPr>
              <w:t xml:space="preserve"> v Evropské unii ve 3. čtvrtletí meziročně vzrostl o 2,4 %. Přírůstek zpomalil oproti předchozím čtvrtletím. Vliv na zpomalení přírůstku měly zejména ceny dopravy, které na předchozí přírůstky navázaly ve 3. čtvrtletí poklesem o 0,1 %. Prohloubil se pokles cen telekomunikací (−1,8 %), které ale mají ve spotřebním koši malou váhu. Ceny v ostatních oddílech HICP rostly, nejvíce ceny alkoholických nápojů a tabáku (5,3 %) a ubytování a stravování (5,1 %). Výrazný přírůstek měly i ceny ostatního zboží a služeb (4,3 %). Posílil také meziroční </w:t>
            </w:r>
            <w:r>
              <w:rPr>
                <w:lang w:eastAsia="en-US"/>
              </w:rPr>
              <w:lastRenderedPageBreak/>
              <w:t>přírůstek cen bydlení a energií (2,7 % ze 1,4 % ve 2. čtvrtletí). Celkově k růstu HICP v EU nejvíce přispívají ceny služeb, jejichž dynamika na rozdíl od celkového indexu nezpomaluje.  Nejvíce rostly ve 3. čtvrtletí spotřebitelské ceny v Rumunsku (5,3 %), Belgii (4,7 %) a Polsku (4,1 %). O méně než 1 % naopak vrostl HICP v Litvě (0,8 %), Finsku (0,9 %) a Irsku (0,9 %). Mezičtvrtletně se spotřebitelské ceny v EU zvýšily o 0,4 %. Výrazně se propadly ceny oděvů a obuvi (−7,3 %) a klesly ceny telekomunikací (−1,2 %). Výraznější meziroční přírůstky byly zaznamenány v oblasti rekreací a kultury (2,6 %) a ubytování a stravování (2,4 %). Nejsilněji ve 3. čtvrt</w:t>
            </w:r>
            <w:r w:rsidR="00EB3D8F">
              <w:rPr>
                <w:lang w:eastAsia="en-US"/>
              </w:rPr>
              <w:t>letí mezičtvrtletně rostl HICP na Kypru a Maltě (shodně o 1,9 %) a dále v Chorvatsku (1,5 %).</w:t>
            </w:r>
            <w:r>
              <w:rPr>
                <w:lang w:eastAsia="en-US"/>
              </w:rPr>
              <w:t xml:space="preserve"> Mezičtvrtletní pokles byl zaznamenán v osmi zemích, nejvýrazněji v Itálii (−0,4 %), Španělsku (−0,4 %) a Rakousku (−0,3 %).</w:t>
            </w:r>
          </w:p>
        </w:tc>
      </w:tr>
      <w:tr w:rsidR="00FD66F9" w14:paraId="44D0D6BA" w14:textId="77777777" w:rsidTr="00102C41">
        <w:trPr>
          <w:trHeight w:val="145"/>
        </w:trPr>
        <w:tc>
          <w:tcPr>
            <w:tcW w:w="1791" w:type="dxa"/>
          </w:tcPr>
          <w:p w14:paraId="5DCB2107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54BF01CE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EB51AC5" w14:textId="77777777" w:rsidR="00FD66F9" w:rsidRDefault="00FD66F9" w:rsidP="00102C41">
            <w:pPr>
              <w:spacing w:after="0"/>
              <w:rPr>
                <w:rStyle w:val="Znakapoznpodarou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Graf č. 11 Ceny nemovitostí </w:t>
            </w:r>
            <w:r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FD66F9" w14:paraId="4AABD7CD" w14:textId="77777777" w:rsidTr="00102C41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91" w:type="dxa"/>
          </w:tcPr>
          <w:p w14:paraId="1ACA6B46" w14:textId="77777777" w:rsidR="00FD66F9" w:rsidRDefault="00FD66F9" w:rsidP="00102C41">
            <w:pPr>
              <w:pStyle w:val="Marginlie"/>
              <w:rPr>
                <w:spacing w:val="0"/>
              </w:rPr>
            </w:pPr>
          </w:p>
        </w:tc>
        <w:tc>
          <w:tcPr>
            <w:tcW w:w="223" w:type="dxa"/>
          </w:tcPr>
          <w:p w14:paraId="62821DC4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4BCD107" w14:textId="77777777" w:rsidR="00FD66F9" w:rsidRDefault="00FD66F9" w:rsidP="00102C41">
            <w:pPr>
              <w:spacing w:after="0"/>
              <w:rPr>
                <w:rStyle w:val="Znakapoznpodarou"/>
              </w:rPr>
            </w:pPr>
            <w:r>
              <w:rPr>
                <w:noProof/>
              </w:rPr>
              <w:drawing>
                <wp:inline distT="0" distB="0" distL="0" distR="0" wp14:anchorId="1553963F" wp14:editId="42B79DCB">
                  <wp:extent cx="4737600" cy="3553200"/>
                  <wp:effectExtent l="0" t="0" r="6350" b="0"/>
                  <wp:docPr id="41" name="Graf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FD66F9" w14:paraId="0CF9F27B" w14:textId="77777777" w:rsidTr="00102C41">
        <w:trPr>
          <w:trHeight w:val="145"/>
        </w:trPr>
        <w:tc>
          <w:tcPr>
            <w:tcW w:w="1791" w:type="dxa"/>
          </w:tcPr>
          <w:p w14:paraId="3D82C0A5" w14:textId="77777777" w:rsidR="00FD66F9" w:rsidRDefault="00FD66F9" w:rsidP="00102C41">
            <w:pPr>
              <w:pStyle w:val="Marginlie"/>
              <w:rPr>
                <w:spacing w:val="0"/>
              </w:rPr>
            </w:pPr>
          </w:p>
        </w:tc>
        <w:tc>
          <w:tcPr>
            <w:tcW w:w="223" w:type="dxa"/>
          </w:tcPr>
          <w:p w14:paraId="5C25465E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D09687B" w14:textId="77777777" w:rsidR="00FD66F9" w:rsidRDefault="00FD66F9" w:rsidP="00102C41">
            <w:pPr>
              <w:jc w:val="right"/>
              <w:rPr>
                <w:rStyle w:val="Znakapoznpodarou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tr w:rsidR="00FD66F9" w14:paraId="56F05B21" w14:textId="77777777" w:rsidTr="00102C41">
        <w:trPr>
          <w:trHeight w:val="145"/>
        </w:trPr>
        <w:tc>
          <w:tcPr>
            <w:tcW w:w="1791" w:type="dxa"/>
            <w:hideMark/>
          </w:tcPr>
          <w:p w14:paraId="6BD80A35" w14:textId="77777777" w:rsidR="00FD66F9" w:rsidRDefault="00FD66F9" w:rsidP="00102C41">
            <w:pPr>
              <w:pStyle w:val="Marginlie"/>
              <w:rPr>
                <w:spacing w:val="0"/>
              </w:rPr>
            </w:pPr>
            <w:r>
              <w:rPr>
                <w:spacing w:val="0"/>
                <w:lang w:eastAsia="en-US"/>
              </w:rPr>
              <w:t>Růst cen bytů výrazně zrychlil.</w:t>
            </w:r>
          </w:p>
        </w:tc>
        <w:tc>
          <w:tcPr>
            <w:tcW w:w="223" w:type="dxa"/>
          </w:tcPr>
          <w:p w14:paraId="5A0C95ED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2FE09CE9" w14:textId="48513B7E" w:rsidR="00FD66F9" w:rsidRDefault="00FD66F9" w:rsidP="00485567">
            <w:pPr>
              <w:rPr>
                <w:lang w:eastAsia="en-US"/>
              </w:rPr>
            </w:pPr>
            <w:r>
              <w:rPr>
                <w:lang w:eastAsia="en-US"/>
              </w:rPr>
              <w:t>Nabídkové ceny bytů v Česku ve 3. čtvrtletí meziročně vzrostly o 6,9 %. Přírůstek zrychlil oproti předchozímu kvartálu a oživení na nemovitostním trhu dokládá i výrazné mezičtvrtletní tempo (3,2 %). Výrazněji posilovala dynamika nabídkových cen bytů mimo Prahu (meziroční přírůstek o 7,1 % a mezičtvrtletní o 3,7 %). Nabídkové ceny bytů v Praze meziročně vzrostly o 6,8 % a mezičtvrtletně o 2,6 %. Realizované ceny starších bytů měly od začátku roku ještě dynamičtější vývoj. V celém Česku se realizované ceny ve 3. čtvrtletí meziročně zvýšily o 10,7 % a mezičtvrtletně vzrostly o 4,0 %. Realizované ceny starších bytů v Praze přitom byly meziročně vyšší o 11,8 % a mezičtvrtletně o 3,7 %. Převis dynamiky realizovaných cen nad nabídkovými cenami se v posledních letech stal obvyklým jevem, který dokládá silnější pozici prodávajících při cenovém vyjednávání na nemovitostním trhu.</w:t>
            </w:r>
            <w:r w:rsidR="00485567">
              <w:rPr>
                <w:lang w:eastAsia="en-US"/>
              </w:rPr>
              <w:t xml:space="preserve"> Index realizovaných cen nových bytů v Praze ukazuje ve 3. čtvrtletí na mezirošní růst o 1,7 % a mezičtvrtletní růst o 0,9 %.</w:t>
            </w:r>
          </w:p>
        </w:tc>
      </w:tr>
      <w:tr w:rsidR="00FD66F9" w14:paraId="645243C4" w14:textId="77777777" w:rsidTr="00102C41">
        <w:trPr>
          <w:trHeight w:val="145"/>
        </w:trPr>
        <w:tc>
          <w:tcPr>
            <w:tcW w:w="1791" w:type="dxa"/>
          </w:tcPr>
          <w:p w14:paraId="5DE4DB93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průmyslových výrobců mezičtvrtletně klesly.</w:t>
            </w:r>
          </w:p>
        </w:tc>
        <w:tc>
          <w:tcPr>
            <w:tcW w:w="223" w:type="dxa"/>
          </w:tcPr>
          <w:p w14:paraId="2FC88765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AFF043C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Ceny průmyslových výrobců ve 3. čtvrtletí 2024 meziročně vzrostly o 1,2 % a přírůstek se tak téměř nezměnil oproti předchozímu kvartálu. Mezičtvrtletně došlo k poklesu o 0,4 %. Nejvíce meziročně rostly ceny zásobování vodou a souvisejících služeb (9,2 %), které ale mezičtvrtletně stagnovaly. Ceny elektřiny, plynu, páry a klimatizovaného vzduchu byly meziročně vyšší o 4,2 % a mezičtvrtletně se snížily </w:t>
            </w:r>
            <w:r>
              <w:rPr>
                <w:lang w:eastAsia="en-US"/>
              </w:rPr>
              <w:lastRenderedPageBreak/>
              <w:t xml:space="preserve">o 0,8 %. Meziročně klesaly jen ceny těžby a dobývání (−0,5 %), především pod vlivem cen zemního plynu (−26,2 %) a černého a hnědého uhlí a lignitu (−2,7 %). </w:t>
            </w:r>
          </w:p>
        </w:tc>
      </w:tr>
      <w:tr w:rsidR="00FD66F9" w14:paraId="79DA4E06" w14:textId="77777777" w:rsidTr="00102C41">
        <w:trPr>
          <w:trHeight w:val="145"/>
        </w:trPr>
        <w:tc>
          <w:tcPr>
            <w:tcW w:w="1791" w:type="dxa"/>
          </w:tcPr>
          <w:p w14:paraId="42FEAB77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Ceny ve zpracovatelském průmyslu mírně mezičtvrtletně klesaly.</w:t>
            </w:r>
          </w:p>
        </w:tc>
        <w:tc>
          <w:tcPr>
            <w:tcW w:w="223" w:type="dxa"/>
          </w:tcPr>
          <w:p w14:paraId="3F04D856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7EC287E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Ceny výrobků a služeb zpracovatelského průmyslu meziročně téměř stagnovaly (0,2 %) a mezičtvrtletně se snížily o 0,3 %. Meziročně stále klesaly ceny u řady výrobků, které jsou závislé na základních surovinách, jako jsou například základní kovy (−2,6 %) nebo dřevo a dřevěné výrobky (−1,5 %) a výrobky z papíru (−0,5 %). Bylo u nich ale patrné zmírnění poklesu, protože vyprchával vliv srovnávací základny. Meziročně nižší byly i ceny potravinářských výrobků (−1,7 %) nebo kovodělných výrobků (−1,2 %) a rovněž strukturálně významných elektrických zařízení (−0,6 %). Naopak výrazně rostly ceny oprav, údržby a instalace strojů a zařízení (4,8 %), počítačů, elektronických a optických přístrojů a zařízení (3,9 %), chemických látek a přípravků (3,8 %), motorových vozidel kromě motocyklů, přívěsů a návěsů (3,8 %), nápojů (3,4 %), oděvů (3,0 %) a usní (2,7 %) nebo strojů a zařízení (2,6 %).</w:t>
            </w:r>
          </w:p>
        </w:tc>
      </w:tr>
      <w:tr w:rsidR="00FD66F9" w14:paraId="6E75070D" w14:textId="77777777" w:rsidTr="00102C41">
        <w:trPr>
          <w:trHeight w:val="145"/>
        </w:trPr>
        <w:tc>
          <w:tcPr>
            <w:tcW w:w="1791" w:type="dxa"/>
          </w:tcPr>
          <w:p w14:paraId="46F03DBB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097D0B06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D1CA1B9" w14:textId="77777777" w:rsidR="00FD66F9" w:rsidRDefault="00FD66F9" w:rsidP="00102C41">
            <w:pPr>
              <w:spacing w:after="0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Graf č. 12 Ceny hlavních skupin průmyslových výrobců </w:t>
            </w:r>
            <w:r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FD66F9" w14:paraId="50031BFF" w14:textId="77777777" w:rsidTr="00102C41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91" w:type="dxa"/>
          </w:tcPr>
          <w:p w14:paraId="1A9C7D8E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00895F92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124133F" w14:textId="77777777" w:rsidR="00FD66F9" w:rsidRDefault="00FD66F9" w:rsidP="00102C41">
            <w:pPr>
              <w:spacing w:after="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2D4359" wp14:editId="787D758F">
                  <wp:extent cx="4752000" cy="3553200"/>
                  <wp:effectExtent l="0" t="0" r="0" b="0"/>
                  <wp:docPr id="42" name="Graf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D66F9" w14:paraId="411CA6B8" w14:textId="77777777" w:rsidTr="00102C41">
        <w:trPr>
          <w:trHeight w:val="145"/>
        </w:trPr>
        <w:tc>
          <w:tcPr>
            <w:tcW w:w="1791" w:type="dxa"/>
          </w:tcPr>
          <w:p w14:paraId="2255EF40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3" w:type="dxa"/>
          </w:tcPr>
          <w:p w14:paraId="55C831BB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7C28B7B5" w14:textId="77777777" w:rsidR="00FD66F9" w:rsidRDefault="00FD66F9" w:rsidP="00102C41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tr w:rsidR="00FD66F9" w14:paraId="2CCB8FA7" w14:textId="77777777" w:rsidTr="00102C41">
        <w:trPr>
          <w:trHeight w:val="145"/>
        </w:trPr>
        <w:tc>
          <w:tcPr>
            <w:tcW w:w="1791" w:type="dxa"/>
            <w:hideMark/>
          </w:tcPr>
          <w:p w14:paraId="0334C660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průmyslových výrobců v EU mezičtvrtletně vzrostly.</w:t>
            </w:r>
          </w:p>
        </w:tc>
        <w:tc>
          <w:tcPr>
            <w:tcW w:w="223" w:type="dxa"/>
          </w:tcPr>
          <w:p w14:paraId="1AAB0913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2E87DA39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Meziroční pokles cen průmyslových výrobců v EU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 se ve 3. čtvrtletí zmírnil na −2,5 %. V meziročním poklesu stále setrvávaly ceny elektřiny, plynu, páry a klimatizovaného vzduchu (−7,4 %) a také ceny ve zpracovatelském průmyslu (−0,7 %). Meziročně rostly ceny těžby a dobývání (1,1 %). U většiny zemí EU ceny průmyslových výrobců meziročně stále klesaly, rozpětí dynamiky bylo ale veliké. Největší pokles mělo Slovensko (−18,6 %), Lucembursko (−10,2 %) a Lotyšsko (−6,4 %). Meziročně vyšší byly ceny v osmi zemích, nejvíce v Irsku (1,9 %), Portugalsku (1,6 %) a v Česku (1,2 %). Mezičtvrtletně se ceny průmyslových výrobců v EU zvýšily o 1,0 %. Výrazný mezikvartální přírůstek měly ceny elektřiny, plynu, páry a klimatizovaného vzduchu (5,9 %) a rostly také ceny těžby a dobývání (0,4 %). Naproti tomu pokles byl zaznamenán u cen ve zpracovatelském průmyslu (−0,4 %). Nejvíce mezičtvrtletně rostly ceny průmyslových výrobců v Bulharsku (4,8 %), Řecku (4,5 %) a Španělsku a na </w:t>
            </w:r>
            <w:r>
              <w:rPr>
                <w:lang w:eastAsia="en-US"/>
              </w:rPr>
              <w:lastRenderedPageBreak/>
              <w:t>Slovensku (obě země shodně 3,5 %). Pokles byl zaznamenán v osmi zemích, největší ve Švédsku (−2,1 %), Finsku (−1,4 %) a Litvě (−0,6 %).</w:t>
            </w:r>
          </w:p>
        </w:tc>
      </w:tr>
      <w:tr w:rsidR="00FD66F9" w14:paraId="71CF250B" w14:textId="77777777" w:rsidTr="00102C41">
        <w:trPr>
          <w:trHeight w:val="145"/>
        </w:trPr>
        <w:tc>
          <w:tcPr>
            <w:tcW w:w="1791" w:type="dxa"/>
            <w:hideMark/>
          </w:tcPr>
          <w:p w14:paraId="1852D66F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Ceny stavebních prací rostly meziročně stálým tempem.</w:t>
            </w:r>
          </w:p>
        </w:tc>
        <w:tc>
          <w:tcPr>
            <w:tcW w:w="223" w:type="dxa"/>
          </w:tcPr>
          <w:p w14:paraId="3CF90EDB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9BBB9AE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Ceny stavebních prací si od začátku roku drží stálou meziroční dynamiku a dle odhadů byly ve 3. čtvrtletí meziročně vyšší o 1,7 %. Jejich mezičtvrtletní přírůstek dosáhl 0,3 %. Ceny materiálů a výrobků spotřebovávaných ve stavebnictví se ve 3. čtvrtletí meziročně nezměnily a mezičtvrtletně klesly o 0,2 %.</w:t>
            </w:r>
          </w:p>
        </w:tc>
      </w:tr>
      <w:tr w:rsidR="00FD66F9" w14:paraId="46F0D0DA" w14:textId="77777777" w:rsidTr="00102C41">
        <w:trPr>
          <w:trHeight w:val="145"/>
        </w:trPr>
        <w:tc>
          <w:tcPr>
            <w:tcW w:w="1791" w:type="dxa"/>
            <w:hideMark/>
          </w:tcPr>
          <w:p w14:paraId="32CD1939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tržních služeb se mezičtvrtletně snížily.</w:t>
            </w:r>
          </w:p>
        </w:tc>
        <w:tc>
          <w:tcPr>
            <w:tcW w:w="223" w:type="dxa"/>
          </w:tcPr>
          <w:p w14:paraId="014D6DDD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127C55B6" w14:textId="77777777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 zpomalení meziroční dynamiky, ke kterému došlo ve 2. čtvrtletí, se dál přírůstek cen tržních služeb nezměnil a dosáhl ve 3. čtvrtletí 3,4 %. Mezičtvrtletně se ceny tržních služeb snížily o 0,5 %. K meziročnímu přírůstku nadále nejvíce přispívaly ceny služeb v oblasti nemovitostí (růst o 7,7 %), dále posílil vliv cen reklamních služeb a průzkumu trhu (10,0 %). Významný byl také příspěvek cen služeb v oblasti programování a souvisejícího poradenství (meziroční růst o 2,9 %) a právních a účetnických služeb (5,4 %) a dále také architektonických a inženýrských služeb (2,4 %), služeb v oblasti zaměstnání (9,3 %), poštovních a kurýrních služeb (3,1 %), pojištění, zajištění a penzijního financování (2,2 %), bezpečnostních a pátracích služeb (8,9 %) a úklidových služeb (5,9 %). Meziročně klesaly jen ceny skladování a podpůrných služeb v dopravě (−0,6 %). </w:t>
            </w:r>
          </w:p>
        </w:tc>
      </w:tr>
      <w:tr w:rsidR="00FD66F9" w14:paraId="775B7113" w14:textId="77777777" w:rsidTr="00102C41">
        <w:trPr>
          <w:trHeight w:val="145"/>
        </w:trPr>
        <w:tc>
          <w:tcPr>
            <w:tcW w:w="1791" w:type="dxa"/>
            <w:hideMark/>
          </w:tcPr>
          <w:p w14:paraId="1F892735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Zmírnil se propad cen zemědělské výroby. Ceny živočišné výroby meziročně rostly.</w:t>
            </w:r>
          </w:p>
        </w:tc>
        <w:tc>
          <w:tcPr>
            <w:tcW w:w="223" w:type="dxa"/>
          </w:tcPr>
          <w:p w14:paraId="6BB1DC8A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2166947E" w14:textId="198FA704" w:rsidR="00FD66F9" w:rsidRDefault="00FD66F9" w:rsidP="00B71EF7">
            <w:pPr>
              <w:rPr>
                <w:lang w:eastAsia="en-US"/>
              </w:rPr>
            </w:pPr>
            <w:r>
              <w:rPr>
                <w:lang w:eastAsia="en-US"/>
              </w:rPr>
              <w:t>Ceny zemědělsk</w:t>
            </w:r>
            <w:r w:rsidR="00B71EF7">
              <w:rPr>
                <w:lang w:eastAsia="en-US"/>
              </w:rPr>
              <w:t>ých výrobců</w:t>
            </w:r>
            <w:r>
              <w:rPr>
                <w:lang w:eastAsia="en-US"/>
              </w:rPr>
              <w:t xml:space="preserve"> (včetně ryb) ve 3. čtvrtletí meziročně klesly o 1,4 % a propad se tak opět výrazně zmírnil (ceny klesaly o 17,2 % a 10,4 % v 1. a 2. čtvrtletí). Ceny rostlinné výroby ve 3. čtvrtletí byly meziročně nižší o 4,5 %, což je výrazně mírnější pokles než v předchozím kvartálu, a ceny živočišné výroby začaly meziročně růst (2,6 %). Méně hluboký byl pokles cen obilovin (−8,9 %, z toho pšenice −8,5 %, žito −15,2 %, ječmen −7,9 %, oves −0,4 % a kukuřice −12,5 %). Ceny průmyslových plodin meziročně vzrostly o 4,2 %, především pod vlivem cen olejnin (5,2 %, z toho semeno řepky +5,3 %, slunečnice −11,4 %, mák 8,7 %). Krmné plodiny meziročně zdražily o 11,0 %, ovoce o 32,4 % a vína o 10,7 %, ceny zeleniny a zahradnických produktů naopak klesly o 5,8 % a brambor o 21,3 %. V rámci živočišné výroby meziročně rostly ceny skotu (8,3 %), ale klesly ceny prasat a selat (−8,8 %) i drůbeže (−7,2 %). Ceny mléka byly meziročně vyšší o 10,5 % a u vajec pokračoval pokles (−14,1 %).   </w:t>
            </w:r>
          </w:p>
        </w:tc>
      </w:tr>
      <w:tr w:rsidR="00FD66F9" w14:paraId="569C734A" w14:textId="77777777" w:rsidTr="00102C41">
        <w:trPr>
          <w:trHeight w:val="145"/>
        </w:trPr>
        <w:tc>
          <w:tcPr>
            <w:tcW w:w="1791" w:type="dxa"/>
            <w:hideMark/>
          </w:tcPr>
          <w:p w14:paraId="0A0DD4CD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vývozu zboží rostly.</w:t>
            </w:r>
          </w:p>
        </w:tc>
        <w:tc>
          <w:tcPr>
            <w:tcW w:w="223" w:type="dxa"/>
          </w:tcPr>
          <w:p w14:paraId="4FA9695B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313B9A55" w14:textId="726F59AD" w:rsidR="00FD66F9" w:rsidRDefault="00FD66F9" w:rsidP="00102C41">
            <w:pPr>
              <w:rPr>
                <w:lang w:eastAsia="en-US"/>
              </w:rPr>
            </w:pPr>
            <w:r>
              <w:rPr>
                <w:lang w:eastAsia="en-US"/>
              </w:rPr>
              <w:t>Ceny vývozu se ve 3. čtvrtletí meziročně zvýšily o 3,8 % a mezičtvrtletně vzrostly o 0,8 %. Vývoj kurzu koruny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ve 3. čtvrtletí působil výrazně proinflačně na meziroční dynamiku cen. Meziročně nejvíce rostly ceny exportu v oblasti zásobování vodou a činností souvisejících s odpady a odpadními vodami (přírůstek zrychlil na 16,7 %). Mírně zpomalil, ale solidní tempo si udržel růst cen vývozu výrobků zpracovatelského průmyslu (4,1 %). V rámci této sekce nejvíce rostly ceny exportu nábytku (12,9 %), ostatních dopravních prostředků a zařízení (12,5 %), dřeva a výrobků z něj (8,0 %), chemických látek a přípravků (6,6 %), základních farmaceutických výrobků a přípravků (6,1 %) a motorových vozidel</w:t>
            </w:r>
            <w:r w:rsidR="00EB39C7">
              <w:rPr>
                <w:lang w:eastAsia="en-US"/>
              </w:rPr>
              <w:t>, kromě motocyklů</w:t>
            </w:r>
            <w:r>
              <w:rPr>
                <w:lang w:eastAsia="en-US"/>
              </w:rPr>
              <w:t xml:space="preserve"> (6,0 %). Klesly jen ceny koksu a rafinovaných ropných výrobků (−11,9 %) a usní a souvisejících výrobků (−7,3 %). Meziročně se začaly zvyšovat ceny vývozu produktů zemědělství, lesnictví a rybářství (1,8 %), výrazně zmírnil pokles cen vývozu elektřiny, plynu, páry a klimatizovaného vzduchu (−3,0 %) a také cen těžby a dobývání (−9,1 %). </w:t>
            </w:r>
          </w:p>
        </w:tc>
      </w:tr>
      <w:tr w:rsidR="00FD66F9" w14:paraId="1C715963" w14:textId="77777777" w:rsidTr="00102C41">
        <w:trPr>
          <w:trHeight w:val="145"/>
        </w:trPr>
        <w:tc>
          <w:tcPr>
            <w:tcW w:w="1791" w:type="dxa"/>
          </w:tcPr>
          <w:p w14:paraId="4AFFB181" w14:textId="77777777" w:rsidR="00FD66F9" w:rsidRDefault="00FD66F9" w:rsidP="00102C41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směnné relace byly ve 3. čtvrtletí kladné.</w:t>
            </w:r>
          </w:p>
        </w:tc>
        <w:tc>
          <w:tcPr>
            <w:tcW w:w="223" w:type="dxa"/>
          </w:tcPr>
          <w:p w14:paraId="4E49709D" w14:textId="77777777" w:rsidR="00FD66F9" w:rsidRDefault="00FD66F9" w:rsidP="00102C41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25" w:type="dxa"/>
            <w:hideMark/>
          </w:tcPr>
          <w:p w14:paraId="72720D33" w14:textId="5DAC399C" w:rsidR="00FD66F9" w:rsidRDefault="00FD66F9" w:rsidP="00EB39C7">
            <w:pPr>
              <w:rPr>
                <w:lang w:eastAsia="en-US"/>
              </w:rPr>
            </w:pPr>
            <w:r>
              <w:rPr>
                <w:lang w:eastAsia="en-US"/>
              </w:rPr>
              <w:t>Ceny importu byly ve 3. čtvrtletí meziročně vyšší o 2,7 % a mezičtvrtletně vzrostly o 1,0 %. Meziročně se zvyšovaly ceny výrobků zpracovatelského průmyslu</w:t>
            </w:r>
            <w:r w:rsidR="00EB39C7">
              <w:rPr>
                <w:lang w:eastAsia="en-US"/>
              </w:rPr>
              <w:t xml:space="preserve"> (3,2 %)</w:t>
            </w:r>
            <w:r>
              <w:rPr>
                <w:lang w:eastAsia="en-US"/>
              </w:rPr>
              <w:t xml:space="preserve">. Nejvíc zdražovaly ostatní dopravní prostředky a zařízení (10,7 %) a nápoje (10,1 %), naopak hluboký pokles cen byl zaznamenán u dovozu koksu a rafinovaných ropných </w:t>
            </w:r>
            <w:r>
              <w:rPr>
                <w:lang w:eastAsia="en-US"/>
              </w:rPr>
              <w:lastRenderedPageBreak/>
              <w:t>výrobků</w:t>
            </w:r>
            <w:r w:rsidR="00EB39C7">
              <w:rPr>
                <w:lang w:eastAsia="en-US"/>
              </w:rPr>
              <w:t xml:space="preserve"> (−13,0 %)</w:t>
            </w:r>
            <w:r>
              <w:rPr>
                <w:lang w:eastAsia="en-US"/>
              </w:rPr>
              <w:t xml:space="preserve">. Meziročně vzrostly také ceny těžby a dobývání (3,0 %). Výrazný meziroční pokles cen přetrvával u dovozu produktů zemědělství, lesnictví a rybářství (−12,4 %) a u elektřiny, plynu, páry a klimatizovaného vzduchu (−9,8 %, pokles se od začátku roku razantně zmírnil). Meziroční směnné relace zahraničního obchodu se zbožím dosáhly ve 3. čtvrtletí 101,0 %. Výrazně kladné byly směnné relace obchodu s produkty zemědělství, lesnictví a rybářství (116,2 %) a s elektřinou, plynem, párou a klimatizovaným vzduchem (107,5 %). Směnné relace obchodu s výrobky zpracovatelského průmyslu dosáhly 100,9 %. U těžby a dobývání byly naopak směnné relace výrazně záporné (88,3 %). Mezičtvrtletní směnné relace zahraničního obchodu dosáhly hodnoty 99,8 %. </w:t>
            </w:r>
          </w:p>
        </w:tc>
      </w:tr>
    </w:tbl>
    <w:p w14:paraId="437EE82E" w14:textId="77777777" w:rsidR="00FD66F9" w:rsidRDefault="00FD66F9" w:rsidP="00DF549B">
      <w:pPr>
        <w:pStyle w:val="Nadpis1"/>
      </w:pPr>
      <w:bookmarkStart w:id="4" w:name="_GoBack"/>
      <w:bookmarkEnd w:id="4"/>
    </w:p>
    <w:bookmarkEnd w:id="0"/>
    <w:bookmarkEnd w:id="2"/>
    <w:sectPr w:rsidR="00FD66F9" w:rsidSect="00DF549B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DC48F1" w:rsidRDefault="00DC48F1" w:rsidP="00E71A58">
      <w:r>
        <w:separator/>
      </w:r>
    </w:p>
  </w:endnote>
  <w:endnote w:type="continuationSeparator" w:id="0">
    <w:p w14:paraId="70B7E2B6" w14:textId="77777777" w:rsidR="00DC48F1" w:rsidRDefault="00DC48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7864D4FF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F549B">
      <w:rPr>
        <w:szCs w:val="16"/>
      </w:rPr>
      <w:t>30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426FB957" w:rsidR="009855E1" w:rsidRPr="00932443" w:rsidRDefault="009855E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až 3.čtvrtletí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F549B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DC48F1" w:rsidRDefault="00DC48F1" w:rsidP="00EA4302">
      <w:pPr>
        <w:spacing w:after="0"/>
      </w:pPr>
      <w:r>
        <w:separator/>
      </w:r>
    </w:p>
  </w:footnote>
  <w:footnote w:type="continuationSeparator" w:id="0">
    <w:p w14:paraId="70CDBF0C" w14:textId="77777777" w:rsidR="00DC48F1" w:rsidRDefault="00DC48F1" w:rsidP="00E71A58">
      <w:r>
        <w:continuationSeparator/>
      </w:r>
    </w:p>
  </w:footnote>
  <w:footnote w:id="1">
    <w:p w14:paraId="0013F30D" w14:textId="77777777" w:rsidR="009855E1" w:rsidRDefault="009855E1" w:rsidP="00FD66F9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Imputované nájemné vyjadřuje náklady vlastnického bydlení. Kromě samotných cen bydlení zahrnuje i náklady na výstavbu a renovace a další poplatky. Více na: </w:t>
      </w:r>
      <w:hyperlink r:id="rId1" w:history="1">
        <w:r>
          <w:rPr>
            <w:rStyle w:val="Hypertextovodkaz"/>
            <w:sz w:val="16"/>
            <w:szCs w:val="16"/>
          </w:rPr>
          <w:t>https://www.czso.cz/csu/czso/metodicka-poznamka-k-indexu-spotrebitelskych-cen-imputovane-najemne</w:t>
        </w:r>
      </w:hyperlink>
      <w:r>
        <w:rPr>
          <w:rStyle w:val="Hypertextovodkaz"/>
          <w:sz w:val="16"/>
          <w:szCs w:val="16"/>
        </w:rPr>
        <w:t>.</w:t>
      </w:r>
    </w:p>
  </w:footnote>
  <w:footnote w:id="2">
    <w:p w14:paraId="185FF631" w14:textId="77777777" w:rsidR="009855E1" w:rsidRDefault="009855E1" w:rsidP="00FD66F9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Zahrnuje služby osobní péče a osobní potřeby a doplňky, sociální péči, pojištění a další finanční služby apod.</w:t>
      </w:r>
    </w:p>
  </w:footnote>
  <w:footnote w:id="3">
    <w:p w14:paraId="34747FAF" w14:textId="77777777" w:rsidR="009855E1" w:rsidRDefault="009855E1" w:rsidP="00FD66F9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Oproti indexu spotřebitelských cen, který ČSÚ pro českou ekonomiku sestavuje, HICP neobsahuje imputované nájemné, což bývá zdrojem rozdílů mezi HICP a Indexem spotřebitelských cen.</w:t>
      </w:r>
    </w:p>
  </w:footnote>
  <w:footnote w:id="4">
    <w:p w14:paraId="74532173" w14:textId="77777777" w:rsidR="009855E1" w:rsidRDefault="009855E1" w:rsidP="00FD66F9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Bez cen zásobování vodou a služeb souvisejících s odpadními vodami.</w:t>
      </w:r>
    </w:p>
  </w:footnote>
  <w:footnote w:id="5">
    <w:p w14:paraId="34372E57" w14:textId="77777777" w:rsidR="009855E1" w:rsidRDefault="009855E1" w:rsidP="00FD66F9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údajů ČNB byl ve 3. čtvrtletí 2024 průměrný kurz koruny vůči euru 25,196 CZK/EUR. Ve 3. čtvrtletí 2023 to bylo </w:t>
      </w:r>
      <w:r>
        <w:rPr>
          <w:sz w:val="16"/>
          <w:szCs w:val="16"/>
        </w:rPr>
        <w:br/>
        <w:t>24,136 CZK/EUR. Kurz vůči dolaru též oslaboval. Ve 3. čtvrtletí 2024 činil průměr 22,939 CZK/USD. Ve stejném období roku 2023 to bylo 22,173 CZK/USD.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9855E1" w:rsidRPr="00C27E4F" w:rsidRDefault="009855E1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9855E1" w:rsidRPr="006F5416" w:rsidRDefault="009855E1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2C10"/>
    <w:rsid w:val="002436BA"/>
    <w:rsid w:val="00244A15"/>
    <w:rsid w:val="00247319"/>
    <w:rsid w:val="0024799E"/>
    <w:rsid w:val="00253C0F"/>
    <w:rsid w:val="002558C1"/>
    <w:rsid w:val="00271465"/>
    <w:rsid w:val="0028207A"/>
    <w:rsid w:val="00285412"/>
    <w:rsid w:val="00291640"/>
    <w:rsid w:val="002A16D4"/>
    <w:rsid w:val="002A230C"/>
    <w:rsid w:val="002A66B0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23E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7677"/>
    <w:rsid w:val="00D66223"/>
    <w:rsid w:val="00D71625"/>
    <w:rsid w:val="00D751DA"/>
    <w:rsid w:val="00D8084C"/>
    <w:rsid w:val="00D915EA"/>
    <w:rsid w:val="00DA7C0C"/>
    <w:rsid w:val="00DB08A9"/>
    <w:rsid w:val="00DB2EC8"/>
    <w:rsid w:val="00DB6566"/>
    <w:rsid w:val="00DC48F1"/>
    <w:rsid w:val="00DC5B3B"/>
    <w:rsid w:val="00DD129F"/>
    <w:rsid w:val="00DD4EFE"/>
    <w:rsid w:val="00DE02BD"/>
    <w:rsid w:val="00DF42FF"/>
    <w:rsid w:val="00DF549B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67C4E"/>
    <w:rsid w:val="00F73A0C"/>
    <w:rsid w:val="00F756DB"/>
    <w:rsid w:val="00F84E7D"/>
    <w:rsid w:val="00F85066"/>
    <w:rsid w:val="00F87A4D"/>
    <w:rsid w:val="00F9785E"/>
    <w:rsid w:val="00FA5D4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7B96"/>
    <w:rsid w:val="11D0C0D9"/>
    <w:rsid w:val="30D0B3BE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indexu-spotrebitelskych-cen-imputovane-najem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3/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3/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3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299E-2"/>
          <c:w val="0.92237743255066085"/>
          <c:h val="0.71471575213004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2'!$C$10:$C$32</c:f>
              <c:numCache>
                <c:formatCode>0.0</c:formatCode>
                <c:ptCount val="23"/>
                <c:pt idx="0">
                  <c:v>2.7</c:v>
                </c:pt>
                <c:pt idx="1">
                  <c:v>2.8</c:v>
                </c:pt>
                <c:pt idx="2">
                  <c:v>2.8</c:v>
                </c:pt>
                <c:pt idx="3">
                  <c:v>3</c:v>
                </c:pt>
                <c:pt idx="4">
                  <c:v>3.6</c:v>
                </c:pt>
                <c:pt idx="5">
                  <c:v>3.1</c:v>
                </c:pt>
                <c:pt idx="6">
                  <c:v>3.3</c:v>
                </c:pt>
                <c:pt idx="7">
                  <c:v>2.6</c:v>
                </c:pt>
                <c:pt idx="8">
                  <c:v>2.2000000000000002</c:v>
                </c:pt>
                <c:pt idx="9">
                  <c:v>2.9</c:v>
                </c:pt>
                <c:pt idx="10">
                  <c:v>4.0999999999999996</c:v>
                </c:pt>
                <c:pt idx="11">
                  <c:v>6.1</c:v>
                </c:pt>
                <c:pt idx="12">
                  <c:v>11.2</c:v>
                </c:pt>
                <c:pt idx="13">
                  <c:v>15.8</c:v>
                </c:pt>
                <c:pt idx="14">
                  <c:v>17.600000000000001</c:v>
                </c:pt>
                <c:pt idx="15">
                  <c:v>15.7</c:v>
                </c:pt>
                <c:pt idx="16">
                  <c:v>16.399999999999999</c:v>
                </c:pt>
                <c:pt idx="17">
                  <c:v>11.1</c:v>
                </c:pt>
                <c:pt idx="18">
                  <c:v>8</c:v>
                </c:pt>
                <c:pt idx="19">
                  <c:v>7.6</c:v>
                </c:pt>
                <c:pt idx="20">
                  <c:v>2.1</c:v>
                </c:pt>
                <c:pt idx="21">
                  <c:v>2.5</c:v>
                </c:pt>
                <c:pt idx="22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D-4195-BC1C-40C681C1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270120064"/>
        <c:axId val="270121600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2'!$D$10:$D$32</c:f>
              <c:numCache>
                <c:formatCode>0.0</c:formatCode>
                <c:ptCount val="23"/>
                <c:pt idx="0">
                  <c:v>1</c:v>
                </c:pt>
                <c:pt idx="1">
                  <c:v>2.5</c:v>
                </c:pt>
                <c:pt idx="2">
                  <c:v>3.5</c:v>
                </c:pt>
                <c:pt idx="3">
                  <c:v>4.3</c:v>
                </c:pt>
                <c:pt idx="4">
                  <c:v>6.1</c:v>
                </c:pt>
                <c:pt idx="5">
                  <c:v>6.5</c:v>
                </c:pt>
                <c:pt idx="6">
                  <c:v>4</c:v>
                </c:pt>
                <c:pt idx="7">
                  <c:v>1.7</c:v>
                </c:pt>
                <c:pt idx="8">
                  <c:v>0.3</c:v>
                </c:pt>
                <c:pt idx="9">
                  <c:v>-0.8</c:v>
                </c:pt>
                <c:pt idx="10">
                  <c:v>1.4</c:v>
                </c:pt>
                <c:pt idx="11">
                  <c:v>2.2999999999999998</c:v>
                </c:pt>
                <c:pt idx="12">
                  <c:v>6.7</c:v>
                </c:pt>
                <c:pt idx="13">
                  <c:v>14.6</c:v>
                </c:pt>
                <c:pt idx="14">
                  <c:v>20</c:v>
                </c:pt>
                <c:pt idx="15">
                  <c:v>25.5</c:v>
                </c:pt>
                <c:pt idx="16">
                  <c:v>24.1</c:v>
                </c:pt>
                <c:pt idx="17">
                  <c:v>14.6</c:v>
                </c:pt>
                <c:pt idx="18">
                  <c:v>7.8</c:v>
                </c:pt>
                <c:pt idx="19">
                  <c:v>1.6</c:v>
                </c:pt>
                <c:pt idx="20">
                  <c:v>-4.9000000000000004</c:v>
                </c:pt>
                <c:pt idx="21">
                  <c:v>-3.6</c:v>
                </c:pt>
                <c:pt idx="22">
                  <c:v>-1.4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FD-4195-BC1C-40C681C127A6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2'!$F$10:$F$32</c:f>
              <c:numCache>
                <c:formatCode>0.0</c:formatCode>
                <c:ptCount val="23"/>
                <c:pt idx="0">
                  <c:v>5.4</c:v>
                </c:pt>
                <c:pt idx="1">
                  <c:v>5.7</c:v>
                </c:pt>
                <c:pt idx="2">
                  <c:v>5.2</c:v>
                </c:pt>
                <c:pt idx="3">
                  <c:v>5</c:v>
                </c:pt>
                <c:pt idx="4">
                  <c:v>4.2</c:v>
                </c:pt>
                <c:pt idx="5">
                  <c:v>3.2</c:v>
                </c:pt>
                <c:pt idx="6">
                  <c:v>2.7</c:v>
                </c:pt>
                <c:pt idx="7">
                  <c:v>1.4</c:v>
                </c:pt>
                <c:pt idx="8">
                  <c:v>0.6</c:v>
                </c:pt>
                <c:pt idx="9">
                  <c:v>1.3</c:v>
                </c:pt>
                <c:pt idx="10">
                  <c:v>3.6</c:v>
                </c:pt>
                <c:pt idx="11">
                  <c:v>5.6</c:v>
                </c:pt>
                <c:pt idx="12">
                  <c:v>16</c:v>
                </c:pt>
                <c:pt idx="13">
                  <c:v>21.4</c:v>
                </c:pt>
                <c:pt idx="14">
                  <c:v>23.6</c:v>
                </c:pt>
                <c:pt idx="15">
                  <c:v>14.9</c:v>
                </c:pt>
                <c:pt idx="16">
                  <c:v>22.2</c:v>
                </c:pt>
                <c:pt idx="17">
                  <c:v>16</c:v>
                </c:pt>
                <c:pt idx="18">
                  <c:v>11.6</c:v>
                </c:pt>
                <c:pt idx="19">
                  <c:v>17.8</c:v>
                </c:pt>
                <c:pt idx="20">
                  <c:v>3.4</c:v>
                </c:pt>
                <c:pt idx="21">
                  <c:v>3.1</c:v>
                </c:pt>
                <c:pt idx="22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BFD-4195-BC1C-40C681C127A6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2'!$G$10:$G$32</c:f>
              <c:numCache>
                <c:formatCode>0.0</c:formatCode>
                <c:ptCount val="23"/>
                <c:pt idx="0">
                  <c:v>0.6</c:v>
                </c:pt>
                <c:pt idx="1">
                  <c:v>0.8</c:v>
                </c:pt>
                <c:pt idx="2">
                  <c:v>-0.2</c:v>
                </c:pt>
                <c:pt idx="3">
                  <c:v>0.5</c:v>
                </c:pt>
                <c:pt idx="4" formatCode="General">
                  <c:v>1.7</c:v>
                </c:pt>
                <c:pt idx="5">
                  <c:v>-3.4</c:v>
                </c:pt>
                <c:pt idx="6">
                  <c:v>-0.2</c:v>
                </c:pt>
                <c:pt idx="7">
                  <c:v>0.6</c:v>
                </c:pt>
                <c:pt idx="8">
                  <c:v>2.4</c:v>
                </c:pt>
                <c:pt idx="9">
                  <c:v>9.1</c:v>
                </c:pt>
                <c:pt idx="10">
                  <c:v>8.8000000000000007</c:v>
                </c:pt>
                <c:pt idx="11">
                  <c:v>13.1</c:v>
                </c:pt>
                <c:pt idx="12">
                  <c:v>17.2</c:v>
                </c:pt>
                <c:pt idx="13">
                  <c:v>22.7</c:v>
                </c:pt>
                <c:pt idx="14">
                  <c:v>19.7</c:v>
                </c:pt>
                <c:pt idx="15">
                  <c:v>13.1</c:v>
                </c:pt>
                <c:pt idx="16">
                  <c:v>4.5</c:v>
                </c:pt>
                <c:pt idx="17">
                  <c:v>-4</c:v>
                </c:pt>
                <c:pt idx="18">
                  <c:v>-2.4</c:v>
                </c:pt>
                <c:pt idx="19">
                  <c:v>-1.6</c:v>
                </c:pt>
                <c:pt idx="20">
                  <c:v>1.7</c:v>
                </c:pt>
                <c:pt idx="21">
                  <c:v>4.5999999999999996</c:v>
                </c:pt>
                <c:pt idx="22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BFD-4195-BC1C-40C681C127A6}"/>
            </c:ext>
          </c:extLst>
        </c:ser>
        <c:ser>
          <c:idx val="2"/>
          <c:order val="4"/>
          <c:tx>
            <c:strRef>
              <c:f>'Ceny 2'!$E$5</c:f>
              <c:strCache>
                <c:ptCount val="1"/>
                <c:pt idx="0">
                  <c:v>Alkoholické nápoje a tabák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2'!$E$10:$E$32</c:f>
              <c:numCache>
                <c:formatCode>0.0</c:formatCode>
                <c:ptCount val="23"/>
                <c:pt idx="0">
                  <c:v>3.3</c:v>
                </c:pt>
                <c:pt idx="1">
                  <c:v>1.7</c:v>
                </c:pt>
                <c:pt idx="2">
                  <c:v>1.9</c:v>
                </c:pt>
                <c:pt idx="3">
                  <c:v>1.8</c:v>
                </c:pt>
                <c:pt idx="4" formatCode="General">
                  <c:v>3.5</c:v>
                </c:pt>
                <c:pt idx="5">
                  <c:v>6.6</c:v>
                </c:pt>
                <c:pt idx="6">
                  <c:v>10.3</c:v>
                </c:pt>
                <c:pt idx="7">
                  <c:v>9.9</c:v>
                </c:pt>
                <c:pt idx="8">
                  <c:v>9.9</c:v>
                </c:pt>
                <c:pt idx="9">
                  <c:v>9.8000000000000007</c:v>
                </c:pt>
                <c:pt idx="10">
                  <c:v>6.5</c:v>
                </c:pt>
                <c:pt idx="11">
                  <c:v>7.7</c:v>
                </c:pt>
                <c:pt idx="12">
                  <c:v>7.1</c:v>
                </c:pt>
                <c:pt idx="13">
                  <c:v>5.6</c:v>
                </c:pt>
                <c:pt idx="14">
                  <c:v>6.3</c:v>
                </c:pt>
                <c:pt idx="15">
                  <c:v>6</c:v>
                </c:pt>
                <c:pt idx="16">
                  <c:v>6.8</c:v>
                </c:pt>
                <c:pt idx="17">
                  <c:v>6.5</c:v>
                </c:pt>
                <c:pt idx="18">
                  <c:v>7.2</c:v>
                </c:pt>
                <c:pt idx="19">
                  <c:v>5.9</c:v>
                </c:pt>
                <c:pt idx="20">
                  <c:v>4.7</c:v>
                </c:pt>
                <c:pt idx="21">
                  <c:v>6.2</c:v>
                </c:pt>
                <c:pt idx="22">
                  <c:v>4.5999999999999996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4-BBFD-4195-BC1C-40C681C127A6}"/>
            </c:ext>
          </c:extLst>
        </c:ser>
        <c:ser>
          <c:idx val="5"/>
          <c:order val="5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2'!$H$10:$H$32</c:f>
              <c:numCache>
                <c:formatCode>0.0</c:formatCode>
                <c:ptCount val="23"/>
                <c:pt idx="0">
                  <c:v>3.8</c:v>
                </c:pt>
                <c:pt idx="1">
                  <c:v>4</c:v>
                </c:pt>
                <c:pt idx="2">
                  <c:v>4.5</c:v>
                </c:pt>
                <c:pt idx="3">
                  <c:v>4.5999999999999996</c:v>
                </c:pt>
                <c:pt idx="4">
                  <c:v>5.5</c:v>
                </c:pt>
                <c:pt idx="5">
                  <c:v>5.0999999999999996</c:v>
                </c:pt>
                <c:pt idx="6">
                  <c:v>4.9000000000000004</c:v>
                </c:pt>
                <c:pt idx="7">
                  <c:v>4.3</c:v>
                </c:pt>
                <c:pt idx="8">
                  <c:v>3</c:v>
                </c:pt>
                <c:pt idx="9">
                  <c:v>2.9</c:v>
                </c:pt>
                <c:pt idx="10">
                  <c:v>4.5999999999999996</c:v>
                </c:pt>
                <c:pt idx="11">
                  <c:v>6.8</c:v>
                </c:pt>
                <c:pt idx="12">
                  <c:v>12.3</c:v>
                </c:pt>
                <c:pt idx="13">
                  <c:v>21.4</c:v>
                </c:pt>
                <c:pt idx="14">
                  <c:v>24.3</c:v>
                </c:pt>
                <c:pt idx="15">
                  <c:v>25.6</c:v>
                </c:pt>
                <c:pt idx="16">
                  <c:v>22.4</c:v>
                </c:pt>
                <c:pt idx="17">
                  <c:v>15.4</c:v>
                </c:pt>
                <c:pt idx="18">
                  <c:v>11.6</c:v>
                </c:pt>
                <c:pt idx="19">
                  <c:v>8.8000000000000007</c:v>
                </c:pt>
                <c:pt idx="20">
                  <c:v>8.6</c:v>
                </c:pt>
                <c:pt idx="21">
                  <c:v>7.8</c:v>
                </c:pt>
                <c:pt idx="22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BFD-4195-BC1C-40C681C1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120064"/>
        <c:axId val="270121600"/>
        <c:extLst>
          <c:ext xmlns:c15="http://schemas.microsoft.com/office/drawing/2012/chart" uri="{02D57815-91ED-43cb-92C2-25804820EDAC}">
            <c15:filteredLineSeries>
              <c15:ser>
                <c:idx val="6"/>
                <c:order val="6"/>
                <c:tx>
                  <c:strRef>
                    <c:extLst>
                      <c:ext uri="{02D57815-91ED-43cb-92C2-25804820EDAC}">
                        <c15:formulaRef>
                          <c15:sqref>'Ceny 2'!$I$5</c15:sqref>
                        </c15:formulaRef>
                      </c:ext>
                    </c:extLst>
                    <c:strCache>
                      <c:ptCount val="1"/>
                      <c:pt idx="0">
                        <c:v>Rekreace a kultura</c:v>
                      </c:pt>
                    </c:strCache>
                  </c:strRef>
                </c:tx>
                <c:spPr>
                  <a:ln w="19050">
                    <a:solidFill>
                      <a:srgbClr val="FF0000"/>
                    </a:solidFill>
                  </a:ln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'Ceny 2'!$A$10:$B$32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</c:lvl>
                      <c:lvl>
                        <c:pt idx="0">
                          <c:v>2019</c:v>
                        </c:pt>
                        <c:pt idx="4">
                          <c:v>2020</c:v>
                        </c:pt>
                        <c:pt idx="8">
                          <c:v>2021</c:v>
                        </c:pt>
                        <c:pt idx="12">
                          <c:v>2022</c:v>
                        </c:pt>
                        <c:pt idx="16">
                          <c:v>2023</c:v>
                        </c:pt>
                        <c:pt idx="20">
                          <c:v>2024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'Ceny 2'!$I$10:$I$30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1.7000000000000028</c:v>
                      </c:pt>
                      <c:pt idx="1">
                        <c:v>1</c:v>
                      </c:pt>
                      <c:pt idx="2">
                        <c:v>1.7000000000000028</c:v>
                      </c:pt>
                      <c:pt idx="3">
                        <c:v>2.0999999999999943</c:v>
                      </c:pt>
                      <c:pt idx="4">
                        <c:v>2.0999999999999943</c:v>
                      </c:pt>
                      <c:pt idx="5">
                        <c:v>2</c:v>
                      </c:pt>
                      <c:pt idx="6">
                        <c:v>2.2000000000000028</c:v>
                      </c:pt>
                      <c:pt idx="7">
                        <c:v>2.5</c:v>
                      </c:pt>
                      <c:pt idx="8">
                        <c:v>1.4000000000000057</c:v>
                      </c:pt>
                      <c:pt idx="9">
                        <c:v>2</c:v>
                      </c:pt>
                      <c:pt idx="10">
                        <c:v>3.0999999999999943</c:v>
                      </c:pt>
                      <c:pt idx="11">
                        <c:v>5.2999999999999972</c:v>
                      </c:pt>
                      <c:pt idx="12">
                        <c:v>8.5</c:v>
                      </c:pt>
                      <c:pt idx="13">
                        <c:v>11.299999999999997</c:v>
                      </c:pt>
                      <c:pt idx="14">
                        <c:v>12.599999999999994</c:v>
                      </c:pt>
                      <c:pt idx="15" formatCode="0.0">
                        <c:v>13.2</c:v>
                      </c:pt>
                      <c:pt idx="16" formatCode="0.0">
                        <c:v>14</c:v>
                      </c:pt>
                      <c:pt idx="17" formatCode="0.0">
                        <c:v>11.7</c:v>
                      </c:pt>
                      <c:pt idx="18" formatCode="0.0">
                        <c:v>9.6999999999999993</c:v>
                      </c:pt>
                      <c:pt idx="19" formatCode="0.0">
                        <c:v>6.9</c:v>
                      </c:pt>
                      <c:pt idx="20" formatCode="0.0">
                        <c:v>4.4000000000000004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BBFD-4195-BC1C-40C681C127A6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2'!$J$5</c15:sqref>
                        </c15:formulaRef>
                      </c:ext>
                    </c:extLst>
                    <c:strCache>
                      <c:ptCount val="1"/>
                      <c:pt idx="0">
                        <c:v>Odívání a obuv</c:v>
                      </c:pt>
                    </c:strCache>
                  </c:strRef>
                </c:tx>
                <c:spPr>
                  <a:ln w="19050">
                    <a:solidFill>
                      <a:srgbClr val="E8AFB2"/>
                    </a:solidFill>
                  </a:ln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2'!$A$10:$B$32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</c:lvl>
                      <c:lvl>
                        <c:pt idx="0">
                          <c:v>2019</c:v>
                        </c:pt>
                        <c:pt idx="4">
                          <c:v>2020</c:v>
                        </c:pt>
                        <c:pt idx="8">
                          <c:v>2021</c:v>
                        </c:pt>
                        <c:pt idx="12">
                          <c:v>2022</c:v>
                        </c:pt>
                        <c:pt idx="16">
                          <c:v>2023</c:v>
                        </c:pt>
                        <c:pt idx="20">
                          <c:v>2024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2'!$J$6:$J$24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-0.29999999999999716</c:v>
                      </c:pt>
                      <c:pt idx="1">
                        <c:v>-1</c:v>
                      </c:pt>
                      <c:pt idx="2">
                        <c:v>-1.4000000000000057</c:v>
                      </c:pt>
                      <c:pt idx="3">
                        <c:v>-1.7000000000000028</c:v>
                      </c:pt>
                      <c:pt idx="4">
                        <c:v>-1.0999999999999943</c:v>
                      </c:pt>
                      <c:pt idx="5">
                        <c:v>-1.9000000000000057</c:v>
                      </c:pt>
                      <c:pt idx="6">
                        <c:v>-1.5</c:v>
                      </c:pt>
                      <c:pt idx="7">
                        <c:v>-0.29999999999999716</c:v>
                      </c:pt>
                      <c:pt idx="8">
                        <c:v>3.5</c:v>
                      </c:pt>
                      <c:pt idx="9">
                        <c:v>3.4000000000000057</c:v>
                      </c:pt>
                      <c:pt idx="10">
                        <c:v>4.5</c:v>
                      </c:pt>
                      <c:pt idx="11">
                        <c:v>3.4000000000000057</c:v>
                      </c:pt>
                      <c:pt idx="12">
                        <c:v>2.7000000000000028</c:v>
                      </c:pt>
                      <c:pt idx="13">
                        <c:v>2.9000000000000057</c:v>
                      </c:pt>
                      <c:pt idx="14">
                        <c:v>7.7999999999999972</c:v>
                      </c:pt>
                      <c:pt idx="15">
                        <c:v>12.599999999999994</c:v>
                      </c:pt>
                      <c:pt idx="16">
                        <c:v>16.900000000000006</c:v>
                      </c:pt>
                      <c:pt idx="17">
                        <c:v>20</c:v>
                      </c:pt>
                      <c:pt idx="18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BFD-4195-BC1C-40C681C127A6}"/>
                  </c:ext>
                </c:extLst>
              </c15:ser>
            </c15:filteredLineSeries>
          </c:ext>
        </c:extLst>
      </c:lineChart>
      <c:catAx>
        <c:axId val="27012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70121600"/>
        <c:crosses val="autoZero"/>
        <c:auto val="1"/>
        <c:lblAlgn val="ctr"/>
        <c:lblOffset val="100"/>
        <c:noMultiLvlLbl val="0"/>
      </c:catAx>
      <c:valAx>
        <c:axId val="270121600"/>
        <c:scaling>
          <c:orientation val="minMax"/>
          <c:max val="27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012006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882134414049307E-2"/>
          <c:y val="0.85802375323651925"/>
          <c:w val="0.92470364741641342"/>
          <c:h val="0.1312535179556456"/>
        </c:manualLayout>
      </c:layout>
      <c:overlay val="0"/>
      <c:spPr>
        <a:ln w="6350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85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1'!$C$10:$C$32</c:f>
              <c:numCache>
                <c:formatCode>General</c:formatCode>
                <c:ptCount val="23"/>
                <c:pt idx="0">
                  <c:v>11.299999999999997</c:v>
                </c:pt>
                <c:pt idx="1">
                  <c:v>10.599999999999994</c:v>
                </c:pt>
                <c:pt idx="2">
                  <c:v>9.5</c:v>
                </c:pt>
                <c:pt idx="3">
                  <c:v>9.4000000000000057</c:v>
                </c:pt>
                <c:pt idx="4">
                  <c:v>10.599999999999994</c:v>
                </c:pt>
                <c:pt idx="5">
                  <c:v>10.200000000000003</c:v>
                </c:pt>
                <c:pt idx="6">
                  <c:v>11.200000000000003</c:v>
                </c:pt>
                <c:pt idx="7">
                  <c:v>13.299999999999997</c:v>
                </c:pt>
                <c:pt idx="8">
                  <c:v>15.200000000000003</c:v>
                </c:pt>
                <c:pt idx="9">
                  <c:v>17.900000000000006</c:v>
                </c:pt>
                <c:pt idx="10">
                  <c:v>21.299999999999997</c:v>
                </c:pt>
                <c:pt idx="11">
                  <c:v>25.200000000000003</c:v>
                </c:pt>
                <c:pt idx="12">
                  <c:v>27.299999999999997</c:v>
                </c:pt>
                <c:pt idx="13">
                  <c:v>27.599999999999994</c:v>
                </c:pt>
                <c:pt idx="14">
                  <c:v>23.400000000000006</c:v>
                </c:pt>
                <c:pt idx="15">
                  <c:v>13.799999999999997</c:v>
                </c:pt>
                <c:pt idx="16">
                  <c:v>3.7000000000000028</c:v>
                </c:pt>
                <c:pt idx="17">
                  <c:v>-4.0999999999999943</c:v>
                </c:pt>
                <c:pt idx="18">
                  <c:v>-7</c:v>
                </c:pt>
                <c:pt idx="19">
                  <c:v>-5.5</c:v>
                </c:pt>
                <c:pt idx="20">
                  <c:v>9.9999999999994316E-2</c:v>
                </c:pt>
                <c:pt idx="21">
                  <c:v>6.0999999999999943</c:v>
                </c:pt>
                <c:pt idx="22">
                  <c:v>10.700000000000003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4-4093-AD15-A15CDFE97231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1'!$D$10:$D$32</c:f>
              <c:numCache>
                <c:formatCode>General</c:formatCode>
                <c:ptCount val="23"/>
                <c:pt idx="0">
                  <c:v>9.4000000000000057</c:v>
                </c:pt>
                <c:pt idx="1">
                  <c:v>8.7000000000000028</c:v>
                </c:pt>
                <c:pt idx="2">
                  <c:v>6.5</c:v>
                </c:pt>
                <c:pt idx="3">
                  <c:v>7.0999999999999943</c:v>
                </c:pt>
                <c:pt idx="4">
                  <c:v>6.2000000000000028</c:v>
                </c:pt>
                <c:pt idx="5">
                  <c:v>8</c:v>
                </c:pt>
                <c:pt idx="6">
                  <c:v>9.4000000000000057</c:v>
                </c:pt>
                <c:pt idx="7">
                  <c:v>10.599999999999994</c:v>
                </c:pt>
                <c:pt idx="8">
                  <c:v>14.299999999999997</c:v>
                </c:pt>
                <c:pt idx="9">
                  <c:v>15.799999999999997</c:v>
                </c:pt>
                <c:pt idx="10">
                  <c:v>16.599999999999994</c:v>
                </c:pt>
                <c:pt idx="11">
                  <c:v>20</c:v>
                </c:pt>
                <c:pt idx="12">
                  <c:v>19</c:v>
                </c:pt>
                <c:pt idx="13">
                  <c:v>16.700000000000003</c:v>
                </c:pt>
                <c:pt idx="14">
                  <c:v>15.599999999999994</c:v>
                </c:pt>
                <c:pt idx="15">
                  <c:v>8.4000000000000057</c:v>
                </c:pt>
                <c:pt idx="16">
                  <c:v>1.2000000000000028</c:v>
                </c:pt>
                <c:pt idx="17">
                  <c:v>-3.5999999999999943</c:v>
                </c:pt>
                <c:pt idx="18">
                  <c:v>-5.2999999999999972</c:v>
                </c:pt>
                <c:pt idx="19">
                  <c:v>-2.5999999999999943</c:v>
                </c:pt>
                <c:pt idx="20">
                  <c:v>1</c:v>
                </c:pt>
                <c:pt idx="21">
                  <c:v>8.5999999999999943</c:v>
                </c:pt>
                <c:pt idx="22">
                  <c:v>11.799999999999997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4-4093-AD15-A15CDFE97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270057856"/>
        <c:axId val="270059392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1'!$E$10:$E$32</c:f>
              <c:numCache>
                <c:formatCode>0.0</c:formatCode>
                <c:ptCount val="23"/>
                <c:pt idx="0">
                  <c:v>7.4232690935046435</c:v>
                </c:pt>
                <c:pt idx="1">
                  <c:v>5.7262569832402335</c:v>
                </c:pt>
                <c:pt idx="2">
                  <c:v>5.1912568306010911</c:v>
                </c:pt>
                <c:pt idx="3">
                  <c:v>5.5144586415601964</c:v>
                </c:pt>
                <c:pt idx="4">
                  <c:v>6.0465116279069662</c:v>
                </c:pt>
                <c:pt idx="5">
                  <c:v>7.1334214002641829</c:v>
                </c:pt>
                <c:pt idx="6">
                  <c:v>7.9870129870129887</c:v>
                </c:pt>
                <c:pt idx="7">
                  <c:v>7.6481835564053569</c:v>
                </c:pt>
                <c:pt idx="8">
                  <c:v>7.6441102756892292</c:v>
                </c:pt>
                <c:pt idx="9">
                  <c:v>7.9531442663378584</c:v>
                </c:pt>
                <c:pt idx="10">
                  <c:v>9.3205051112447421</c:v>
                </c:pt>
                <c:pt idx="11">
                  <c:v>12.433392539964473</c:v>
                </c:pt>
                <c:pt idx="12">
                  <c:v>16.880093131548307</c:v>
                </c:pt>
                <c:pt idx="13">
                  <c:v>24.671616219303274</c:v>
                </c:pt>
                <c:pt idx="14">
                  <c:v>22.937293729372925</c:v>
                </c:pt>
                <c:pt idx="15">
                  <c:v>18.325434439178508</c:v>
                </c:pt>
                <c:pt idx="16">
                  <c:v>9.8107569721115624</c:v>
                </c:pt>
                <c:pt idx="17" formatCode="General">
                  <c:v>-0.73293632615667548</c:v>
                </c:pt>
                <c:pt idx="18" formatCode="General">
                  <c:v>-3.3109619686800897</c:v>
                </c:pt>
                <c:pt idx="19" formatCode="General">
                  <c:v>-4.1833555852247315</c:v>
                </c:pt>
                <c:pt idx="20" formatCode="General">
                  <c:v>-0.68027210884353906</c:v>
                </c:pt>
                <c:pt idx="21" formatCode="General">
                  <c:v>3.3687125057683573</c:v>
                </c:pt>
                <c:pt idx="22" formatCode="General">
                  <c:v>6.9412309116150084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04-4093-AD15-A15CDFE97231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1'!$F$10:$F$32</c:f>
              <c:numCache>
                <c:formatCode>0.0</c:formatCode>
                <c:ptCount val="23"/>
                <c:pt idx="0">
                  <c:v>8.3178150217256359</c:v>
                </c:pt>
                <c:pt idx="1">
                  <c:v>4.9397590361445651</c:v>
                </c:pt>
                <c:pt idx="2">
                  <c:v>3.3096926713947994</c:v>
                </c:pt>
                <c:pt idx="3">
                  <c:v>2.9530978575564575</c:v>
                </c:pt>
                <c:pt idx="4">
                  <c:v>3.5530085959885298</c:v>
                </c:pt>
                <c:pt idx="5">
                  <c:v>5.2812858783008068</c:v>
                </c:pt>
                <c:pt idx="6">
                  <c:v>6.2356979405034281</c:v>
                </c:pt>
                <c:pt idx="7">
                  <c:v>5.1743532058492718</c:v>
                </c:pt>
                <c:pt idx="8">
                  <c:v>4.759269507470961</c:v>
                </c:pt>
                <c:pt idx="9">
                  <c:v>4.5256270447110012</c:v>
                </c:pt>
                <c:pt idx="10">
                  <c:v>6.2466343564889826</c:v>
                </c:pt>
                <c:pt idx="11">
                  <c:v>9.1443850267379503</c:v>
                </c:pt>
                <c:pt idx="12">
                  <c:v>12.255678816693077</c:v>
                </c:pt>
                <c:pt idx="13">
                  <c:v>19.718309859154942</c:v>
                </c:pt>
                <c:pt idx="14">
                  <c:v>18.499746578813998</c:v>
                </c:pt>
                <c:pt idx="15">
                  <c:v>16.903478686918177</c:v>
                </c:pt>
                <c:pt idx="16">
                  <c:v>10.305882352941182</c:v>
                </c:pt>
                <c:pt idx="17" formatCode="General">
                  <c:v>0.30501089324617681</c:v>
                </c:pt>
                <c:pt idx="18" formatCode="General">
                  <c:v>-1.5825491873396089</c:v>
                </c:pt>
                <c:pt idx="19" formatCode="General">
                  <c:v>-3.5624476110645418</c:v>
                </c:pt>
                <c:pt idx="20" formatCode="General">
                  <c:v>0.3412969283276226</c:v>
                </c:pt>
                <c:pt idx="21" formatCode="General">
                  <c:v>3.9965247610773247</c:v>
                </c:pt>
                <c:pt idx="22" formatCode="General">
                  <c:v>6.7796610169491629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04-4093-AD15-A15CDFE97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057856"/>
        <c:axId val="270059392"/>
      </c:lineChart>
      <c:catAx>
        <c:axId val="27005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70059392"/>
        <c:crosses val="autoZero"/>
        <c:auto val="1"/>
        <c:lblAlgn val="ctr"/>
        <c:lblOffset val="100"/>
        <c:noMultiLvlLbl val="0"/>
      </c:catAx>
      <c:valAx>
        <c:axId val="270059392"/>
        <c:scaling>
          <c:orientation val="minMax"/>
          <c:max val="28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0057856"/>
        <c:crosses val="autoZero"/>
        <c:crossBetween val="between"/>
        <c:majorUnit val="4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292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948270126413842E-2"/>
          <c:y val="2.181131592422042E-2"/>
          <c:w val="0.91916383898868925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4'!$A$10:$B$32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4'!$C$10:$C$32</c:f>
              <c:numCache>
                <c:formatCode>General</c:formatCode>
                <c:ptCount val="23"/>
                <c:pt idx="0">
                  <c:v>3.5</c:v>
                </c:pt>
                <c:pt idx="1">
                  <c:v>3.5</c:v>
                </c:pt>
                <c:pt idx="2">
                  <c:v>2</c:v>
                </c:pt>
                <c:pt idx="3">
                  <c:v>1.2999999999999972</c:v>
                </c:pt>
                <c:pt idx="4">
                  <c:v>1.4000000000000057</c:v>
                </c:pt>
                <c:pt idx="5">
                  <c:v>-0.59999999999999432</c:v>
                </c:pt>
                <c:pt idx="6">
                  <c:v>-0.29999999999999716</c:v>
                </c:pt>
                <c:pt idx="7">
                  <c:v>9.9999999999994316E-2</c:v>
                </c:pt>
                <c:pt idx="8">
                  <c:v>1.5</c:v>
                </c:pt>
                <c:pt idx="9">
                  <c:v>5.2999999999999972</c:v>
                </c:pt>
                <c:pt idx="10">
                  <c:v>9</c:v>
                </c:pt>
                <c:pt idx="11">
                  <c:v>12.799999999999997</c:v>
                </c:pt>
                <c:pt idx="12">
                  <c:v>21.799999999999997</c:v>
                </c:pt>
                <c:pt idx="13">
                  <c:v>27.700000000000003</c:v>
                </c:pt>
                <c:pt idx="14">
                  <c:v>25.900000000000006</c:v>
                </c:pt>
                <c:pt idx="15">
                  <c:v>21.799999999999997</c:v>
                </c:pt>
                <c:pt idx="16">
                  <c:v>15</c:v>
                </c:pt>
                <c:pt idx="17">
                  <c:v>3.9000000000000057</c:v>
                </c:pt>
                <c:pt idx="18">
                  <c:v>1.3</c:v>
                </c:pt>
                <c:pt idx="19">
                  <c:v>0.8</c:v>
                </c:pt>
                <c:pt idx="20">
                  <c:v>-0.9</c:v>
                </c:pt>
                <c:pt idx="21">
                  <c:v>1.1000000000000001</c:v>
                </c:pt>
                <c:pt idx="22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39A-9932-D35769833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271374208"/>
        <c:axId val="271375744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4'!$D$10:$D$32</c:f>
              <c:numCache>
                <c:formatCode>General</c:formatCode>
                <c:ptCount val="23"/>
                <c:pt idx="0">
                  <c:v>7.7000000000000028</c:v>
                </c:pt>
                <c:pt idx="1">
                  <c:v>7.7000000000000028</c:v>
                </c:pt>
                <c:pt idx="2">
                  <c:v>6.7000000000000028</c:v>
                </c:pt>
                <c:pt idx="3">
                  <c:v>3.7000000000000028</c:v>
                </c:pt>
                <c:pt idx="4">
                  <c:v>-2.0999999999999943</c:v>
                </c:pt>
                <c:pt idx="5">
                  <c:v>-3.5</c:v>
                </c:pt>
                <c:pt idx="6">
                  <c:v>-3.5999999999999943</c:v>
                </c:pt>
                <c:pt idx="7">
                  <c:v>-2</c:v>
                </c:pt>
                <c:pt idx="8">
                  <c:v>-0.5</c:v>
                </c:pt>
                <c:pt idx="9">
                  <c:v>0.79999999999999716</c:v>
                </c:pt>
                <c:pt idx="10">
                  <c:v>3.2999999999999972</c:v>
                </c:pt>
                <c:pt idx="11">
                  <c:v>13.799999999999997</c:v>
                </c:pt>
                <c:pt idx="12">
                  <c:v>25.200000000000003</c:v>
                </c:pt>
                <c:pt idx="13">
                  <c:v>31.900000000000006</c:v>
                </c:pt>
                <c:pt idx="14">
                  <c:v>30.199999999999989</c:v>
                </c:pt>
                <c:pt idx="15">
                  <c:v>23.299999999999997</c:v>
                </c:pt>
                <c:pt idx="16">
                  <c:v>54</c:v>
                </c:pt>
                <c:pt idx="17">
                  <c:v>47.599999999999994</c:v>
                </c:pt>
                <c:pt idx="18">
                  <c:v>44.5</c:v>
                </c:pt>
                <c:pt idx="19">
                  <c:v>40.200000000000003</c:v>
                </c:pt>
                <c:pt idx="20">
                  <c:v>-1.2</c:v>
                </c:pt>
                <c:pt idx="21">
                  <c:v>-1.7</c:v>
                </c:pt>
                <c:pt idx="22">
                  <c:v>-0.5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C5-439A-9932-D357698333FF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4'!$E$10:$E$32</c:f>
              <c:numCache>
                <c:formatCode>General</c:formatCode>
                <c:ptCount val="23"/>
                <c:pt idx="0">
                  <c:v>2.5999999999999943</c:v>
                </c:pt>
                <c:pt idx="1">
                  <c:v>2.5999999999999943</c:v>
                </c:pt>
                <c:pt idx="2">
                  <c:v>0.79999999999999716</c:v>
                </c:pt>
                <c:pt idx="3">
                  <c:v>-9.9999999999994316E-2</c:v>
                </c:pt>
                <c:pt idx="4">
                  <c:v>0</c:v>
                </c:pt>
                <c:pt idx="5">
                  <c:v>-2.2999999999999972</c:v>
                </c:pt>
                <c:pt idx="6">
                  <c:v>-1.7999999999999972</c:v>
                </c:pt>
                <c:pt idx="7">
                  <c:v>-1.2000000000000028</c:v>
                </c:pt>
                <c:pt idx="8">
                  <c:v>1.7999999999999972</c:v>
                </c:pt>
                <c:pt idx="9">
                  <c:v>6.5</c:v>
                </c:pt>
                <c:pt idx="10">
                  <c:v>11</c:v>
                </c:pt>
                <c:pt idx="11">
                  <c:v>14.5</c:v>
                </c:pt>
                <c:pt idx="12">
                  <c:v>17.5</c:v>
                </c:pt>
                <c:pt idx="13">
                  <c:v>24.200000000000003</c:v>
                </c:pt>
                <c:pt idx="14">
                  <c:v>20.5</c:v>
                </c:pt>
                <c:pt idx="15">
                  <c:v>16</c:v>
                </c:pt>
                <c:pt idx="16">
                  <c:v>10.299999999999997</c:v>
                </c:pt>
                <c:pt idx="17">
                  <c:v>-0.90000000000000568</c:v>
                </c:pt>
                <c:pt idx="18">
                  <c:v>-2.4</c:v>
                </c:pt>
                <c:pt idx="19">
                  <c:v>-2.2999999999999998</c:v>
                </c:pt>
                <c:pt idx="20">
                  <c:v>-1.7</c:v>
                </c:pt>
                <c:pt idx="21">
                  <c:v>0.1</c:v>
                </c:pt>
                <c:pt idx="2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C5-439A-9932-D357698333FF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4'!$F$10:$F$32</c:f>
              <c:numCache>
                <c:formatCode>General</c:formatCode>
                <c:ptCount val="23"/>
                <c:pt idx="0">
                  <c:v>7.7000000000000028</c:v>
                </c:pt>
                <c:pt idx="1">
                  <c:v>8.2999999999999972</c:v>
                </c:pt>
                <c:pt idx="2">
                  <c:v>7.7999999999999972</c:v>
                </c:pt>
                <c:pt idx="3">
                  <c:v>8.2999999999999972</c:v>
                </c:pt>
                <c:pt idx="4">
                  <c:v>8.9000000000000057</c:v>
                </c:pt>
                <c:pt idx="5">
                  <c:v>8.2000000000000028</c:v>
                </c:pt>
                <c:pt idx="6">
                  <c:v>7.7999999999999972</c:v>
                </c:pt>
                <c:pt idx="7">
                  <c:v>6.0999999999999943</c:v>
                </c:pt>
                <c:pt idx="8">
                  <c:v>0.29999999999999716</c:v>
                </c:pt>
                <c:pt idx="9">
                  <c:v>9.9999999999994316E-2</c:v>
                </c:pt>
                <c:pt idx="10">
                  <c:v>0.79999999999999716</c:v>
                </c:pt>
                <c:pt idx="11">
                  <c:v>5.5</c:v>
                </c:pt>
                <c:pt idx="12">
                  <c:v>45</c:v>
                </c:pt>
                <c:pt idx="13">
                  <c:v>47.199999999999989</c:v>
                </c:pt>
                <c:pt idx="14">
                  <c:v>56</c:v>
                </c:pt>
                <c:pt idx="15">
                  <c:v>54.300000000000011</c:v>
                </c:pt>
                <c:pt idx="16">
                  <c:v>28.400000000000006</c:v>
                </c:pt>
                <c:pt idx="17">
                  <c:v>18.400000000000006</c:v>
                </c:pt>
                <c:pt idx="18">
                  <c:v>10.5</c:v>
                </c:pt>
                <c:pt idx="19">
                  <c:v>7.1</c:v>
                </c:pt>
                <c:pt idx="20">
                  <c:v>0.8</c:v>
                </c:pt>
                <c:pt idx="21">
                  <c:v>4.5</c:v>
                </c:pt>
                <c:pt idx="22">
                  <c:v>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C5-439A-9932-D357698333FF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4'!$A$10:$B$32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'Ceny 4'!$G$10:$G$32</c:f>
              <c:numCache>
                <c:formatCode>General</c:formatCode>
                <c:ptCount val="23"/>
                <c:pt idx="0">
                  <c:v>2.9000000000000057</c:v>
                </c:pt>
                <c:pt idx="1">
                  <c:v>2.9000000000000057</c:v>
                </c:pt>
                <c:pt idx="2">
                  <c:v>2.9000000000000057</c:v>
                </c:pt>
                <c:pt idx="3">
                  <c:v>2.9000000000000057</c:v>
                </c:pt>
                <c:pt idx="4">
                  <c:v>5.4000000000000057</c:v>
                </c:pt>
                <c:pt idx="5">
                  <c:v>6.0999999999999943</c:v>
                </c:pt>
                <c:pt idx="6">
                  <c:v>6.4000000000000057</c:v>
                </c:pt>
                <c:pt idx="7">
                  <c:v>6.4000000000000057</c:v>
                </c:pt>
                <c:pt idx="8">
                  <c:v>6.9000000000000057</c:v>
                </c:pt>
                <c:pt idx="9">
                  <c:v>6.2000000000000028</c:v>
                </c:pt>
                <c:pt idx="10">
                  <c:v>5.9000000000000057</c:v>
                </c:pt>
                <c:pt idx="11">
                  <c:v>5.9000000000000057</c:v>
                </c:pt>
                <c:pt idx="12">
                  <c:v>5.2999999999999972</c:v>
                </c:pt>
                <c:pt idx="13">
                  <c:v>5.2999999999999972</c:v>
                </c:pt>
                <c:pt idx="14">
                  <c:v>5.2999999999999972</c:v>
                </c:pt>
                <c:pt idx="15">
                  <c:v>5.2999999999999972</c:v>
                </c:pt>
                <c:pt idx="16">
                  <c:v>16.299999999999997</c:v>
                </c:pt>
                <c:pt idx="17">
                  <c:v>16.299999999999997</c:v>
                </c:pt>
                <c:pt idx="18">
                  <c:v>16.3</c:v>
                </c:pt>
                <c:pt idx="19">
                  <c:v>16.3</c:v>
                </c:pt>
                <c:pt idx="20">
                  <c:v>9.1999999999999993</c:v>
                </c:pt>
                <c:pt idx="21">
                  <c:v>9.1999999999999993</c:v>
                </c:pt>
                <c:pt idx="22">
                  <c:v>9.1999999999999993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3C5-439A-9932-D35769833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374208"/>
        <c:axId val="271375744"/>
      </c:lineChart>
      <c:catAx>
        <c:axId val="27137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375744"/>
        <c:crosses val="autoZero"/>
        <c:auto val="1"/>
        <c:lblAlgn val="ctr"/>
        <c:lblOffset val="100"/>
        <c:noMultiLvlLbl val="0"/>
      </c:catAx>
      <c:valAx>
        <c:axId val="271375744"/>
        <c:scaling>
          <c:orientation val="minMax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374208"/>
        <c:crosses val="autoZero"/>
        <c:crossBetween val="between"/>
        <c:majorUnit val="5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756819693945444E-2"/>
          <c:y val="0.86223931272106069"/>
          <c:w val="0.91957268795741853"/>
          <c:h val="0.12109402425765226"/>
        </c:manualLayout>
      </c:layout>
      <c:overlay val="0"/>
      <c:spPr>
        <a:ln w="6350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8c0c86d-151e-4fca-b0d5-747e6692fa1d"/>
  </ds:schemaRefs>
</ds:datastoreItem>
</file>

<file path=customXml/itemProps3.xml><?xml version="1.0" encoding="utf-8"?>
<ds:datastoreItem xmlns:ds="http://schemas.openxmlformats.org/officeDocument/2006/customXml" ds:itemID="{C217542A-452A-49A6-BD70-25B5200F3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BA22F-6CC9-4236-80BF-1474304E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3</cp:revision>
  <cp:lastPrinted>2014-07-17T14:07:00Z</cp:lastPrinted>
  <dcterms:created xsi:type="dcterms:W3CDTF">2024-12-16T10:31:00Z</dcterms:created>
  <dcterms:modified xsi:type="dcterms:W3CDTF">2024-12-16T10:42:00Z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